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6A0" w:firstRow="1" w:lastRow="0" w:firstColumn="1" w:lastColumn="0" w:noHBand="1" w:noVBand="1"/>
      </w:tblPr>
      <w:tblGrid>
        <w:gridCol w:w="1334"/>
        <w:gridCol w:w="2083"/>
        <w:gridCol w:w="780"/>
        <w:gridCol w:w="3141"/>
        <w:gridCol w:w="885"/>
        <w:gridCol w:w="1095"/>
        <w:gridCol w:w="930"/>
        <w:gridCol w:w="3494"/>
        <w:gridCol w:w="818"/>
      </w:tblGrid>
      <w:tr w:rsidR="08545E0E" w14:paraId="79A2D76C" w14:textId="77777777" w:rsidTr="00975212">
        <w:trPr>
          <w:trHeight w:val="20"/>
        </w:trPr>
        <w:tc>
          <w:tcPr>
            <w:tcW w:w="14565" w:type="dxa"/>
            <w:gridSpan w:val="9"/>
            <w:tcBorders>
              <w:top w:val="single" w:sz="4" w:space="0" w:color="auto"/>
              <w:left w:val="single" w:sz="4" w:space="0" w:color="auto"/>
              <w:bottom w:val="single" w:sz="4" w:space="0" w:color="auto"/>
              <w:right w:val="single" w:sz="4" w:space="0" w:color="auto"/>
            </w:tcBorders>
            <w:shd w:val="clear" w:color="auto" w:fill="2E74B5" w:themeFill="accent5" w:themeFillShade="BF"/>
            <w:tcMar>
              <w:top w:w="15" w:type="dxa"/>
              <w:left w:w="15" w:type="dxa"/>
              <w:right w:w="15" w:type="dxa"/>
            </w:tcMar>
            <w:vAlign w:val="center"/>
          </w:tcPr>
          <w:p w14:paraId="0F0FDE03" w14:textId="25C796A8" w:rsidR="08545E0E" w:rsidRDefault="08545E0E" w:rsidP="00975212">
            <w:pPr>
              <w:spacing w:before="120" w:after="120" w:line="240" w:lineRule="auto"/>
              <w:jc w:val="center"/>
              <w:rPr>
                <w:rFonts w:eastAsiaTheme="minorEastAsia"/>
                <w:b/>
                <w:bCs/>
                <w:color w:val="FFFFFF" w:themeColor="background1"/>
                <w:sz w:val="20"/>
                <w:szCs w:val="20"/>
              </w:rPr>
            </w:pPr>
            <w:r w:rsidRPr="08545E0E">
              <w:rPr>
                <w:rFonts w:eastAsiaTheme="minorEastAsia"/>
                <w:b/>
                <w:bCs/>
                <w:color w:val="FFFFFF" w:themeColor="background1"/>
                <w:sz w:val="20"/>
                <w:szCs w:val="20"/>
              </w:rPr>
              <w:t>DECISÕES TOMADAS EM CIRCUITO DELIBERATIVO (5 a 11/5/2023)</w:t>
            </w:r>
          </w:p>
        </w:tc>
      </w:tr>
      <w:tr w:rsidR="08545E0E" w14:paraId="6449516D"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1DF9E45F" w14:textId="774D1B83"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Circuito Deliberativo</w:t>
            </w:r>
          </w:p>
        </w:tc>
        <w:tc>
          <w:tcPr>
            <w:tcW w:w="2085"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121B8CC5" w14:textId="5F2DB50F"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Processo</w:t>
            </w:r>
          </w:p>
        </w:tc>
        <w:tc>
          <w:tcPr>
            <w:tcW w:w="780"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334CAF47" w14:textId="2ECD41C5"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Unidade Autora</w:t>
            </w:r>
          </w:p>
        </w:tc>
        <w:tc>
          <w:tcPr>
            <w:tcW w:w="3142"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3D421A7D" w14:textId="735A4DFD"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Assunto</w:t>
            </w:r>
          </w:p>
        </w:tc>
        <w:tc>
          <w:tcPr>
            <w:tcW w:w="885"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1C21A744" w14:textId="72CD795D"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Diretor Relator</w:t>
            </w:r>
          </w:p>
        </w:tc>
        <w:tc>
          <w:tcPr>
            <w:tcW w:w="1095"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28AD5BD8" w14:textId="5D699999"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Resolução de Diretoria</w:t>
            </w:r>
          </w:p>
        </w:tc>
        <w:tc>
          <w:tcPr>
            <w:tcW w:w="930"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5ED85D23" w14:textId="751EC68C"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 xml:space="preserve">Data </w:t>
            </w:r>
          </w:p>
        </w:tc>
        <w:tc>
          <w:tcPr>
            <w:tcW w:w="3495"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398C9BD0" w14:textId="608FCA61"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Decisão</w:t>
            </w:r>
          </w:p>
        </w:tc>
        <w:tc>
          <w:tcPr>
            <w:tcW w:w="818" w:type="dxa"/>
            <w:tcBorders>
              <w:top w:val="single" w:sz="4" w:space="0" w:color="auto"/>
              <w:left w:val="single" w:sz="4" w:space="0" w:color="auto"/>
              <w:bottom w:val="single" w:sz="4" w:space="0" w:color="auto"/>
              <w:right w:val="single" w:sz="4" w:space="0" w:color="auto"/>
            </w:tcBorders>
            <w:shd w:val="clear" w:color="auto" w:fill="D5DCE4" w:themeFill="text2" w:themeFillTint="33"/>
            <w:tcMar>
              <w:top w:w="15" w:type="dxa"/>
              <w:left w:w="15" w:type="dxa"/>
              <w:right w:w="15" w:type="dxa"/>
            </w:tcMar>
            <w:vAlign w:val="center"/>
          </w:tcPr>
          <w:p w14:paraId="1100832B" w14:textId="2E55D8C4" w:rsidR="08545E0E" w:rsidRDefault="08545E0E" w:rsidP="00975212">
            <w:pPr>
              <w:spacing w:after="0" w:line="240" w:lineRule="auto"/>
              <w:jc w:val="center"/>
              <w:rPr>
                <w:rFonts w:eastAsiaTheme="minorEastAsia"/>
                <w:b/>
                <w:bCs/>
                <w:color w:val="000000" w:themeColor="text1"/>
                <w:sz w:val="20"/>
                <w:szCs w:val="20"/>
              </w:rPr>
            </w:pPr>
            <w:r w:rsidRPr="08545E0E">
              <w:rPr>
                <w:rFonts w:eastAsiaTheme="minorEastAsia"/>
                <w:b/>
                <w:bCs/>
                <w:color w:val="000000" w:themeColor="text1"/>
                <w:sz w:val="20"/>
                <w:szCs w:val="20"/>
              </w:rPr>
              <w:t>Votação</w:t>
            </w:r>
          </w:p>
        </w:tc>
      </w:tr>
      <w:tr w:rsidR="08545E0E" w14:paraId="3F22D546"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F36012" w14:textId="15705F0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178/2023/SGE-CIRCUITO/SGE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5F3C37" w14:textId="641C6B81"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48620.204383/2022-36</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8C541" w14:textId="12CE7F04"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SGA</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CFCC94" w14:textId="175115B3"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Julgamento de recurso, adjudicação de objeto e homologação do resultado do Pregão Eletrônico nº 2/2023</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024D40" w14:textId="6998563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Rodolfo Saboia</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66FBCF" w14:textId="4503090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217/2023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E7EE06" w14:textId="4AB28CC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09/05/23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37629E" w14:textId="7B7BA591"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48620.204383/2022-36, no Despacho de Proposta para Deliberação da Diretoria nº 5/2023/SGA-CA/SGA (SEI 3021615); na Ata de Realização do Pregão Eletrônico nº 02/2023 (SEI 2978048), e no Relatório de Análise de Recurso (SEI 3008032), no âmbito do Pregão Eletrônico nº 2/2023, resolve, por unanimidade entre os votantes:</w:t>
            </w:r>
            <w:r>
              <w:br/>
            </w:r>
            <w:r w:rsidRPr="08545E0E">
              <w:rPr>
                <w:rFonts w:eastAsiaTheme="minorEastAsia"/>
                <w:color w:val="000000" w:themeColor="text1"/>
                <w:sz w:val="20"/>
                <w:szCs w:val="20"/>
              </w:rPr>
              <w:t xml:space="preserve"> I) julgar improcedente o recurso administrativo interposto pela licitante APPA SERVIÇOS TEMPORÁRIOS E EFETIVOS LTDA;</w:t>
            </w:r>
            <w:r>
              <w:br/>
            </w:r>
            <w:r w:rsidRPr="08545E0E">
              <w:rPr>
                <w:rFonts w:eastAsiaTheme="minorEastAsia"/>
                <w:color w:val="000000" w:themeColor="text1"/>
                <w:sz w:val="20"/>
                <w:szCs w:val="20"/>
              </w:rPr>
              <w:t xml:space="preserve"> II) adjudicar o objeto da licitação à empresa vencedora HIGITECH SERVIÇOS DE ASSEIO E CONSERVAÇÃO LTDA., pelo valor total de R$ 1.716.137,61 (um milhão, setecentos e dezesseis mil cento e trinta e sete reais e sessenta e um centavos); e</w:t>
            </w:r>
            <w:r>
              <w:br/>
            </w:r>
            <w:r w:rsidRPr="08545E0E">
              <w:rPr>
                <w:rFonts w:eastAsiaTheme="minorEastAsia"/>
                <w:color w:val="000000" w:themeColor="text1"/>
                <w:sz w:val="20"/>
                <w:szCs w:val="20"/>
              </w:rPr>
              <w:t xml:space="preserve"> III) homologar o resultado do pregão.</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8260FA" w14:textId="4C243C7E" w:rsidR="08545E0E" w:rsidRDefault="08545E0E" w:rsidP="00975212">
            <w:pPr>
              <w:spacing w:after="0" w:line="240" w:lineRule="auto"/>
              <w:jc w:val="center"/>
              <w:rPr>
                <w:rFonts w:eastAsiaTheme="minorEastAsia"/>
                <w:color w:val="FF0000"/>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 </w:t>
            </w:r>
          </w:p>
        </w:tc>
      </w:tr>
      <w:tr w:rsidR="08545E0E" w14:paraId="22C532F4"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D479E8" w14:textId="212787D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172/2023/SGE-CIRCUITO/SGE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AFC0FD" w14:textId="54E011E8"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48610.221854/2022-90</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55481" w14:textId="058EACD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SPL</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A111F4" w14:textId="58E14523"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Cessão da participação da Seacrest SPE Cricaré S.A. no Contrato de Concessão nº 48610.010735/2001A (BT-ES-12A) para a Seacrest Petróleo SPE Norte Capixaba Ltda.</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827B59" w14:textId="3E78B51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2DD2DB" w14:textId="44C82F7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216/2023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E6C0D8" w14:textId="321F66B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09/05/23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6157B0" w14:textId="21B6FFCE"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48610.221854/2022-90, no DESPACHO DE PROPOSTA PARA DELIBERAÇÃO DA DIRETORIA Nº 18/2022/SPL (SEI 2984128), e no PARECER Nº 108/2023/PFANP/PGF/AGU, aprovado pelo DESPACHO Nº 01045/2023/PFANP/PGF/AGU (SEI 2952917), resolve, por unanimidade:</w:t>
            </w:r>
            <w:r>
              <w:br/>
            </w:r>
            <w:r w:rsidRPr="08545E0E">
              <w:rPr>
                <w:rFonts w:eastAsiaTheme="minorEastAsia"/>
                <w:color w:val="000000" w:themeColor="text1"/>
                <w:sz w:val="20"/>
                <w:szCs w:val="20"/>
              </w:rPr>
              <w:t xml:space="preserve"> Aprovar o pedido de cessão da totalidade </w:t>
            </w:r>
            <w:r w:rsidRPr="08545E0E">
              <w:rPr>
                <w:rFonts w:eastAsiaTheme="minorEastAsia"/>
                <w:color w:val="000000" w:themeColor="text1"/>
                <w:sz w:val="20"/>
                <w:szCs w:val="20"/>
              </w:rPr>
              <w:lastRenderedPageBreak/>
              <w:t>da participação da Seacrest SPE Cricaré S.A. no Contrato de Concessão nº 48610.010735/2001A (BT-ES-12A) para a Seacrest Petróleo SPE Norte Capixaba Ltda., condicionada à, antes da assinatura do termo aditivo, apresentação pela Seacrest Petróleo SPE Norte Capixaba Ltda., assim como ao seu aceite pela ANP, de um instrumento de garantia próprio, atendendo à forma e aos requisitos estabelecidos pela Resolução ANP n° 854/2021, que assegure o descomissionamento do Campo de Inhambu.</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74D9A" w14:textId="603A0493"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4196BAB9"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CE087" w14:textId="71C9103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170/2023/SGE-CIRCUITO/SGE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A832C" w14:textId="7683C62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48610.223869/2022-92</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D81661" w14:textId="2159A303"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SPL</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87DAC8" w14:textId="0894CD6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Cisão parcial da concessionária Creative Energy Serviços e Exploração Ltda. Pedido de autorização provisória</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0D795" w14:textId="2E9F17FC"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DD3D80" w14:textId="7CA08DCE"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215/2023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284E35" w14:textId="0CEAA73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09/05/23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8B9B2" w14:textId="0C62E677"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48610.223869/2022-92, na NOTA TÉCNICA Nº 7/2023/SPL/ANP-RJ (SEI 2882901), no DESPACHO DE PROPOSTA PARA DELIBERAÇÃO DA DIRETORIA Nº 15/2022/SPL (SEI 2966246), e no PARECER Nº 122/2023/PFANP/PGF/AGU, aprovado pelo DESPACHO Nº 1106/2023/PFANP/PGF/AGU (SEI 2963044), resolve, por unanimidade:</w:t>
            </w:r>
            <w:r>
              <w:br/>
            </w:r>
            <w:r w:rsidRPr="08545E0E">
              <w:rPr>
                <w:rFonts w:eastAsiaTheme="minorEastAsia"/>
                <w:color w:val="000000" w:themeColor="text1"/>
                <w:sz w:val="20"/>
                <w:szCs w:val="20"/>
              </w:rPr>
              <w:t xml:space="preserve"> Autorizar provisoriamente a transferência de titularidade de 25% da participação da Creative Energy Serviços e Exploração Ltda. em todos os contratos de que fizer parte, em razão de cisão parcial, para sociedade a ser constituída.</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C169B" w14:textId="43791E95"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3B145AB1"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898246" w14:textId="789D983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171/2023/SGE-CIRCUITO/SGE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5CCEDF" w14:textId="3F9CB5D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48610.223153/2022-95</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BFBBC" w14:textId="36CE4C9C"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SPL</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007657" w14:textId="30A3CA2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Mudança de concessionária dos Contratos de Concessão nº 48610.009231/2002 (BT-REC-10) e nº 48610.008012/2004 (BT-REC-14) decorrente de incorporação da Recôncavo S.A. pela PetroRecôncavo S.A.</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05DB" w14:textId="7464875C"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3690D" w14:textId="36161C8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214/2023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669B63" w14:textId="5B11A9A4"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4C1AAC" w14:textId="571ECF2B"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 xml:space="preserve">A Diretoria da Agência Nacional do Petróleo, Gás Natural e Biocombustíveis - ANP, considerando o que consta no processo nº 48610.223153/2022-95, no DESPACHO DE PROPOSTA PARA DELIBERAÇÃO DA DIRETORIA Nº 17/2022/SPL (SEI 2967492), e no PARECER </w:t>
            </w:r>
            <w:r w:rsidRPr="08545E0E">
              <w:rPr>
                <w:rFonts w:eastAsiaTheme="minorEastAsia"/>
                <w:color w:val="000000" w:themeColor="text1"/>
                <w:sz w:val="20"/>
                <w:szCs w:val="20"/>
              </w:rPr>
              <w:lastRenderedPageBreak/>
              <w:t>Nº 119/2023/PFANP/PGF/AGU, aprovado pelo DESPACHO Nº 1103/2023/PFANP/PGF/AGU (SEI 2963152), resolve, por unanimidade:</w:t>
            </w:r>
            <w:r>
              <w:br/>
            </w:r>
            <w:r w:rsidRPr="08545E0E">
              <w:rPr>
                <w:rFonts w:eastAsiaTheme="minorEastAsia"/>
                <w:color w:val="000000" w:themeColor="text1"/>
                <w:sz w:val="20"/>
                <w:szCs w:val="20"/>
              </w:rPr>
              <w:t>Aprovar o pedido de mudança de concessionária dos Contratos de Concessão nº 48610.009231/2002 (BT-REC-10) e nº 48610.008012/2004 (BT-REC-14) decorrente de incorporação da Recôncavo S.A. pela PetroRecôncavo S.A., condicionada a, antes da assinatura dos termos aditivos, apresentação pela PetroReconcavo S.A, assim como ao seu aceite pela ANP, de uma garantia financeira ou de um termo que assegure o descomissionamento dos campos envolvidos.</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C773E8" w14:textId="4922555C"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51433757"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4F032" w14:textId="5C558F7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169/2023/SGE-CIRCUITO/SGE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5B2E9" w14:textId="0AB19E4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48610.225489/2022-92</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7A833" w14:textId="5FFE296E"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SPL</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65DA7" w14:textId="33B6D60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Isenção de garantia de performance do Contrato de Concessão nº 48610.010727/2001 (BM-C-14) em nome da TotalEnergies EP Brasil Ltda. (atual denominação social da Total E&amp;P do Brasil Ltda.)</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2DFD1" w14:textId="5C35B29B"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7426B5" w14:textId="03F0E8F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213/2023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368A8" w14:textId="5AD82A2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E413BD" w14:textId="2B81E20B"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48610.225489/2022-92, no DESPACHO Nº 14/2023/SPL/ANP-RJ (SEI 2809395), no DESPACHO DE PROPOSTA PARA DELIBERAÇÃO DA DIRETORIA Nº 13/2022/SPL (SEI 2907559), e no PARECER Nº 097/2023/PFANP/PGF/AGU (SEI 2904488), aprovado pelo DESPACHO Nº 00851/2023/PFANP/PGF/AGU (SEI 2904493), resolve, por unanimidade:</w:t>
            </w:r>
            <w:r>
              <w:br/>
            </w:r>
            <w:r w:rsidRPr="08545E0E">
              <w:rPr>
                <w:rFonts w:eastAsiaTheme="minorEastAsia"/>
                <w:color w:val="000000" w:themeColor="text1"/>
                <w:sz w:val="20"/>
                <w:szCs w:val="20"/>
              </w:rPr>
              <w:t xml:space="preserve"> Aprovar o pedido de isenção da garantia de performance do Contrato de Concessão nº 48610.010727/2001 (BM-C-14) em nome da TotalEnergies EP Brasil Ltda.</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97613" w14:textId="27FBE945"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4427415D"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17E3F8" w14:textId="3FEA9F08"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168/2023/SGE-CIRCUITO/SGE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64BF9" w14:textId="466E2FFB"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48610.214704/2022-20</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F0A720" w14:textId="20A64E8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SCL</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C838F5" w14:textId="65AE4CF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 xml:space="preserve">Proposta de celebração de Termo de Ajustamento de Conduta (TAC) entre Agência Nacional do Petróleo, Gás Natural e Biocombustíveis (ANP), ExxonMobil Exploração Brasil Ltda. (ExxonMobil) e Dommo Energia S.A. </w:t>
            </w:r>
            <w:r w:rsidRPr="08545E0E">
              <w:rPr>
                <w:rFonts w:eastAsiaTheme="minorEastAsia"/>
                <w:color w:val="000000" w:themeColor="text1"/>
                <w:sz w:val="20"/>
                <w:szCs w:val="20"/>
              </w:rPr>
              <w:lastRenderedPageBreak/>
              <w:t>(Dommo), para o bloco POT-M-762, relativo ao descumprimento da cláusula de conteúdo local de contratos de exploração e produção de petróleo extintos ou com fases encerradas, conforme Resolução ANP nº 848/2021</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4B090" w14:textId="23BD4BB5"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3E26A0" w14:textId="2B99019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212/2023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3FC6C5" w14:textId="6520DF65"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52F25C" w14:textId="52C67991"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 xml:space="preserve">A Diretoria da Agência Nacional do Petróleo, Gás Natural e Biocombustíveis - ANP, considerando o que consta no processo nº 48610.214704/2022-20, no Relatório nº 40/2023/SCL-e (SEI 2864865), no Despacho de Proposta para Deliberação </w:t>
            </w:r>
            <w:r w:rsidRPr="08545E0E">
              <w:rPr>
                <w:rFonts w:eastAsiaTheme="minorEastAsia"/>
                <w:color w:val="000000" w:themeColor="text1"/>
                <w:sz w:val="20"/>
                <w:szCs w:val="20"/>
              </w:rPr>
              <w:lastRenderedPageBreak/>
              <w:t>da Diretoria nº 4/2023/SCL (SEI 2937763), bem como no PARECER nº 00101/2023/PFANP/PGF/AGU (SEI 2904277), aprovado pelo DESPACHO nº 00850/2023/PFANP/PGF/AGU (SEI 2904314), emanados pela Procuradoria Geral junto à ANP, resolve, por unanimidade:</w:t>
            </w:r>
            <w:r>
              <w:br/>
            </w:r>
            <w:r w:rsidRPr="08545E0E">
              <w:rPr>
                <w:rFonts w:eastAsiaTheme="minorEastAsia"/>
                <w:color w:val="000000" w:themeColor="text1"/>
                <w:sz w:val="20"/>
                <w:szCs w:val="20"/>
              </w:rPr>
              <w:t xml:space="preserve"> Aprovar integralmente a proposta de Termo de Ajustamento de Conduta (TAC) apresentada pela ExxonMobil (agente responsável) (SEI 2864723), em parceria com a Dommo (compromissária), com base no inciso I do art. 11 da Resolução ANP nº 848/2021, com valor de referência de R$ 7.523.477,21 (sete milhões, quinhentos e vinte e três mil, quatrocentos e setenta e sete reais e vinte e um centavos), atualizados pelo IGP-DI - referência dezembro de 2021, a ser concluído até 31 de dezembro de 2025.</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2BDC3" w14:textId="2999F2F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1426ED03"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9C317C" w14:textId="684A12B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167/2023/SGE-CIRCUITO/SGE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A40F4A" w14:textId="69125E1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48610.006759/2015-39</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08037F" w14:textId="4C3E562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SGP</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F93A98" w14:textId="0ED641E9"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Nomeação em Cargo Comissionado na Superintendência de Defesa da Concorrência (SDC)</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415BEF" w14:textId="4EA47BC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Cláudio Jorge de Souza</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594C3" w14:textId="324FA2D6"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211/2023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9D48C6" w14:textId="292ADBA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EBC5C1" w14:textId="21F2BB2C"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48610.006759/2015-39, e no Despacho de Proposta para Deliberação da Diretoria nº 48/2023/SGP-CDO/SGP (SEI nº 2999907), resolve, por unanimidade:</w:t>
            </w:r>
            <w:r>
              <w:br/>
            </w:r>
            <w:r w:rsidRPr="08545E0E">
              <w:rPr>
                <w:rFonts w:eastAsiaTheme="minorEastAsia"/>
                <w:color w:val="000000" w:themeColor="text1"/>
                <w:sz w:val="20"/>
                <w:szCs w:val="20"/>
              </w:rPr>
              <w:t xml:space="preserve"> Nomear LAURA RODRIGUES ALVES SOARES no cargo comissionado de Coordenadora de Estudos Econômicos Setoriais e de Mercado, CCT III, na Superintendência de Defesa da Concorrência (SDC).</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0CE3B6" w14:textId="7CB7DDF6"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4F4EA73E"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48782F" w14:textId="0372FDC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166/2023/SGE-CIRCUITO/SGE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AEC4D1" w14:textId="0DBFB6CB"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48610.224996/2021-28</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2EAB02" w14:textId="7E32A92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STI</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48A1FA" w14:textId="22B2CF2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1º aditamento ao Contrato nº 9.026/22 - Prestação de Serviços de subscrição de licenças Red Hat e de suporte técnico especializado</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1CAC43" w14:textId="7BD836B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Rodolfo Saboia</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71CAF1" w14:textId="661F2C8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210/2023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C9FD6" w14:textId="18716AE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2511F5" w14:textId="53FE8368"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 xml:space="preserve">A Diretoria da Agência Nacional do Petróleo, Gás Natural e Biocombustíveis - ANP, considerando o que consta no processo nº 48610.224996/2021-28, no Despacho de Proposta para Deliberação da </w:t>
            </w:r>
            <w:r w:rsidRPr="08545E0E">
              <w:rPr>
                <w:rFonts w:eastAsiaTheme="minorEastAsia"/>
                <w:color w:val="000000" w:themeColor="text1"/>
                <w:sz w:val="20"/>
                <w:szCs w:val="20"/>
              </w:rPr>
              <w:lastRenderedPageBreak/>
              <w:t>Diretoria 2 /2023/STI-CONT/STI (SEI 2834245); na Nota Técnica nº 9/2023/STI-CONT/STI/ANP-RJ (SEI 2787648), e no Parecer nº 61/2023/SFO/ANP-RJ (SEI 2836548), resolve, por unanimidade entre os votantes:</w:t>
            </w:r>
            <w:r>
              <w:br/>
            </w:r>
            <w:r w:rsidRPr="08545E0E">
              <w:rPr>
                <w:rFonts w:eastAsiaTheme="minorEastAsia"/>
                <w:color w:val="000000" w:themeColor="text1"/>
                <w:sz w:val="20"/>
                <w:szCs w:val="20"/>
              </w:rPr>
              <w:t>Aprovar a prorrogação do Contrato nº 9.026/22, firmado com a Telsinc Comercio de Equipamentos de Informática Ltda., por mais 12 meses, mantidos os moldes vigentes, com previsão de posterior ajuste de preços.</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E9E016" w14:textId="0F18311B" w:rsidR="08545E0E" w:rsidRDefault="08545E0E" w:rsidP="00975212">
            <w:pPr>
              <w:spacing w:after="0" w:line="240" w:lineRule="auto"/>
              <w:jc w:val="center"/>
              <w:rPr>
                <w:rFonts w:eastAsiaTheme="minorEastAsia"/>
                <w:color w:val="FF0000"/>
                <w:sz w:val="20"/>
                <w:szCs w:val="20"/>
              </w:rPr>
            </w:pPr>
            <w:r w:rsidRPr="08545E0E">
              <w:rPr>
                <w:rFonts w:eastAsiaTheme="minorEastAsia"/>
                <w:color w:val="000000" w:themeColor="text1"/>
                <w:sz w:val="20"/>
                <w:szCs w:val="20"/>
              </w:rPr>
              <w:lastRenderedPageBreak/>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4 </w:t>
            </w:r>
          </w:p>
        </w:tc>
      </w:tr>
      <w:tr w:rsidR="08545E0E" w14:paraId="7DECE74D"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30B205" w14:textId="45C4A6D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165/2023/SGE-CIRCUITO/SGE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1C3A5" w14:textId="2423DD76"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48610.011982/2013-36</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C91A14" w14:textId="0C3FE8F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SGP</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2C890" w14:textId="7F1FE25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Nomeação de Cargo Comissionado na SPC</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691B90" w14:textId="6974EE8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Symone Araújo</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DFFB7D" w14:textId="3D5C49E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209/2023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72AD11" w14:textId="3B21C92C"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08/05/23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02047" w14:textId="18B4DBAC"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48610.011982/2013-36, e no Despacho de Proposta para Deliberação da Diretoria nº 56/2023/SGP-CDO/SGP (SEI nº 3011985), resolve, por unanimidade entre os votantes:</w:t>
            </w:r>
            <w:r>
              <w:br/>
            </w:r>
            <w:r w:rsidR="00975212">
              <w:rPr>
                <w:rFonts w:eastAsiaTheme="minorEastAsia"/>
                <w:color w:val="000000" w:themeColor="text1"/>
                <w:sz w:val="20"/>
                <w:szCs w:val="20"/>
              </w:rPr>
              <w:t xml:space="preserve">I) </w:t>
            </w:r>
            <w:r w:rsidRPr="08545E0E">
              <w:rPr>
                <w:rFonts w:eastAsiaTheme="minorEastAsia"/>
                <w:color w:val="000000" w:themeColor="text1"/>
                <w:sz w:val="20"/>
                <w:szCs w:val="20"/>
              </w:rPr>
              <w:t xml:space="preserve">nomear DIOGO FELIN CANTARELLI no cargo comissionado de Assessor Técnico de Regulação, CCT III, exonerando-o do cargo de Coordenador de Regulação de Produção de Combustíveis, CCT IV, na SPC; </w:t>
            </w:r>
            <w:r>
              <w:br/>
            </w:r>
            <w:r w:rsidRPr="08545E0E">
              <w:rPr>
                <w:rFonts w:eastAsiaTheme="minorEastAsia"/>
                <w:color w:val="000000" w:themeColor="text1"/>
                <w:sz w:val="20"/>
                <w:szCs w:val="20"/>
              </w:rPr>
              <w:t>II) nomear BRUNO VALLE DE MOURA no cargo comissionado de Coordenador de Regulação de Produção de Combustíveis, CCT IV, na SPC;</w:t>
            </w:r>
            <w:r>
              <w:br/>
            </w:r>
            <w:r w:rsidRPr="08545E0E">
              <w:rPr>
                <w:rFonts w:eastAsiaTheme="minorEastAsia"/>
                <w:color w:val="000000" w:themeColor="text1"/>
                <w:sz w:val="20"/>
                <w:szCs w:val="20"/>
              </w:rPr>
              <w:t>III) exonerar JOHNY SOARES CORREA do cargo comissionado de Coordenador Geral de Segurança Operacional de Instalações, CCT V, na SPC;</w:t>
            </w:r>
            <w:r>
              <w:br/>
            </w:r>
            <w:r w:rsidRPr="08545E0E">
              <w:rPr>
                <w:rFonts w:eastAsiaTheme="minorEastAsia"/>
                <w:color w:val="000000" w:themeColor="text1"/>
                <w:sz w:val="20"/>
                <w:szCs w:val="20"/>
              </w:rPr>
              <w:t xml:space="preserve">IV) nomear DANIELA GONI COELHO no cargo comissionado de Coordenadora Geral de Segurança Operacional de Instalações, CCT V, na SPC, exonerando-a do cargo comissionado de Coordenadora Geral de Incidentes e Desempenho </w:t>
            </w:r>
            <w:r w:rsidRPr="08545E0E">
              <w:rPr>
                <w:rFonts w:eastAsiaTheme="minorEastAsia"/>
                <w:color w:val="000000" w:themeColor="text1"/>
                <w:sz w:val="20"/>
                <w:szCs w:val="20"/>
              </w:rPr>
              <w:lastRenderedPageBreak/>
              <w:t>Operacional, CCT V, na SSM;</w:t>
            </w:r>
            <w:r>
              <w:br/>
            </w:r>
            <w:r w:rsidRPr="08545E0E">
              <w:rPr>
                <w:rFonts w:eastAsiaTheme="minorEastAsia"/>
                <w:color w:val="000000" w:themeColor="text1"/>
                <w:sz w:val="20"/>
                <w:szCs w:val="20"/>
              </w:rPr>
              <w:t>V) exonerar ALEXANDRE DUARTE DA SILVA do cargo comissionado de Coordenador Geral de Autorizações e Processos Sancionadores, CCT V, na SPC; e</w:t>
            </w:r>
            <w:r>
              <w:br/>
            </w:r>
            <w:r w:rsidRPr="08545E0E">
              <w:rPr>
                <w:rFonts w:eastAsiaTheme="minorEastAsia"/>
                <w:color w:val="000000" w:themeColor="text1"/>
                <w:sz w:val="20"/>
                <w:szCs w:val="20"/>
              </w:rPr>
              <w:t>VI) nomear FERNANDA TARDIN MORENO MARTINS no cargo comissionado de Coordenador Geral de Autorizações e Processos Sancionadores, CCT V, na SPC.</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3F835" w14:textId="1E416E08" w:rsidR="08545E0E" w:rsidRDefault="08545E0E" w:rsidP="00975212">
            <w:pPr>
              <w:spacing w:after="0" w:line="240" w:lineRule="auto"/>
              <w:jc w:val="center"/>
              <w:rPr>
                <w:rFonts w:eastAsiaTheme="minorEastAsia"/>
                <w:color w:val="FF0000"/>
                <w:sz w:val="20"/>
                <w:szCs w:val="20"/>
              </w:rPr>
            </w:pPr>
            <w:r w:rsidRPr="08545E0E">
              <w:rPr>
                <w:rFonts w:eastAsiaTheme="minorEastAsia"/>
                <w:color w:val="000000" w:themeColor="text1"/>
                <w:sz w:val="20"/>
                <w:szCs w:val="20"/>
              </w:rPr>
              <w:lastRenderedPageBreak/>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4 </w:t>
            </w:r>
          </w:p>
        </w:tc>
      </w:tr>
      <w:tr w:rsidR="08545E0E" w14:paraId="396FC918"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F34683" w14:textId="79B6B4CE"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lastRenderedPageBreak/>
              <w:t>164/2023/SGE-CIRCUITO/SGE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65C6FB" w14:textId="7845B725"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48610.204750/2021-30</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CEF3F9" w14:textId="3FFDA35F"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SDP</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4098A5" w14:textId="4DB0C853"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Aprovação da proposta de assinatura do Termo de Resilição Contratual com a Petróleo Brasileiro S.A. (PETROBRAS) - Campo de Tiziu (Bacia Potiguar / Contrato de Concessão nº 48610.009225/2002A)</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0B9D3" w14:textId="643C6B9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Fernando Moura</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32DB2" w14:textId="19086CE6"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208/2023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421A7" w14:textId="17537E12"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05/05/23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7B05DF" w14:textId="6D5C1DA3"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48610.204750/2021-30, no Despacho de Proposta para Deliberação da Diretoria nº 17/2023/SDP, na Nota Técnica nº 13/2023/SDP/ANP-RJ, no PARECER nº 98/2023/PFANP/PGF/AGU e no DESPACHO nº 00848/2023/PFANP/PGF/AGU,  resolve, por unanimidade:</w:t>
            </w:r>
            <w:r>
              <w:br/>
            </w:r>
            <w:r w:rsidRPr="08545E0E">
              <w:rPr>
                <w:rFonts w:eastAsiaTheme="minorEastAsia"/>
                <w:color w:val="000000" w:themeColor="text1"/>
                <w:sz w:val="20"/>
                <w:szCs w:val="20"/>
              </w:rPr>
              <w:t>Aprovar a proposta da Petróleo Brasileiro S.A. (PETROBRAS) de resilição do Contrato de Concessão nº 48610.009225/2002A, referente ao Campo de Tiziu - Bacia Potiguar.</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5FA7BC" w14:textId="40842B8A"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r w:rsidR="08545E0E" w14:paraId="08F28099" w14:textId="77777777" w:rsidTr="00975212">
        <w:trPr>
          <w:trHeight w:val="20"/>
        </w:trPr>
        <w:tc>
          <w:tcPr>
            <w:tcW w:w="13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692829" w14:textId="69E0EBDD"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163/2023/SGE-CIRCUITO/SGE</w:t>
            </w:r>
          </w:p>
        </w:tc>
        <w:tc>
          <w:tcPr>
            <w:tcW w:w="2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E1D29C" w14:textId="419FCE54"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48610.202358/2021-56</w:t>
            </w:r>
          </w:p>
        </w:tc>
        <w:tc>
          <w:tcPr>
            <w:tcW w:w="7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95CF29" w14:textId="210B9E08"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SDP</w:t>
            </w:r>
          </w:p>
        </w:tc>
        <w:tc>
          <w:tcPr>
            <w:tcW w:w="31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432FD0" w14:textId="15AF52E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Aprovação da proposta de devolução antecipada da concessão - Campo de Noroeste do Morro Rosado - Bacia Potiguar</w:t>
            </w:r>
          </w:p>
        </w:tc>
        <w:tc>
          <w:tcPr>
            <w:tcW w:w="8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098A02" w14:textId="271FB430"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Fernando Moura</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3F9100" w14:textId="7C6B06A4"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207/2023</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429045" w14:textId="31E5DBF6"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05/05/23</w:t>
            </w:r>
          </w:p>
        </w:tc>
        <w:tc>
          <w:tcPr>
            <w:tcW w:w="3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2EB33" w14:textId="01E9F359" w:rsidR="08545E0E" w:rsidRDefault="08545E0E" w:rsidP="00975212">
            <w:pPr>
              <w:spacing w:after="0" w:line="240" w:lineRule="auto"/>
              <w:jc w:val="both"/>
              <w:rPr>
                <w:rFonts w:eastAsiaTheme="minorEastAsia"/>
                <w:color w:val="000000" w:themeColor="text1"/>
                <w:sz w:val="20"/>
                <w:szCs w:val="20"/>
              </w:rPr>
            </w:pPr>
            <w:r w:rsidRPr="08545E0E">
              <w:rPr>
                <w:rFonts w:eastAsiaTheme="minorEastAsia"/>
                <w:color w:val="000000" w:themeColor="text1"/>
                <w:sz w:val="20"/>
                <w:szCs w:val="20"/>
              </w:rPr>
              <w:t>A Diretoria da Agência Nacional do Petróleo, Gás Natural e Biocombustíveis - ANP, considerando o que consta no processo nº 48610.202358/2021-56, no Despacho de Proposta para Deliberação da Diretoria nº 20/2023/SDP, na Nota Técnica nº 34/2023/SDP/ANP-RJ, no Parecer nº 99/2023/PFANP/PGF/AGU e no Despacho nº 00902/2023/PFANP/PGF/AGU, resolve, por unanimidade:</w:t>
            </w:r>
            <w:r>
              <w:br/>
            </w:r>
            <w:bookmarkStart w:id="0" w:name="_GoBack"/>
            <w:bookmarkEnd w:id="0"/>
            <w:r w:rsidRPr="08545E0E">
              <w:rPr>
                <w:rFonts w:eastAsiaTheme="minorEastAsia"/>
                <w:color w:val="000000" w:themeColor="text1"/>
                <w:sz w:val="20"/>
                <w:szCs w:val="20"/>
              </w:rPr>
              <w:t>Aprovar a proposta de devolução antecipada do Campo de Noroeste do Morro Rosado - Bacia Potiguar, Contrato de Concessão nº 48000.003812/97-30.</w:t>
            </w:r>
          </w:p>
        </w:tc>
        <w:tc>
          <w:tcPr>
            <w:tcW w:w="8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5E0014" w14:textId="101E2F37" w:rsidR="08545E0E" w:rsidRDefault="08545E0E" w:rsidP="00975212">
            <w:pPr>
              <w:spacing w:after="0" w:line="240" w:lineRule="auto"/>
              <w:jc w:val="center"/>
              <w:rPr>
                <w:rFonts w:eastAsiaTheme="minorEastAsia"/>
                <w:color w:val="000000" w:themeColor="text1"/>
                <w:sz w:val="20"/>
                <w:szCs w:val="20"/>
              </w:rPr>
            </w:pPr>
            <w:r w:rsidRPr="08545E0E">
              <w:rPr>
                <w:rFonts w:eastAsiaTheme="minorEastAsia"/>
                <w:color w:val="000000" w:themeColor="text1"/>
                <w:sz w:val="20"/>
                <w:szCs w:val="20"/>
              </w:rPr>
              <w:t>DG</w:t>
            </w:r>
            <w:r>
              <w:br/>
            </w:r>
            <w:r w:rsidRPr="08545E0E">
              <w:rPr>
                <w:rFonts w:eastAsiaTheme="minorEastAsia"/>
                <w:color w:val="000000" w:themeColor="text1"/>
                <w:sz w:val="20"/>
                <w:szCs w:val="20"/>
              </w:rPr>
              <w:t xml:space="preserve"> DIR 1</w:t>
            </w:r>
            <w:r>
              <w:br/>
            </w:r>
            <w:r w:rsidRPr="08545E0E">
              <w:rPr>
                <w:rFonts w:eastAsiaTheme="minorEastAsia"/>
                <w:color w:val="000000" w:themeColor="text1"/>
                <w:sz w:val="20"/>
                <w:szCs w:val="20"/>
              </w:rPr>
              <w:t xml:space="preserve"> DIR 2</w:t>
            </w:r>
            <w:r>
              <w:br/>
            </w:r>
            <w:r w:rsidRPr="08545E0E">
              <w:rPr>
                <w:rFonts w:eastAsiaTheme="minorEastAsia"/>
                <w:color w:val="000000" w:themeColor="text1"/>
                <w:sz w:val="20"/>
                <w:szCs w:val="20"/>
              </w:rPr>
              <w:t xml:space="preserve"> DIR 3</w:t>
            </w:r>
            <w:r>
              <w:br/>
            </w:r>
            <w:r w:rsidRPr="08545E0E">
              <w:rPr>
                <w:rFonts w:eastAsiaTheme="minorEastAsia"/>
                <w:color w:val="000000" w:themeColor="text1"/>
                <w:sz w:val="20"/>
                <w:szCs w:val="20"/>
              </w:rPr>
              <w:t xml:space="preserve"> DIR 4</w:t>
            </w:r>
          </w:p>
        </w:tc>
      </w:tr>
    </w:tbl>
    <w:p w14:paraId="06B36BF7" w14:textId="69C99886" w:rsidR="0092162E" w:rsidRPr="000C425E" w:rsidRDefault="0092162E" w:rsidP="08545E0E">
      <w:pPr>
        <w:rPr>
          <w:sz w:val="20"/>
          <w:szCs w:val="20"/>
        </w:rPr>
      </w:pPr>
    </w:p>
    <w:sectPr w:rsidR="0092162E" w:rsidRPr="000C425E" w:rsidSect="00EA0C85">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8A067" w14:textId="77777777" w:rsidR="002D12B3" w:rsidRDefault="002D12B3">
      <w:pPr>
        <w:spacing w:after="0" w:line="240" w:lineRule="auto"/>
      </w:pPr>
      <w:r>
        <w:separator/>
      </w:r>
    </w:p>
  </w:endnote>
  <w:endnote w:type="continuationSeparator" w:id="0">
    <w:p w14:paraId="620C562E" w14:textId="77777777" w:rsidR="002D12B3" w:rsidRDefault="002D12B3">
      <w:pPr>
        <w:spacing w:after="0" w:line="240" w:lineRule="auto"/>
      </w:pPr>
      <w:r>
        <w:continuationSeparator/>
      </w:r>
    </w:p>
  </w:endnote>
  <w:endnote w:type="continuationNotice" w:id="1">
    <w:p w14:paraId="220B4F40" w14:textId="77777777" w:rsidR="002D12B3" w:rsidRDefault="002D1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4C4EF" w14:textId="77777777" w:rsidR="002D12B3" w:rsidRDefault="002D12B3">
      <w:pPr>
        <w:spacing w:after="0" w:line="240" w:lineRule="auto"/>
      </w:pPr>
      <w:r>
        <w:separator/>
      </w:r>
    </w:p>
  </w:footnote>
  <w:footnote w:type="continuationSeparator" w:id="0">
    <w:p w14:paraId="0363B957" w14:textId="77777777" w:rsidR="002D12B3" w:rsidRDefault="002D12B3">
      <w:pPr>
        <w:spacing w:after="0" w:line="240" w:lineRule="auto"/>
      </w:pPr>
      <w:r>
        <w:continuationSeparator/>
      </w:r>
    </w:p>
  </w:footnote>
  <w:footnote w:type="continuationNotice" w:id="1">
    <w:p w14:paraId="13B5342F" w14:textId="77777777" w:rsidR="002D12B3" w:rsidRDefault="002D12B3">
      <w:pPr>
        <w:spacing w:after="0" w:line="240" w:lineRule="auto"/>
      </w:pPr>
    </w:p>
  </w:footnote>
</w:footnotes>
</file>

<file path=word/intelligence2.xml><?xml version="1.0" encoding="utf-8"?>
<int2:intelligence xmlns:int2="http://schemas.microsoft.com/office/intelligence/2020/intelligence">
  <int2:observations>
    <int2:textHash int2:hashCode="GrhiQ7ZAe5SKVb" int2:id="NAQtwE3H">
      <int2:state int2:type="AugLoop_Text_Critique" int2:value="Rejected"/>
    </int2:textHash>
    <int2:textHash int2:hashCode="HEHJfrgrIAHAdR" int2:id="efyxbl3L">
      <int2:state int2:type="AugLoop_Text_Critique" int2:value="Rejected"/>
    </int2:textHash>
    <int2:textHash int2:hashCode="3wtsQQ/HDO6xbB" int2:id="7W96ZSUu">
      <int2:state int2:type="AugLoop_Text_Critique" int2:value="Rejected"/>
    </int2:textHash>
    <int2:textHash int2:hashCode="kqYsiLmYbKu8Uw" int2:id="wn5eSDGD">
      <int2:state int2:type="AugLoop_Text_Critique" int2:value="Rejected"/>
    </int2:textHash>
    <int2:textHash int2:hashCode="SHSIQI/xOj0k3k" int2:id="qgIDC6pD">
      <int2:state int2:type="AugLoop_Text_Critique" int2:value="Rejected"/>
    </int2:textHash>
    <int2:textHash int2:hashCode="aALjZuU+9zuyEL" int2:id="sQsxyesp">
      <int2:state int2:type="AugLoop_Text_Critique" int2:value="Rejected"/>
    </int2:textHash>
    <int2:textHash int2:hashCode="n20iVgLOhMcP3O" int2:id="k1qKsz7K">
      <int2:state int2:type="AugLoop_Text_Critique" int2:value="Rejected"/>
    </int2:textHash>
    <int2:textHash int2:hashCode="eJiAELiQzm9NIT" int2:id="KM7nvdNs">
      <int2:state int2:type="AugLoop_Text_Critique" int2:value="Rejected"/>
    </int2:textHash>
    <int2:textHash int2:hashCode="EOWGYFDSCv6Myu" int2:id="AALYMC33">
      <int2:state int2:type="AugLoop_Text_Critique" int2:value="Rejected"/>
    </int2:textHash>
    <int2:textHash int2:hashCode="UaC3i7eglHnzxC" int2:id="FORji9sU">
      <int2:state int2:type="AugLoop_Text_Critique" int2:value="Rejected"/>
    </int2:textHash>
    <int2:textHash int2:hashCode="Z+/IM/CGjI1a/F" int2:id="nHxezNH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80E15F"/>
    <w:rsid w:val="00053B40"/>
    <w:rsid w:val="000718E2"/>
    <w:rsid w:val="00081112"/>
    <w:rsid w:val="000A5C94"/>
    <w:rsid w:val="000C425E"/>
    <w:rsid w:val="000D49B2"/>
    <w:rsid w:val="0014298E"/>
    <w:rsid w:val="002217B7"/>
    <w:rsid w:val="00235E48"/>
    <w:rsid w:val="00240AD1"/>
    <w:rsid w:val="00251AAB"/>
    <w:rsid w:val="00272B99"/>
    <w:rsid w:val="00276118"/>
    <w:rsid w:val="002D12B3"/>
    <w:rsid w:val="002D6381"/>
    <w:rsid w:val="002F4FAC"/>
    <w:rsid w:val="0032443A"/>
    <w:rsid w:val="0035221E"/>
    <w:rsid w:val="003B5FF2"/>
    <w:rsid w:val="003D709A"/>
    <w:rsid w:val="003E40BE"/>
    <w:rsid w:val="00410E8B"/>
    <w:rsid w:val="004376CF"/>
    <w:rsid w:val="00490D1A"/>
    <w:rsid w:val="005177A6"/>
    <w:rsid w:val="00537BA5"/>
    <w:rsid w:val="005421F9"/>
    <w:rsid w:val="00583F81"/>
    <w:rsid w:val="005C6C23"/>
    <w:rsid w:val="0066566D"/>
    <w:rsid w:val="00677FA8"/>
    <w:rsid w:val="006C64F3"/>
    <w:rsid w:val="007027E9"/>
    <w:rsid w:val="00724FB2"/>
    <w:rsid w:val="00754830"/>
    <w:rsid w:val="007664F5"/>
    <w:rsid w:val="007B7D42"/>
    <w:rsid w:val="007D129E"/>
    <w:rsid w:val="008223CB"/>
    <w:rsid w:val="008848DF"/>
    <w:rsid w:val="008F3D6E"/>
    <w:rsid w:val="0092162E"/>
    <w:rsid w:val="009709E3"/>
    <w:rsid w:val="00975212"/>
    <w:rsid w:val="0097594B"/>
    <w:rsid w:val="00A01A3D"/>
    <w:rsid w:val="00A0432E"/>
    <w:rsid w:val="00A27052"/>
    <w:rsid w:val="00AA2E9C"/>
    <w:rsid w:val="00B12EB3"/>
    <w:rsid w:val="00B133FD"/>
    <w:rsid w:val="00B25C87"/>
    <w:rsid w:val="00CD336A"/>
    <w:rsid w:val="00DF2AC8"/>
    <w:rsid w:val="00E3617A"/>
    <w:rsid w:val="00E873CE"/>
    <w:rsid w:val="00EA0C85"/>
    <w:rsid w:val="00EB277F"/>
    <w:rsid w:val="00EC6C18"/>
    <w:rsid w:val="00F04685"/>
    <w:rsid w:val="00F671ED"/>
    <w:rsid w:val="00FD5866"/>
    <w:rsid w:val="0102817E"/>
    <w:rsid w:val="03B17D9C"/>
    <w:rsid w:val="07263FB0"/>
    <w:rsid w:val="08545E0E"/>
    <w:rsid w:val="0BD2B35C"/>
    <w:rsid w:val="0C21900F"/>
    <w:rsid w:val="0F0A541E"/>
    <w:rsid w:val="0FB8EEBC"/>
    <w:rsid w:val="18CE5E0E"/>
    <w:rsid w:val="202CCBC0"/>
    <w:rsid w:val="20A4F6BA"/>
    <w:rsid w:val="260A7719"/>
    <w:rsid w:val="26D39A6A"/>
    <w:rsid w:val="294217DB"/>
    <w:rsid w:val="299D81FA"/>
    <w:rsid w:val="29B481ED"/>
    <w:rsid w:val="3024044A"/>
    <w:rsid w:val="34A76C9C"/>
    <w:rsid w:val="370B9E89"/>
    <w:rsid w:val="37C5E501"/>
    <w:rsid w:val="3C97C9ED"/>
    <w:rsid w:val="3D80E15F"/>
    <w:rsid w:val="40161F3B"/>
    <w:rsid w:val="4733FB5D"/>
    <w:rsid w:val="48578127"/>
    <w:rsid w:val="487CF6C5"/>
    <w:rsid w:val="4A6B9C1F"/>
    <w:rsid w:val="4B0F3A6C"/>
    <w:rsid w:val="4C076C80"/>
    <w:rsid w:val="4D0E30B2"/>
    <w:rsid w:val="50C7DDB4"/>
    <w:rsid w:val="51A63650"/>
    <w:rsid w:val="59B97269"/>
    <w:rsid w:val="5AC6E83E"/>
    <w:rsid w:val="5E1BB0AA"/>
    <w:rsid w:val="5E340B80"/>
    <w:rsid w:val="62662CD0"/>
    <w:rsid w:val="630CDCB6"/>
    <w:rsid w:val="6AF9ECBE"/>
    <w:rsid w:val="6F9F4254"/>
    <w:rsid w:val="713B12B5"/>
    <w:rsid w:val="71543B12"/>
    <w:rsid w:val="741D22F9"/>
    <w:rsid w:val="7472B377"/>
    <w:rsid w:val="757BB08E"/>
    <w:rsid w:val="77AA5439"/>
    <w:rsid w:val="79046313"/>
    <w:rsid w:val="79276F54"/>
    <w:rsid w:val="794624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E15F"/>
  <w15:chartTrackingRefBased/>
  <w15:docId w15:val="{2B24F792-E930-4C6C-879B-A91CE3F7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2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Pr>
      <w:color w:val="0563C1" w:themeColor="hyperlink"/>
      <w:u w:val="single"/>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customStyle="1" w:styleId="font131">
    <w:name w:val="font131"/>
    <w:basedOn w:val="Fontepargpadro"/>
    <w:rsid w:val="00FD5866"/>
    <w:rPr>
      <w:rFonts w:ascii="Calibri" w:hAnsi="Calibri" w:cs="Calibri" w:hint="default"/>
      <w:b w:val="0"/>
      <w:bCs w:val="0"/>
      <w:i w:val="0"/>
      <w:iCs w:val="0"/>
      <w:strike w:val="0"/>
      <w:dstrike w:val="0"/>
      <w:color w:val="FF0000"/>
      <w:sz w:val="20"/>
      <w:szCs w:val="20"/>
      <w:u w:val="none"/>
      <w:effect w:val="none"/>
    </w:rPr>
  </w:style>
  <w:style w:type="character" w:customStyle="1" w:styleId="font411">
    <w:name w:val="font411"/>
    <w:basedOn w:val="Fontepargpadro"/>
    <w:rsid w:val="0092162E"/>
    <w:rPr>
      <w:rFonts w:ascii="Calibri" w:hAnsi="Calibri" w:cs="Calibri" w:hint="default"/>
      <w:b w:val="0"/>
      <w:bCs w:val="0"/>
      <w:i w:val="0"/>
      <w:iCs w:val="0"/>
      <w:strike w:val="0"/>
      <w:dstrike w:val="0"/>
      <w:color w:val="FF0000"/>
      <w:sz w:val="20"/>
      <w:szCs w:val="20"/>
      <w:u w:val="none"/>
      <w:effect w:val="none"/>
    </w:rPr>
  </w:style>
  <w:style w:type="character" w:customStyle="1" w:styleId="font341">
    <w:name w:val="font341"/>
    <w:basedOn w:val="Fontepargpadro"/>
    <w:rsid w:val="00081112"/>
    <w:rPr>
      <w:rFonts w:ascii="Calibri" w:hAnsi="Calibri" w:cs="Calibri" w:hint="default"/>
      <w:b w:val="0"/>
      <w:bCs w:val="0"/>
      <w:i w:val="0"/>
      <w:iCs w:val="0"/>
      <w:strike w:val="0"/>
      <w:dstrike w:val="0"/>
      <w:color w:val="000000"/>
      <w:sz w:val="20"/>
      <w:szCs w:val="20"/>
      <w:u w:val="none"/>
      <w:effect w:val="none"/>
    </w:rPr>
  </w:style>
  <w:style w:type="character" w:customStyle="1" w:styleId="font351">
    <w:name w:val="font351"/>
    <w:basedOn w:val="Fontepargpadro"/>
    <w:rsid w:val="00081112"/>
    <w:rPr>
      <w:rFonts w:ascii="Calibri" w:hAnsi="Calibri" w:cs="Calibri" w:hint="default"/>
      <w:b w:val="0"/>
      <w:bCs w:val="0"/>
      <w:i w:val="0"/>
      <w:iCs w:val="0"/>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11496">
      <w:bodyDiv w:val="1"/>
      <w:marLeft w:val="0"/>
      <w:marRight w:val="0"/>
      <w:marTop w:val="0"/>
      <w:marBottom w:val="0"/>
      <w:divBdr>
        <w:top w:val="none" w:sz="0" w:space="0" w:color="auto"/>
        <w:left w:val="none" w:sz="0" w:space="0" w:color="auto"/>
        <w:bottom w:val="none" w:sz="0" w:space="0" w:color="auto"/>
        <w:right w:val="none" w:sz="0" w:space="0" w:color="auto"/>
      </w:divBdr>
    </w:div>
    <w:div w:id="731583691">
      <w:bodyDiv w:val="1"/>
      <w:marLeft w:val="0"/>
      <w:marRight w:val="0"/>
      <w:marTop w:val="0"/>
      <w:marBottom w:val="0"/>
      <w:divBdr>
        <w:top w:val="none" w:sz="0" w:space="0" w:color="auto"/>
        <w:left w:val="none" w:sz="0" w:space="0" w:color="auto"/>
        <w:bottom w:val="none" w:sz="0" w:space="0" w:color="auto"/>
        <w:right w:val="none" w:sz="0" w:space="0" w:color="auto"/>
      </w:divBdr>
    </w:div>
    <w:div w:id="951278354">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281452801">
      <w:bodyDiv w:val="1"/>
      <w:marLeft w:val="0"/>
      <w:marRight w:val="0"/>
      <w:marTop w:val="0"/>
      <w:marBottom w:val="0"/>
      <w:divBdr>
        <w:top w:val="none" w:sz="0" w:space="0" w:color="auto"/>
        <w:left w:val="none" w:sz="0" w:space="0" w:color="auto"/>
        <w:bottom w:val="none" w:sz="0" w:space="0" w:color="auto"/>
        <w:right w:val="none" w:sz="0" w:space="0" w:color="auto"/>
      </w:divBdr>
    </w:div>
    <w:div w:id="1495802540">
      <w:bodyDiv w:val="1"/>
      <w:marLeft w:val="0"/>
      <w:marRight w:val="0"/>
      <w:marTop w:val="0"/>
      <w:marBottom w:val="0"/>
      <w:divBdr>
        <w:top w:val="none" w:sz="0" w:space="0" w:color="auto"/>
        <w:left w:val="none" w:sz="0" w:space="0" w:color="auto"/>
        <w:bottom w:val="none" w:sz="0" w:space="0" w:color="auto"/>
        <w:right w:val="none" w:sz="0" w:space="0" w:color="auto"/>
      </w:divBdr>
    </w:div>
    <w:div w:id="1512796289">
      <w:bodyDiv w:val="1"/>
      <w:marLeft w:val="0"/>
      <w:marRight w:val="0"/>
      <w:marTop w:val="0"/>
      <w:marBottom w:val="0"/>
      <w:divBdr>
        <w:top w:val="none" w:sz="0" w:space="0" w:color="auto"/>
        <w:left w:val="none" w:sz="0" w:space="0" w:color="auto"/>
        <w:bottom w:val="none" w:sz="0" w:space="0" w:color="auto"/>
        <w:right w:val="none" w:sz="0" w:space="0" w:color="auto"/>
      </w:divBdr>
    </w:div>
    <w:div w:id="1913536764">
      <w:bodyDiv w:val="1"/>
      <w:marLeft w:val="0"/>
      <w:marRight w:val="0"/>
      <w:marTop w:val="0"/>
      <w:marBottom w:val="0"/>
      <w:divBdr>
        <w:top w:val="none" w:sz="0" w:space="0" w:color="auto"/>
        <w:left w:val="none" w:sz="0" w:space="0" w:color="auto"/>
        <w:bottom w:val="none" w:sz="0" w:space="0" w:color="auto"/>
        <w:right w:val="none" w:sz="0" w:space="0" w:color="auto"/>
      </w:divBdr>
    </w:div>
    <w:div w:id="21414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a28b78913179472f"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286060-fae2-4565-9c9f-a69cf3616d7b" xsi:nil="true"/>
    <lcf76f155ced4ddcb4097134ff3c332f xmlns="c78646fe-9350-4cb2-a54c-8c184bc32f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9F95E36F6784BB07186E0248A529C" ma:contentTypeVersion="13" ma:contentTypeDescription="Create a new document." ma:contentTypeScope="" ma:versionID="47b89de2927d07e05f307018a202dd97">
  <xsd:schema xmlns:xsd="http://www.w3.org/2001/XMLSchema" xmlns:xs="http://www.w3.org/2001/XMLSchema" xmlns:p="http://schemas.microsoft.com/office/2006/metadata/properties" xmlns:ns2="c78646fe-9350-4cb2-a54c-8c184bc32f30" xmlns:ns3="0b286060-fae2-4565-9c9f-a69cf3616d7b" targetNamespace="http://schemas.microsoft.com/office/2006/metadata/properties" ma:root="true" ma:fieldsID="494f4ae8e10d83dfbb426978d9dde60c" ns2:_="" ns3:_="">
    <xsd:import namespace="c78646fe-9350-4cb2-a54c-8c184bc32f30"/>
    <xsd:import namespace="0b286060-fae2-4565-9c9f-a69cf3616d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646fe-9350-4cb2-a54c-8c184bc3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75d646-2160-4835-ae63-a6df056db8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86060-fae2-4565-9c9f-a69cf3616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c44c2c-046b-451c-b798-1732ba66af54}" ma:internalName="TaxCatchAll" ma:showField="CatchAllData" ma:web="0b286060-fae2-4565-9c9f-a69cf3616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B502-66FB-472C-8440-B56F5B3F5312}">
  <ds:schemaRefs>
    <ds:schemaRef ds:uri="http://schemas.microsoft.com/office/2006/metadata/properties"/>
    <ds:schemaRef ds:uri="http://schemas.microsoft.com/office/infopath/2007/PartnerControls"/>
    <ds:schemaRef ds:uri="0b286060-fae2-4565-9c9f-a69cf3616d7b"/>
    <ds:schemaRef ds:uri="c78646fe-9350-4cb2-a54c-8c184bc32f30"/>
  </ds:schemaRefs>
</ds:datastoreItem>
</file>

<file path=customXml/itemProps2.xml><?xml version="1.0" encoding="utf-8"?>
<ds:datastoreItem xmlns:ds="http://schemas.openxmlformats.org/officeDocument/2006/customXml" ds:itemID="{917EDBF5-625A-4300-8BAA-A5545029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646fe-9350-4cb2-a54c-8c184bc32f30"/>
    <ds:schemaRef ds:uri="0b286060-fae2-4565-9c9f-a69cf3616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8DC1A-C9D8-4D40-B6E7-33F8F50DD517}">
  <ds:schemaRefs>
    <ds:schemaRef ds:uri="http://schemas.microsoft.com/sharepoint/v3/contenttype/forms"/>
  </ds:schemaRefs>
</ds:datastoreItem>
</file>

<file path=customXml/itemProps4.xml><?xml version="1.0" encoding="utf-8"?>
<ds:datastoreItem xmlns:ds="http://schemas.openxmlformats.org/officeDocument/2006/customXml" ds:itemID="{78D1B42A-3C4A-48F5-94DE-43862164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9459</Characters>
  <Application>Microsoft Office Word</Application>
  <DocSecurity>0</DocSecurity>
  <Lines>78</Lines>
  <Paragraphs>22</Paragraphs>
  <ScaleCrop>false</ScaleCrop>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Conta da Microsoft</cp:lastModifiedBy>
  <cp:revision>33</cp:revision>
  <dcterms:created xsi:type="dcterms:W3CDTF">2023-03-17T12:32:00Z</dcterms:created>
  <dcterms:modified xsi:type="dcterms:W3CDTF">2023-05-12T14:52:00Z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0x0101007379F95E36F6784BB07186E0248A529C</vt:lpwstr>
  </property>
  <property fmtid="{D5CDD505-2E9C-101B-9397-08002B2CF9AE}" pid="3" name="MediaServiceImageTags">
    <vt:lpwstr/>
  </property>
</Properties>
</file>