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16444" w:type="dxa"/>
        <w:tblInd w:w="-1139" w:type="dxa"/>
        <w:tblLayout w:type="fixed"/>
        <w:tblLook w:val="04A0" w:firstRow="1" w:lastRow="0" w:firstColumn="1" w:lastColumn="0" w:noHBand="0" w:noVBand="1"/>
      </w:tblPr>
      <w:tblGrid>
        <w:gridCol w:w="1276"/>
        <w:gridCol w:w="1134"/>
        <w:gridCol w:w="1985"/>
        <w:gridCol w:w="2835"/>
        <w:gridCol w:w="850"/>
        <w:gridCol w:w="1354"/>
        <w:gridCol w:w="1275"/>
        <w:gridCol w:w="1340"/>
        <w:gridCol w:w="4395"/>
      </w:tblGrid>
      <w:tr w:rsidR="00602269" w:rsidTr="00225D4A">
        <w:trPr>
          <w:trHeight w:val="420"/>
        </w:trPr>
        <w:tc>
          <w:tcPr>
            <w:tcW w:w="16444" w:type="dxa"/>
            <w:gridSpan w:val="9"/>
            <w:shd w:val="clear" w:color="auto" w:fill="2F5496" w:themeFill="accent1" w:themeFillShade="BF"/>
          </w:tcPr>
          <w:p w:rsidR="00602269" w:rsidRPr="00333944" w:rsidRDefault="00602269" w:rsidP="00225D4A">
            <w:pPr>
              <w:spacing w:before="120" w:after="120"/>
              <w:contextualSpacing/>
              <w:jc w:val="center"/>
              <w:rPr>
                <w:rFonts w:ascii="Arial" w:hAnsi="Arial" w:cs="Arial"/>
                <w:b/>
                <w:sz w:val="18"/>
                <w:szCs w:val="18"/>
              </w:rPr>
            </w:pPr>
            <w:bookmarkStart w:id="0" w:name="_GoBack"/>
            <w:bookmarkEnd w:id="0"/>
            <w:r w:rsidRPr="00333944">
              <w:rPr>
                <w:rFonts w:ascii="Arial" w:hAnsi="Arial" w:cs="Arial"/>
                <w:b/>
                <w:color w:val="FFFFFF" w:themeColor="background1"/>
                <w:sz w:val="18"/>
                <w:szCs w:val="18"/>
              </w:rPr>
              <w:t xml:space="preserve">DECISÕES TOMADAS EM CIRCUITO </w:t>
            </w:r>
            <w:proofErr w:type="gramStart"/>
            <w:r w:rsidRPr="00333944">
              <w:rPr>
                <w:rFonts w:ascii="Arial" w:hAnsi="Arial" w:cs="Arial"/>
                <w:b/>
                <w:color w:val="FFFFFF" w:themeColor="background1"/>
                <w:sz w:val="18"/>
                <w:szCs w:val="18"/>
              </w:rPr>
              <w:t>DELIBERATIVO  (</w:t>
            </w:r>
            <w:proofErr w:type="gramEnd"/>
            <w:r>
              <w:rPr>
                <w:rFonts w:ascii="Arial" w:hAnsi="Arial" w:cs="Arial"/>
                <w:b/>
                <w:color w:val="FFFFFF" w:themeColor="background1"/>
                <w:sz w:val="18"/>
                <w:szCs w:val="18"/>
              </w:rPr>
              <w:t>23</w:t>
            </w:r>
            <w:r w:rsidRPr="00333944">
              <w:rPr>
                <w:rFonts w:ascii="Arial" w:hAnsi="Arial" w:cs="Arial"/>
                <w:b/>
                <w:color w:val="FFFFFF" w:themeColor="background1"/>
                <w:sz w:val="18"/>
                <w:szCs w:val="18"/>
              </w:rPr>
              <w:t xml:space="preserve"> </w:t>
            </w:r>
            <w:r>
              <w:rPr>
                <w:rFonts w:ascii="Arial" w:hAnsi="Arial" w:cs="Arial"/>
                <w:b/>
                <w:color w:val="FFFFFF" w:themeColor="background1"/>
                <w:sz w:val="18"/>
                <w:szCs w:val="18"/>
              </w:rPr>
              <w:t xml:space="preserve">a </w:t>
            </w:r>
            <w:r w:rsidR="00CE1C4D">
              <w:rPr>
                <w:rFonts w:ascii="Arial" w:hAnsi="Arial" w:cs="Arial"/>
                <w:b/>
                <w:color w:val="FFFFFF" w:themeColor="background1"/>
                <w:sz w:val="18"/>
                <w:szCs w:val="18"/>
              </w:rPr>
              <w:t>28</w:t>
            </w:r>
            <w:r>
              <w:rPr>
                <w:rFonts w:ascii="Arial" w:hAnsi="Arial" w:cs="Arial"/>
                <w:b/>
                <w:color w:val="FFFFFF" w:themeColor="background1"/>
                <w:sz w:val="18"/>
                <w:szCs w:val="18"/>
              </w:rPr>
              <w:t>/10</w:t>
            </w:r>
            <w:r w:rsidRPr="00333944">
              <w:rPr>
                <w:rFonts w:ascii="Arial" w:hAnsi="Arial" w:cs="Arial"/>
                <w:b/>
                <w:color w:val="FFFFFF" w:themeColor="background1"/>
                <w:sz w:val="18"/>
                <w:szCs w:val="18"/>
              </w:rPr>
              <w:t xml:space="preserve">/2020) </w:t>
            </w:r>
          </w:p>
        </w:tc>
      </w:tr>
      <w:tr w:rsidR="00602269" w:rsidRPr="00065991" w:rsidTr="00225D4A">
        <w:tc>
          <w:tcPr>
            <w:tcW w:w="1276"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Circuito</w:t>
            </w:r>
          </w:p>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Deliberativo</w:t>
            </w:r>
          </w:p>
        </w:tc>
        <w:tc>
          <w:tcPr>
            <w:tcW w:w="1134"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PA</w:t>
            </w:r>
          </w:p>
        </w:tc>
        <w:tc>
          <w:tcPr>
            <w:tcW w:w="1985"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Processo</w:t>
            </w:r>
          </w:p>
        </w:tc>
        <w:tc>
          <w:tcPr>
            <w:tcW w:w="2835"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Assunto</w:t>
            </w:r>
          </w:p>
        </w:tc>
        <w:tc>
          <w:tcPr>
            <w:tcW w:w="850"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UORG</w:t>
            </w:r>
          </w:p>
        </w:tc>
        <w:tc>
          <w:tcPr>
            <w:tcW w:w="1354"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Resolução de Diretoria</w:t>
            </w:r>
          </w:p>
        </w:tc>
        <w:tc>
          <w:tcPr>
            <w:tcW w:w="1275"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Data de aprovação</w:t>
            </w:r>
          </w:p>
        </w:tc>
        <w:tc>
          <w:tcPr>
            <w:tcW w:w="1340"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Diretor</w:t>
            </w:r>
          </w:p>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Relator</w:t>
            </w:r>
          </w:p>
        </w:tc>
        <w:tc>
          <w:tcPr>
            <w:tcW w:w="4395"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Decisão</w:t>
            </w:r>
          </w:p>
        </w:tc>
      </w:tr>
      <w:tr w:rsidR="00602269" w:rsidRPr="00DA3742" w:rsidTr="00225D4A">
        <w:tc>
          <w:tcPr>
            <w:tcW w:w="1276" w:type="dxa"/>
            <w:shd w:val="clear" w:color="auto" w:fill="auto"/>
          </w:tcPr>
          <w:p w:rsidR="00602269" w:rsidRPr="00DA3742" w:rsidRDefault="00602269" w:rsidP="00225D4A">
            <w:pPr>
              <w:contextualSpacing/>
              <w:jc w:val="center"/>
              <w:rPr>
                <w:rFonts w:ascii="Arial" w:hAnsi="Arial" w:cs="Arial"/>
                <w:bCs/>
                <w:sz w:val="18"/>
                <w:szCs w:val="18"/>
              </w:rPr>
            </w:pPr>
            <w:r w:rsidRPr="00DA3742">
              <w:rPr>
                <w:rFonts w:ascii="Arial" w:hAnsi="Arial" w:cs="Arial"/>
                <w:bCs/>
                <w:sz w:val="18"/>
                <w:szCs w:val="18"/>
              </w:rPr>
              <w:t>0742</w:t>
            </w:r>
          </w:p>
        </w:tc>
        <w:tc>
          <w:tcPr>
            <w:tcW w:w="1134" w:type="dxa"/>
            <w:shd w:val="clear" w:color="auto" w:fill="auto"/>
          </w:tcPr>
          <w:p w:rsidR="00602269" w:rsidRPr="00DA3742" w:rsidRDefault="00602269" w:rsidP="00225D4A">
            <w:pPr>
              <w:contextualSpacing/>
              <w:jc w:val="center"/>
              <w:rPr>
                <w:rFonts w:ascii="Arial" w:hAnsi="Arial" w:cs="Arial"/>
                <w:bCs/>
                <w:sz w:val="18"/>
                <w:szCs w:val="18"/>
              </w:rPr>
            </w:pPr>
            <w:r w:rsidRPr="00DA3742">
              <w:rPr>
                <w:rFonts w:ascii="Arial" w:hAnsi="Arial" w:cs="Arial"/>
                <w:bCs/>
                <w:sz w:val="18"/>
                <w:szCs w:val="18"/>
              </w:rPr>
              <w:t>0365/2020</w:t>
            </w:r>
          </w:p>
        </w:tc>
        <w:tc>
          <w:tcPr>
            <w:tcW w:w="1985" w:type="dxa"/>
            <w:shd w:val="clear" w:color="auto" w:fill="auto"/>
          </w:tcPr>
          <w:p w:rsidR="00602269" w:rsidRPr="00DA3742" w:rsidRDefault="00602269" w:rsidP="00225D4A">
            <w:pPr>
              <w:contextualSpacing/>
              <w:jc w:val="center"/>
              <w:rPr>
                <w:rFonts w:ascii="Arial" w:hAnsi="Arial" w:cs="Arial"/>
                <w:bCs/>
                <w:sz w:val="18"/>
                <w:szCs w:val="18"/>
              </w:rPr>
            </w:pPr>
            <w:r w:rsidRPr="00DA3742">
              <w:rPr>
                <w:rFonts w:ascii="Arial" w:hAnsi="Arial" w:cs="Arial"/>
                <w:bCs/>
                <w:sz w:val="18"/>
                <w:szCs w:val="18"/>
              </w:rPr>
              <w:t>48610.201802/2020</w:t>
            </w:r>
          </w:p>
        </w:tc>
        <w:tc>
          <w:tcPr>
            <w:tcW w:w="2835" w:type="dxa"/>
            <w:shd w:val="clear" w:color="auto" w:fill="auto"/>
          </w:tcPr>
          <w:p w:rsidR="00602269" w:rsidRPr="00DA3742" w:rsidRDefault="00602269" w:rsidP="003C7214">
            <w:pPr>
              <w:contextualSpacing/>
              <w:jc w:val="both"/>
              <w:rPr>
                <w:rFonts w:ascii="Arial" w:hAnsi="Arial" w:cs="Arial"/>
                <w:bCs/>
                <w:sz w:val="18"/>
                <w:szCs w:val="18"/>
              </w:rPr>
            </w:pPr>
            <w:r w:rsidRPr="00DA3742">
              <w:rPr>
                <w:rFonts w:ascii="Arial" w:hAnsi="Arial" w:cs="Arial"/>
                <w:bCs/>
                <w:sz w:val="18"/>
                <w:szCs w:val="18"/>
              </w:rPr>
              <w:t xml:space="preserve">Análise da proposta para garantia de </w:t>
            </w:r>
            <w:proofErr w:type="spellStart"/>
            <w:r w:rsidRPr="00DA3742">
              <w:rPr>
                <w:rFonts w:ascii="Arial" w:hAnsi="Arial" w:cs="Arial"/>
                <w:bCs/>
                <w:sz w:val="18"/>
                <w:szCs w:val="18"/>
              </w:rPr>
              <w:t>descomissionamento</w:t>
            </w:r>
            <w:proofErr w:type="spellEnd"/>
            <w:r w:rsidRPr="00DA3742">
              <w:rPr>
                <w:rFonts w:ascii="Arial" w:hAnsi="Arial" w:cs="Arial"/>
                <w:bCs/>
                <w:sz w:val="18"/>
                <w:szCs w:val="18"/>
              </w:rPr>
              <w:t xml:space="preserve"> na modalidade de garantia corporativa para o campo de </w:t>
            </w:r>
            <w:proofErr w:type="spellStart"/>
            <w:r w:rsidRPr="00DA3742">
              <w:rPr>
                <w:rFonts w:ascii="Arial" w:hAnsi="Arial" w:cs="Arial"/>
                <w:bCs/>
                <w:sz w:val="18"/>
                <w:szCs w:val="18"/>
              </w:rPr>
              <w:t>Baúna</w:t>
            </w:r>
            <w:proofErr w:type="spellEnd"/>
            <w:r w:rsidRPr="00DA3742">
              <w:rPr>
                <w:rFonts w:ascii="Arial" w:hAnsi="Arial" w:cs="Arial"/>
                <w:bCs/>
                <w:sz w:val="18"/>
                <w:szCs w:val="18"/>
              </w:rPr>
              <w:t xml:space="preserve"> apresentada pela cessionária </w:t>
            </w:r>
            <w:proofErr w:type="spellStart"/>
            <w:r w:rsidRPr="00DA3742">
              <w:rPr>
                <w:rFonts w:ascii="Arial" w:hAnsi="Arial" w:cs="Arial"/>
                <w:bCs/>
                <w:sz w:val="18"/>
                <w:szCs w:val="18"/>
              </w:rPr>
              <w:t>Karoon</w:t>
            </w:r>
            <w:proofErr w:type="spellEnd"/>
            <w:r w:rsidRPr="00DA3742">
              <w:rPr>
                <w:rFonts w:ascii="Arial" w:hAnsi="Arial" w:cs="Arial"/>
                <w:bCs/>
                <w:sz w:val="18"/>
                <w:szCs w:val="18"/>
              </w:rPr>
              <w:t xml:space="preserve"> Petróleo &amp; Gás Ltda..</w:t>
            </w:r>
          </w:p>
        </w:tc>
        <w:tc>
          <w:tcPr>
            <w:tcW w:w="850" w:type="dxa"/>
            <w:shd w:val="clear" w:color="auto" w:fill="auto"/>
          </w:tcPr>
          <w:p w:rsidR="00602269" w:rsidRPr="00DA3742" w:rsidRDefault="00602269" w:rsidP="00225D4A">
            <w:pPr>
              <w:contextualSpacing/>
              <w:jc w:val="center"/>
              <w:rPr>
                <w:rFonts w:ascii="Arial" w:hAnsi="Arial" w:cs="Arial"/>
                <w:bCs/>
                <w:sz w:val="18"/>
                <w:szCs w:val="18"/>
              </w:rPr>
            </w:pPr>
            <w:r w:rsidRPr="00DA3742">
              <w:rPr>
                <w:rFonts w:ascii="Arial" w:hAnsi="Arial" w:cs="Arial"/>
                <w:bCs/>
                <w:sz w:val="18"/>
                <w:szCs w:val="18"/>
              </w:rPr>
              <w:t>SDP</w:t>
            </w:r>
          </w:p>
        </w:tc>
        <w:tc>
          <w:tcPr>
            <w:tcW w:w="1354" w:type="dxa"/>
            <w:shd w:val="clear" w:color="auto" w:fill="auto"/>
          </w:tcPr>
          <w:p w:rsidR="00602269" w:rsidRPr="00DA3742" w:rsidRDefault="00602269" w:rsidP="00225D4A">
            <w:pPr>
              <w:contextualSpacing/>
              <w:jc w:val="center"/>
              <w:rPr>
                <w:rFonts w:ascii="Arial" w:hAnsi="Arial" w:cs="Arial"/>
                <w:bCs/>
                <w:sz w:val="18"/>
                <w:szCs w:val="18"/>
              </w:rPr>
            </w:pPr>
            <w:r w:rsidRPr="00DA3742">
              <w:rPr>
                <w:rFonts w:ascii="Arial" w:hAnsi="Arial" w:cs="Arial"/>
                <w:bCs/>
                <w:sz w:val="18"/>
                <w:szCs w:val="18"/>
              </w:rPr>
              <w:t>0538/2020</w:t>
            </w:r>
          </w:p>
        </w:tc>
        <w:tc>
          <w:tcPr>
            <w:tcW w:w="1275" w:type="dxa"/>
            <w:shd w:val="clear" w:color="auto" w:fill="auto"/>
          </w:tcPr>
          <w:p w:rsidR="00602269" w:rsidRPr="00DA3742" w:rsidRDefault="00602269" w:rsidP="00225D4A">
            <w:pPr>
              <w:contextualSpacing/>
              <w:jc w:val="center"/>
              <w:rPr>
                <w:rFonts w:ascii="Arial" w:hAnsi="Arial" w:cs="Arial"/>
                <w:bCs/>
                <w:sz w:val="18"/>
                <w:szCs w:val="18"/>
              </w:rPr>
            </w:pPr>
            <w:r w:rsidRPr="00DA3742">
              <w:rPr>
                <w:rFonts w:ascii="Arial" w:hAnsi="Arial" w:cs="Arial"/>
                <w:bCs/>
                <w:sz w:val="18"/>
                <w:szCs w:val="18"/>
              </w:rPr>
              <w:t>26/10/2020</w:t>
            </w:r>
          </w:p>
        </w:tc>
        <w:tc>
          <w:tcPr>
            <w:tcW w:w="1340" w:type="dxa"/>
            <w:shd w:val="clear" w:color="auto" w:fill="auto"/>
          </w:tcPr>
          <w:p w:rsidR="00602269" w:rsidRPr="002E6B87" w:rsidRDefault="00602269" w:rsidP="00225D4A">
            <w:pPr>
              <w:pStyle w:val="textoalinhadoesquerdaespacamentosimples"/>
              <w:jc w:val="center"/>
              <w:rPr>
                <w:rFonts w:ascii="Arial" w:eastAsiaTheme="minorHAnsi" w:hAnsi="Arial" w:cs="Arial"/>
                <w:bCs/>
                <w:sz w:val="18"/>
                <w:szCs w:val="18"/>
                <w:lang w:eastAsia="en-US"/>
              </w:rPr>
            </w:pPr>
            <w:r w:rsidRPr="002E6B87">
              <w:rPr>
                <w:rFonts w:ascii="Arial" w:eastAsiaTheme="minorHAnsi" w:hAnsi="Arial" w:cs="Arial"/>
                <w:bCs/>
                <w:sz w:val="18"/>
                <w:szCs w:val="18"/>
                <w:lang w:eastAsia="en-US"/>
              </w:rPr>
              <w:t>JOSÉ GUTMAN</w:t>
            </w:r>
          </w:p>
        </w:tc>
        <w:tc>
          <w:tcPr>
            <w:tcW w:w="4395" w:type="dxa"/>
            <w:shd w:val="clear" w:color="auto" w:fill="auto"/>
          </w:tcPr>
          <w:p w:rsidR="00602269" w:rsidRPr="00DA3742" w:rsidRDefault="00602269" w:rsidP="003C7214">
            <w:pPr>
              <w:contextualSpacing/>
              <w:jc w:val="both"/>
              <w:rPr>
                <w:rFonts w:ascii="Arial" w:hAnsi="Arial" w:cs="Arial"/>
                <w:bCs/>
                <w:sz w:val="18"/>
                <w:szCs w:val="18"/>
              </w:rPr>
            </w:pPr>
            <w:r w:rsidRPr="00DA3742">
              <w:rPr>
                <w:rFonts w:ascii="Arial" w:hAnsi="Arial" w:cs="Arial"/>
                <w:bCs/>
                <w:sz w:val="18"/>
                <w:szCs w:val="18"/>
              </w:rPr>
              <w:t xml:space="preserve">A Diretoria da Agência Nacional do Petróleo, Gás Natural e Biocombustíveis - ANP, com base na Proposta de Ação nº 0365, de 12 de junho de 2020, no Parecer nº 307/2020/PFANP/PGF/AGU e nas Notas Técnicas </w:t>
            </w:r>
            <w:proofErr w:type="spellStart"/>
            <w:r w:rsidRPr="00DA3742">
              <w:rPr>
                <w:rFonts w:ascii="Arial" w:hAnsi="Arial" w:cs="Arial"/>
                <w:bCs/>
                <w:sz w:val="18"/>
                <w:szCs w:val="18"/>
              </w:rPr>
              <w:t>nºs</w:t>
            </w:r>
            <w:proofErr w:type="spellEnd"/>
            <w:r w:rsidRPr="00DA3742">
              <w:rPr>
                <w:rFonts w:ascii="Arial" w:hAnsi="Arial" w:cs="Arial"/>
                <w:bCs/>
                <w:sz w:val="18"/>
                <w:szCs w:val="18"/>
              </w:rPr>
              <w:t xml:space="preserve"> 96/2020/SDP/ANP-RJ, 192/2020/SDP/ANP-RJ e 211/2020/SDP/ANP-RJ, resolve:</w:t>
            </w:r>
            <w:r>
              <w:rPr>
                <w:rFonts w:ascii="Arial" w:hAnsi="Arial" w:cs="Arial"/>
                <w:bCs/>
                <w:sz w:val="18"/>
                <w:szCs w:val="18"/>
              </w:rPr>
              <w:t xml:space="preserve"> </w:t>
            </w:r>
            <w:r w:rsidRPr="00DA3742">
              <w:rPr>
                <w:rFonts w:ascii="Arial" w:hAnsi="Arial" w:cs="Arial"/>
                <w:bCs/>
                <w:sz w:val="18"/>
                <w:szCs w:val="18"/>
              </w:rPr>
              <w:t xml:space="preserve">I) aprovar a modalidade de garantia corporativa como instrumento de garantia financeira de </w:t>
            </w:r>
            <w:proofErr w:type="spellStart"/>
            <w:r w:rsidRPr="00DA3742">
              <w:rPr>
                <w:rFonts w:ascii="Arial" w:hAnsi="Arial" w:cs="Arial"/>
                <w:bCs/>
                <w:sz w:val="18"/>
                <w:szCs w:val="18"/>
              </w:rPr>
              <w:t>descomissionamento</w:t>
            </w:r>
            <w:proofErr w:type="spellEnd"/>
            <w:r w:rsidRPr="00DA3742">
              <w:rPr>
                <w:rFonts w:ascii="Arial" w:hAnsi="Arial" w:cs="Arial"/>
                <w:bCs/>
                <w:sz w:val="18"/>
                <w:szCs w:val="18"/>
              </w:rPr>
              <w:t xml:space="preserve"> do Campo </w:t>
            </w:r>
            <w:proofErr w:type="spellStart"/>
            <w:r w:rsidRPr="00DA3742">
              <w:rPr>
                <w:rFonts w:ascii="Arial" w:hAnsi="Arial" w:cs="Arial"/>
                <w:bCs/>
                <w:sz w:val="18"/>
                <w:szCs w:val="18"/>
              </w:rPr>
              <w:t>Baúna</w:t>
            </w:r>
            <w:proofErr w:type="spellEnd"/>
            <w:r w:rsidRPr="00DA3742">
              <w:rPr>
                <w:rFonts w:ascii="Arial" w:hAnsi="Arial" w:cs="Arial"/>
                <w:bCs/>
                <w:sz w:val="18"/>
                <w:szCs w:val="18"/>
              </w:rPr>
              <w:t xml:space="preserve"> - Contrato de Concessão nº 48610.009494/2003 (BM-S-40), conforme cronograma, os termos e as condições estabelecidas nas referidas Notas; II) determinar a apresentação da garantia corporativa constituída no valor referente ao ano de 2020, em até 30 dias a contar da assinatura do termo aditivo de cessão de direitos, conforme os termos e as condições estabelecidas nas referidas Notas; III) determinar que a contratada deverá atualizar anualmente, até 30 de junho de cada ano, o valor da garantia corporativa, por meio do Modelo de Aporte Progressivo, nos termos da Nota Técnica nº 192/2020/SDP/ANP-RJ ou norma superveniente; IV) determinar que a GARANTIDORA deverá apresentar, anualmente, até o dia 30 de junho, demonstrações financeiras referentes ao último exercício social, acompanhadas de parecer de auditor independente; V) determinar que a contratada deverá adaptar os instrumentos de garantia celebrados com a ANP conforme os termos dos modelos resultantes da processo de Consulta e Audiência Públicas referentes à minuta de Resolução que regulamenta procedimentos para apresentação de garantias e instrumentos que assegurem o </w:t>
            </w:r>
            <w:proofErr w:type="spellStart"/>
            <w:r w:rsidRPr="00DA3742">
              <w:rPr>
                <w:rFonts w:ascii="Arial" w:hAnsi="Arial" w:cs="Arial"/>
                <w:bCs/>
                <w:sz w:val="18"/>
                <w:szCs w:val="18"/>
              </w:rPr>
              <w:t>descomissionamento</w:t>
            </w:r>
            <w:proofErr w:type="spellEnd"/>
            <w:r w:rsidRPr="00DA3742">
              <w:rPr>
                <w:rFonts w:ascii="Arial" w:hAnsi="Arial" w:cs="Arial"/>
                <w:bCs/>
                <w:sz w:val="18"/>
                <w:szCs w:val="18"/>
              </w:rPr>
              <w:t xml:space="preserve"> de instalações de produção em campos de petróleo e gás natural, bem como outros documentos, quando de sua </w:t>
            </w:r>
            <w:r w:rsidRPr="00DA3742">
              <w:rPr>
                <w:rFonts w:ascii="Arial" w:hAnsi="Arial" w:cs="Arial"/>
                <w:bCs/>
                <w:sz w:val="18"/>
                <w:szCs w:val="18"/>
              </w:rPr>
              <w:lastRenderedPageBreak/>
              <w:t>publicação; VI) a ANP se reserva no direito de revisar a garantia corporativa, os valores a serem provisionados, ou exigir outras modalidades de garantias financeiras nos termos da legislação específica; e VII) a GARANTIDORA também se compromete a manter durante toda a vigência da garantia corporativa as demais condições estabelecidas na regulamentação que autorizam a emissão deste instrumento.</w:t>
            </w:r>
          </w:p>
        </w:tc>
      </w:tr>
      <w:tr w:rsidR="00602269" w:rsidRPr="00065991" w:rsidTr="00225D4A">
        <w:tc>
          <w:tcPr>
            <w:tcW w:w="1276"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lastRenderedPageBreak/>
              <w:t>Circuito</w:t>
            </w:r>
          </w:p>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Deliberativo</w:t>
            </w:r>
          </w:p>
        </w:tc>
        <w:tc>
          <w:tcPr>
            <w:tcW w:w="1134"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PA</w:t>
            </w:r>
          </w:p>
        </w:tc>
        <w:tc>
          <w:tcPr>
            <w:tcW w:w="1985"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Processo</w:t>
            </w:r>
          </w:p>
        </w:tc>
        <w:tc>
          <w:tcPr>
            <w:tcW w:w="2835"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Assunto</w:t>
            </w:r>
          </w:p>
        </w:tc>
        <w:tc>
          <w:tcPr>
            <w:tcW w:w="850"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UORG</w:t>
            </w:r>
          </w:p>
        </w:tc>
        <w:tc>
          <w:tcPr>
            <w:tcW w:w="1354"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Resolução de Diretoria</w:t>
            </w:r>
          </w:p>
        </w:tc>
        <w:tc>
          <w:tcPr>
            <w:tcW w:w="1275"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Data de aprovação</w:t>
            </w:r>
          </w:p>
        </w:tc>
        <w:tc>
          <w:tcPr>
            <w:tcW w:w="1340"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Diretor</w:t>
            </w:r>
          </w:p>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Relator</w:t>
            </w:r>
          </w:p>
        </w:tc>
        <w:tc>
          <w:tcPr>
            <w:tcW w:w="4395"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Decisão</w:t>
            </w:r>
          </w:p>
        </w:tc>
      </w:tr>
      <w:tr w:rsidR="00602269" w:rsidRPr="00DD2882" w:rsidTr="00225D4A">
        <w:tc>
          <w:tcPr>
            <w:tcW w:w="1276" w:type="dxa"/>
            <w:shd w:val="clear" w:color="auto" w:fill="auto"/>
          </w:tcPr>
          <w:p w:rsidR="00602269" w:rsidRPr="00DD2882" w:rsidRDefault="00602269" w:rsidP="00225D4A">
            <w:pPr>
              <w:contextualSpacing/>
              <w:jc w:val="center"/>
              <w:rPr>
                <w:rFonts w:ascii="Arial" w:hAnsi="Arial" w:cs="Arial"/>
                <w:bCs/>
                <w:sz w:val="18"/>
                <w:szCs w:val="18"/>
              </w:rPr>
            </w:pPr>
            <w:r w:rsidRPr="00DD2882">
              <w:rPr>
                <w:rFonts w:ascii="Arial" w:hAnsi="Arial" w:cs="Arial"/>
                <w:bCs/>
                <w:sz w:val="18"/>
                <w:szCs w:val="18"/>
              </w:rPr>
              <w:t>0736</w:t>
            </w:r>
          </w:p>
        </w:tc>
        <w:tc>
          <w:tcPr>
            <w:tcW w:w="1134" w:type="dxa"/>
            <w:shd w:val="clear" w:color="auto" w:fill="auto"/>
          </w:tcPr>
          <w:p w:rsidR="00602269" w:rsidRPr="00DD2882" w:rsidRDefault="00602269" w:rsidP="00225D4A">
            <w:pPr>
              <w:contextualSpacing/>
              <w:jc w:val="center"/>
              <w:rPr>
                <w:rFonts w:ascii="Arial" w:hAnsi="Arial" w:cs="Arial"/>
                <w:bCs/>
                <w:sz w:val="18"/>
                <w:szCs w:val="18"/>
              </w:rPr>
            </w:pPr>
            <w:r w:rsidRPr="00DD2882">
              <w:rPr>
                <w:rFonts w:ascii="Arial" w:hAnsi="Arial" w:cs="Arial"/>
                <w:bCs/>
                <w:sz w:val="18"/>
                <w:szCs w:val="18"/>
              </w:rPr>
              <w:t>0619/2020</w:t>
            </w:r>
          </w:p>
        </w:tc>
        <w:tc>
          <w:tcPr>
            <w:tcW w:w="1985" w:type="dxa"/>
            <w:shd w:val="clear" w:color="auto" w:fill="auto"/>
          </w:tcPr>
          <w:p w:rsidR="00602269" w:rsidRPr="00DD2882" w:rsidRDefault="00602269" w:rsidP="00225D4A">
            <w:pPr>
              <w:contextualSpacing/>
              <w:jc w:val="center"/>
              <w:rPr>
                <w:rFonts w:ascii="Arial" w:hAnsi="Arial" w:cs="Arial"/>
                <w:bCs/>
                <w:sz w:val="18"/>
                <w:szCs w:val="18"/>
              </w:rPr>
            </w:pPr>
            <w:r w:rsidRPr="00DD2882">
              <w:rPr>
                <w:rFonts w:ascii="Arial" w:hAnsi="Arial" w:cs="Arial"/>
                <w:bCs/>
                <w:sz w:val="18"/>
                <w:szCs w:val="18"/>
              </w:rPr>
              <w:t>48610.213658/20</w:t>
            </w:r>
          </w:p>
        </w:tc>
        <w:tc>
          <w:tcPr>
            <w:tcW w:w="2835" w:type="dxa"/>
            <w:shd w:val="clear" w:color="auto" w:fill="auto"/>
          </w:tcPr>
          <w:p w:rsidR="00602269" w:rsidRPr="00DD2882" w:rsidRDefault="00251DD4" w:rsidP="00225D4A">
            <w:pPr>
              <w:contextualSpacing/>
              <w:rPr>
                <w:rFonts w:ascii="Arial" w:hAnsi="Arial" w:cs="Arial"/>
                <w:bCs/>
                <w:sz w:val="18"/>
                <w:szCs w:val="18"/>
              </w:rPr>
            </w:pPr>
            <w:r>
              <w:rPr>
                <w:rFonts w:ascii="Arial" w:hAnsi="Arial" w:cs="Arial"/>
                <w:bCs/>
                <w:sz w:val="18"/>
                <w:szCs w:val="18"/>
              </w:rPr>
              <w:t>H</w:t>
            </w:r>
            <w:r w:rsidR="00602269" w:rsidRPr="00DD2882">
              <w:rPr>
                <w:rFonts w:ascii="Arial" w:hAnsi="Arial" w:cs="Arial"/>
                <w:bCs/>
                <w:sz w:val="18"/>
                <w:szCs w:val="18"/>
              </w:rPr>
              <w:t>omologação dos Resultados do 76° Leilão de Biodiesel</w:t>
            </w:r>
          </w:p>
        </w:tc>
        <w:tc>
          <w:tcPr>
            <w:tcW w:w="850" w:type="dxa"/>
            <w:shd w:val="clear" w:color="auto" w:fill="auto"/>
          </w:tcPr>
          <w:p w:rsidR="00602269" w:rsidRPr="00DD2882" w:rsidRDefault="00602269" w:rsidP="00225D4A">
            <w:pPr>
              <w:contextualSpacing/>
              <w:jc w:val="center"/>
              <w:rPr>
                <w:rFonts w:ascii="Arial" w:hAnsi="Arial" w:cs="Arial"/>
                <w:bCs/>
                <w:sz w:val="18"/>
                <w:szCs w:val="18"/>
              </w:rPr>
            </w:pPr>
            <w:r w:rsidRPr="00DD2882">
              <w:rPr>
                <w:rFonts w:ascii="Arial" w:hAnsi="Arial" w:cs="Arial"/>
                <w:bCs/>
                <w:sz w:val="18"/>
                <w:szCs w:val="18"/>
              </w:rPr>
              <w:t>SDL</w:t>
            </w:r>
          </w:p>
        </w:tc>
        <w:tc>
          <w:tcPr>
            <w:tcW w:w="1354" w:type="dxa"/>
            <w:shd w:val="clear" w:color="auto" w:fill="auto"/>
          </w:tcPr>
          <w:p w:rsidR="00602269" w:rsidRPr="00DD2882" w:rsidRDefault="00602269" w:rsidP="00225D4A">
            <w:pPr>
              <w:contextualSpacing/>
              <w:jc w:val="center"/>
              <w:rPr>
                <w:rFonts w:ascii="Arial" w:hAnsi="Arial" w:cs="Arial"/>
                <w:bCs/>
                <w:sz w:val="18"/>
                <w:szCs w:val="18"/>
              </w:rPr>
            </w:pPr>
            <w:r w:rsidRPr="00F57330">
              <w:rPr>
                <w:rFonts w:ascii="Arial" w:hAnsi="Arial" w:cs="Arial"/>
                <w:bCs/>
                <w:sz w:val="18"/>
                <w:szCs w:val="18"/>
              </w:rPr>
              <w:t>053</w:t>
            </w:r>
            <w:r>
              <w:rPr>
                <w:rFonts w:ascii="Arial" w:hAnsi="Arial" w:cs="Arial"/>
                <w:bCs/>
                <w:sz w:val="18"/>
                <w:szCs w:val="18"/>
              </w:rPr>
              <w:t>7/</w:t>
            </w:r>
            <w:r w:rsidRPr="00F57330">
              <w:rPr>
                <w:rFonts w:ascii="Arial" w:hAnsi="Arial" w:cs="Arial"/>
                <w:bCs/>
                <w:sz w:val="18"/>
                <w:szCs w:val="18"/>
              </w:rPr>
              <w:t>2020</w:t>
            </w:r>
          </w:p>
        </w:tc>
        <w:tc>
          <w:tcPr>
            <w:tcW w:w="1275" w:type="dxa"/>
            <w:shd w:val="clear" w:color="auto" w:fill="auto"/>
          </w:tcPr>
          <w:p w:rsidR="00602269" w:rsidRPr="00F57330" w:rsidRDefault="00602269" w:rsidP="00225D4A">
            <w:pPr>
              <w:contextualSpacing/>
              <w:jc w:val="center"/>
              <w:rPr>
                <w:rFonts w:ascii="Arial" w:hAnsi="Arial" w:cs="Arial"/>
                <w:bCs/>
                <w:sz w:val="18"/>
                <w:szCs w:val="18"/>
              </w:rPr>
            </w:pPr>
            <w:r w:rsidRPr="00F57330">
              <w:rPr>
                <w:rFonts w:ascii="Arial" w:hAnsi="Arial" w:cs="Arial"/>
                <w:bCs/>
                <w:sz w:val="18"/>
                <w:szCs w:val="18"/>
              </w:rPr>
              <w:t>23/10/2020</w:t>
            </w:r>
          </w:p>
        </w:tc>
        <w:tc>
          <w:tcPr>
            <w:tcW w:w="1340" w:type="dxa"/>
            <w:shd w:val="clear" w:color="auto" w:fill="auto"/>
          </w:tcPr>
          <w:p w:rsidR="00602269" w:rsidRPr="004D49B1" w:rsidRDefault="00602269" w:rsidP="00225D4A">
            <w:pPr>
              <w:contextualSpacing/>
              <w:jc w:val="center"/>
              <w:rPr>
                <w:rFonts w:ascii="Arial" w:hAnsi="Arial" w:cs="Arial"/>
                <w:bCs/>
                <w:sz w:val="18"/>
                <w:szCs w:val="18"/>
              </w:rPr>
            </w:pPr>
            <w:r>
              <w:rPr>
                <w:rFonts w:ascii="Arial" w:hAnsi="Arial" w:cs="Arial"/>
                <w:bCs/>
                <w:sz w:val="18"/>
                <w:szCs w:val="18"/>
              </w:rPr>
              <w:t>F</w:t>
            </w:r>
            <w:r w:rsidRPr="004D49B1">
              <w:rPr>
                <w:rFonts w:ascii="Arial" w:hAnsi="Arial" w:cs="Arial"/>
                <w:bCs/>
                <w:sz w:val="18"/>
                <w:szCs w:val="18"/>
              </w:rPr>
              <w:t>ELIPE KURY</w:t>
            </w:r>
          </w:p>
        </w:tc>
        <w:tc>
          <w:tcPr>
            <w:tcW w:w="4395" w:type="dxa"/>
            <w:shd w:val="clear" w:color="auto" w:fill="auto"/>
          </w:tcPr>
          <w:p w:rsidR="00602269" w:rsidRPr="00DD2882" w:rsidRDefault="00602269" w:rsidP="003C7214">
            <w:pPr>
              <w:contextualSpacing/>
              <w:jc w:val="both"/>
              <w:rPr>
                <w:rFonts w:ascii="Arial" w:hAnsi="Arial" w:cs="Arial"/>
                <w:bCs/>
                <w:sz w:val="18"/>
                <w:szCs w:val="18"/>
              </w:rPr>
            </w:pPr>
            <w:r w:rsidRPr="00DD2882">
              <w:rPr>
                <w:rFonts w:ascii="Arial" w:hAnsi="Arial" w:cs="Arial"/>
                <w:bCs/>
                <w:sz w:val="18"/>
                <w:szCs w:val="18"/>
              </w:rPr>
              <w:t>A Diretoria da Agência Nacional do Petróleo, Gás Natural e Biocombustíveis - ANP, com base na Proposta de Ação nº 0619, de 20 de outubro de 2020, resolve: Homologar os resultados do 76° Leilão de Biodiesel.</w:t>
            </w:r>
          </w:p>
        </w:tc>
      </w:tr>
      <w:tr w:rsidR="00602269" w:rsidRPr="00065991" w:rsidTr="00225D4A">
        <w:tc>
          <w:tcPr>
            <w:tcW w:w="1276"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Circuito</w:t>
            </w:r>
          </w:p>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Deliberativo</w:t>
            </w:r>
          </w:p>
        </w:tc>
        <w:tc>
          <w:tcPr>
            <w:tcW w:w="1134"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PA</w:t>
            </w:r>
          </w:p>
        </w:tc>
        <w:tc>
          <w:tcPr>
            <w:tcW w:w="1985"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Processo</w:t>
            </w:r>
          </w:p>
        </w:tc>
        <w:tc>
          <w:tcPr>
            <w:tcW w:w="2835"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Assunto</w:t>
            </w:r>
          </w:p>
        </w:tc>
        <w:tc>
          <w:tcPr>
            <w:tcW w:w="850"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UORG</w:t>
            </w:r>
          </w:p>
        </w:tc>
        <w:tc>
          <w:tcPr>
            <w:tcW w:w="1354"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Resolução de Diretoria</w:t>
            </w:r>
          </w:p>
        </w:tc>
        <w:tc>
          <w:tcPr>
            <w:tcW w:w="1275"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Data de aprovação</w:t>
            </w:r>
          </w:p>
        </w:tc>
        <w:tc>
          <w:tcPr>
            <w:tcW w:w="1340"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Diretor</w:t>
            </w:r>
          </w:p>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Relator</w:t>
            </w:r>
          </w:p>
        </w:tc>
        <w:tc>
          <w:tcPr>
            <w:tcW w:w="4395"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Decisão</w:t>
            </w:r>
          </w:p>
        </w:tc>
      </w:tr>
      <w:tr w:rsidR="00602269" w:rsidRPr="00F57330" w:rsidTr="00225D4A">
        <w:tc>
          <w:tcPr>
            <w:tcW w:w="1276" w:type="dxa"/>
            <w:shd w:val="clear" w:color="auto" w:fill="auto"/>
          </w:tcPr>
          <w:p w:rsidR="00602269" w:rsidRPr="00F57330" w:rsidRDefault="00602269" w:rsidP="00225D4A">
            <w:pPr>
              <w:contextualSpacing/>
              <w:jc w:val="center"/>
              <w:rPr>
                <w:rFonts w:ascii="Arial" w:hAnsi="Arial" w:cs="Arial"/>
                <w:bCs/>
                <w:sz w:val="18"/>
                <w:szCs w:val="18"/>
              </w:rPr>
            </w:pPr>
            <w:r w:rsidRPr="00F57330">
              <w:rPr>
                <w:rFonts w:ascii="Arial" w:hAnsi="Arial" w:cs="Arial"/>
                <w:bCs/>
                <w:sz w:val="18"/>
                <w:szCs w:val="18"/>
              </w:rPr>
              <w:t>0733</w:t>
            </w:r>
          </w:p>
        </w:tc>
        <w:tc>
          <w:tcPr>
            <w:tcW w:w="1134" w:type="dxa"/>
            <w:shd w:val="clear" w:color="auto" w:fill="auto"/>
          </w:tcPr>
          <w:p w:rsidR="00602269" w:rsidRPr="00F57330" w:rsidRDefault="00602269" w:rsidP="00225D4A">
            <w:pPr>
              <w:contextualSpacing/>
              <w:jc w:val="center"/>
              <w:rPr>
                <w:rFonts w:ascii="Arial" w:hAnsi="Arial" w:cs="Arial"/>
                <w:bCs/>
                <w:sz w:val="18"/>
                <w:szCs w:val="18"/>
              </w:rPr>
            </w:pPr>
            <w:r w:rsidRPr="00F57330">
              <w:rPr>
                <w:rFonts w:ascii="Arial" w:hAnsi="Arial" w:cs="Arial"/>
                <w:bCs/>
                <w:sz w:val="18"/>
                <w:szCs w:val="18"/>
              </w:rPr>
              <w:t>0604/2020</w:t>
            </w:r>
          </w:p>
        </w:tc>
        <w:tc>
          <w:tcPr>
            <w:tcW w:w="1985" w:type="dxa"/>
            <w:shd w:val="clear" w:color="auto" w:fill="auto"/>
          </w:tcPr>
          <w:p w:rsidR="00602269" w:rsidRPr="00F57330" w:rsidRDefault="00602269" w:rsidP="00225D4A">
            <w:pPr>
              <w:contextualSpacing/>
              <w:jc w:val="center"/>
              <w:rPr>
                <w:rFonts w:ascii="Arial" w:hAnsi="Arial" w:cs="Arial"/>
                <w:bCs/>
                <w:sz w:val="18"/>
                <w:szCs w:val="18"/>
              </w:rPr>
            </w:pPr>
            <w:r w:rsidRPr="00F57330">
              <w:rPr>
                <w:rFonts w:ascii="Arial" w:hAnsi="Arial" w:cs="Arial"/>
                <w:bCs/>
                <w:sz w:val="18"/>
                <w:szCs w:val="18"/>
              </w:rPr>
              <w:t>48610.000188/2018</w:t>
            </w:r>
          </w:p>
        </w:tc>
        <w:tc>
          <w:tcPr>
            <w:tcW w:w="2835" w:type="dxa"/>
            <w:shd w:val="clear" w:color="auto" w:fill="auto"/>
          </w:tcPr>
          <w:p w:rsidR="00602269" w:rsidRPr="00F57330" w:rsidRDefault="00602269" w:rsidP="00225D4A">
            <w:pPr>
              <w:contextualSpacing/>
              <w:rPr>
                <w:rFonts w:ascii="Arial" w:hAnsi="Arial" w:cs="Arial"/>
                <w:bCs/>
                <w:sz w:val="18"/>
                <w:szCs w:val="18"/>
              </w:rPr>
            </w:pPr>
            <w:r w:rsidRPr="00F57330">
              <w:rPr>
                <w:rFonts w:ascii="Arial" w:hAnsi="Arial" w:cs="Arial"/>
                <w:bCs/>
                <w:sz w:val="18"/>
                <w:szCs w:val="18"/>
              </w:rPr>
              <w:t>Nomeação e Exoneração de Servidores - SDL</w:t>
            </w:r>
          </w:p>
        </w:tc>
        <w:tc>
          <w:tcPr>
            <w:tcW w:w="850" w:type="dxa"/>
            <w:shd w:val="clear" w:color="auto" w:fill="auto"/>
          </w:tcPr>
          <w:p w:rsidR="00602269" w:rsidRPr="00F57330" w:rsidRDefault="00602269" w:rsidP="00225D4A">
            <w:pPr>
              <w:contextualSpacing/>
              <w:jc w:val="center"/>
              <w:rPr>
                <w:rFonts w:ascii="Arial" w:hAnsi="Arial" w:cs="Arial"/>
                <w:bCs/>
                <w:sz w:val="18"/>
                <w:szCs w:val="18"/>
              </w:rPr>
            </w:pPr>
            <w:r w:rsidRPr="00F57330">
              <w:rPr>
                <w:rFonts w:ascii="Arial" w:hAnsi="Arial" w:cs="Arial"/>
                <w:bCs/>
                <w:sz w:val="18"/>
                <w:szCs w:val="18"/>
              </w:rPr>
              <w:t>SGP</w:t>
            </w:r>
          </w:p>
        </w:tc>
        <w:tc>
          <w:tcPr>
            <w:tcW w:w="1354" w:type="dxa"/>
            <w:shd w:val="clear" w:color="auto" w:fill="auto"/>
          </w:tcPr>
          <w:p w:rsidR="00602269" w:rsidRPr="00F57330" w:rsidRDefault="00602269" w:rsidP="00225D4A">
            <w:pPr>
              <w:contextualSpacing/>
              <w:jc w:val="center"/>
              <w:rPr>
                <w:rFonts w:ascii="Arial" w:hAnsi="Arial" w:cs="Arial"/>
                <w:bCs/>
                <w:sz w:val="18"/>
                <w:szCs w:val="18"/>
              </w:rPr>
            </w:pPr>
            <w:r w:rsidRPr="00F57330">
              <w:rPr>
                <w:rFonts w:ascii="Arial" w:hAnsi="Arial" w:cs="Arial"/>
                <w:bCs/>
                <w:sz w:val="18"/>
                <w:szCs w:val="18"/>
              </w:rPr>
              <w:t>0536/2020</w:t>
            </w:r>
          </w:p>
        </w:tc>
        <w:tc>
          <w:tcPr>
            <w:tcW w:w="1275" w:type="dxa"/>
            <w:shd w:val="clear" w:color="auto" w:fill="auto"/>
          </w:tcPr>
          <w:p w:rsidR="00602269" w:rsidRPr="00F57330" w:rsidRDefault="00602269" w:rsidP="00225D4A">
            <w:pPr>
              <w:contextualSpacing/>
              <w:jc w:val="center"/>
              <w:rPr>
                <w:rFonts w:ascii="Arial" w:hAnsi="Arial" w:cs="Arial"/>
                <w:bCs/>
                <w:sz w:val="18"/>
                <w:szCs w:val="18"/>
              </w:rPr>
            </w:pPr>
            <w:r w:rsidRPr="00F57330">
              <w:rPr>
                <w:rFonts w:ascii="Arial" w:hAnsi="Arial" w:cs="Arial"/>
                <w:bCs/>
                <w:sz w:val="18"/>
                <w:szCs w:val="18"/>
              </w:rPr>
              <w:t>23/10/2020</w:t>
            </w:r>
          </w:p>
        </w:tc>
        <w:tc>
          <w:tcPr>
            <w:tcW w:w="1340" w:type="dxa"/>
            <w:shd w:val="clear" w:color="auto" w:fill="auto"/>
          </w:tcPr>
          <w:p w:rsidR="00602269" w:rsidRPr="004D49B1" w:rsidRDefault="00602269" w:rsidP="00225D4A">
            <w:pPr>
              <w:contextualSpacing/>
              <w:jc w:val="center"/>
              <w:rPr>
                <w:rFonts w:ascii="Arial" w:hAnsi="Arial" w:cs="Arial"/>
                <w:bCs/>
                <w:sz w:val="18"/>
                <w:szCs w:val="18"/>
              </w:rPr>
            </w:pPr>
            <w:r>
              <w:rPr>
                <w:rFonts w:ascii="Arial" w:hAnsi="Arial" w:cs="Arial"/>
                <w:bCs/>
                <w:sz w:val="18"/>
                <w:szCs w:val="18"/>
              </w:rPr>
              <w:t>F</w:t>
            </w:r>
            <w:r w:rsidRPr="004D49B1">
              <w:rPr>
                <w:rFonts w:ascii="Arial" w:hAnsi="Arial" w:cs="Arial"/>
                <w:bCs/>
                <w:sz w:val="18"/>
                <w:szCs w:val="18"/>
              </w:rPr>
              <w:t>ELIPE KURY</w:t>
            </w:r>
          </w:p>
        </w:tc>
        <w:tc>
          <w:tcPr>
            <w:tcW w:w="4395" w:type="dxa"/>
            <w:shd w:val="clear" w:color="auto" w:fill="auto"/>
          </w:tcPr>
          <w:p w:rsidR="00602269" w:rsidRPr="00F57330" w:rsidRDefault="00602269" w:rsidP="003C7214">
            <w:pPr>
              <w:contextualSpacing/>
              <w:rPr>
                <w:rFonts w:ascii="Arial" w:hAnsi="Arial" w:cs="Arial"/>
                <w:bCs/>
                <w:sz w:val="18"/>
                <w:szCs w:val="18"/>
              </w:rPr>
            </w:pPr>
            <w:r w:rsidRPr="00F57330">
              <w:rPr>
                <w:rFonts w:ascii="Arial" w:hAnsi="Arial" w:cs="Arial"/>
                <w:bCs/>
                <w:sz w:val="18"/>
                <w:szCs w:val="18"/>
              </w:rPr>
              <w:t>A Diretoria da Agência Nacional do Petróleo, Gás Natural e Biocombustíveis - ANP, com base na Proposta de Ação nº 0604, de 8 de outubro de 2020, resolve: I) Alterar a nomenclatura e as atribuições do cargo comissionado CCT IV, ocupado por ANDRÉ LUIZ DE SOUZA BRITTO, de Assessor Técnico de Movimentação de Derivados de Petróleo, na SDL/ANP, para Coordenador de Movimentação e Comercialização de Produtos, na SDL/ANP; e II) Nomear DIEGO GEAQUINTO LEÃO ADRIANO no cargo comissionado CCT-IV, de Coordenador de Movimentação de Biodiesel e Renováveis, na SDL/ANP, ficando exonerado do cargo comissionado CCT-V, de Coordenador de Movimentação de Derivados de Petróleo, na SDL/ANP.</w:t>
            </w:r>
          </w:p>
        </w:tc>
      </w:tr>
      <w:tr w:rsidR="00602269" w:rsidRPr="00065991" w:rsidTr="00225D4A">
        <w:tc>
          <w:tcPr>
            <w:tcW w:w="1276"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Circuito</w:t>
            </w:r>
          </w:p>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Deliberativo</w:t>
            </w:r>
          </w:p>
        </w:tc>
        <w:tc>
          <w:tcPr>
            <w:tcW w:w="1134"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PA</w:t>
            </w:r>
          </w:p>
        </w:tc>
        <w:tc>
          <w:tcPr>
            <w:tcW w:w="1985"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Processo</w:t>
            </w:r>
          </w:p>
        </w:tc>
        <w:tc>
          <w:tcPr>
            <w:tcW w:w="2835"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Assunto</w:t>
            </w:r>
          </w:p>
        </w:tc>
        <w:tc>
          <w:tcPr>
            <w:tcW w:w="850"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UORG</w:t>
            </w:r>
          </w:p>
        </w:tc>
        <w:tc>
          <w:tcPr>
            <w:tcW w:w="1354"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Resolução de Diretoria</w:t>
            </w:r>
          </w:p>
        </w:tc>
        <w:tc>
          <w:tcPr>
            <w:tcW w:w="1275"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Data de aprovação</w:t>
            </w:r>
          </w:p>
        </w:tc>
        <w:tc>
          <w:tcPr>
            <w:tcW w:w="1340"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Diretor</w:t>
            </w:r>
          </w:p>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Relator</w:t>
            </w:r>
          </w:p>
        </w:tc>
        <w:tc>
          <w:tcPr>
            <w:tcW w:w="4395"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Decisão</w:t>
            </w:r>
          </w:p>
        </w:tc>
      </w:tr>
      <w:tr w:rsidR="00602269" w:rsidRPr="00A30306" w:rsidTr="00225D4A">
        <w:tc>
          <w:tcPr>
            <w:tcW w:w="1276" w:type="dxa"/>
            <w:shd w:val="clear" w:color="auto" w:fill="auto"/>
          </w:tcPr>
          <w:p w:rsidR="00602269" w:rsidRPr="00A30306" w:rsidRDefault="00602269" w:rsidP="00225D4A">
            <w:pPr>
              <w:contextualSpacing/>
              <w:jc w:val="center"/>
              <w:rPr>
                <w:rFonts w:ascii="Arial" w:hAnsi="Arial" w:cs="Arial"/>
                <w:bCs/>
                <w:sz w:val="18"/>
                <w:szCs w:val="18"/>
              </w:rPr>
            </w:pPr>
            <w:r w:rsidRPr="00A30306">
              <w:rPr>
                <w:rFonts w:ascii="Arial" w:hAnsi="Arial" w:cs="Arial"/>
                <w:bCs/>
                <w:sz w:val="18"/>
                <w:szCs w:val="18"/>
              </w:rPr>
              <w:t>0729</w:t>
            </w:r>
          </w:p>
        </w:tc>
        <w:tc>
          <w:tcPr>
            <w:tcW w:w="1134" w:type="dxa"/>
            <w:shd w:val="clear" w:color="auto" w:fill="auto"/>
          </w:tcPr>
          <w:p w:rsidR="00602269" w:rsidRPr="00A30306" w:rsidRDefault="00602269" w:rsidP="00225D4A">
            <w:pPr>
              <w:contextualSpacing/>
              <w:jc w:val="center"/>
              <w:rPr>
                <w:rFonts w:ascii="Arial" w:hAnsi="Arial" w:cs="Arial"/>
                <w:bCs/>
                <w:sz w:val="18"/>
                <w:szCs w:val="18"/>
              </w:rPr>
            </w:pPr>
            <w:r w:rsidRPr="00A30306">
              <w:rPr>
                <w:rFonts w:ascii="Arial" w:hAnsi="Arial" w:cs="Arial"/>
                <w:bCs/>
                <w:sz w:val="18"/>
                <w:szCs w:val="18"/>
              </w:rPr>
              <w:t>0605/2020</w:t>
            </w:r>
          </w:p>
        </w:tc>
        <w:tc>
          <w:tcPr>
            <w:tcW w:w="1985" w:type="dxa"/>
            <w:shd w:val="clear" w:color="auto" w:fill="auto"/>
          </w:tcPr>
          <w:p w:rsidR="00602269" w:rsidRPr="00A30306" w:rsidRDefault="00602269" w:rsidP="00225D4A">
            <w:pPr>
              <w:contextualSpacing/>
              <w:jc w:val="center"/>
              <w:rPr>
                <w:rFonts w:ascii="Arial" w:hAnsi="Arial" w:cs="Arial"/>
                <w:bCs/>
                <w:sz w:val="18"/>
                <w:szCs w:val="18"/>
              </w:rPr>
            </w:pPr>
            <w:r w:rsidRPr="00A30306">
              <w:rPr>
                <w:rFonts w:ascii="Arial" w:hAnsi="Arial" w:cs="Arial"/>
                <w:bCs/>
                <w:sz w:val="18"/>
                <w:szCs w:val="18"/>
              </w:rPr>
              <w:t>48610.011536/2016</w:t>
            </w:r>
          </w:p>
        </w:tc>
        <w:tc>
          <w:tcPr>
            <w:tcW w:w="2835" w:type="dxa"/>
            <w:shd w:val="clear" w:color="auto" w:fill="auto"/>
          </w:tcPr>
          <w:p w:rsidR="00602269" w:rsidRPr="00A30306" w:rsidRDefault="00602269" w:rsidP="00225D4A">
            <w:pPr>
              <w:contextualSpacing/>
              <w:rPr>
                <w:rFonts w:ascii="Arial" w:hAnsi="Arial" w:cs="Arial"/>
                <w:bCs/>
                <w:sz w:val="18"/>
                <w:szCs w:val="18"/>
              </w:rPr>
            </w:pPr>
            <w:r w:rsidRPr="00A30306">
              <w:rPr>
                <w:rFonts w:ascii="Arial" w:hAnsi="Arial" w:cs="Arial"/>
                <w:bCs/>
                <w:sz w:val="18"/>
                <w:szCs w:val="18"/>
              </w:rPr>
              <w:t>Apostilamento de Cargo Comissionado - SGA</w:t>
            </w:r>
          </w:p>
        </w:tc>
        <w:tc>
          <w:tcPr>
            <w:tcW w:w="850" w:type="dxa"/>
            <w:shd w:val="clear" w:color="auto" w:fill="auto"/>
          </w:tcPr>
          <w:p w:rsidR="00602269" w:rsidRPr="00A30306" w:rsidRDefault="00602269" w:rsidP="00225D4A">
            <w:pPr>
              <w:contextualSpacing/>
              <w:jc w:val="center"/>
              <w:rPr>
                <w:rFonts w:ascii="Arial" w:hAnsi="Arial" w:cs="Arial"/>
                <w:bCs/>
                <w:sz w:val="18"/>
                <w:szCs w:val="18"/>
              </w:rPr>
            </w:pPr>
            <w:r w:rsidRPr="00A30306">
              <w:rPr>
                <w:rFonts w:ascii="Arial" w:hAnsi="Arial" w:cs="Arial"/>
                <w:bCs/>
                <w:sz w:val="18"/>
                <w:szCs w:val="18"/>
              </w:rPr>
              <w:t>SGP</w:t>
            </w:r>
          </w:p>
        </w:tc>
        <w:tc>
          <w:tcPr>
            <w:tcW w:w="1354" w:type="dxa"/>
            <w:shd w:val="clear" w:color="auto" w:fill="auto"/>
          </w:tcPr>
          <w:p w:rsidR="00602269" w:rsidRPr="00A30306" w:rsidRDefault="00602269" w:rsidP="00225D4A">
            <w:pPr>
              <w:contextualSpacing/>
              <w:jc w:val="center"/>
              <w:rPr>
                <w:rFonts w:ascii="Arial" w:hAnsi="Arial" w:cs="Arial"/>
                <w:bCs/>
                <w:sz w:val="18"/>
                <w:szCs w:val="18"/>
              </w:rPr>
            </w:pPr>
            <w:r w:rsidRPr="00A30306">
              <w:rPr>
                <w:rFonts w:ascii="Arial" w:hAnsi="Arial" w:cs="Arial"/>
                <w:bCs/>
                <w:sz w:val="18"/>
                <w:szCs w:val="18"/>
              </w:rPr>
              <w:t>0535/2020</w:t>
            </w:r>
          </w:p>
        </w:tc>
        <w:tc>
          <w:tcPr>
            <w:tcW w:w="1275" w:type="dxa"/>
            <w:shd w:val="clear" w:color="auto" w:fill="auto"/>
          </w:tcPr>
          <w:p w:rsidR="00602269" w:rsidRPr="00A30306" w:rsidRDefault="00602269" w:rsidP="00225D4A">
            <w:pPr>
              <w:contextualSpacing/>
              <w:jc w:val="center"/>
              <w:rPr>
                <w:rFonts w:ascii="Arial" w:hAnsi="Arial" w:cs="Arial"/>
                <w:bCs/>
                <w:sz w:val="18"/>
                <w:szCs w:val="18"/>
              </w:rPr>
            </w:pPr>
            <w:r w:rsidRPr="00A30306">
              <w:rPr>
                <w:rFonts w:ascii="Arial" w:hAnsi="Arial" w:cs="Arial"/>
                <w:bCs/>
                <w:sz w:val="18"/>
                <w:szCs w:val="18"/>
              </w:rPr>
              <w:t>23/10/2020</w:t>
            </w:r>
          </w:p>
        </w:tc>
        <w:tc>
          <w:tcPr>
            <w:tcW w:w="1340" w:type="dxa"/>
            <w:shd w:val="clear" w:color="auto" w:fill="auto"/>
          </w:tcPr>
          <w:p w:rsidR="00602269" w:rsidRPr="00196D13" w:rsidRDefault="00602269" w:rsidP="00225D4A">
            <w:pPr>
              <w:contextualSpacing/>
              <w:jc w:val="center"/>
              <w:rPr>
                <w:rFonts w:ascii="Arial" w:hAnsi="Arial" w:cs="Arial"/>
                <w:bCs/>
                <w:sz w:val="18"/>
                <w:szCs w:val="18"/>
              </w:rPr>
            </w:pPr>
            <w:r w:rsidRPr="00196D13">
              <w:rPr>
                <w:rFonts w:ascii="Arial" w:hAnsi="Arial" w:cs="Arial"/>
                <w:bCs/>
                <w:sz w:val="18"/>
                <w:szCs w:val="18"/>
              </w:rPr>
              <w:t>RAPHAEL MOURA</w:t>
            </w:r>
          </w:p>
        </w:tc>
        <w:tc>
          <w:tcPr>
            <w:tcW w:w="4395" w:type="dxa"/>
            <w:shd w:val="clear" w:color="auto" w:fill="auto"/>
          </w:tcPr>
          <w:p w:rsidR="00602269" w:rsidRPr="00A30306" w:rsidRDefault="00602269" w:rsidP="003C7214">
            <w:pPr>
              <w:contextualSpacing/>
              <w:jc w:val="both"/>
              <w:rPr>
                <w:rFonts w:ascii="Arial" w:hAnsi="Arial" w:cs="Arial"/>
                <w:bCs/>
                <w:sz w:val="18"/>
                <w:szCs w:val="18"/>
              </w:rPr>
            </w:pPr>
            <w:r w:rsidRPr="00A30306">
              <w:rPr>
                <w:rFonts w:ascii="Arial" w:hAnsi="Arial" w:cs="Arial"/>
                <w:bCs/>
                <w:sz w:val="18"/>
                <w:szCs w:val="18"/>
              </w:rPr>
              <w:t xml:space="preserve">A Diretoria da Agência Nacional do Petróleo, Gás Natural e Biocombustíveis - ANP, com base na Proposta de Ação nº 0605, de 8 de outubro de 2020, resolve: Alterar a nomenclatura do cargo </w:t>
            </w:r>
            <w:r w:rsidRPr="00A30306">
              <w:rPr>
                <w:rFonts w:ascii="Arial" w:hAnsi="Arial" w:cs="Arial"/>
                <w:bCs/>
                <w:sz w:val="18"/>
                <w:szCs w:val="18"/>
              </w:rPr>
              <w:lastRenderedPageBreak/>
              <w:t>comissionado CCT-III ocupado pelo servidor RONALDO MEDEIROS DE BAKKER, de Coordenador de Licitações e Contratos, na SGA/ANP, para Coordenador de Fiscalização de Contratos, na SGA/ANP.</w:t>
            </w:r>
          </w:p>
        </w:tc>
      </w:tr>
      <w:tr w:rsidR="00602269" w:rsidRPr="00065991" w:rsidTr="00225D4A">
        <w:tc>
          <w:tcPr>
            <w:tcW w:w="1276"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lastRenderedPageBreak/>
              <w:t>Circuito</w:t>
            </w:r>
          </w:p>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Deliberativo</w:t>
            </w:r>
          </w:p>
        </w:tc>
        <w:tc>
          <w:tcPr>
            <w:tcW w:w="1134"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PA</w:t>
            </w:r>
          </w:p>
        </w:tc>
        <w:tc>
          <w:tcPr>
            <w:tcW w:w="1985"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Processo</w:t>
            </w:r>
          </w:p>
        </w:tc>
        <w:tc>
          <w:tcPr>
            <w:tcW w:w="2835"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Assunto</w:t>
            </w:r>
          </w:p>
        </w:tc>
        <w:tc>
          <w:tcPr>
            <w:tcW w:w="850"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UORG</w:t>
            </w:r>
          </w:p>
        </w:tc>
        <w:tc>
          <w:tcPr>
            <w:tcW w:w="1354"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Resolução de Diretoria</w:t>
            </w:r>
          </w:p>
        </w:tc>
        <w:tc>
          <w:tcPr>
            <w:tcW w:w="1275"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Data de aprovação</w:t>
            </w:r>
          </w:p>
        </w:tc>
        <w:tc>
          <w:tcPr>
            <w:tcW w:w="1340"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Diretor</w:t>
            </w:r>
          </w:p>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Relator</w:t>
            </w:r>
          </w:p>
        </w:tc>
        <w:tc>
          <w:tcPr>
            <w:tcW w:w="4395" w:type="dxa"/>
            <w:shd w:val="clear" w:color="auto" w:fill="D5DCE4" w:themeFill="text2" w:themeFillTint="33"/>
          </w:tcPr>
          <w:p w:rsidR="00602269" w:rsidRPr="00333944" w:rsidRDefault="00602269" w:rsidP="00225D4A">
            <w:pPr>
              <w:contextualSpacing/>
              <w:jc w:val="center"/>
              <w:rPr>
                <w:rFonts w:ascii="Arial" w:hAnsi="Arial" w:cs="Arial"/>
                <w:b/>
                <w:sz w:val="18"/>
                <w:szCs w:val="18"/>
              </w:rPr>
            </w:pPr>
            <w:r w:rsidRPr="00333944">
              <w:rPr>
                <w:rFonts w:ascii="Arial" w:hAnsi="Arial" w:cs="Arial"/>
                <w:b/>
                <w:sz w:val="18"/>
                <w:szCs w:val="18"/>
              </w:rPr>
              <w:t>Decisão</w:t>
            </w:r>
          </w:p>
        </w:tc>
      </w:tr>
      <w:tr w:rsidR="00602269" w:rsidRPr="00A30306" w:rsidTr="00225D4A">
        <w:tc>
          <w:tcPr>
            <w:tcW w:w="1276" w:type="dxa"/>
            <w:shd w:val="clear" w:color="auto" w:fill="auto"/>
          </w:tcPr>
          <w:p w:rsidR="00602269" w:rsidRPr="00A30306" w:rsidRDefault="00602269" w:rsidP="00225D4A">
            <w:pPr>
              <w:contextualSpacing/>
              <w:jc w:val="center"/>
              <w:rPr>
                <w:rFonts w:ascii="Arial" w:hAnsi="Arial" w:cs="Arial"/>
                <w:bCs/>
                <w:sz w:val="18"/>
                <w:szCs w:val="18"/>
              </w:rPr>
            </w:pPr>
            <w:r w:rsidRPr="00A30306">
              <w:rPr>
                <w:rFonts w:ascii="Arial" w:hAnsi="Arial" w:cs="Arial"/>
                <w:bCs/>
                <w:sz w:val="18"/>
                <w:szCs w:val="18"/>
              </w:rPr>
              <w:t>0728</w:t>
            </w:r>
          </w:p>
        </w:tc>
        <w:tc>
          <w:tcPr>
            <w:tcW w:w="1134" w:type="dxa"/>
            <w:shd w:val="clear" w:color="auto" w:fill="auto"/>
          </w:tcPr>
          <w:p w:rsidR="00602269" w:rsidRPr="00A30306" w:rsidRDefault="00602269" w:rsidP="00225D4A">
            <w:pPr>
              <w:contextualSpacing/>
              <w:jc w:val="center"/>
              <w:rPr>
                <w:rFonts w:ascii="Arial" w:hAnsi="Arial" w:cs="Arial"/>
                <w:bCs/>
                <w:sz w:val="18"/>
                <w:szCs w:val="18"/>
              </w:rPr>
            </w:pPr>
            <w:r w:rsidRPr="00A30306">
              <w:rPr>
                <w:rFonts w:ascii="Arial" w:hAnsi="Arial" w:cs="Arial"/>
                <w:bCs/>
                <w:sz w:val="18"/>
                <w:szCs w:val="18"/>
              </w:rPr>
              <w:t>0602/2020</w:t>
            </w:r>
          </w:p>
        </w:tc>
        <w:tc>
          <w:tcPr>
            <w:tcW w:w="1985" w:type="dxa"/>
            <w:shd w:val="clear" w:color="auto" w:fill="auto"/>
          </w:tcPr>
          <w:p w:rsidR="00602269" w:rsidRPr="00A30306" w:rsidRDefault="00602269" w:rsidP="00225D4A">
            <w:pPr>
              <w:contextualSpacing/>
              <w:jc w:val="center"/>
              <w:rPr>
                <w:rFonts w:ascii="Arial" w:hAnsi="Arial" w:cs="Arial"/>
                <w:bCs/>
                <w:sz w:val="18"/>
                <w:szCs w:val="18"/>
              </w:rPr>
            </w:pPr>
            <w:r w:rsidRPr="00A30306">
              <w:rPr>
                <w:rFonts w:ascii="Arial" w:hAnsi="Arial" w:cs="Arial"/>
                <w:bCs/>
                <w:sz w:val="18"/>
                <w:szCs w:val="18"/>
              </w:rPr>
              <w:t>48610.015261/2007</w:t>
            </w:r>
          </w:p>
        </w:tc>
        <w:tc>
          <w:tcPr>
            <w:tcW w:w="2835" w:type="dxa"/>
            <w:shd w:val="clear" w:color="auto" w:fill="auto"/>
          </w:tcPr>
          <w:p w:rsidR="00602269" w:rsidRPr="00A30306" w:rsidRDefault="00602269" w:rsidP="00225D4A">
            <w:pPr>
              <w:contextualSpacing/>
              <w:rPr>
                <w:rFonts w:ascii="Arial" w:hAnsi="Arial" w:cs="Arial"/>
                <w:bCs/>
                <w:sz w:val="18"/>
                <w:szCs w:val="18"/>
              </w:rPr>
            </w:pPr>
            <w:r w:rsidRPr="00A30306">
              <w:rPr>
                <w:rFonts w:ascii="Arial" w:hAnsi="Arial" w:cs="Arial"/>
                <w:bCs/>
                <w:sz w:val="18"/>
                <w:szCs w:val="18"/>
              </w:rPr>
              <w:t>Reestruturação de Cargos Comissionados</w:t>
            </w:r>
          </w:p>
        </w:tc>
        <w:tc>
          <w:tcPr>
            <w:tcW w:w="850" w:type="dxa"/>
            <w:shd w:val="clear" w:color="auto" w:fill="auto"/>
          </w:tcPr>
          <w:p w:rsidR="00602269" w:rsidRPr="00A30306" w:rsidRDefault="00602269" w:rsidP="00225D4A">
            <w:pPr>
              <w:contextualSpacing/>
              <w:jc w:val="center"/>
              <w:rPr>
                <w:rFonts w:ascii="Arial" w:hAnsi="Arial" w:cs="Arial"/>
                <w:bCs/>
                <w:sz w:val="18"/>
                <w:szCs w:val="18"/>
              </w:rPr>
            </w:pPr>
            <w:r w:rsidRPr="00A30306">
              <w:rPr>
                <w:rFonts w:ascii="Arial" w:hAnsi="Arial" w:cs="Arial"/>
                <w:bCs/>
                <w:sz w:val="18"/>
                <w:szCs w:val="18"/>
              </w:rPr>
              <w:t>SGP</w:t>
            </w:r>
          </w:p>
        </w:tc>
        <w:tc>
          <w:tcPr>
            <w:tcW w:w="1354" w:type="dxa"/>
            <w:shd w:val="clear" w:color="auto" w:fill="auto"/>
          </w:tcPr>
          <w:p w:rsidR="00602269" w:rsidRPr="00A30306" w:rsidRDefault="00602269" w:rsidP="00225D4A">
            <w:pPr>
              <w:contextualSpacing/>
              <w:jc w:val="center"/>
              <w:rPr>
                <w:rFonts w:ascii="Arial" w:hAnsi="Arial" w:cs="Arial"/>
                <w:bCs/>
                <w:sz w:val="18"/>
                <w:szCs w:val="18"/>
              </w:rPr>
            </w:pPr>
            <w:r w:rsidRPr="00A30306">
              <w:rPr>
                <w:rFonts w:ascii="Arial" w:hAnsi="Arial" w:cs="Arial"/>
                <w:bCs/>
                <w:sz w:val="18"/>
                <w:szCs w:val="18"/>
              </w:rPr>
              <w:t>0534/2020</w:t>
            </w:r>
          </w:p>
        </w:tc>
        <w:tc>
          <w:tcPr>
            <w:tcW w:w="1275" w:type="dxa"/>
            <w:shd w:val="clear" w:color="auto" w:fill="auto"/>
          </w:tcPr>
          <w:p w:rsidR="00602269" w:rsidRPr="00A30306" w:rsidRDefault="00602269" w:rsidP="00225D4A">
            <w:pPr>
              <w:contextualSpacing/>
              <w:jc w:val="center"/>
              <w:rPr>
                <w:rFonts w:ascii="Arial" w:hAnsi="Arial" w:cs="Arial"/>
                <w:bCs/>
                <w:sz w:val="18"/>
                <w:szCs w:val="18"/>
              </w:rPr>
            </w:pPr>
            <w:r w:rsidRPr="00A30306">
              <w:rPr>
                <w:rFonts w:ascii="Arial" w:hAnsi="Arial" w:cs="Arial"/>
                <w:bCs/>
                <w:sz w:val="18"/>
                <w:szCs w:val="18"/>
              </w:rPr>
              <w:t>23/10/2020</w:t>
            </w:r>
          </w:p>
        </w:tc>
        <w:tc>
          <w:tcPr>
            <w:tcW w:w="1340" w:type="dxa"/>
            <w:shd w:val="clear" w:color="auto" w:fill="auto"/>
          </w:tcPr>
          <w:p w:rsidR="00602269" w:rsidRPr="00196D13" w:rsidRDefault="00602269" w:rsidP="00225D4A">
            <w:pPr>
              <w:contextualSpacing/>
              <w:jc w:val="center"/>
              <w:rPr>
                <w:rFonts w:ascii="Arial" w:hAnsi="Arial" w:cs="Arial"/>
                <w:bCs/>
                <w:sz w:val="18"/>
                <w:szCs w:val="18"/>
              </w:rPr>
            </w:pPr>
            <w:r w:rsidRPr="00196D13">
              <w:rPr>
                <w:rFonts w:ascii="Arial" w:hAnsi="Arial" w:cs="Arial"/>
                <w:bCs/>
                <w:sz w:val="18"/>
                <w:szCs w:val="18"/>
              </w:rPr>
              <w:t>RAPHAEL MOURA</w:t>
            </w:r>
          </w:p>
        </w:tc>
        <w:tc>
          <w:tcPr>
            <w:tcW w:w="4395" w:type="dxa"/>
            <w:shd w:val="clear" w:color="auto" w:fill="auto"/>
          </w:tcPr>
          <w:p w:rsidR="00602269" w:rsidRPr="00A30306" w:rsidRDefault="00602269" w:rsidP="003C7214">
            <w:pPr>
              <w:contextualSpacing/>
              <w:jc w:val="both"/>
              <w:rPr>
                <w:rFonts w:ascii="Arial" w:hAnsi="Arial" w:cs="Arial"/>
                <w:bCs/>
                <w:sz w:val="18"/>
                <w:szCs w:val="18"/>
              </w:rPr>
            </w:pPr>
            <w:r w:rsidRPr="00A30306">
              <w:rPr>
                <w:rFonts w:ascii="Arial" w:hAnsi="Arial" w:cs="Arial"/>
                <w:bCs/>
                <w:sz w:val="18"/>
                <w:szCs w:val="18"/>
              </w:rPr>
              <w:t>A Diretoria da Agência Nacional do Petróleo, Gás Natural e Biocombustíveis - ANP, com base na Proposta de Ação nº 0602, de 9 de outubro de 2020, resolve: I) alterar a estrutura da Agência Nacional do Petróleo, Gás Natural e Biocombustíveis: De: 1 (um) CCT-V Para: 1 (um) CCT-IV; e II) alterar os anexos II e III do Regimento Interno da ANP, publicado na Portaria ANP nº 265, de 10 de setembro de 2020, publicado no Diário Oficial da União de 11 de setembro de 2020, conforme arquivo anexo à esta Proposta de Ação.</w:t>
            </w:r>
          </w:p>
        </w:tc>
      </w:tr>
      <w:tr w:rsidR="00602269" w:rsidRPr="00A30306" w:rsidTr="00225D4A">
        <w:tc>
          <w:tcPr>
            <w:tcW w:w="16444" w:type="dxa"/>
            <w:gridSpan w:val="9"/>
            <w:shd w:val="clear" w:color="auto" w:fill="auto"/>
          </w:tcPr>
          <w:p w:rsidR="00602269" w:rsidRPr="00333944" w:rsidRDefault="00602269" w:rsidP="00225D4A">
            <w:pPr>
              <w:pStyle w:val="NormalWeb"/>
              <w:spacing w:before="0" w:beforeAutospacing="0" w:after="0" w:afterAutospacing="0"/>
              <w:contextualSpacing/>
              <w:rPr>
                <w:rFonts w:ascii="Arial" w:eastAsiaTheme="minorHAnsi" w:hAnsi="Arial" w:cs="Arial"/>
                <w:b/>
                <w:sz w:val="18"/>
                <w:szCs w:val="18"/>
                <w:lang w:eastAsia="en-US"/>
              </w:rPr>
            </w:pPr>
            <w:r w:rsidRPr="00333944">
              <w:rPr>
                <w:rFonts w:ascii="Arial" w:eastAsiaTheme="minorHAnsi" w:hAnsi="Arial" w:cs="Arial"/>
                <w:b/>
                <w:sz w:val="18"/>
                <w:szCs w:val="18"/>
                <w:lang w:eastAsia="en-US"/>
              </w:rPr>
              <w:t>PA = Proposta de Ação</w:t>
            </w:r>
          </w:p>
          <w:p w:rsidR="00602269" w:rsidRPr="00A30306" w:rsidRDefault="00602269" w:rsidP="00225D4A">
            <w:pPr>
              <w:contextualSpacing/>
              <w:rPr>
                <w:rFonts w:ascii="Arial" w:hAnsi="Arial" w:cs="Arial"/>
                <w:bCs/>
                <w:sz w:val="18"/>
                <w:szCs w:val="18"/>
              </w:rPr>
            </w:pPr>
            <w:r>
              <w:rPr>
                <w:rFonts w:ascii="Arial" w:hAnsi="Arial" w:cs="Arial"/>
                <w:b/>
                <w:sz w:val="18"/>
                <w:szCs w:val="18"/>
              </w:rPr>
              <w:t>U</w:t>
            </w:r>
            <w:r w:rsidRPr="00333944">
              <w:rPr>
                <w:rFonts w:ascii="Arial" w:hAnsi="Arial" w:cs="Arial"/>
                <w:b/>
                <w:sz w:val="18"/>
                <w:szCs w:val="18"/>
              </w:rPr>
              <w:t>ORG = Unidade Organizacional</w:t>
            </w:r>
          </w:p>
        </w:tc>
      </w:tr>
    </w:tbl>
    <w:p w:rsidR="00D21680" w:rsidRDefault="00D21680"/>
    <w:sectPr w:rsidR="00D21680" w:rsidSect="00602269">
      <w:headerReference w:type="default" r:id="rId6"/>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413" w:rsidRDefault="00B83413" w:rsidP="00602269">
      <w:pPr>
        <w:spacing w:after="0" w:line="240" w:lineRule="auto"/>
      </w:pPr>
      <w:r>
        <w:separator/>
      </w:r>
    </w:p>
  </w:endnote>
  <w:endnote w:type="continuationSeparator" w:id="0">
    <w:p w:rsidR="00B83413" w:rsidRDefault="00B83413" w:rsidP="00602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413" w:rsidRDefault="00B83413" w:rsidP="00602269">
      <w:pPr>
        <w:spacing w:after="0" w:line="240" w:lineRule="auto"/>
      </w:pPr>
      <w:r>
        <w:separator/>
      </w:r>
    </w:p>
  </w:footnote>
  <w:footnote w:type="continuationSeparator" w:id="0">
    <w:p w:rsidR="00B83413" w:rsidRDefault="00B83413" w:rsidP="00602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269" w:rsidRDefault="00B83413">
    <w:pPr>
      <w:pStyle w:val="Cabealho"/>
    </w:pPr>
    <w:r>
      <w:rPr>
        <w:noProof/>
      </w:rPr>
      <w:object w:dxaOrig="1440" w:dyaOrig="1440" w14:anchorId="6D08A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7pt;margin-top:-19.6pt;width:133.25pt;height:57.8pt;z-index:251658240">
          <v:imagedata r:id="rId1" o:title=""/>
          <w10:wrap type="topAndBottom" anchorx="page"/>
        </v:shape>
        <o:OLEObject Type="Embed" ProgID="MSPhotoEd.3" ShapeID="_x0000_s2049" DrawAspect="Content" ObjectID="_1696087592"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69"/>
    <w:rsid w:val="00032B09"/>
    <w:rsid w:val="000D26AC"/>
    <w:rsid w:val="000E4B00"/>
    <w:rsid w:val="002207F1"/>
    <w:rsid w:val="00232C48"/>
    <w:rsid w:val="00251DD4"/>
    <w:rsid w:val="00293E3C"/>
    <w:rsid w:val="00301AA9"/>
    <w:rsid w:val="003133D3"/>
    <w:rsid w:val="00354A26"/>
    <w:rsid w:val="00356CF4"/>
    <w:rsid w:val="003C7214"/>
    <w:rsid w:val="00413DFD"/>
    <w:rsid w:val="004632D4"/>
    <w:rsid w:val="00464774"/>
    <w:rsid w:val="0048545B"/>
    <w:rsid w:val="00493E0F"/>
    <w:rsid w:val="004C63DD"/>
    <w:rsid w:val="00520FEE"/>
    <w:rsid w:val="00532F87"/>
    <w:rsid w:val="005D1F0E"/>
    <w:rsid w:val="00602269"/>
    <w:rsid w:val="0063297F"/>
    <w:rsid w:val="0070244C"/>
    <w:rsid w:val="00723E9D"/>
    <w:rsid w:val="007C5485"/>
    <w:rsid w:val="007D1DB8"/>
    <w:rsid w:val="00875ADF"/>
    <w:rsid w:val="00885A8D"/>
    <w:rsid w:val="008D1B31"/>
    <w:rsid w:val="008E123A"/>
    <w:rsid w:val="008F12CF"/>
    <w:rsid w:val="00915476"/>
    <w:rsid w:val="00921BEA"/>
    <w:rsid w:val="00964802"/>
    <w:rsid w:val="00966BD4"/>
    <w:rsid w:val="00A17E3A"/>
    <w:rsid w:val="00A21868"/>
    <w:rsid w:val="00A4195B"/>
    <w:rsid w:val="00A64779"/>
    <w:rsid w:val="00A77678"/>
    <w:rsid w:val="00A77ACA"/>
    <w:rsid w:val="00AD22F5"/>
    <w:rsid w:val="00AF61B4"/>
    <w:rsid w:val="00B83413"/>
    <w:rsid w:val="00BB69D9"/>
    <w:rsid w:val="00BD1269"/>
    <w:rsid w:val="00C62B76"/>
    <w:rsid w:val="00C640F0"/>
    <w:rsid w:val="00CE1C4D"/>
    <w:rsid w:val="00D20D51"/>
    <w:rsid w:val="00D21680"/>
    <w:rsid w:val="00D30953"/>
    <w:rsid w:val="00D857F6"/>
    <w:rsid w:val="00EA5987"/>
    <w:rsid w:val="00F40F7A"/>
    <w:rsid w:val="00F93F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4F69106-DEEE-4BAE-81CB-9E63CFBB9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02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2269"/>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4"/>
      <w:szCs w:val="24"/>
      <w:lang w:eastAsia="pt-BR"/>
    </w:rPr>
  </w:style>
  <w:style w:type="paragraph" w:customStyle="1" w:styleId="textoalinhadoesquerdaespacamentosimples">
    <w:name w:val="texto_alinhado_esquerda_espacamento_simples"/>
    <w:basedOn w:val="Normal"/>
    <w:rsid w:val="00602269"/>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6022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2269"/>
  </w:style>
  <w:style w:type="paragraph" w:styleId="Rodap">
    <w:name w:val="footer"/>
    <w:basedOn w:val="Normal"/>
    <w:link w:val="RodapChar"/>
    <w:uiPriority w:val="99"/>
    <w:unhideWhenUsed/>
    <w:rsid w:val="00602269"/>
    <w:pPr>
      <w:tabs>
        <w:tab w:val="center" w:pos="4252"/>
        <w:tab w:val="right" w:pos="8504"/>
      </w:tabs>
      <w:spacing w:after="0" w:line="240" w:lineRule="auto"/>
    </w:pPr>
  </w:style>
  <w:style w:type="character" w:customStyle="1" w:styleId="RodapChar">
    <w:name w:val="Rodapé Char"/>
    <w:basedOn w:val="Fontepargpadro"/>
    <w:link w:val="Rodap"/>
    <w:uiPriority w:val="99"/>
    <w:rsid w:val="00602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4401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da Cunha Esteves</dc:creator>
  <cp:keywords/>
  <dc:description/>
  <cp:lastModifiedBy>Simone Goulart dos Santos</cp:lastModifiedBy>
  <cp:revision>2</cp:revision>
  <dcterms:created xsi:type="dcterms:W3CDTF">2021-10-18T21:40:00Z</dcterms:created>
  <dcterms:modified xsi:type="dcterms:W3CDTF">2021-10-18T21:40:00Z</dcterms:modified>
</cp:coreProperties>
</file>