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6C6D" w14:textId="5030D062" w:rsidR="00087A06" w:rsidRDefault="00803C53" w:rsidP="000E393D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  <w:r w:rsidRPr="00803C53">
        <w:rPr>
          <w:rFonts w:asciiTheme="minorHAnsi" w:hAnsiTheme="minorHAnsi" w:cstheme="minorHAnsi"/>
          <w:color w:val="000000"/>
        </w:rPr>
        <w:t xml:space="preserve">Agência Nacional </w:t>
      </w:r>
      <w:r>
        <w:rPr>
          <w:rFonts w:asciiTheme="minorHAnsi" w:hAnsiTheme="minorHAnsi" w:cstheme="minorHAnsi"/>
          <w:color w:val="000000"/>
        </w:rPr>
        <w:t>d</w:t>
      </w:r>
      <w:r w:rsidRPr="00803C53">
        <w:rPr>
          <w:rFonts w:asciiTheme="minorHAnsi" w:hAnsiTheme="minorHAnsi" w:cstheme="minorHAnsi"/>
          <w:color w:val="000000"/>
        </w:rPr>
        <w:t xml:space="preserve">o Petróleo, Gás Natural </w:t>
      </w:r>
      <w:r>
        <w:rPr>
          <w:rFonts w:asciiTheme="minorHAnsi" w:hAnsiTheme="minorHAnsi" w:cstheme="minorHAnsi"/>
          <w:color w:val="000000"/>
        </w:rPr>
        <w:t>e</w:t>
      </w:r>
      <w:r w:rsidRPr="00803C53">
        <w:rPr>
          <w:rFonts w:asciiTheme="minorHAnsi" w:hAnsiTheme="minorHAnsi" w:cstheme="minorHAnsi"/>
          <w:color w:val="000000"/>
        </w:rPr>
        <w:t xml:space="preserve"> Biocombustíveis – ANP</w:t>
      </w:r>
    </w:p>
    <w:p w14:paraId="279B8C62" w14:textId="77777777" w:rsidR="00803C53" w:rsidRPr="007E190E" w:rsidRDefault="00803C53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</w:p>
    <w:p w14:paraId="7ED643CC" w14:textId="068CD6D7" w:rsidR="00087A06" w:rsidRPr="007E190E" w:rsidRDefault="00087A06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  <w:r w:rsidRPr="007E190E">
        <w:rPr>
          <w:rFonts w:asciiTheme="minorHAnsi" w:hAnsiTheme="minorHAnsi" w:cstheme="minorHAnsi"/>
          <w:color w:val="000000"/>
        </w:rPr>
        <w:t xml:space="preserve">AVISO DE CONSULTA PÚBLICA E AUDIÊNCIA PÚBLICA Nº </w:t>
      </w:r>
      <w:r w:rsidR="00E77056">
        <w:rPr>
          <w:rFonts w:asciiTheme="minorHAnsi" w:hAnsiTheme="minorHAnsi" w:cstheme="minorHAnsi"/>
          <w:color w:val="000000"/>
        </w:rPr>
        <w:t>06/2020</w:t>
      </w:r>
      <w:bookmarkStart w:id="0" w:name="_GoBack"/>
      <w:bookmarkEnd w:id="0"/>
    </w:p>
    <w:p w14:paraId="12DCD674" w14:textId="4BF83B9B" w:rsidR="00F637D5" w:rsidRDefault="00F637D5" w:rsidP="000E393D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</w:p>
    <w:p w14:paraId="0D137733" w14:textId="77777777" w:rsidR="00890E28" w:rsidRPr="007E190E" w:rsidRDefault="00890E28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</w:p>
    <w:p w14:paraId="756F7966" w14:textId="3DE5D0F1" w:rsidR="009A7F98" w:rsidRPr="007E190E" w:rsidRDefault="00087A06" w:rsidP="007E190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7E190E">
        <w:rPr>
          <w:rFonts w:asciiTheme="minorHAnsi" w:hAnsiTheme="minorHAnsi" w:cstheme="minorHAnsi"/>
          <w:b/>
          <w:bCs/>
        </w:rPr>
        <w:t>A DIRETORIA DA AGÊNCIA NACIONAL DO PETRÓLEO, GÁS NATURAL E BIOCOMBUSTÍVEIS – ANP</w:t>
      </w:r>
      <w:r w:rsidRPr="007E190E">
        <w:rPr>
          <w:rFonts w:asciiTheme="minorHAnsi" w:hAnsiTheme="minorHAnsi" w:cstheme="minorHAnsi"/>
        </w:rPr>
        <w:t>,</w:t>
      </w:r>
      <w:r w:rsidRPr="007E190E">
        <w:rPr>
          <w:rFonts w:asciiTheme="minorHAnsi" w:hAnsiTheme="minorHAnsi" w:cstheme="minorHAnsi"/>
          <w:color w:val="000000"/>
        </w:rPr>
        <w:t xml:space="preserve"> no uso de suas atribuições legais, </w:t>
      </w:r>
      <w:r w:rsidRPr="00522DBB">
        <w:rPr>
          <w:rFonts w:asciiTheme="minorHAnsi" w:hAnsiTheme="minorHAnsi" w:cstheme="minorHAnsi"/>
          <w:color w:val="000000"/>
        </w:rPr>
        <w:t xml:space="preserve">com base </w:t>
      </w:r>
      <w:r w:rsidR="00B421A3" w:rsidRPr="00522DBB">
        <w:rPr>
          <w:rFonts w:asciiTheme="minorHAnsi" w:hAnsiTheme="minorHAnsi" w:cstheme="minorHAnsi"/>
          <w:color w:val="000000"/>
        </w:rPr>
        <w:t>na</w:t>
      </w:r>
      <w:r w:rsidRPr="00522DBB">
        <w:rPr>
          <w:rFonts w:asciiTheme="minorHAnsi" w:hAnsiTheme="minorHAnsi" w:cstheme="minorHAnsi"/>
          <w:color w:val="000000"/>
        </w:rPr>
        <w:t xml:space="preserve"> </w:t>
      </w:r>
      <w:r w:rsidR="00B421A3" w:rsidRPr="00522DBB">
        <w:rPr>
          <w:rFonts w:asciiTheme="minorHAnsi" w:hAnsiTheme="minorHAnsi" w:cstheme="minorHAnsi"/>
          <w:color w:val="000000"/>
        </w:rPr>
        <w:t>Resolução de Diretoria</w:t>
      </w:r>
      <w:r w:rsidR="00B421A3" w:rsidRPr="00DF605A">
        <w:rPr>
          <w:rFonts w:asciiTheme="minorHAnsi" w:hAnsiTheme="minorHAnsi" w:cstheme="minorHAnsi"/>
          <w:bCs/>
          <w:color w:val="FF0000"/>
        </w:rPr>
        <w:t xml:space="preserve"> </w:t>
      </w:r>
      <w:r w:rsidR="00B421A3" w:rsidRPr="00522DBB">
        <w:rPr>
          <w:rFonts w:asciiTheme="minorHAnsi" w:hAnsiTheme="minorHAnsi" w:cstheme="minorHAnsi"/>
          <w:color w:val="000000"/>
        </w:rPr>
        <w:t>nº</w:t>
      </w:r>
      <w:r w:rsidR="00B421A3" w:rsidRPr="00DF605A">
        <w:rPr>
          <w:rFonts w:asciiTheme="minorHAnsi" w:hAnsiTheme="minorHAnsi" w:cstheme="minorHAnsi"/>
          <w:bCs/>
          <w:color w:val="FF0000"/>
        </w:rPr>
        <w:t xml:space="preserve"> </w:t>
      </w:r>
      <w:r w:rsidR="00522DBB" w:rsidRPr="00522DBB">
        <w:rPr>
          <w:rFonts w:asciiTheme="minorHAnsi" w:hAnsiTheme="minorHAnsi" w:cstheme="minorHAnsi"/>
          <w:color w:val="000000"/>
        </w:rPr>
        <w:t>0303</w:t>
      </w:r>
      <w:r w:rsidR="00B421A3" w:rsidRPr="00621F5F">
        <w:rPr>
          <w:rFonts w:asciiTheme="minorHAnsi" w:hAnsiTheme="minorHAnsi" w:cstheme="minorHAnsi"/>
          <w:bCs/>
        </w:rPr>
        <w:t xml:space="preserve">, de </w:t>
      </w:r>
      <w:r w:rsidR="00522DBB">
        <w:rPr>
          <w:rFonts w:asciiTheme="minorHAnsi" w:hAnsiTheme="minorHAnsi" w:cstheme="minorHAnsi"/>
          <w:bCs/>
        </w:rPr>
        <w:t>02 de julho de 2020</w:t>
      </w:r>
      <w:r w:rsidR="00DF605A">
        <w:rPr>
          <w:rFonts w:ascii="Calibri" w:hAnsi="Calibri"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F605A">
        <w:rPr>
          <w:rFonts w:asciiTheme="minorHAnsi" w:hAnsiTheme="minorHAnsi" w:cstheme="minorHAnsi"/>
          <w:bCs/>
        </w:rPr>
        <w:t xml:space="preserve"> e</w:t>
      </w:r>
      <w:r w:rsidR="00B421A3" w:rsidRPr="007E190E">
        <w:rPr>
          <w:rFonts w:asciiTheme="minorHAnsi" w:hAnsiTheme="minorHAnsi" w:cstheme="minorHAnsi"/>
          <w:bCs/>
        </w:rPr>
        <w:t xml:space="preserve"> no que consta no processo</w:t>
      </w:r>
      <w:r w:rsidRPr="007E190E">
        <w:rPr>
          <w:rFonts w:asciiTheme="minorHAnsi" w:hAnsiTheme="minorHAnsi" w:cstheme="minorHAnsi"/>
          <w:color w:val="000000"/>
        </w:rPr>
        <w:t xml:space="preserve"> n</w:t>
      </w:r>
      <w:r w:rsidR="00F54184">
        <w:rPr>
          <w:rFonts w:asciiTheme="minorHAnsi" w:hAnsiTheme="minorHAnsi" w:cstheme="minorHAnsi"/>
          <w:color w:val="000000"/>
        </w:rPr>
        <w:t>º</w:t>
      </w:r>
      <w:r w:rsidRPr="007E190E">
        <w:rPr>
          <w:rFonts w:asciiTheme="minorHAnsi" w:hAnsiTheme="minorHAnsi" w:cstheme="minorHAnsi"/>
          <w:color w:val="000000"/>
        </w:rPr>
        <w:t xml:space="preserve"> </w:t>
      </w:r>
      <w:r w:rsidR="00F62F20" w:rsidRPr="00F62F20">
        <w:rPr>
          <w:rFonts w:asciiTheme="minorHAnsi" w:hAnsiTheme="minorHAnsi" w:cstheme="minorHAnsi"/>
          <w:color w:val="000000"/>
        </w:rPr>
        <w:t>48610.204049/2020-30</w:t>
      </w:r>
      <w:r w:rsidRPr="007E190E">
        <w:rPr>
          <w:rFonts w:asciiTheme="minorHAnsi" w:hAnsiTheme="minorHAnsi" w:cstheme="minorHAnsi"/>
          <w:color w:val="000000"/>
        </w:rPr>
        <w:t>,</w:t>
      </w:r>
      <w:r w:rsidR="00F637D5" w:rsidRPr="007E190E">
        <w:rPr>
          <w:rFonts w:asciiTheme="minorHAnsi" w:hAnsiTheme="minorHAnsi" w:cstheme="minorHAnsi"/>
          <w:color w:val="000000"/>
        </w:rPr>
        <w:t xml:space="preserve"> </w:t>
      </w:r>
      <w:r w:rsidR="009A7F98" w:rsidRPr="007E190E">
        <w:rPr>
          <w:rFonts w:asciiTheme="minorHAnsi" w:hAnsiTheme="minorHAnsi" w:cstheme="minorHAnsi"/>
          <w:color w:val="000000"/>
        </w:rPr>
        <w:t>COMUNICA:</w:t>
      </w:r>
    </w:p>
    <w:p w14:paraId="2C0FAEFB" w14:textId="77777777" w:rsidR="00F637D5" w:rsidRPr="008823E9" w:rsidRDefault="00F637D5" w:rsidP="007E190E">
      <w:pPr>
        <w:pStyle w:val="NormalWeb"/>
        <w:spacing w:before="0" w:beforeAutospacing="0" w:after="120" w:afterAutospacing="0"/>
        <w:jc w:val="both"/>
        <w:rPr>
          <w:rFonts w:cstheme="minorHAnsi"/>
          <w:color w:val="000000"/>
        </w:rPr>
      </w:pPr>
    </w:p>
    <w:p w14:paraId="509145F9" w14:textId="07774148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Aos agentes econômicos do setor </w:t>
      </w:r>
      <w:r w:rsidR="00F62F20" w:rsidRPr="00F62F2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do setor de exploração e produção de petróleo e gás natural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e aos demais interessados que realizará Audiência Pública, precedida de Consulta Pública, com as características apresentadas a seguir</w:t>
      </w:r>
      <w:r w:rsidR="00F637D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0364E7A" w14:textId="5096720C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1. Objetivo</w:t>
      </w:r>
    </w:p>
    <w:p w14:paraId="6E6D832C" w14:textId="0E2A3BAB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1.1 Obter subsídios e informações adicionais sobre </w:t>
      </w:r>
      <w:r w:rsidR="00B421A3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minuta de </w:t>
      </w:r>
      <w:r w:rsidR="00F221DD">
        <w:rPr>
          <w:rFonts w:eastAsia="Times New Roman" w:cstheme="minorHAnsi"/>
          <w:color w:val="000000"/>
          <w:sz w:val="24"/>
          <w:szCs w:val="24"/>
          <w:lang w:eastAsia="pt-BR"/>
        </w:rPr>
        <w:t>r</w:t>
      </w:r>
      <w:r w:rsidR="00B421A3" w:rsidRPr="007E190E">
        <w:rPr>
          <w:rFonts w:eastAsia="Times New Roman" w:cstheme="minorHAnsi"/>
          <w:color w:val="000000"/>
          <w:sz w:val="24"/>
          <w:szCs w:val="24"/>
          <w:lang w:eastAsia="pt-BR"/>
        </w:rPr>
        <w:t>esolução que</w:t>
      </w:r>
      <w:r w:rsidR="00F62F2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F62F20" w:rsidRPr="00F62F20">
        <w:rPr>
          <w:rFonts w:eastAsia="Times New Roman" w:cstheme="minorHAnsi"/>
          <w:color w:val="000000"/>
          <w:sz w:val="24"/>
          <w:szCs w:val="24"/>
          <w:lang w:eastAsia="pt-BR"/>
        </w:rPr>
        <w:t>altera o Regulamento Técnico do Relatório de Gastos Trimestrais com Exploração, Desenvolvimento e Produção anexo à Portaria ANP nº 180, de 5 de junho de 2003, que estabelece normas para a elaboração das demonstrações contábeis e financeiras e para a comprovação dos percentuais mínimos de investimentos locais nas fases de exploração e de desenvolvimento previstos nos contratos de concessão</w:t>
      </w:r>
      <w:r w:rsidR="000772C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A4E1BB4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1.2 Propiciar aos agentes econômicos e aos demais interessados a possibilidade de encaminhamento de opiniões e sugestões.</w:t>
      </w:r>
    </w:p>
    <w:p w14:paraId="2189B7D0" w14:textId="64094D74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1.3 Identificar, da forma mais ampla possível, todos os aspectos relevantes à matéria objeto da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Consulta e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ública.</w:t>
      </w:r>
    </w:p>
    <w:p w14:paraId="3B5D5DEF" w14:textId="205EEB32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1.4 Dar publicidade, transparência e legitimidade às ações da ANP.</w:t>
      </w:r>
    </w:p>
    <w:p w14:paraId="74719C07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7E97C95" w14:textId="0FE786B6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2. Disponibilização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 Informações</w:t>
      </w:r>
    </w:p>
    <w:p w14:paraId="47161857" w14:textId="18E06B43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2.1 A minuta de </w:t>
      </w:r>
      <w:r w:rsidR="00C53378">
        <w:rPr>
          <w:rFonts w:eastAsia="Times New Roman" w:cstheme="minorHAnsi"/>
          <w:color w:val="000000"/>
          <w:sz w:val="24"/>
          <w:szCs w:val="24"/>
          <w:lang w:eastAsia="pt-BR"/>
        </w:rPr>
        <w:t>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esolução objeto desta 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Consulta e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Audiência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Pública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, estará à disposição dos interessados no seguinte</w:t>
      </w:r>
      <w:r w:rsidR="003C0CF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endereço</w:t>
      </w:r>
      <w:r w:rsidR="00543CB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eletrônico </w:t>
      </w:r>
      <w:hyperlink r:id="rId9" w:history="1">
        <w:r w:rsidR="000E393D" w:rsidRPr="007E190E">
          <w:rPr>
            <w:rStyle w:val="Hyperlink"/>
            <w:rFonts w:cstheme="minorHAnsi"/>
          </w:rPr>
          <w:t>www.anp.gov.br/consultas-e-audiencias-publicas</w:t>
        </w:r>
      </w:hyperlink>
      <w:r w:rsidR="000E393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461EBE11" w14:textId="77777777" w:rsidR="000E393D" w:rsidRPr="007E190E" w:rsidRDefault="000E393D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002390A" w14:textId="2C698814" w:rsidR="009A7F98" w:rsidRPr="007E190E" w:rsidRDefault="00C31EA3" w:rsidP="007E190E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DA CONSULTA PÚBLICA</w:t>
      </w:r>
    </w:p>
    <w:p w14:paraId="1052F4ED" w14:textId="493D5A9B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3. Prazo</w:t>
      </w:r>
    </w:p>
    <w:p w14:paraId="598AD5BA" w14:textId="7AAA93ED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3.1 O prazo da Consulta Pública </w:t>
      </w:r>
      <w:r w:rsidR="00E82146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="000772C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45 (quarenta e cinco)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dias, contados a partir da publicação deste Aviso no Diário Oficial da União, excluindo-se da contagem o dia do começo e incluindo-se o do vencimento.</w:t>
      </w:r>
    </w:p>
    <w:p w14:paraId="32F3112C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E363229" w14:textId="1C0A4970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4. Envio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Comentários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Sugestões</w:t>
      </w:r>
    </w:p>
    <w:p w14:paraId="402F36D2" w14:textId="64738A5A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4.1 Os comentários</w:t>
      </w:r>
      <w:r w:rsidR="006A49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sugestões deverão ser encaminhados à ANP para o endereço eletrônico: </w:t>
      </w:r>
      <w:r w:rsidR="00F62F20" w:rsidRPr="00AD14F7">
        <w:rPr>
          <w:sz w:val="24"/>
          <w:szCs w:val="24"/>
        </w:rPr>
        <w:t>scl@anp.gov.br</w:t>
      </w:r>
      <w:r w:rsidRPr="003937D7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por meio de formulário próprio disponibilizado no endereço indicado</w:t>
      </w:r>
      <w:r w:rsidR="003C0CF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no item 2.1 deste aviso</w:t>
      </w:r>
      <w:r w:rsidR="000E393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63E514E" w14:textId="62D61498" w:rsidR="000E393D" w:rsidRDefault="000E393D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9E101AE" w14:textId="580A50B8" w:rsidR="005A135F" w:rsidRDefault="005A135F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EC77AE3" w14:textId="77777777" w:rsidR="005A135F" w:rsidRPr="007E190E" w:rsidRDefault="005A135F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E56EDA7" w14:textId="6B009F45" w:rsidR="009A7F98" w:rsidRPr="007E190E" w:rsidRDefault="00C31EA3" w:rsidP="007E190E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DA AUDIÊNCIA PÚBLICA</w:t>
      </w:r>
    </w:p>
    <w:p w14:paraId="17E817EE" w14:textId="720E0EE9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5. Data</w:t>
      </w:r>
    </w:p>
    <w:p w14:paraId="1085836A" w14:textId="70E68B30" w:rsidR="00E63FDB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5.1 A Audiência Pública ocorrerá 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no dia </w:t>
      </w:r>
      <w:r w:rsidR="005A135F">
        <w:rPr>
          <w:rFonts w:eastAsia="Times New Roman" w:cstheme="minorHAnsi"/>
          <w:color w:val="000000"/>
          <w:sz w:val="24"/>
          <w:szCs w:val="24"/>
          <w:lang w:eastAsia="pt-BR"/>
        </w:rPr>
        <w:t>09 de setembro de 2020</w:t>
      </w:r>
      <w:r w:rsidR="00D55F42" w:rsidRPr="003937D7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das </w:t>
      </w:r>
      <w:r w:rsidR="00FE48FB">
        <w:rPr>
          <w:rFonts w:eastAsia="Times New Roman" w:cstheme="minorHAnsi"/>
          <w:color w:val="000000"/>
          <w:sz w:val="24"/>
          <w:szCs w:val="24"/>
          <w:lang w:eastAsia="pt-BR"/>
        </w:rPr>
        <w:t>10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às </w:t>
      </w:r>
      <w:r w:rsidR="005A135F">
        <w:rPr>
          <w:rFonts w:eastAsia="Times New Roman" w:cstheme="minorHAnsi"/>
          <w:color w:val="000000"/>
          <w:sz w:val="24"/>
          <w:szCs w:val="24"/>
          <w:lang w:eastAsia="pt-BR"/>
        </w:rPr>
        <w:t>12 h</w:t>
      </w:r>
      <w:r w:rsidR="00FE48FB">
        <w:rPr>
          <w:rFonts w:eastAsia="Times New Roman" w:cstheme="minorHAnsi"/>
          <w:color w:val="000000"/>
          <w:sz w:val="24"/>
          <w:szCs w:val="24"/>
          <w:lang w:eastAsia="pt-BR"/>
        </w:rPr>
        <w:t>oras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B41FD0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por meio de videoconferência</w:t>
      </w:r>
      <w:r w:rsidR="00E63FDB" w:rsidRPr="007E190E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B41FD0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nos termos da Resolução ANP nº 822, de 23 de junho de 2020</w:t>
      </w:r>
      <w:r w:rsidR="00E63FDB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3DEACD78" w14:textId="31E68D5E" w:rsidR="009A7F98" w:rsidRDefault="00E63FDB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5.2. O acesso à videoconferência, incluindo orientações quanto à forma de participação e manifestação dos interessados, será disponibilizado na página do evento, no sítio eletrônico da ANP, com antecedência mínima de cinco dias da data de realização da Audiência Pública</w:t>
      </w:r>
      <w:r w:rsidR="009A7F98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4CA1474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3D93D6C" w14:textId="02359F88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6. Forma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Participação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Cadastramento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Expositores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 Audiência Pública</w:t>
      </w:r>
    </w:p>
    <w:p w14:paraId="7016475A" w14:textId="2E084545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6.1 As inscrições de expositores interessados em se manifestar verbalmente durante a Audiência </w:t>
      </w:r>
      <w:r w:rsidR="00863B8C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Pública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deverão ser realizadas até </w:t>
      </w:r>
      <w:r w:rsidR="00044A2C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 </w:t>
      </w:r>
      <w:r w:rsidR="005A135F">
        <w:rPr>
          <w:rFonts w:eastAsia="Times New Roman" w:cstheme="minorHAnsi"/>
          <w:color w:val="000000"/>
          <w:sz w:val="24"/>
          <w:szCs w:val="24"/>
          <w:lang w:eastAsia="pt-BR"/>
        </w:rPr>
        <w:t>18 h</w:t>
      </w:r>
      <w:r w:rsidR="00FE48FB">
        <w:rPr>
          <w:rFonts w:eastAsia="Times New Roman" w:cstheme="minorHAnsi"/>
          <w:color w:val="000000"/>
          <w:sz w:val="24"/>
          <w:szCs w:val="24"/>
          <w:lang w:eastAsia="pt-BR"/>
        </w:rPr>
        <w:t>oras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do dia </w:t>
      </w:r>
      <w:r w:rsidR="00586845">
        <w:rPr>
          <w:rFonts w:eastAsia="Times New Roman" w:cstheme="minorHAnsi"/>
          <w:color w:val="000000"/>
          <w:sz w:val="24"/>
          <w:szCs w:val="24"/>
          <w:lang w:eastAsia="pt-BR"/>
        </w:rPr>
        <w:t>02 setembro de 2020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por meio de formulário próprio disponibilizado no endereço indicado no item 2.1 deste aviso, a ser encaminhado para o endereço eletrônico: </w:t>
      </w:r>
      <w:r w:rsidR="00586845" w:rsidRPr="00AD14F7">
        <w:rPr>
          <w:sz w:val="24"/>
          <w:szCs w:val="24"/>
        </w:rPr>
        <w:t>scl@anp.gov.br</w:t>
      </w:r>
      <w:r w:rsidR="00586845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21BC2FEC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14:paraId="4B873DAF" w14:textId="26D8D4B0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6.3 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Os arquivos eletrônicos a serem utilizados pelos expositores durante 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ública deverão ser previamente enviados à ANP, que será a responsável por sua projeção durante a sessão pública, até </w:t>
      </w:r>
      <w:r w:rsidR="003A4A74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 </w:t>
      </w:r>
      <w:r w:rsidR="00586845">
        <w:rPr>
          <w:rFonts w:eastAsia="Times New Roman" w:cstheme="minorHAnsi"/>
          <w:color w:val="000000"/>
          <w:sz w:val="24"/>
          <w:szCs w:val="24"/>
          <w:lang w:eastAsia="pt-BR"/>
        </w:rPr>
        <w:t>18 h</w:t>
      </w:r>
      <w:r w:rsidR="00FE48FB">
        <w:rPr>
          <w:rFonts w:eastAsia="Times New Roman" w:cstheme="minorHAnsi"/>
          <w:color w:val="000000"/>
          <w:sz w:val="24"/>
          <w:szCs w:val="24"/>
          <w:lang w:eastAsia="pt-BR"/>
        </w:rPr>
        <w:t>oras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do dia </w:t>
      </w:r>
      <w:r w:rsidR="00586845">
        <w:rPr>
          <w:rFonts w:eastAsia="Times New Roman" w:cstheme="minorHAnsi"/>
          <w:color w:val="000000"/>
          <w:sz w:val="24"/>
          <w:szCs w:val="24"/>
          <w:lang w:eastAsia="pt-BR"/>
        </w:rPr>
        <w:t>04 de setembro de 2020.</w:t>
      </w:r>
    </w:p>
    <w:p w14:paraId="1E565152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14:paraId="707A7C18" w14:textId="015394E0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6.5 Inicialmente, será permitida a manifestação de pessoas físicas e de 1 (um) representante de cada 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>instituição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 Na hipótese de haver defensores e opositores da matéria sob apreciação,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14:paraId="25F7A599" w14:textId="7E831955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14:paraId="066FC86C" w14:textId="78486282" w:rsidR="00E05C91" w:rsidRPr="007E190E" w:rsidRDefault="00E05C91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6.7 Serão de responsabilidade exclusiva do interessado os meios físicos necessários para a sua participação na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 por videoconferência.</w:t>
      </w:r>
    </w:p>
    <w:p w14:paraId="780C6616" w14:textId="13F99EB9" w:rsidR="00E05C91" w:rsidRDefault="00E05C91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6.8 O interessado que tiver sua participação prejudicada por problemas decorrentes de conexão com a internet terá o prazo de dois dias úteis, contados do término da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ública, para encaminhar sua manifestação por escrito à ANP.</w:t>
      </w:r>
    </w:p>
    <w:p w14:paraId="6A4ADEF8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898A23E" w14:textId="5E35CB4B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7. Presidência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Secretariado</w:t>
      </w:r>
    </w:p>
    <w:p w14:paraId="0294FF31" w14:textId="6958211B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Fica designado como Presidente da Audiência Pública o</w:t>
      </w:r>
      <w:r w:rsidR="00655C2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diretor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B2317B" w:rsidRPr="00B2317B">
        <w:rPr>
          <w:rFonts w:eastAsia="Times New Roman" w:cstheme="minorHAnsi"/>
          <w:color w:val="000000"/>
          <w:sz w:val="24"/>
          <w:szCs w:val="24"/>
          <w:lang w:eastAsia="pt-BR"/>
        </w:rPr>
        <w:t>Dirceu Cardoso Amorelli Junior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como Secretário o servidor</w:t>
      </w:r>
      <w:r w:rsidR="00B2317B" w:rsidRPr="00B2317B">
        <w:t xml:space="preserve"> </w:t>
      </w:r>
      <w:r w:rsidR="00B2317B" w:rsidRPr="00B2317B">
        <w:rPr>
          <w:rFonts w:eastAsia="Times New Roman" w:cstheme="minorHAnsi"/>
          <w:color w:val="000000"/>
          <w:sz w:val="24"/>
          <w:szCs w:val="24"/>
          <w:lang w:eastAsia="pt-BR"/>
        </w:rPr>
        <w:t>Luiz Henrique de Oliveira Bispo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9DFA63E" w14:textId="0CE5F7A7" w:rsidR="00264BE9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D5A7B83" w14:textId="4341331F" w:rsidR="001A593C" w:rsidRDefault="001A593C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75300B5" w14:textId="77777777" w:rsidR="001A593C" w:rsidRPr="007E190E" w:rsidRDefault="001A593C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90EA609" w14:textId="19A3295C" w:rsidR="009A7F98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264BE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8. Programação</w:t>
      </w:r>
    </w:p>
    <w:p w14:paraId="23765B88" w14:textId="77777777" w:rsidR="001A593C" w:rsidRDefault="001A593C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1"/>
        <w:tblW w:w="8065" w:type="dxa"/>
        <w:tblInd w:w="0" w:type="dxa"/>
        <w:tblLook w:val="04A0" w:firstRow="1" w:lastRow="0" w:firstColumn="1" w:lastColumn="0" w:noHBand="0" w:noVBand="1"/>
      </w:tblPr>
      <w:tblGrid>
        <w:gridCol w:w="997"/>
        <w:gridCol w:w="7068"/>
      </w:tblGrid>
      <w:tr w:rsidR="00D81EC4" w:rsidRPr="001A593C" w14:paraId="17F411B5" w14:textId="77777777" w:rsidTr="001A593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B237" w14:textId="1253FD54" w:rsidR="00D81EC4" w:rsidRPr="001A593C" w:rsidRDefault="00D81EC4" w:rsidP="00D81EC4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10h00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3C9" w14:textId="49E0AE53" w:rsidR="00D81EC4" w:rsidRPr="001A593C" w:rsidRDefault="00D81EC4" w:rsidP="00D81EC4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Abertura das atividades pelo Presidente da Audiência</w:t>
            </w:r>
          </w:p>
        </w:tc>
      </w:tr>
      <w:tr w:rsidR="00D81EC4" w:rsidRPr="001A593C" w14:paraId="2F88AD02" w14:textId="77777777" w:rsidTr="001A593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2A7" w14:textId="5CB98E88" w:rsidR="00D81EC4" w:rsidRPr="001A593C" w:rsidRDefault="00D81EC4" w:rsidP="00D81EC4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10h15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74E" w14:textId="6767ACD5" w:rsidR="00D81EC4" w:rsidRPr="001A593C" w:rsidRDefault="00D81EC4" w:rsidP="00D81EC4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Exposição do tema pela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Superintendência de Conteúdo Local</w:t>
            </w:r>
          </w:p>
        </w:tc>
      </w:tr>
      <w:tr w:rsidR="00D81EC4" w:rsidRPr="001A593C" w14:paraId="0AE7BA02" w14:textId="77777777" w:rsidTr="001A593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FC43" w14:textId="233A6682" w:rsidR="00D81EC4" w:rsidRPr="001A593C" w:rsidRDefault="00D81EC4" w:rsidP="00D81EC4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10h45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5DFF" w14:textId="31150F32" w:rsidR="00D81EC4" w:rsidRPr="001A593C" w:rsidRDefault="00D81EC4" w:rsidP="00D81EC4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Pronunciamento dos inscritos por ordem de recebimento de inscrições</w:t>
            </w:r>
          </w:p>
        </w:tc>
      </w:tr>
      <w:tr w:rsidR="00D81EC4" w:rsidRPr="001A593C" w14:paraId="4C7E7A31" w14:textId="77777777" w:rsidTr="001A593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A54E" w14:textId="1F867807" w:rsidR="00D81EC4" w:rsidRPr="001A593C" w:rsidRDefault="00D81EC4" w:rsidP="00D81EC4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12h00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35E6" w14:textId="38B309DC" w:rsidR="00D81EC4" w:rsidRPr="001A593C" w:rsidRDefault="00D81EC4" w:rsidP="00D81EC4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Comentários finais e encerramento</w:t>
            </w:r>
          </w:p>
        </w:tc>
      </w:tr>
    </w:tbl>
    <w:p w14:paraId="7533DE86" w14:textId="61ECBCFA" w:rsidR="00087A06" w:rsidRPr="007E190E" w:rsidRDefault="00087A06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</w:pPr>
    </w:p>
    <w:p w14:paraId="521ABE3A" w14:textId="77777777" w:rsidR="00087A06" w:rsidRPr="007E190E" w:rsidRDefault="00087A06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DC1CA1D" w14:textId="01A68A48" w:rsidR="00087A06" w:rsidRPr="007E190E" w:rsidRDefault="000772C5" w:rsidP="007E190E">
      <w:pPr>
        <w:spacing w:after="120" w:line="240" w:lineRule="auto"/>
        <w:jc w:val="center"/>
        <w:rPr>
          <w:rFonts w:cstheme="minorHAnsi"/>
          <w:color w:val="000000"/>
          <w:sz w:val="24"/>
          <w:szCs w:val="24"/>
          <w:lang w:eastAsia="pt-BR"/>
        </w:rPr>
      </w:pPr>
      <w:r w:rsidRPr="007E190E">
        <w:rPr>
          <w:rFonts w:cstheme="minorHAnsi"/>
          <w:color w:val="000000"/>
          <w:sz w:val="24"/>
          <w:szCs w:val="24"/>
          <w:lang w:eastAsia="pt-BR"/>
        </w:rPr>
        <w:t>JOSÉ GUTMAN</w:t>
      </w:r>
    </w:p>
    <w:p w14:paraId="3E73AB74" w14:textId="6C15E144" w:rsidR="00087A06" w:rsidRPr="007E190E" w:rsidRDefault="00087A06" w:rsidP="007E190E">
      <w:pPr>
        <w:spacing w:after="120" w:line="240" w:lineRule="auto"/>
        <w:jc w:val="center"/>
        <w:rPr>
          <w:rFonts w:cstheme="minorHAnsi"/>
          <w:color w:val="000000"/>
          <w:sz w:val="24"/>
          <w:szCs w:val="24"/>
          <w:lang w:eastAsia="pt-BR"/>
        </w:rPr>
      </w:pPr>
      <w:r w:rsidRPr="007E190E">
        <w:rPr>
          <w:rFonts w:cstheme="minorHAnsi"/>
          <w:color w:val="000000"/>
          <w:sz w:val="24"/>
          <w:szCs w:val="24"/>
          <w:lang w:eastAsia="pt-BR"/>
        </w:rPr>
        <w:t>Diretor-Geral</w:t>
      </w:r>
      <w:r w:rsidR="000772C5" w:rsidRPr="007E190E">
        <w:rPr>
          <w:rFonts w:cstheme="minorHAnsi"/>
          <w:color w:val="000000"/>
          <w:sz w:val="24"/>
          <w:szCs w:val="24"/>
          <w:lang w:eastAsia="pt-BR"/>
        </w:rPr>
        <w:t xml:space="preserve"> Interino</w:t>
      </w:r>
    </w:p>
    <w:p w14:paraId="4EAC87B0" w14:textId="77777777" w:rsidR="003F504D" w:rsidRPr="007E190E" w:rsidRDefault="003F504D" w:rsidP="007E190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</w:p>
    <w:sectPr w:rsidR="003F504D" w:rsidRPr="007E190E" w:rsidSect="0059462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65FF" w14:textId="77777777" w:rsidR="000325ED" w:rsidRDefault="000325ED" w:rsidP="008823E9">
      <w:pPr>
        <w:spacing w:after="0" w:line="240" w:lineRule="auto"/>
      </w:pPr>
      <w:r>
        <w:separator/>
      </w:r>
    </w:p>
  </w:endnote>
  <w:endnote w:type="continuationSeparator" w:id="0">
    <w:p w14:paraId="5EF12144" w14:textId="77777777" w:rsidR="000325ED" w:rsidRDefault="000325ED" w:rsidP="0088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B8799" w14:textId="77777777" w:rsidR="000325ED" w:rsidRDefault="000325ED" w:rsidP="008823E9">
      <w:pPr>
        <w:spacing w:after="0" w:line="240" w:lineRule="auto"/>
      </w:pPr>
      <w:r>
        <w:separator/>
      </w:r>
    </w:p>
  </w:footnote>
  <w:footnote w:type="continuationSeparator" w:id="0">
    <w:p w14:paraId="766E4080" w14:textId="77777777" w:rsidR="000325ED" w:rsidRDefault="000325ED" w:rsidP="00882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84"/>
    <w:rsid w:val="000325ED"/>
    <w:rsid w:val="00044A2C"/>
    <w:rsid w:val="000772C5"/>
    <w:rsid w:val="00087A06"/>
    <w:rsid w:val="000A30A4"/>
    <w:rsid w:val="000B6B2D"/>
    <w:rsid w:val="000E393D"/>
    <w:rsid w:val="001132E4"/>
    <w:rsid w:val="00151221"/>
    <w:rsid w:val="001874C4"/>
    <w:rsid w:val="001A593C"/>
    <w:rsid w:val="001C5484"/>
    <w:rsid w:val="001D5C78"/>
    <w:rsid w:val="00264BE9"/>
    <w:rsid w:val="002D6519"/>
    <w:rsid w:val="00303EA1"/>
    <w:rsid w:val="00381D60"/>
    <w:rsid w:val="003937D7"/>
    <w:rsid w:val="003A4A74"/>
    <w:rsid w:val="003C0CF8"/>
    <w:rsid w:val="003F504D"/>
    <w:rsid w:val="0043409E"/>
    <w:rsid w:val="00522DBB"/>
    <w:rsid w:val="00543CB8"/>
    <w:rsid w:val="00574DAB"/>
    <w:rsid w:val="005831A8"/>
    <w:rsid w:val="00586845"/>
    <w:rsid w:val="0059462C"/>
    <w:rsid w:val="005A135F"/>
    <w:rsid w:val="00621F5F"/>
    <w:rsid w:val="00655C2E"/>
    <w:rsid w:val="006A491E"/>
    <w:rsid w:val="006C0734"/>
    <w:rsid w:val="007E190E"/>
    <w:rsid w:val="008023B4"/>
    <w:rsid w:val="00803C53"/>
    <w:rsid w:val="00834B7D"/>
    <w:rsid w:val="00863B8C"/>
    <w:rsid w:val="008823E9"/>
    <w:rsid w:val="00890E28"/>
    <w:rsid w:val="00896AEE"/>
    <w:rsid w:val="008B1043"/>
    <w:rsid w:val="008B7DC6"/>
    <w:rsid w:val="008F28A2"/>
    <w:rsid w:val="009A7F98"/>
    <w:rsid w:val="009B2CB4"/>
    <w:rsid w:val="009B6003"/>
    <w:rsid w:val="009F2058"/>
    <w:rsid w:val="00A82689"/>
    <w:rsid w:val="00B2317B"/>
    <w:rsid w:val="00B41FD0"/>
    <w:rsid w:val="00B421A3"/>
    <w:rsid w:val="00C31EA3"/>
    <w:rsid w:val="00C53378"/>
    <w:rsid w:val="00CA6150"/>
    <w:rsid w:val="00CD1A85"/>
    <w:rsid w:val="00D0116A"/>
    <w:rsid w:val="00D55F42"/>
    <w:rsid w:val="00D81EC4"/>
    <w:rsid w:val="00DA35C7"/>
    <w:rsid w:val="00DF605A"/>
    <w:rsid w:val="00E05C91"/>
    <w:rsid w:val="00E244F2"/>
    <w:rsid w:val="00E4383A"/>
    <w:rsid w:val="00E63FDB"/>
    <w:rsid w:val="00E77056"/>
    <w:rsid w:val="00E82146"/>
    <w:rsid w:val="00F221DD"/>
    <w:rsid w:val="00F54184"/>
    <w:rsid w:val="00F62F20"/>
    <w:rsid w:val="00F637D5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DE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8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7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39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39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07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3E9"/>
  </w:style>
  <w:style w:type="paragraph" w:styleId="Rodap">
    <w:name w:val="footer"/>
    <w:basedOn w:val="Normal"/>
    <w:link w:val="RodapChar"/>
    <w:uiPriority w:val="99"/>
    <w:unhideWhenUsed/>
    <w:rsid w:val="0088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3E9"/>
  </w:style>
  <w:style w:type="table" w:customStyle="1" w:styleId="Tabelacomgrade1">
    <w:name w:val="Tabela com grade1"/>
    <w:basedOn w:val="Tabelanormal"/>
    <w:next w:val="Tabelacomgrade"/>
    <w:uiPriority w:val="39"/>
    <w:rsid w:val="00B23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np.gov.br/consultas-e-audiencias-public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919892DF957419975B27F55E1EEDF" ma:contentTypeVersion="13" ma:contentTypeDescription="Create a new document." ma:contentTypeScope="" ma:versionID="f43001536739f96df39fddaabc98114f">
  <xsd:schema xmlns:xsd="http://www.w3.org/2001/XMLSchema" xmlns:xs="http://www.w3.org/2001/XMLSchema" xmlns:p="http://schemas.microsoft.com/office/2006/metadata/properties" xmlns:ns1="http://schemas.microsoft.com/sharepoint/v3" xmlns:ns2="8d111378-b463-4773-bd14-41987bcdf6ab" xmlns:ns3="e49b1939-4c07-4ecf-8b4e-d168acc9bf4b" targetNamespace="http://schemas.microsoft.com/office/2006/metadata/properties" ma:root="true" ma:fieldsID="eacbf4fb2ab8786d429b33e304965e29" ns1:_="" ns2:_="" ns3:_="">
    <xsd:import namespace="http://schemas.microsoft.com/sharepoint/v3"/>
    <xsd:import namespace="8d111378-b463-4773-bd14-41987bcdf6ab"/>
    <xsd:import namespace="e49b1939-4c07-4ecf-8b4e-d168acc9b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11378-b463-4773-bd14-41987bcdf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939-4c07-4ecf-8b4e-d168acc9b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e49b1939-4c07-4ecf-8b4e-d168acc9bf4b">
      <UserInfo>
        <DisplayName>Sergio Alonso Trigo</DisplayName>
        <AccountId>15</AccountId>
        <AccountType/>
      </UserInfo>
    </SharedWithUsers>
    <_ip_UnifiedCompliancePolicyUIAc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438F69-8A68-4A82-9B13-9E0BED3E2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111378-b463-4773-bd14-41987bcdf6ab"/>
    <ds:schemaRef ds:uri="e49b1939-4c07-4ecf-8b4e-d168acc9b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DA756-E996-4D07-B56F-3CB5E1BE3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362DB-8DA2-4133-AAD9-ABFB89B35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9b1939-4c07-4ecf-8b4e-d168acc9b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2020-07-06T12:22:00Z</dcterms:created>
  <dcterms:modified xsi:type="dcterms:W3CDTF">2020-07-07T13:56:00Z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0x0101005B2919892DF957419975B27F55E1EEDF</vt:lpwstr>
  </property>
</Properties>
</file>