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497F" w14:textId="77777777" w:rsidR="00C13A89" w:rsidRPr="00FD2C11" w:rsidRDefault="00C13A89" w:rsidP="00482F43">
      <w:pPr>
        <w:jc w:val="center"/>
        <w:rPr>
          <w:b/>
          <w:sz w:val="32"/>
          <w:szCs w:val="32"/>
          <w:u w:val="single"/>
        </w:rPr>
      </w:pPr>
      <w:r w:rsidRPr="00FD2C11">
        <w:rPr>
          <w:b/>
          <w:sz w:val="32"/>
          <w:szCs w:val="32"/>
          <w:u w:val="single"/>
        </w:rPr>
        <w:t xml:space="preserve">ANEXO </w:t>
      </w:r>
    </w:p>
    <w:p w14:paraId="41F760C2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4A47C13A" w14:textId="77777777" w:rsidR="001F74A0" w:rsidRPr="00FD2C11" w:rsidRDefault="006010A2" w:rsidP="00482F43">
      <w:pPr>
        <w:jc w:val="center"/>
        <w:rPr>
          <w:sz w:val="32"/>
          <w:szCs w:val="32"/>
        </w:rPr>
      </w:pPr>
      <w:r w:rsidRPr="00FD2C11">
        <w:rPr>
          <w:noProof/>
          <w:sz w:val="26"/>
          <w:szCs w:val="26"/>
        </w:rPr>
        <w:object w:dxaOrig="1440" w:dyaOrig="1440" w14:anchorId="1B854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.1pt;margin-top:49.7pt;width:77.3pt;height:107.6pt;z-index:251657728;mso-wrap-edited:f;mso-width-percent:0;mso-height-percent:0;mso-position-vertical-relative:page;mso-width-percent:0;mso-height-percent:0" o:allowincell="f">
            <v:imagedata r:id="rId5" o:title=""/>
            <w10:wrap type="square" anchory="page"/>
          </v:shape>
          <o:OLEObject Type="Embed" ProgID="MSPhotoEd.3" ShapeID="_x0000_s1026" DrawAspect="Content" ObjectID="_1663914945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14:paraId="3DCCA43D" w14:textId="77777777" w:rsidR="001F74A0" w:rsidRDefault="002808DC" w:rsidP="00BB004F">
      <w:pPr>
        <w:jc w:val="center"/>
        <w:rPr>
          <w:sz w:val="26"/>
          <w:szCs w:val="26"/>
        </w:rPr>
      </w:pPr>
      <w:r w:rsidRPr="00BE5929">
        <w:rPr>
          <w:sz w:val="26"/>
          <w:szCs w:val="26"/>
        </w:rPr>
        <w:t>CONSULTA PÚ</w:t>
      </w:r>
      <w:r w:rsidR="00482F43" w:rsidRPr="00BE5929">
        <w:rPr>
          <w:sz w:val="26"/>
          <w:szCs w:val="26"/>
        </w:rPr>
        <w:t>BLICA N°</w:t>
      </w:r>
      <w:r w:rsidR="00C13A89" w:rsidRPr="00BE5929">
        <w:rPr>
          <w:sz w:val="26"/>
          <w:szCs w:val="26"/>
        </w:rPr>
        <w:t xml:space="preserve"> </w:t>
      </w:r>
      <w:r w:rsidR="005B578F">
        <w:rPr>
          <w:sz w:val="26"/>
          <w:szCs w:val="26"/>
        </w:rPr>
        <w:t>01</w:t>
      </w:r>
      <w:r w:rsidR="00BE5929" w:rsidRPr="00BE5929">
        <w:rPr>
          <w:sz w:val="26"/>
          <w:szCs w:val="26"/>
        </w:rPr>
        <w:t>/20</w:t>
      </w:r>
      <w:r w:rsidR="00D144DA">
        <w:rPr>
          <w:sz w:val="26"/>
          <w:szCs w:val="26"/>
        </w:rPr>
        <w:t>20</w:t>
      </w:r>
      <w:r w:rsidR="00EE5CA6" w:rsidRPr="00BE5929">
        <w:rPr>
          <w:sz w:val="26"/>
          <w:szCs w:val="26"/>
        </w:rPr>
        <w:t xml:space="preserve"> </w:t>
      </w:r>
      <w:r w:rsidR="00482F43" w:rsidRPr="00307D0A">
        <w:rPr>
          <w:sz w:val="26"/>
          <w:szCs w:val="26"/>
        </w:rPr>
        <w:t xml:space="preserve">- </w:t>
      </w:r>
      <w:r w:rsidR="00EA591A">
        <w:rPr>
          <w:sz w:val="26"/>
          <w:szCs w:val="26"/>
        </w:rPr>
        <w:t>DE</w:t>
      </w:r>
      <w:r w:rsidR="00BB004F" w:rsidRPr="00307D0A">
        <w:rPr>
          <w:sz w:val="26"/>
          <w:szCs w:val="26"/>
        </w:rPr>
        <w:t xml:space="preserve"> </w:t>
      </w:r>
      <w:r w:rsidR="0068308F">
        <w:rPr>
          <w:sz w:val="26"/>
          <w:szCs w:val="26"/>
        </w:rPr>
        <w:t>14</w:t>
      </w:r>
      <w:r w:rsidR="00EE5CA6" w:rsidRPr="00307D0A">
        <w:rPr>
          <w:sz w:val="26"/>
          <w:szCs w:val="26"/>
        </w:rPr>
        <w:t>/</w:t>
      </w:r>
      <w:r w:rsidR="00D144DA">
        <w:rPr>
          <w:sz w:val="26"/>
          <w:szCs w:val="26"/>
        </w:rPr>
        <w:t>0</w:t>
      </w:r>
      <w:r w:rsidR="0068308F">
        <w:rPr>
          <w:sz w:val="26"/>
          <w:szCs w:val="26"/>
        </w:rPr>
        <w:t>8</w:t>
      </w:r>
      <w:r w:rsidR="00EE5CA6" w:rsidRPr="00307D0A">
        <w:rPr>
          <w:sz w:val="26"/>
          <w:szCs w:val="26"/>
        </w:rPr>
        <w:t>/20</w:t>
      </w:r>
      <w:r w:rsidR="00D144DA">
        <w:rPr>
          <w:sz w:val="26"/>
          <w:szCs w:val="26"/>
        </w:rPr>
        <w:t>20</w:t>
      </w:r>
      <w:r w:rsidR="00BB004F" w:rsidRPr="00307D0A">
        <w:rPr>
          <w:sz w:val="26"/>
          <w:szCs w:val="26"/>
        </w:rPr>
        <w:t xml:space="preserve"> </w:t>
      </w:r>
      <w:r w:rsidR="00C13A89" w:rsidRPr="00307D0A">
        <w:rPr>
          <w:sz w:val="26"/>
          <w:szCs w:val="26"/>
        </w:rPr>
        <w:t>a</w:t>
      </w:r>
      <w:r w:rsidR="00BB004F" w:rsidRPr="00307D0A">
        <w:rPr>
          <w:sz w:val="26"/>
          <w:szCs w:val="26"/>
        </w:rPr>
        <w:t xml:space="preserve"> </w:t>
      </w:r>
      <w:r w:rsidR="0068308F">
        <w:rPr>
          <w:sz w:val="26"/>
          <w:szCs w:val="26"/>
        </w:rPr>
        <w:t>13</w:t>
      </w:r>
      <w:r w:rsidR="00BB004F" w:rsidRPr="00307D0A">
        <w:rPr>
          <w:sz w:val="26"/>
          <w:szCs w:val="26"/>
        </w:rPr>
        <w:t>/</w:t>
      </w:r>
      <w:r w:rsidR="005B578F">
        <w:rPr>
          <w:sz w:val="26"/>
          <w:szCs w:val="26"/>
        </w:rPr>
        <w:t>1</w:t>
      </w:r>
      <w:r w:rsidR="00307D0A" w:rsidRPr="00307D0A">
        <w:rPr>
          <w:sz w:val="26"/>
          <w:szCs w:val="26"/>
        </w:rPr>
        <w:t>0</w:t>
      </w:r>
      <w:r w:rsidR="00BB004F" w:rsidRPr="00307D0A">
        <w:rPr>
          <w:sz w:val="26"/>
          <w:szCs w:val="26"/>
        </w:rPr>
        <w:t>/</w:t>
      </w:r>
      <w:r w:rsidR="00EE5CA6" w:rsidRPr="00307D0A">
        <w:rPr>
          <w:sz w:val="26"/>
          <w:szCs w:val="26"/>
        </w:rPr>
        <w:t>20</w:t>
      </w:r>
      <w:r w:rsidR="00C775A3" w:rsidRPr="00307D0A">
        <w:rPr>
          <w:sz w:val="26"/>
          <w:szCs w:val="26"/>
        </w:rPr>
        <w:t>20</w:t>
      </w:r>
    </w:p>
    <w:p w14:paraId="6EC58DA7" w14:textId="77777777" w:rsidR="00C13A89" w:rsidRPr="00BB004F" w:rsidRDefault="00C13A89" w:rsidP="00BB004F">
      <w:pPr>
        <w:jc w:val="center"/>
        <w:rPr>
          <w:sz w:val="26"/>
          <w:szCs w:val="26"/>
        </w:rPr>
      </w:pPr>
    </w:p>
    <w:p w14:paraId="2BD8232D" w14:textId="77777777"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</w:t>
      </w:r>
      <w:r w:rsidR="00E0589B">
        <w:rPr>
          <w:sz w:val="26"/>
          <w:szCs w:val="26"/>
        </w:rPr>
        <w:t xml:space="preserve">   </w:t>
      </w:r>
      <w:r w:rsidR="0020045A">
        <w:rPr>
          <w:sz w:val="26"/>
          <w:szCs w:val="26"/>
        </w:rPr>
        <w:t>Sergio Massillon - BRASILCOM</w:t>
      </w:r>
    </w:p>
    <w:p w14:paraId="1DCA3138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p w14:paraId="70CEE9D6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173"/>
        <w:gridCol w:w="355"/>
        <w:gridCol w:w="6804"/>
      </w:tblGrid>
      <w:tr w:rsidR="00BD5993" w14:paraId="401E0258" w14:textId="77777777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EDB54C" w14:textId="77777777" w:rsidR="00BD5993" w:rsidRPr="00BD5993" w:rsidRDefault="00BD5993" w:rsidP="00BD5993">
            <w:pPr>
              <w:pStyle w:val="Caption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(  ) agente econômico </w:t>
            </w:r>
          </w:p>
          <w:p w14:paraId="5650F681" w14:textId="77777777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DA128" w14:textId="77777777" w:rsidR="00BD5993" w:rsidRPr="00BD5993" w:rsidRDefault="00BD5993" w:rsidP="00BD5993">
            <w:pPr>
              <w:pStyle w:val="Caption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( </w:t>
            </w:r>
            <w:r w:rsidR="0020045A">
              <w:rPr>
                <w:rFonts w:cs="Arial"/>
                <w:color w:val="000000"/>
                <w:szCs w:val="24"/>
              </w:rPr>
              <w:t>X</w:t>
            </w:r>
            <w:r w:rsidRPr="00BD5993">
              <w:rPr>
                <w:rFonts w:cs="Arial"/>
                <w:color w:val="000000"/>
                <w:szCs w:val="24"/>
              </w:rPr>
              <w:t>) representante órgão de classe ou associação</w:t>
            </w:r>
          </w:p>
          <w:p w14:paraId="54EC63C1" w14:textId="77777777" w:rsidR="00BD5993" w:rsidRPr="00BD5993" w:rsidRDefault="00BD5993" w:rsidP="00BD5993">
            <w:pPr>
              <w:pStyle w:val="Caption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de instituição governamental</w:t>
            </w:r>
          </w:p>
          <w:p w14:paraId="0BBBD66E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4AED114E" w14:textId="77777777" w:rsidTr="00CF534B">
        <w:trPr>
          <w:trHeight w:val="375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4CAF47" w14:textId="77777777" w:rsidR="00BB004F" w:rsidRPr="00BD5993" w:rsidRDefault="004602FD" w:rsidP="00BD5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852D24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543CD6" w:rsidRPr="00543CD6">
              <w:rPr>
                <w:rFonts w:ascii="Arial" w:hAnsi="Arial" w:cs="Arial"/>
                <w:bCs/>
                <w:sz w:val="28"/>
                <w:szCs w:val="28"/>
              </w:rPr>
              <w:t>proposta de regulamentação associada a</w:t>
            </w:r>
            <w:r w:rsidR="00D144DA">
              <w:rPr>
                <w:rFonts w:ascii="Arial" w:hAnsi="Arial" w:cs="Arial"/>
                <w:bCs/>
                <w:sz w:val="28"/>
                <w:szCs w:val="28"/>
              </w:rPr>
              <w:t xml:space="preserve">o </w:t>
            </w:r>
            <w:r w:rsidR="00D144DA" w:rsidRPr="00D144DA">
              <w:rPr>
                <w:rFonts w:ascii="Arial" w:hAnsi="Arial" w:cs="Arial"/>
                <w:bCs/>
                <w:sz w:val="28"/>
                <w:szCs w:val="28"/>
              </w:rPr>
              <w:t>acesso não discriminatório, por terceiros interessados, aos terminais aquaviários, existentes ou a serem construídos, para movimentação de petróleo, seus derivados e de biocombustíveis</w:t>
            </w:r>
            <w:r w:rsidR="00D144DA" w:rsidRPr="00543CD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C13A89" w14:paraId="7E77A346" w14:textId="77777777" w:rsidTr="00E0589B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BDC75D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95EF16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01F096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20045A" w:rsidRPr="00E0589B" w14:paraId="43076861" w14:textId="77777777" w:rsidTr="00E0589B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BFAD23" w14:textId="77777777" w:rsidR="0020045A" w:rsidRPr="00E0589B" w:rsidRDefault="0020045A" w:rsidP="00E0589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E0589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  <w:t>minuta-revisão-portaria-anp-251-2000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620988" w14:textId="77777777" w:rsidR="0020045A" w:rsidRPr="00E0589B" w:rsidRDefault="0020045A" w:rsidP="00E0589B">
            <w:pPr>
              <w:spacing w:before="240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E0589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MANTER INALTERADO O TEXTO PROPOSTO COM EXCEÇÃO DE AJUSTES PONTUAIS DE DEFINIÇÕES</w:t>
            </w:r>
            <w:r w:rsidR="00E0589B" w:rsidRPr="00E0589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, DESCRITOS ABAIXO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47CE0" w14:textId="77777777" w:rsidR="0020045A" w:rsidRPr="00E0589B" w:rsidRDefault="0020045A" w:rsidP="00E0589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E0589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Para as 44 (quarenta e quatro) Associadas da BRASILCOM, a proposta de minuta da CP 01/2020 tem em seu conteúdo, regras claras e que evitam o tratamento discriminatório das distribuidoras regionais no acesso aos terminais aquaviários</w:t>
            </w:r>
          </w:p>
        </w:tc>
      </w:tr>
      <w:tr w:rsidR="00C13A89" w14:paraId="645D308A" w14:textId="77777777" w:rsidTr="00E0589B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3C2443" w14:textId="77777777" w:rsidR="00C13A89" w:rsidRDefault="0020045A" w:rsidP="00E0589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Artigo 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47DBB5" w14:textId="77777777" w:rsidR="00C13A89" w:rsidRDefault="00551A3E" w:rsidP="00E0589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Retirar a palavra “exclusividade”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C47F87" w14:textId="77777777" w:rsidR="00C13A89" w:rsidRDefault="00E0589B" w:rsidP="00E0589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</w:t>
            </w:r>
            <w:r w:rsidR="00551A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redação proposta pode levar a dúvida ao utilizar a palavra “exclusividade”, uma vez que a necessidade de contratação acima de 50% em função da preferência do proprietário pode se dar em outros patamares, que não o de 100%. A retirada da palavra “exclusividade” seria suficiente para permitir a flexibilidade.</w:t>
            </w:r>
          </w:p>
        </w:tc>
      </w:tr>
    </w:tbl>
    <w:p w14:paraId="661BF772" w14:textId="77777777" w:rsidR="00D56D48" w:rsidRDefault="00D56D48" w:rsidP="00E0589B">
      <w:r>
        <w:br w:type="page"/>
      </w: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811"/>
        <w:gridCol w:w="6804"/>
      </w:tblGrid>
      <w:tr w:rsidR="00C13A89" w14:paraId="63290C66" w14:textId="77777777" w:rsidTr="00D56D48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F0BE08" w14:textId="77777777" w:rsidR="00C13A89" w:rsidRPr="00551A3E" w:rsidRDefault="00551A3E" w:rsidP="00E0589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Artigo 31 </w:t>
            </w:r>
            <w:r w:rsidRPr="00551A3E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§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4º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B72F26" w14:textId="77777777" w:rsidR="00C13A89" w:rsidRPr="00D56D48" w:rsidRDefault="00D56D48" w:rsidP="00E0589B">
            <w:pPr>
              <w:spacing w:line="360" w:lineRule="auto"/>
              <w:ind w:firstLine="708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Corrigir texto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986A0C" w14:textId="77777777" w:rsidR="00C13A89" w:rsidRDefault="00551A3E" w:rsidP="00E0589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Observa-se que o parágrafo quarto se refere ao operador, enquanto o caput se refere ao carregador proprietário. Assim, o parágrafo quarto está inadequado ao se referir ao “direito previsto no caput”, uma vez que este direito é inerente ao carregador proprietário, que não necessariamente é o operador.</w:t>
            </w:r>
          </w:p>
        </w:tc>
      </w:tr>
      <w:tr w:rsidR="00C13A89" w14:paraId="3D72A9EE" w14:textId="77777777" w:rsidTr="00D56D48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CD8E2E" w14:textId="77777777" w:rsidR="00C13A89" w:rsidRDefault="00551A3E" w:rsidP="00E0589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Artigo 31 </w:t>
            </w:r>
            <w:r w:rsidRPr="00551A3E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§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4º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D44E7B" w14:textId="77777777" w:rsidR="00C13A89" w:rsidRDefault="00551A3E" w:rsidP="00E0589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6C6A1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§ 4º É obrigação do operador encaminhar para a ANP, em até cinco dias úteis, as solicitações de acesso do terminal onde esteja usufruindo o direito previsto do caput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D3A15F" w14:textId="77777777" w:rsidR="00551A3E" w:rsidRDefault="00551A3E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prazo para o cumprimento da obrigação, “em até cinco dias úteis”,</w:t>
            </w:r>
            <w:r w:rsidR="00D56D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E058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ão define o momento do início desta contagem. Não está claro a partir de que evento devem ser contados os cinco dias úteis.</w:t>
            </w:r>
          </w:p>
          <w:p w14:paraId="70E2876F" w14:textId="77777777" w:rsidR="00C13A89" w:rsidRDefault="00C13A89" w:rsidP="00E0589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72EDEBFF" w14:textId="77777777" w:rsidR="00D56D48" w:rsidRDefault="00D56D48" w:rsidP="00E0589B"/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811"/>
        <w:gridCol w:w="6804"/>
      </w:tblGrid>
      <w:tr w:rsidR="00C13A89" w14:paraId="463A1318" w14:textId="77777777" w:rsidTr="00D56D48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837BFE" w14:textId="77777777" w:rsidR="00C13A89" w:rsidRPr="00C13A89" w:rsidRDefault="00551A3E" w:rsidP="00E058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Artigo 31 </w:t>
            </w:r>
            <w:r w:rsidRPr="00551A3E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§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5º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38778B" w14:textId="77777777" w:rsidR="00551A3E" w:rsidRDefault="00551A3E" w:rsidP="00E0589B">
            <w:pPr>
              <w:spacing w:line="360" w:lineRule="auto"/>
              <w:ind w:firstLine="708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Suprimir este parágrafo:</w:t>
            </w:r>
          </w:p>
          <w:p w14:paraId="504EF925" w14:textId="77777777" w:rsidR="00C13A89" w:rsidRPr="00C13A89" w:rsidRDefault="00551A3E" w:rsidP="00E0589B">
            <w:pPr>
              <w:spacing w:line="360" w:lineRule="auto"/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B8DEA1" w14:textId="77777777" w:rsidR="00551A3E" w:rsidRDefault="00551A3E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livre acesso aos dutos de transporte, conforme regulamentado pela Resolução ANP nº 35/2015, não prevê a nomeação dos tanques associados a cada operação ou sequer o volume de tancagem necessário. Tanto a solicitação quanto o aceite envolvem apenas a nomeação da origem e destino do transporte requerido.</w:t>
            </w:r>
          </w:p>
          <w:p w14:paraId="4F418654" w14:textId="77777777" w:rsidR="00551A3E" w:rsidRDefault="00551A3E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Este parágrafo é uma inovação na regulamentação de livre acesso, iniciada com a Portaria ANP nº 115/2000, livre acesso a dutos longos, Portaria ANP nº 255/2000, livre acesso a dutos curtos e a própria Portaria ANP nº 251/2000, livre acesso a terminais aquaviários. As duas primeiras já foram substituídas por suas revisões, Resolução ANP nº 35/2012 e Resolução ANP nº 716/2018. Em nenhum destes instrumentos houve a necessidade de se especificar a tancagem afeta às operações de livre acesso.</w:t>
            </w:r>
          </w:p>
          <w:p w14:paraId="1FCB1511" w14:textId="77777777" w:rsidR="00551A3E" w:rsidRDefault="00551A3E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Os tanques de um terminal não são indissoluvelmente ligados às instalações de movimentação dos produtos que armazenam. A alteração do produto armazenado em um tanque é algo relativamente simples e muitas vezes é conveniente haver a flexibilidade de alterar o produto tanto por pequeno período, caso, por exemplo, dos serviços de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manutenção no parque de tanques, como por prazo indeterminado, caso, por exemplo, de alterações no portfólio de produtos ou na demanda dos mesmos.</w:t>
            </w:r>
          </w:p>
          <w:p w14:paraId="4CF3F63B" w14:textId="77777777" w:rsidR="00C13A89" w:rsidRPr="00C13A89" w:rsidRDefault="00551A3E" w:rsidP="00E05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gestão da tancagem e das instalações dos terminais e dutos de transporte são atribuição dos respectivos operadores, não se podendo esperar que os carregadores saibam definir as instalações necessárias, suas características e capacidades para cada operação de livre acesso solicitado. Para o carregador, a operação constitui-se em levar o produto da origem ao destino com determinadas janelas de tempo.</w:t>
            </w:r>
          </w:p>
        </w:tc>
      </w:tr>
    </w:tbl>
    <w:p w14:paraId="3CFB5B82" w14:textId="77777777" w:rsidR="00D56D48" w:rsidRDefault="00D56D48" w:rsidP="00E0589B"/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811"/>
        <w:gridCol w:w="6804"/>
      </w:tblGrid>
      <w:tr w:rsidR="00551A3E" w14:paraId="7067ADF5" w14:textId="77777777" w:rsidTr="00D56D48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F25143" w14:textId="77777777" w:rsidR="00551A3E" w:rsidRDefault="00551A3E" w:rsidP="00E0589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Artigo 32 Parágrafo Único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243250" w14:textId="77777777" w:rsidR="00551A3E" w:rsidRDefault="00551A3E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Sugere-se firmar o procedimento adequado e ajustar a redação para refleti-lo com clareza, detalhando-o passo a passo.</w:t>
            </w:r>
          </w:p>
          <w:p w14:paraId="3FAAD8AA" w14:textId="77777777" w:rsidR="00551A3E" w:rsidRDefault="00551A3E" w:rsidP="00E0589B">
            <w:pPr>
              <w:spacing w:line="360" w:lineRule="auto"/>
              <w:ind w:firstLine="708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46D50A" w14:textId="77777777" w:rsidR="00551A3E" w:rsidRDefault="00551A3E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minuta dá a impressão de que o terceiro interessado deve se relacionar com o operador do terminal. No entanto, este Parágrafo Único estabelece que a ANP notificará o carregador proprietário do surgimento de uma manifestação de terceiro interessado. Assumindo que a “manifestação” referida é uma solicitação de acesso (o que também não está claro) não se compreende como ela chegou à ANP, uma vez que não há estipulação de que o terceiro interessado devesse encaminhá-la à Agência.</w:t>
            </w:r>
          </w:p>
        </w:tc>
      </w:tr>
    </w:tbl>
    <w:p w14:paraId="54897B3A" w14:textId="77777777" w:rsidR="00D56D48" w:rsidRDefault="00D56D48" w:rsidP="00E0589B"/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811"/>
        <w:gridCol w:w="6804"/>
      </w:tblGrid>
      <w:tr w:rsidR="00D56D48" w14:paraId="5A291DDA" w14:textId="77777777" w:rsidTr="00D56D48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493736" w14:textId="77777777" w:rsidR="00D56D48" w:rsidRDefault="00D56D48" w:rsidP="00E0589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Artigo 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D7F5F9" w14:textId="77777777" w:rsidR="00D56D48" w:rsidRDefault="00D56D48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Sugere-se estabelecer o mesmo para os terminais aquaviários, com maior frequência devido ao maior dinamismo deste mercado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0425C1" w14:textId="77777777" w:rsidR="00D56D48" w:rsidRDefault="00D56D48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Resolução ANP nº 35/2012, que embasou algumas propostas de revisão desta Portaria ANP nº 251/2000, estabelece a periodicidade de 5 anos para a revisão da preferência do proprietário. Estabelece, ainda, a obrigatoriedade de o operador publicar os volumes e os prazos envolvidos, de forma a dar publicidade aos volumes que estarão disponíveis a partir do vencimento dos contratos em vigor. Esta é uma informação importante para o mercado: as capacidades e as datas em que virão a estar disponíveis</w:t>
            </w:r>
          </w:p>
        </w:tc>
      </w:tr>
    </w:tbl>
    <w:p w14:paraId="766B0BA2" w14:textId="77777777" w:rsidR="00D56D48" w:rsidRDefault="00D56D48" w:rsidP="00E0589B">
      <w:r>
        <w:br w:type="page"/>
      </w: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811"/>
        <w:gridCol w:w="6804"/>
      </w:tblGrid>
      <w:tr w:rsidR="00D56D48" w14:paraId="1DE3F6DE" w14:textId="77777777" w:rsidTr="00D56D48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AA4515" w14:textId="77777777" w:rsidR="00D56D48" w:rsidRDefault="00D56D48" w:rsidP="00E0589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Artigo 36 parágrafo Único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28FA97" w14:textId="77777777" w:rsidR="00D56D48" w:rsidRPr="006162F1" w:rsidRDefault="00D56D48" w:rsidP="00E0589B">
            <w:pPr>
              <w:ind w:firstLine="708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6162F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Art. 36 O operador pode requerer suspensão, por tempo limitado, das normas de acesso definidas no âmbito desta Resolução, por meio de envio de requerimento fundamentado para a ANP. </w:t>
            </w:r>
          </w:p>
          <w:p w14:paraId="5D224307" w14:textId="77777777" w:rsidR="00D56D48" w:rsidRPr="006162F1" w:rsidRDefault="00D56D48" w:rsidP="00E0589B">
            <w:pPr>
              <w:ind w:firstLine="708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6162F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Parágrafo único. A exceção de que trata o caput somente se justifica quando houver risco de investimento privado ou de desabastecimento ao mercado.</w:t>
            </w:r>
          </w:p>
          <w:p w14:paraId="06724B06" w14:textId="77777777" w:rsidR="00D56D48" w:rsidRDefault="00D56D48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B4D2BC" w14:textId="77777777" w:rsidR="00D56D48" w:rsidRDefault="00D56D48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Não está claro o que é “risco de investimento privado”. Seria o risco de que um agente privado faça um investimento? Ou trata-se de risco </w:t>
            </w:r>
            <w:r w:rsidRPr="006162F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investimento privado? Neste caso, que tipo de risco, e </w:t>
            </w:r>
            <w:r w:rsidR="00E058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por que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ele justificaria a suspensão das normas de acesso?</w:t>
            </w:r>
          </w:p>
          <w:p w14:paraId="590560EB" w14:textId="77777777" w:rsidR="00D56D48" w:rsidRDefault="00D56D48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 outra eventual justificativa para a suspensão de que trata este artigo – risco de desabastecimento ao mercado – não faz parte da </w:t>
            </w:r>
            <w:r w:rsidRPr="009E23D3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expertise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 todos os operadores de terminais. O monitoramento do mercado de combustíveis faz parte do quotidiano das distribuidoras e dos produtores em suas respectivas regiões e zonas de influência. Os operadores de terminais não necessariamente têm um destes papéis, constituindo-se essencialmente em um ente neutro na cadeia dos combustíveis.</w:t>
            </w:r>
          </w:p>
          <w:p w14:paraId="3E64036B" w14:textId="77777777" w:rsidR="00D56D48" w:rsidRDefault="00D56D48" w:rsidP="00E0589B">
            <w:pPr>
              <w:ind w:firstLine="708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Considerando tratar-se da possibilidade de suspensão de normas tão cuidadosamente elaboradas e discutidas, é preocupante haver a possibilidade de sua suspensão, principalmente se os critérios para tal não estão claros</w:t>
            </w:r>
          </w:p>
        </w:tc>
      </w:tr>
    </w:tbl>
    <w:p w14:paraId="4D8251B4" w14:textId="77777777" w:rsidR="004602FD" w:rsidRPr="00100689" w:rsidRDefault="00100689" w:rsidP="00E0589B">
      <w:pPr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C775A3" w:rsidRPr="00C775A3">
        <w:rPr>
          <w:rFonts w:ascii="Arial" w:eastAsia="Arial Unicode MS" w:hAnsi="Arial" w:cs="Arial"/>
          <w:sz w:val="24"/>
          <w:szCs w:val="24"/>
        </w:rPr>
        <w:t>audiencia_s</w:t>
      </w:r>
      <w:r w:rsidR="00D144DA">
        <w:rPr>
          <w:rFonts w:ascii="Arial" w:eastAsia="Arial Unicode MS" w:hAnsi="Arial" w:cs="Arial"/>
          <w:sz w:val="24"/>
          <w:szCs w:val="24"/>
        </w:rPr>
        <w:t>im_251</w:t>
      </w:r>
      <w:r w:rsidR="00C775A3" w:rsidRPr="00C775A3">
        <w:rPr>
          <w:rFonts w:ascii="Arial" w:eastAsia="Arial Unicode MS" w:hAnsi="Arial" w:cs="Arial"/>
          <w:sz w:val="24"/>
          <w:szCs w:val="24"/>
        </w:rPr>
        <w:t>@anp.gov.br</w:t>
      </w:r>
      <w:r w:rsidR="00570C4C" w:rsidRPr="00EE067B">
        <w:rPr>
          <w:rFonts w:ascii="Arial" w:eastAsia="Arial Unicode MS" w:hAnsi="Arial" w:cs="Arial"/>
          <w:sz w:val="24"/>
          <w:szCs w:val="24"/>
        </w:rPr>
        <w:t>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C"/>
    <w:rsid w:val="000303C4"/>
    <w:rsid w:val="000873C6"/>
    <w:rsid w:val="000B651B"/>
    <w:rsid w:val="000C742C"/>
    <w:rsid w:val="000F43D7"/>
    <w:rsid w:val="00100689"/>
    <w:rsid w:val="001405E3"/>
    <w:rsid w:val="001D400B"/>
    <w:rsid w:val="001F74A0"/>
    <w:rsid w:val="0020045A"/>
    <w:rsid w:val="002109D6"/>
    <w:rsid w:val="00237E7F"/>
    <w:rsid w:val="00245CC0"/>
    <w:rsid w:val="0026582D"/>
    <w:rsid w:val="002808DC"/>
    <w:rsid w:val="00287B41"/>
    <w:rsid w:val="00291CBD"/>
    <w:rsid w:val="002E55F5"/>
    <w:rsid w:val="00307D0A"/>
    <w:rsid w:val="00324ACC"/>
    <w:rsid w:val="003B0512"/>
    <w:rsid w:val="003E05A7"/>
    <w:rsid w:val="004602FD"/>
    <w:rsid w:val="00471191"/>
    <w:rsid w:val="00482F43"/>
    <w:rsid w:val="00512DA8"/>
    <w:rsid w:val="00543CD6"/>
    <w:rsid w:val="00551A3E"/>
    <w:rsid w:val="00570C4C"/>
    <w:rsid w:val="00586DD3"/>
    <w:rsid w:val="005B578F"/>
    <w:rsid w:val="006010A2"/>
    <w:rsid w:val="00630CF4"/>
    <w:rsid w:val="00671FED"/>
    <w:rsid w:val="0068308F"/>
    <w:rsid w:val="006C7878"/>
    <w:rsid w:val="006F3AC2"/>
    <w:rsid w:val="00735912"/>
    <w:rsid w:val="00762754"/>
    <w:rsid w:val="0085243A"/>
    <w:rsid w:val="00852D24"/>
    <w:rsid w:val="008A2D46"/>
    <w:rsid w:val="008C0A6C"/>
    <w:rsid w:val="008E1D4F"/>
    <w:rsid w:val="00947621"/>
    <w:rsid w:val="00965928"/>
    <w:rsid w:val="009876F8"/>
    <w:rsid w:val="009A7203"/>
    <w:rsid w:val="009E5AD5"/>
    <w:rsid w:val="009F1FEC"/>
    <w:rsid w:val="00A66F3B"/>
    <w:rsid w:val="00A94E85"/>
    <w:rsid w:val="00AD3DD9"/>
    <w:rsid w:val="00B74C89"/>
    <w:rsid w:val="00BB004F"/>
    <w:rsid w:val="00BB737F"/>
    <w:rsid w:val="00BD5993"/>
    <w:rsid w:val="00BE5929"/>
    <w:rsid w:val="00C13A89"/>
    <w:rsid w:val="00C41D7B"/>
    <w:rsid w:val="00C775A3"/>
    <w:rsid w:val="00CD60C8"/>
    <w:rsid w:val="00CD7D9E"/>
    <w:rsid w:val="00CF2605"/>
    <w:rsid w:val="00CF534B"/>
    <w:rsid w:val="00D060D3"/>
    <w:rsid w:val="00D144DA"/>
    <w:rsid w:val="00D56D48"/>
    <w:rsid w:val="00D712D4"/>
    <w:rsid w:val="00E00C69"/>
    <w:rsid w:val="00E0589B"/>
    <w:rsid w:val="00E51418"/>
    <w:rsid w:val="00EA591A"/>
    <w:rsid w:val="00ED7714"/>
    <w:rsid w:val="00EE067B"/>
    <w:rsid w:val="00EE5CA6"/>
    <w:rsid w:val="00EF3FED"/>
    <w:rsid w:val="00F72458"/>
    <w:rsid w:val="00FD2C1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5964F87A"/>
  <w15:chartTrackingRefBased/>
  <w15:docId w15:val="{8E3924D6-6DF0-4241-BD67-C02930BE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BodyTextChar">
    <w:name w:val="Body Text Char"/>
    <w:link w:val="BodyText"/>
    <w:semiHidden/>
    <w:rsid w:val="00CF2605"/>
    <w:rPr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D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0AD6B524EEEC4BAA51BCC58BE57588" ma:contentTypeVersion="13" ma:contentTypeDescription="Crie um novo documento." ma:contentTypeScope="" ma:versionID="5b1cfe64ed6cfc33777af3fe999df311">
  <xsd:schema xmlns:xsd="http://www.w3.org/2001/XMLSchema" xmlns:xs="http://www.w3.org/2001/XMLSchema" xmlns:p="http://schemas.microsoft.com/office/2006/metadata/properties" xmlns:ns1="http://schemas.microsoft.com/sharepoint/v3" xmlns:ns2="263b76eb-076a-43de-9c2a-dfcca6b436d1" xmlns:ns3="4f03e862-ba49-4201-828b-632377d64776" targetNamespace="http://schemas.microsoft.com/office/2006/metadata/properties" ma:root="true" ma:fieldsID="22e2a42fc4f510c34dbf44b20042ab2c" ns1:_="" ns2:_="" ns3:_="">
    <xsd:import namespace="http://schemas.microsoft.com/sharepoint/v3"/>
    <xsd:import namespace="263b76eb-076a-43de-9c2a-dfcca6b436d1"/>
    <xsd:import namespace="4f03e862-ba49-4201-828b-632377d64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6eb-076a-43de-9c2a-dfcca6b43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3e862-ba49-4201-828b-632377d64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B1C2C0-5084-4F99-951A-6366A715A287}"/>
</file>

<file path=customXml/itemProps2.xml><?xml version="1.0" encoding="utf-8"?>
<ds:datastoreItem xmlns:ds="http://schemas.openxmlformats.org/officeDocument/2006/customXml" ds:itemID="{F42A6F83-59E3-4842-91A2-999D12EB6FF9}"/>
</file>

<file path=customXml/itemProps3.xml><?xml version="1.0" encoding="utf-8"?>
<ds:datastoreItem xmlns:ds="http://schemas.openxmlformats.org/officeDocument/2006/customXml" ds:itemID="{88F1129D-27CB-4A6C-9BAA-0EE132F2C5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CONSULTA PÚBLICA PARA REVISÃO DA PORTARIA ANP 248/99</vt:lpstr>
      <vt:lpstr>CONSULTA PÚBLICA PARA REVISÃO DA PORTARIA ANP 248/99</vt:lpstr>
    </vt:vector>
  </TitlesOfParts>
  <Company>Anp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subject/>
  <dc:creator>Anp</dc:creator>
  <cp:keywords/>
  <dc:description/>
  <cp:lastModifiedBy>Sergio Massillon Martins</cp:lastModifiedBy>
  <cp:revision>2</cp:revision>
  <cp:lastPrinted>2010-12-28T17:08:00Z</cp:lastPrinted>
  <dcterms:created xsi:type="dcterms:W3CDTF">2020-10-11T12:49:00Z</dcterms:created>
  <dcterms:modified xsi:type="dcterms:W3CDTF">2020-10-11T12:49:00Z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0x010100600AD6B524EEEC4BAA51BCC58BE57588</vt:lpwstr>
  </property>
</Properties>
</file>