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44ED9" w14:textId="5E65281F" w:rsidR="00B43212" w:rsidRPr="00310C5A" w:rsidRDefault="005A6F09" w:rsidP="00395712">
      <w:pPr>
        <w:spacing w:line="360" w:lineRule="auto"/>
        <w:jc w:val="right"/>
        <w:rPr>
          <w:rFonts w:ascii="Arial" w:hAnsi="Arial" w:cs="Arial"/>
          <w:b/>
          <w:bCs/>
          <w:caps/>
          <w:color w:val="003875"/>
          <w:sz w:val="24"/>
          <w:szCs w:val="24"/>
          <w:shd w:val="clear" w:color="auto" w:fill="FFFFFF"/>
        </w:rPr>
      </w:pPr>
      <w:r w:rsidRPr="00310C5A">
        <w:rPr>
          <w:rFonts w:ascii="Arial" w:hAnsi="Arial" w:cs="Arial"/>
          <w:b/>
          <w:bCs/>
          <w:caps/>
          <w:color w:val="003875"/>
          <w:sz w:val="24"/>
          <w:szCs w:val="24"/>
          <w:shd w:val="clear" w:color="auto" w:fill="FFFFFF"/>
        </w:rPr>
        <w:t>05</w:t>
      </w:r>
      <w:r w:rsidR="00B43212" w:rsidRPr="00310C5A">
        <w:rPr>
          <w:rFonts w:ascii="Arial" w:hAnsi="Arial" w:cs="Arial"/>
          <w:b/>
          <w:bCs/>
          <w:caps/>
          <w:color w:val="003875"/>
          <w:sz w:val="24"/>
          <w:szCs w:val="24"/>
          <w:shd w:val="clear" w:color="auto" w:fill="FFFFFF"/>
        </w:rPr>
        <w:t xml:space="preserve"> de </w:t>
      </w:r>
      <w:r w:rsidRPr="00310C5A">
        <w:rPr>
          <w:rFonts w:ascii="Arial" w:hAnsi="Arial" w:cs="Arial"/>
          <w:b/>
          <w:bCs/>
          <w:caps/>
          <w:color w:val="003875"/>
          <w:sz w:val="24"/>
          <w:szCs w:val="24"/>
          <w:shd w:val="clear" w:color="auto" w:fill="FFFFFF"/>
        </w:rPr>
        <w:t>outubro</w:t>
      </w:r>
      <w:r w:rsidR="00B43212" w:rsidRPr="00310C5A">
        <w:rPr>
          <w:rFonts w:ascii="Arial" w:hAnsi="Arial" w:cs="Arial"/>
          <w:b/>
          <w:bCs/>
          <w:caps/>
          <w:color w:val="003875"/>
          <w:sz w:val="24"/>
          <w:szCs w:val="24"/>
          <w:shd w:val="clear" w:color="auto" w:fill="FFFFFF"/>
        </w:rPr>
        <w:t xml:space="preserve"> de 2020</w:t>
      </w:r>
    </w:p>
    <w:p w14:paraId="39BFC7B4" w14:textId="205B0717" w:rsidR="00B43212" w:rsidRPr="00310C5A" w:rsidRDefault="00B43212" w:rsidP="003C42DF">
      <w:pPr>
        <w:spacing w:line="360" w:lineRule="auto"/>
        <w:jc w:val="center"/>
        <w:rPr>
          <w:rFonts w:ascii="Arial" w:hAnsi="Arial" w:cs="Arial"/>
          <w:b/>
          <w:bCs/>
          <w:caps/>
          <w:color w:val="003875"/>
          <w:sz w:val="24"/>
          <w:szCs w:val="24"/>
          <w:shd w:val="clear" w:color="auto" w:fill="FFFFFF"/>
        </w:rPr>
      </w:pPr>
    </w:p>
    <w:p w14:paraId="6FBE4D2C" w14:textId="484FD589" w:rsidR="00D222D6" w:rsidRPr="00310C5A" w:rsidRDefault="00D222D6" w:rsidP="00395712">
      <w:pPr>
        <w:spacing w:line="360" w:lineRule="auto"/>
        <w:jc w:val="center"/>
        <w:rPr>
          <w:rFonts w:ascii="Arial" w:hAnsi="Arial" w:cs="Arial"/>
          <w:b/>
          <w:bCs/>
          <w:caps/>
          <w:color w:val="003875"/>
          <w:sz w:val="24"/>
          <w:szCs w:val="24"/>
          <w:shd w:val="clear" w:color="auto" w:fill="FFFFFF"/>
        </w:rPr>
      </w:pPr>
      <w:r w:rsidRPr="00310C5A">
        <w:rPr>
          <w:rFonts w:ascii="Arial" w:hAnsi="Arial" w:cs="Arial"/>
          <w:b/>
          <w:bCs/>
          <w:caps/>
          <w:color w:val="003875"/>
          <w:sz w:val="24"/>
          <w:szCs w:val="24"/>
          <w:shd w:val="clear" w:color="auto" w:fill="FFFFFF"/>
        </w:rPr>
        <w:t xml:space="preserve">Nota técnica </w:t>
      </w:r>
    </w:p>
    <w:p w14:paraId="6C5792D7" w14:textId="0317B8C5" w:rsidR="00B72095" w:rsidRPr="00310C5A" w:rsidRDefault="005A6F09" w:rsidP="00395712">
      <w:pPr>
        <w:spacing w:line="360" w:lineRule="auto"/>
        <w:jc w:val="center"/>
        <w:rPr>
          <w:rFonts w:ascii="Arial" w:hAnsi="Arial" w:cs="Arial"/>
          <w:b/>
          <w:bCs/>
          <w:caps/>
          <w:color w:val="003875"/>
          <w:sz w:val="24"/>
          <w:szCs w:val="24"/>
          <w:shd w:val="clear" w:color="auto" w:fill="FFFFFF"/>
        </w:rPr>
      </w:pPr>
      <w:r w:rsidRPr="00310C5A">
        <w:rPr>
          <w:rFonts w:ascii="Arial" w:hAnsi="Arial" w:cs="Arial"/>
          <w:b/>
          <w:bCs/>
          <w:caps/>
          <w:color w:val="003875"/>
          <w:sz w:val="24"/>
          <w:szCs w:val="24"/>
          <w:shd w:val="clear" w:color="auto" w:fill="FFFFFF"/>
        </w:rPr>
        <w:t>contribuições à</w:t>
      </w:r>
      <w:r w:rsidR="005F1839" w:rsidRPr="00310C5A">
        <w:rPr>
          <w:rFonts w:ascii="Arial" w:hAnsi="Arial" w:cs="Arial"/>
          <w:b/>
          <w:bCs/>
          <w:caps/>
          <w:color w:val="003875"/>
          <w:sz w:val="24"/>
          <w:szCs w:val="24"/>
          <w:shd w:val="clear" w:color="auto" w:fill="FFFFFF"/>
        </w:rPr>
        <w:t xml:space="preserve"> </w:t>
      </w:r>
      <w:r w:rsidR="00D222D6" w:rsidRPr="00310C5A">
        <w:rPr>
          <w:rFonts w:ascii="Arial" w:hAnsi="Arial" w:cs="Arial"/>
          <w:b/>
          <w:bCs/>
          <w:caps/>
          <w:color w:val="003875"/>
          <w:sz w:val="24"/>
          <w:szCs w:val="24"/>
          <w:shd w:val="clear" w:color="auto" w:fill="FFFFFF"/>
        </w:rPr>
        <w:t xml:space="preserve">CONSULTA PÚBLICA Nº </w:t>
      </w:r>
      <w:r w:rsidRPr="00310C5A">
        <w:rPr>
          <w:rFonts w:ascii="Arial" w:hAnsi="Arial" w:cs="Arial"/>
          <w:b/>
          <w:bCs/>
          <w:caps/>
          <w:color w:val="003875"/>
          <w:sz w:val="24"/>
          <w:szCs w:val="24"/>
          <w:shd w:val="clear" w:color="auto" w:fill="FFFFFF"/>
        </w:rPr>
        <w:t>01</w:t>
      </w:r>
      <w:r w:rsidR="00055C1C" w:rsidRPr="00310C5A">
        <w:rPr>
          <w:rFonts w:ascii="Arial" w:hAnsi="Arial" w:cs="Arial"/>
          <w:b/>
          <w:bCs/>
          <w:caps/>
          <w:color w:val="003875"/>
          <w:sz w:val="24"/>
          <w:szCs w:val="24"/>
          <w:shd w:val="clear" w:color="auto" w:fill="FFFFFF"/>
        </w:rPr>
        <w:t>/2020</w:t>
      </w:r>
      <w:r w:rsidR="00D222D6" w:rsidRPr="00310C5A">
        <w:rPr>
          <w:rFonts w:ascii="Arial" w:hAnsi="Arial" w:cs="Arial"/>
          <w:b/>
          <w:bCs/>
          <w:caps/>
          <w:color w:val="003875"/>
          <w:sz w:val="24"/>
          <w:szCs w:val="24"/>
          <w:shd w:val="clear" w:color="auto" w:fill="FFFFFF"/>
        </w:rPr>
        <w:t>, d</w:t>
      </w:r>
      <w:r w:rsidR="00055C1C" w:rsidRPr="00310C5A">
        <w:rPr>
          <w:rFonts w:ascii="Arial" w:hAnsi="Arial" w:cs="Arial"/>
          <w:b/>
          <w:bCs/>
          <w:caps/>
          <w:color w:val="003875"/>
          <w:sz w:val="24"/>
          <w:szCs w:val="24"/>
          <w:shd w:val="clear" w:color="auto" w:fill="FFFFFF"/>
        </w:rPr>
        <w:t>a</w:t>
      </w:r>
      <w:r w:rsidR="00D222D6" w:rsidRPr="00310C5A">
        <w:rPr>
          <w:rFonts w:ascii="Arial" w:hAnsi="Arial" w:cs="Arial"/>
          <w:b/>
          <w:bCs/>
          <w:caps/>
          <w:color w:val="003875"/>
          <w:sz w:val="24"/>
          <w:szCs w:val="24"/>
          <w:shd w:val="clear" w:color="auto" w:fill="FFFFFF"/>
        </w:rPr>
        <w:t xml:space="preserve"> </w:t>
      </w:r>
      <w:r w:rsidR="00796461" w:rsidRPr="00310C5A">
        <w:rPr>
          <w:rFonts w:ascii="Arial" w:hAnsi="Arial" w:cs="Arial"/>
          <w:b/>
          <w:bCs/>
          <w:caps/>
          <w:color w:val="003875"/>
          <w:sz w:val="24"/>
          <w:szCs w:val="24"/>
          <w:shd w:val="clear" w:color="auto" w:fill="FFFFFF"/>
        </w:rPr>
        <w:t>A</w:t>
      </w:r>
      <w:r w:rsidR="00055C1C" w:rsidRPr="00310C5A">
        <w:rPr>
          <w:rFonts w:ascii="Arial" w:hAnsi="Arial" w:cs="Arial"/>
          <w:b/>
          <w:bCs/>
          <w:caps/>
          <w:color w:val="003875"/>
          <w:sz w:val="24"/>
          <w:szCs w:val="24"/>
          <w:shd w:val="clear" w:color="auto" w:fill="FFFFFF"/>
        </w:rPr>
        <w:t>gência nacional do petróleo, gás natural e biocombustíveis</w:t>
      </w:r>
    </w:p>
    <w:p w14:paraId="3CDE8692" w14:textId="77777777" w:rsidR="004D52C0" w:rsidRDefault="004D52C0" w:rsidP="00E673B6">
      <w:pPr>
        <w:spacing w:after="0" w:line="36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6DD795D2" w14:textId="53661411" w:rsidR="00E673B6" w:rsidRDefault="00E673B6" w:rsidP="00E673B6">
      <w:pPr>
        <w:spacing w:after="0" w:line="36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E673B6">
        <w:rPr>
          <w:rFonts w:ascii="Arial" w:hAnsi="Arial" w:cs="Arial"/>
          <w:sz w:val="24"/>
          <w:szCs w:val="24"/>
          <w:shd w:val="clear" w:color="auto" w:fill="FFFFFF"/>
        </w:rPr>
        <w:t xml:space="preserve">Carlos </w:t>
      </w:r>
      <w:proofErr w:type="spellStart"/>
      <w:r w:rsidRPr="00E673B6">
        <w:rPr>
          <w:rFonts w:ascii="Arial" w:hAnsi="Arial" w:cs="Arial"/>
          <w:sz w:val="24"/>
          <w:szCs w:val="24"/>
          <w:shd w:val="clear" w:color="auto" w:fill="FFFFFF"/>
        </w:rPr>
        <w:t>Maligo</w:t>
      </w:r>
      <w:proofErr w:type="spellEnd"/>
      <w:r w:rsidRPr="00E673B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673B6">
        <w:rPr>
          <w:rFonts w:ascii="Arial" w:hAnsi="Arial" w:cs="Arial"/>
          <w:sz w:val="24"/>
          <w:szCs w:val="24"/>
          <w:shd w:val="clear" w:color="auto" w:fill="FFFFFF"/>
        </w:rPr>
        <w:t>MSc</w:t>
      </w:r>
      <w:proofErr w:type="spellEnd"/>
    </w:p>
    <w:p w14:paraId="0E1CBEEC" w14:textId="09ED6FEB" w:rsidR="004D52C0" w:rsidRDefault="004D52C0" w:rsidP="004D52C0">
      <w:pPr>
        <w:spacing w:after="0" w:line="36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E673B6">
        <w:rPr>
          <w:rFonts w:ascii="Arial" w:hAnsi="Arial" w:cs="Arial"/>
          <w:sz w:val="24"/>
          <w:szCs w:val="24"/>
          <w:shd w:val="clear" w:color="auto" w:fill="FFFFFF"/>
        </w:rPr>
        <w:t xml:space="preserve">Antônio Márcio Tavares Thomé, </w:t>
      </w:r>
      <w:proofErr w:type="spellStart"/>
      <w:r w:rsidRPr="00E673B6">
        <w:rPr>
          <w:rFonts w:ascii="Arial" w:hAnsi="Arial" w:cs="Arial"/>
          <w:sz w:val="24"/>
          <w:szCs w:val="24"/>
          <w:shd w:val="clear" w:color="auto" w:fill="FFFFFF"/>
        </w:rPr>
        <w:t>DSc</w:t>
      </w:r>
      <w:proofErr w:type="spellEnd"/>
    </w:p>
    <w:p w14:paraId="58CE4121" w14:textId="33A62EDC" w:rsidR="003C42DF" w:rsidRPr="003C42DF" w:rsidRDefault="003C42DF" w:rsidP="00E673B6">
      <w:pPr>
        <w:spacing w:after="0" w:line="36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3C42DF">
        <w:rPr>
          <w:rFonts w:ascii="Arial" w:hAnsi="Arial" w:cs="Arial"/>
          <w:sz w:val="24"/>
          <w:szCs w:val="24"/>
          <w:shd w:val="clear" w:color="auto" w:fill="FFFFFF"/>
        </w:rPr>
        <w:t xml:space="preserve">Departamento de </w:t>
      </w:r>
      <w:r w:rsidR="00E673B6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3C42DF">
        <w:rPr>
          <w:rFonts w:ascii="Arial" w:hAnsi="Arial" w:cs="Arial"/>
          <w:sz w:val="24"/>
          <w:szCs w:val="24"/>
          <w:shd w:val="clear" w:color="auto" w:fill="FFFFFF"/>
        </w:rPr>
        <w:t xml:space="preserve">ngenharia </w:t>
      </w:r>
      <w:r w:rsidR="00E673B6"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3C42DF">
        <w:rPr>
          <w:rFonts w:ascii="Arial" w:hAnsi="Arial" w:cs="Arial"/>
          <w:sz w:val="24"/>
          <w:szCs w:val="24"/>
          <w:shd w:val="clear" w:color="auto" w:fill="FFFFFF"/>
        </w:rPr>
        <w:t>ndustrial</w:t>
      </w:r>
    </w:p>
    <w:p w14:paraId="7555B00C" w14:textId="1DE6EEE4" w:rsidR="00796461" w:rsidRDefault="003C42DF" w:rsidP="003C42DF">
      <w:pPr>
        <w:spacing w:after="0" w:line="360" w:lineRule="auto"/>
        <w:jc w:val="right"/>
        <w:rPr>
          <w:rFonts w:ascii="Arial" w:hAnsi="Arial" w:cs="Arial"/>
          <w:sz w:val="24"/>
          <w:szCs w:val="24"/>
          <w:highlight w:val="yellow"/>
          <w:shd w:val="clear" w:color="auto" w:fill="FFFFFF"/>
        </w:rPr>
      </w:pPr>
      <w:r w:rsidRPr="003C42DF">
        <w:rPr>
          <w:rFonts w:ascii="Arial" w:hAnsi="Arial" w:cs="Arial"/>
          <w:sz w:val="24"/>
          <w:szCs w:val="24"/>
          <w:shd w:val="clear" w:color="auto" w:fill="FFFFFF"/>
        </w:rPr>
        <w:t xml:space="preserve">Pontifícia </w:t>
      </w:r>
      <w:r w:rsidR="00E673B6">
        <w:rPr>
          <w:rFonts w:ascii="Arial" w:hAnsi="Arial" w:cs="Arial"/>
          <w:sz w:val="24"/>
          <w:szCs w:val="24"/>
          <w:shd w:val="clear" w:color="auto" w:fill="FFFFFF"/>
        </w:rPr>
        <w:t>U</w:t>
      </w:r>
      <w:r w:rsidRPr="003C42DF">
        <w:rPr>
          <w:rFonts w:ascii="Arial" w:hAnsi="Arial" w:cs="Arial"/>
          <w:sz w:val="24"/>
          <w:szCs w:val="24"/>
          <w:shd w:val="clear" w:color="auto" w:fill="FFFFFF"/>
        </w:rPr>
        <w:t xml:space="preserve">niversidade </w:t>
      </w:r>
      <w:r w:rsidR="00E673B6">
        <w:rPr>
          <w:rFonts w:ascii="Arial" w:hAnsi="Arial" w:cs="Arial"/>
          <w:sz w:val="24"/>
          <w:szCs w:val="24"/>
          <w:shd w:val="clear" w:color="auto" w:fill="FFFFFF"/>
        </w:rPr>
        <w:t>C</w:t>
      </w:r>
      <w:r w:rsidRPr="003C42DF">
        <w:rPr>
          <w:rFonts w:ascii="Arial" w:hAnsi="Arial" w:cs="Arial"/>
          <w:sz w:val="24"/>
          <w:szCs w:val="24"/>
          <w:shd w:val="clear" w:color="auto" w:fill="FFFFFF"/>
        </w:rPr>
        <w:t xml:space="preserve">atólica do </w:t>
      </w:r>
      <w:r w:rsidR="00E673B6">
        <w:rPr>
          <w:rFonts w:ascii="Arial" w:hAnsi="Arial" w:cs="Arial"/>
          <w:sz w:val="24"/>
          <w:szCs w:val="24"/>
          <w:shd w:val="clear" w:color="auto" w:fill="FFFFFF"/>
        </w:rPr>
        <w:t>R</w:t>
      </w:r>
      <w:r w:rsidRPr="003C42DF">
        <w:rPr>
          <w:rFonts w:ascii="Arial" w:hAnsi="Arial" w:cs="Arial"/>
          <w:sz w:val="24"/>
          <w:szCs w:val="24"/>
          <w:shd w:val="clear" w:color="auto" w:fill="FFFFFF"/>
        </w:rPr>
        <w:t xml:space="preserve">io de </w:t>
      </w:r>
      <w:r w:rsidR="00E673B6">
        <w:rPr>
          <w:rFonts w:ascii="Arial" w:hAnsi="Arial" w:cs="Arial"/>
          <w:sz w:val="24"/>
          <w:szCs w:val="24"/>
          <w:shd w:val="clear" w:color="auto" w:fill="FFFFFF"/>
        </w:rPr>
        <w:t>J</w:t>
      </w:r>
      <w:r w:rsidRPr="003C42DF">
        <w:rPr>
          <w:rFonts w:ascii="Arial" w:hAnsi="Arial" w:cs="Arial"/>
          <w:sz w:val="24"/>
          <w:szCs w:val="24"/>
          <w:shd w:val="clear" w:color="auto" w:fill="FFFFFF"/>
        </w:rPr>
        <w:t>aneiro (</w:t>
      </w:r>
      <w:r w:rsidR="00E673B6">
        <w:rPr>
          <w:rFonts w:ascii="Arial" w:hAnsi="Arial" w:cs="Arial"/>
          <w:sz w:val="24"/>
          <w:szCs w:val="24"/>
          <w:shd w:val="clear" w:color="auto" w:fill="FFFFFF"/>
        </w:rPr>
        <w:t>PUC-RIO</w:t>
      </w:r>
      <w:r w:rsidRPr="003C42DF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14:paraId="2ACCA5CF" w14:textId="53AD46B2" w:rsidR="003C42DF" w:rsidRDefault="003C42DF" w:rsidP="00395712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  <w:shd w:val="clear" w:color="auto" w:fill="FFFFFF"/>
        </w:rPr>
      </w:pPr>
    </w:p>
    <w:p w14:paraId="397DEF2F" w14:textId="43A65938" w:rsidR="002948AE" w:rsidRPr="002948AE" w:rsidRDefault="002948AE" w:rsidP="002948AE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bCs/>
          <w:caps/>
          <w:color w:val="003875"/>
          <w:shd w:val="clear" w:color="auto" w:fill="FFFFFF"/>
        </w:rPr>
      </w:pPr>
      <w:r w:rsidRPr="002948AE">
        <w:rPr>
          <w:rFonts w:ascii="Arial" w:hAnsi="Arial" w:cs="Arial"/>
          <w:b/>
          <w:bCs/>
          <w:caps/>
          <w:color w:val="003875"/>
          <w:shd w:val="clear" w:color="auto" w:fill="FFFFFF"/>
        </w:rPr>
        <w:t>Introdução</w:t>
      </w:r>
    </w:p>
    <w:p w14:paraId="486EA31D" w14:textId="77777777" w:rsidR="003C42DF" w:rsidRPr="00310C5A" w:rsidRDefault="003C42DF" w:rsidP="00395712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  <w:shd w:val="clear" w:color="auto" w:fill="FFFFFF"/>
        </w:rPr>
      </w:pPr>
    </w:p>
    <w:p w14:paraId="1427C96D" w14:textId="153338BA" w:rsidR="003C2B8A" w:rsidRPr="00310C5A" w:rsidRDefault="0091302F" w:rsidP="003957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0C5A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3C2B8A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F607B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possibilidade de acesso </w:t>
      </w:r>
      <w:r w:rsidR="00FE6D7F" w:rsidRPr="00310C5A">
        <w:rPr>
          <w:rFonts w:ascii="Arial" w:hAnsi="Arial" w:cs="Arial"/>
          <w:sz w:val="24"/>
          <w:szCs w:val="24"/>
          <w:shd w:val="clear" w:color="auto" w:fill="FFFFFF"/>
        </w:rPr>
        <w:t>de terceiros a dutos de transporte e terminais marítimos existentes ou a serem construídos</w:t>
      </w:r>
      <w:r w:rsidR="00A5622A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 foi dada pela</w:t>
      </w:r>
      <w:r w:rsidR="003C2B8A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10C5A">
        <w:rPr>
          <w:rFonts w:ascii="Arial" w:hAnsi="Arial" w:cs="Arial"/>
          <w:sz w:val="24"/>
          <w:szCs w:val="24"/>
          <w:shd w:val="clear" w:color="auto" w:fill="FFFFFF"/>
        </w:rPr>
        <w:t>Lei 9.478/</w:t>
      </w:r>
      <w:r w:rsidR="00BA44C1" w:rsidRPr="00310C5A">
        <w:rPr>
          <w:rFonts w:ascii="Arial" w:hAnsi="Arial" w:cs="Arial"/>
          <w:sz w:val="24"/>
          <w:szCs w:val="24"/>
          <w:shd w:val="clear" w:color="auto" w:fill="FFFFFF"/>
        </w:rPr>
        <w:t>97</w:t>
      </w:r>
      <w:r w:rsidR="00BA44C1" w:rsidRPr="00310C5A">
        <w:rPr>
          <w:rFonts w:ascii="Arial" w:hAnsi="Arial" w:cs="Arial"/>
        </w:rPr>
        <w:footnoteReference w:id="1"/>
      </w:r>
      <w:r w:rsidR="009B143D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 (Lei do Petróleo). </w:t>
      </w:r>
      <w:r w:rsidR="00B31F6B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B697A">
        <w:rPr>
          <w:rFonts w:ascii="Arial" w:hAnsi="Arial" w:cs="Arial"/>
          <w:sz w:val="24"/>
          <w:szCs w:val="24"/>
          <w:shd w:val="clear" w:color="auto" w:fill="FFFFFF"/>
        </w:rPr>
        <w:t>De acordo com a legislação, o</w:t>
      </w:r>
      <w:r w:rsidR="00B31F6B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 acesso </w:t>
      </w:r>
      <w:r w:rsidR="00FB4D43" w:rsidRPr="00310C5A">
        <w:rPr>
          <w:rFonts w:ascii="Arial" w:hAnsi="Arial" w:cs="Arial"/>
          <w:sz w:val="24"/>
          <w:szCs w:val="24"/>
          <w:shd w:val="clear" w:color="auto" w:fill="FFFFFF"/>
        </w:rPr>
        <w:t>deve ser liberado mediante a remuneração adequada</w:t>
      </w:r>
      <w:r w:rsidR="008527A0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 e determinou-se ser atribuição da ANP</w:t>
      </w:r>
      <w:r w:rsidR="00DC20CE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 regular a preferência </w:t>
      </w:r>
      <w:r w:rsidR="00132816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do proprietário de modo a possibilitar a máxima utilização da capacidade instalada e </w:t>
      </w:r>
      <w:r w:rsidR="00DC20CE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, caso não haja acordo entre as partes, fixar </w:t>
      </w:r>
      <w:bookmarkStart w:id="0" w:name="art58§1.1"/>
      <w:bookmarkEnd w:id="0"/>
      <w:r w:rsidR="00DC20CE" w:rsidRPr="00310C5A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3C2B8A" w:rsidRPr="00310C5A">
        <w:rPr>
          <w:rFonts w:ascii="Arial" w:hAnsi="Arial" w:cs="Arial"/>
          <w:sz w:val="24"/>
          <w:szCs w:val="24"/>
          <w:shd w:val="clear" w:color="auto" w:fill="FFFFFF"/>
        </w:rPr>
        <w:t>o valor e a forma de pagamento da remuneração adequada com base em critérios previamente estabelecidos</w:t>
      </w:r>
      <w:r w:rsidR="00132816" w:rsidRPr="00310C5A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AC7042" w:rsidRPr="00310C5A">
        <w:rPr>
          <w:rFonts w:ascii="Arial" w:hAnsi="Arial" w:cs="Arial"/>
          <w:sz w:val="24"/>
          <w:szCs w:val="24"/>
          <w:shd w:val="clear" w:color="auto" w:fill="FFFFFF"/>
        </w:rPr>
        <w:t>.</w:t>
      </w:r>
      <w:bookmarkStart w:id="1" w:name="art58§2"/>
      <w:bookmarkEnd w:id="1"/>
    </w:p>
    <w:p w14:paraId="553E0F44" w14:textId="54EFAA28" w:rsidR="00796461" w:rsidRPr="00310C5A" w:rsidRDefault="0074671E" w:rsidP="003957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Pelo ano em que foi redigida, </w:t>
      </w:r>
      <w:r w:rsidR="00527336" w:rsidRPr="00310C5A">
        <w:rPr>
          <w:rFonts w:ascii="Arial" w:hAnsi="Arial" w:cs="Arial"/>
          <w:sz w:val="24"/>
          <w:szCs w:val="24"/>
          <w:shd w:val="clear" w:color="auto" w:fill="FFFFFF"/>
        </w:rPr>
        <w:t>a Portaria ANP nº 251 de 7 de novembro de 2000 (PANP 251/2000), que estabelece os critérios para o livre acesso, por terceiros interessados, aos terminais aquaviários</w:t>
      </w:r>
      <w:r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 não contempla a movimentação dos biocom</w:t>
      </w:r>
      <w:r w:rsidR="00A51C87" w:rsidRPr="00310C5A">
        <w:rPr>
          <w:rFonts w:ascii="Arial" w:hAnsi="Arial" w:cs="Arial"/>
          <w:sz w:val="24"/>
          <w:szCs w:val="24"/>
          <w:shd w:val="clear" w:color="auto" w:fill="FFFFFF"/>
        </w:rPr>
        <w:t>bustíveis, bem como não considera ainda</w:t>
      </w:r>
      <w:r w:rsidR="00C15FC3" w:rsidRPr="00310C5A">
        <w:rPr>
          <w:rFonts w:ascii="Arial" w:hAnsi="Arial" w:cs="Arial"/>
          <w:sz w:val="24"/>
          <w:szCs w:val="24"/>
          <w:shd w:val="clear" w:color="auto" w:fill="FFFFFF"/>
        </w:rPr>
        <w:t>, alterações das regras advinda</w:t>
      </w:r>
      <w:r w:rsidR="0006740B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="00C15FC3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da </w:t>
      </w:r>
      <w:r w:rsidR="0006740B">
        <w:rPr>
          <w:rFonts w:ascii="Arial" w:hAnsi="Arial" w:cs="Arial"/>
          <w:sz w:val="24"/>
          <w:szCs w:val="24"/>
          <w:shd w:val="clear" w:color="auto" w:fill="FFFFFF"/>
        </w:rPr>
        <w:t xml:space="preserve">publicação da </w:t>
      </w:r>
      <w:r w:rsidR="00C15FC3" w:rsidRPr="00310C5A">
        <w:rPr>
          <w:rFonts w:ascii="Arial" w:hAnsi="Arial" w:cs="Arial"/>
          <w:sz w:val="24"/>
          <w:szCs w:val="24"/>
          <w:shd w:val="clear" w:color="auto" w:fill="FFFFFF"/>
        </w:rPr>
        <w:t>Lei 12</w:t>
      </w:r>
      <w:r w:rsidR="000E755D" w:rsidRPr="00310C5A">
        <w:rPr>
          <w:rFonts w:ascii="Arial" w:hAnsi="Arial" w:cs="Arial"/>
          <w:sz w:val="24"/>
          <w:szCs w:val="24"/>
          <w:shd w:val="clear" w:color="auto" w:fill="FFFFFF"/>
        </w:rPr>
        <w:t>.815/13</w:t>
      </w:r>
      <w:r w:rsidR="000E755D" w:rsidRPr="00310C5A">
        <w:rPr>
          <w:rStyle w:val="Refdenotaderodap"/>
          <w:rFonts w:ascii="Arial" w:hAnsi="Arial" w:cs="Arial"/>
          <w:sz w:val="24"/>
          <w:szCs w:val="24"/>
          <w:shd w:val="clear" w:color="auto" w:fill="FFFFFF"/>
        </w:rPr>
        <w:footnoteReference w:id="2"/>
      </w:r>
      <w:r w:rsidR="000E755D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 (Lei dos Portos).</w:t>
      </w:r>
    </w:p>
    <w:p w14:paraId="70D4C368" w14:textId="5501A494" w:rsidR="000E755D" w:rsidRPr="00310C5A" w:rsidRDefault="000E755D" w:rsidP="003957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0C5A">
        <w:rPr>
          <w:rFonts w:ascii="Arial" w:hAnsi="Arial" w:cs="Arial"/>
          <w:sz w:val="24"/>
          <w:szCs w:val="24"/>
          <w:shd w:val="clear" w:color="auto" w:fill="FFFFFF"/>
        </w:rPr>
        <w:lastRenderedPageBreak/>
        <w:t>Dada a necessidade de atualização da PAN</w:t>
      </w:r>
      <w:r w:rsidR="00FE5B2E" w:rsidRPr="00310C5A"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 251/2000 para harmonização com demais legislações, </w:t>
      </w:r>
      <w:r w:rsidR="00450492" w:rsidRPr="00310C5A">
        <w:rPr>
          <w:rFonts w:ascii="Arial" w:hAnsi="Arial" w:cs="Arial"/>
          <w:sz w:val="24"/>
          <w:szCs w:val="24"/>
          <w:shd w:val="clear" w:color="auto" w:fill="FFFFFF"/>
        </w:rPr>
        <w:t>em 2016 a ANP começou a coletar subsídios dos agentes de Governo e mercado, culminando a com a publicação da Minuta de Resolução que está sendo analisada nesta Consulta Pública 01/2020.</w:t>
      </w:r>
    </w:p>
    <w:p w14:paraId="1C269E1D" w14:textId="3A20DBCD" w:rsidR="00896F3D" w:rsidRDefault="003F0191" w:rsidP="003957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As sugestões devem convergir para </w:t>
      </w:r>
      <w:r w:rsidR="00701434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que a </w:t>
      </w:r>
      <w:r w:rsidR="00B3670D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nova portaria tenha aderência </w:t>
      </w:r>
      <w:r w:rsidR="009F39C6">
        <w:rPr>
          <w:rFonts w:ascii="Arial" w:hAnsi="Arial" w:cs="Arial"/>
          <w:sz w:val="24"/>
          <w:szCs w:val="24"/>
          <w:shd w:val="clear" w:color="auto" w:fill="FFFFFF"/>
        </w:rPr>
        <w:t>à realidade e necessidades dos agentes</w:t>
      </w:r>
      <w:r w:rsidR="00B3670D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e, além disso</w:t>
      </w:r>
      <w:r w:rsidR="00D27883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, é </w:t>
      </w:r>
      <w:r w:rsidR="006F4470" w:rsidRPr="00310C5A">
        <w:rPr>
          <w:rFonts w:ascii="Arial" w:hAnsi="Arial" w:cs="Arial"/>
          <w:sz w:val="24"/>
          <w:szCs w:val="24"/>
          <w:shd w:val="clear" w:color="auto" w:fill="FFFFFF"/>
        </w:rPr>
        <w:t>fundamental</w:t>
      </w:r>
      <w:r w:rsidR="00D27883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4470" w:rsidRPr="00310C5A">
        <w:rPr>
          <w:rFonts w:ascii="Arial" w:hAnsi="Arial" w:cs="Arial"/>
          <w:sz w:val="24"/>
          <w:szCs w:val="24"/>
          <w:shd w:val="clear" w:color="auto" w:fill="FFFFFF"/>
        </w:rPr>
        <w:t>ressaltar</w:t>
      </w:r>
      <w:r w:rsidR="002F7AD5">
        <w:rPr>
          <w:rFonts w:ascii="Arial" w:hAnsi="Arial" w:cs="Arial"/>
          <w:sz w:val="24"/>
          <w:szCs w:val="24"/>
          <w:shd w:val="clear" w:color="auto" w:fill="FFFFFF"/>
        </w:rPr>
        <w:t xml:space="preserve"> a relevância </w:t>
      </w:r>
      <w:r w:rsidR="00B94394">
        <w:rPr>
          <w:rFonts w:ascii="Arial" w:hAnsi="Arial" w:cs="Arial"/>
          <w:sz w:val="24"/>
          <w:szCs w:val="24"/>
          <w:shd w:val="clear" w:color="auto" w:fill="FFFFFF"/>
        </w:rPr>
        <w:t>das alterações</w:t>
      </w:r>
      <w:r w:rsidR="00D27E5F">
        <w:rPr>
          <w:rFonts w:ascii="Arial" w:hAnsi="Arial" w:cs="Arial"/>
          <w:sz w:val="24"/>
          <w:szCs w:val="24"/>
          <w:shd w:val="clear" w:color="auto" w:fill="FFFFFF"/>
        </w:rPr>
        <w:t xml:space="preserve"> da portaria diante as</w:t>
      </w:r>
      <w:r w:rsidR="00B94394">
        <w:rPr>
          <w:rFonts w:ascii="Arial" w:hAnsi="Arial" w:cs="Arial"/>
          <w:sz w:val="24"/>
          <w:szCs w:val="24"/>
          <w:shd w:val="clear" w:color="auto" w:fill="FFFFFF"/>
        </w:rPr>
        <w:t xml:space="preserve"> iminentes </w:t>
      </w:r>
      <w:r w:rsidR="00D27E5F">
        <w:rPr>
          <w:rFonts w:ascii="Arial" w:hAnsi="Arial" w:cs="Arial"/>
          <w:sz w:val="24"/>
          <w:szCs w:val="24"/>
          <w:shd w:val="clear" w:color="auto" w:fill="FFFFFF"/>
        </w:rPr>
        <w:t xml:space="preserve">modificações </w:t>
      </w:r>
      <w:r w:rsidR="00B94394">
        <w:rPr>
          <w:rFonts w:ascii="Arial" w:hAnsi="Arial" w:cs="Arial"/>
          <w:sz w:val="24"/>
          <w:szCs w:val="24"/>
          <w:shd w:val="clear" w:color="auto" w:fill="FFFFFF"/>
        </w:rPr>
        <w:t>no</w:t>
      </w:r>
      <w:r w:rsidR="006F4470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 cenário atual do mercado</w:t>
      </w:r>
      <w:r w:rsidR="00D555C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7AC498A" w14:textId="0DE146DD" w:rsidR="00E709DB" w:rsidRDefault="009F5D5D" w:rsidP="003957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0C5A">
        <w:rPr>
          <w:rFonts w:ascii="Arial" w:hAnsi="Arial" w:cs="Arial"/>
          <w:sz w:val="24"/>
          <w:szCs w:val="24"/>
          <w:shd w:val="clear" w:color="auto" w:fill="FFFFFF"/>
        </w:rPr>
        <w:t>Isto posto</w:t>
      </w:r>
      <w:r w:rsidR="00A21CFC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, este documento irá relacionar a questão da </w:t>
      </w:r>
      <w:r w:rsidR="00361CEB" w:rsidRPr="00310C5A">
        <w:rPr>
          <w:rFonts w:ascii="Arial" w:hAnsi="Arial" w:cs="Arial"/>
          <w:sz w:val="24"/>
          <w:szCs w:val="24"/>
          <w:shd w:val="clear" w:color="auto" w:fill="FFFFFF"/>
        </w:rPr>
        <w:t>competitividade</w:t>
      </w:r>
      <w:r w:rsidR="00B90E14">
        <w:rPr>
          <w:rFonts w:ascii="Arial" w:hAnsi="Arial" w:cs="Arial"/>
          <w:sz w:val="24"/>
          <w:szCs w:val="24"/>
          <w:shd w:val="clear" w:color="auto" w:fill="FFFFFF"/>
        </w:rPr>
        <w:t xml:space="preserve"> com a infraestrutura de terminais aquaviários,</w:t>
      </w:r>
      <w:r w:rsidR="00B122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12275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tendo em vista as modificações em curso no </w:t>
      </w:r>
      <w:proofErr w:type="spellStart"/>
      <w:r w:rsidR="00B12275" w:rsidRPr="00310C5A">
        <w:rPr>
          <w:rFonts w:ascii="Arial" w:hAnsi="Arial" w:cs="Arial"/>
          <w:i/>
          <w:iCs/>
          <w:sz w:val="24"/>
          <w:szCs w:val="24"/>
          <w:shd w:val="clear" w:color="auto" w:fill="FFFFFF"/>
        </w:rPr>
        <w:t>downstream</w:t>
      </w:r>
      <w:proofErr w:type="spellEnd"/>
      <w:r w:rsidR="00B12275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 brasileiro</w:t>
      </w:r>
      <w:r w:rsidR="0046749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6F449B2" w14:textId="651A530B" w:rsidR="002948AE" w:rsidRDefault="002948AE" w:rsidP="003957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26D27D2" w14:textId="162FF3B0" w:rsidR="00497BEF" w:rsidRDefault="00497BEF" w:rsidP="00066877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bCs/>
          <w:caps/>
          <w:color w:val="003875"/>
          <w:shd w:val="clear" w:color="auto" w:fill="FFFFFF"/>
        </w:rPr>
      </w:pPr>
      <w:r>
        <w:rPr>
          <w:rFonts w:ascii="Arial" w:hAnsi="Arial" w:cs="Arial"/>
          <w:b/>
          <w:bCs/>
          <w:caps/>
          <w:color w:val="003875"/>
          <w:shd w:val="clear" w:color="auto" w:fill="FFFFFF"/>
        </w:rPr>
        <w:t xml:space="preserve">Conclusões do estudo </w:t>
      </w:r>
      <w:r w:rsidR="00D41C12">
        <w:rPr>
          <w:rFonts w:ascii="Arial" w:hAnsi="Arial" w:cs="Arial"/>
          <w:b/>
          <w:bCs/>
          <w:caps/>
          <w:color w:val="003875"/>
          <w:shd w:val="clear" w:color="auto" w:fill="FFFFFF"/>
        </w:rPr>
        <w:t>sobre desinvestimentos em refino</w:t>
      </w:r>
    </w:p>
    <w:p w14:paraId="59BCF7E7" w14:textId="77777777" w:rsidR="0047274D" w:rsidRPr="00066877" w:rsidRDefault="0047274D" w:rsidP="0047274D">
      <w:pPr>
        <w:pStyle w:val="PargrafodaLista"/>
        <w:spacing w:line="360" w:lineRule="auto"/>
        <w:jc w:val="both"/>
        <w:rPr>
          <w:rFonts w:ascii="Arial" w:hAnsi="Arial" w:cs="Arial"/>
          <w:b/>
          <w:bCs/>
          <w:caps/>
          <w:color w:val="003875"/>
          <w:shd w:val="clear" w:color="auto" w:fill="FFFFFF"/>
        </w:rPr>
      </w:pPr>
    </w:p>
    <w:p w14:paraId="413E62D0" w14:textId="0D1AAD39" w:rsidR="00A94276" w:rsidRPr="00310C5A" w:rsidRDefault="00204DCC" w:rsidP="003957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Em relatório técnico </w:t>
      </w:r>
      <w:r w:rsidR="008E1657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elaborado a partir da demanda da BRASILCOM, </w:t>
      </w:r>
      <w:r w:rsidR="004F5B1F">
        <w:rPr>
          <w:rFonts w:ascii="Arial" w:hAnsi="Arial" w:cs="Arial"/>
          <w:sz w:val="24"/>
          <w:szCs w:val="24"/>
          <w:shd w:val="clear" w:color="auto" w:fill="FFFFFF"/>
        </w:rPr>
        <w:t>professores d</w:t>
      </w:r>
      <w:r w:rsidR="008E1657" w:rsidRPr="00310C5A">
        <w:rPr>
          <w:rFonts w:ascii="Arial" w:hAnsi="Arial" w:cs="Arial"/>
          <w:sz w:val="24"/>
          <w:szCs w:val="24"/>
          <w:shd w:val="clear" w:color="auto" w:fill="FFFFFF"/>
        </w:rPr>
        <w:t>o Departamento de Engenharia Industrial da PUC-RIO analis</w:t>
      </w:r>
      <w:r w:rsidR="004F5B1F">
        <w:rPr>
          <w:rFonts w:ascii="Arial" w:hAnsi="Arial" w:cs="Arial"/>
          <w:sz w:val="24"/>
          <w:szCs w:val="24"/>
          <w:shd w:val="clear" w:color="auto" w:fill="FFFFFF"/>
        </w:rPr>
        <w:t>aram</w:t>
      </w:r>
      <w:r w:rsidR="008E1657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10C5A">
        <w:rPr>
          <w:rFonts w:ascii="Arial" w:hAnsi="Arial" w:cs="Arial"/>
          <w:sz w:val="24"/>
          <w:szCs w:val="24"/>
          <w:shd w:val="clear" w:color="auto" w:fill="FFFFFF"/>
        </w:rPr>
        <w:t>o cenário de refino de petróleo no Brasil e impacto gerado no mercado com a venda de parte das refinarias da Petrobras.</w:t>
      </w:r>
      <w:r w:rsidR="00E84AB3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 Neste estudo, </w:t>
      </w:r>
      <w:r w:rsidR="00937DCA" w:rsidRPr="00310C5A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E84AB3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 primeira fase </w:t>
      </w:r>
      <w:r w:rsidR="004073EF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consistiu </w:t>
      </w:r>
      <w:r w:rsidR="006C5F78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8764BE" w:rsidRPr="00310C5A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4073EF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E84AB3" w:rsidRPr="00310C5A">
        <w:rPr>
          <w:rFonts w:ascii="Arial" w:hAnsi="Arial" w:cs="Arial"/>
          <w:sz w:val="24"/>
          <w:szCs w:val="24"/>
          <w:shd w:val="clear" w:color="auto" w:fill="FFFFFF"/>
        </w:rPr>
        <w:t>nálise prévia considerando aspectos quantitativos dos diferenciais de custo entre as possíveis alternativas de suprimento e avaliação qualitativa das possibilidades de avanço e proteção dos mercados, considerando as questões logísticas e de competitividade</w:t>
      </w:r>
      <w:r w:rsidR="00717E8D">
        <w:rPr>
          <w:rFonts w:ascii="Arial" w:hAnsi="Arial" w:cs="Arial"/>
          <w:sz w:val="24"/>
          <w:szCs w:val="24"/>
          <w:shd w:val="clear" w:color="auto" w:fill="FFFFFF"/>
        </w:rPr>
        <w:t xml:space="preserve"> para avaliar </w:t>
      </w:r>
      <w:r w:rsidR="00A4142C" w:rsidRPr="00A4142C">
        <w:rPr>
          <w:rFonts w:ascii="Arial" w:hAnsi="Arial" w:cs="Arial"/>
          <w:sz w:val="24"/>
          <w:szCs w:val="24"/>
          <w:shd w:val="clear" w:color="auto" w:fill="FFFFFF"/>
        </w:rPr>
        <w:t>as áreas de influência das refinarias em processo de desinvestimento: REFAP/RS; REPAR/PR; REGAP/MG; RLAM/BA; RNEST/PE; e REMAN/AM (análise dos riscos).</w:t>
      </w:r>
      <w:r w:rsidR="0023758C">
        <w:rPr>
          <w:rStyle w:val="Refdenotaderodap"/>
          <w:rFonts w:ascii="Arial" w:hAnsi="Arial" w:cs="Arial"/>
          <w:sz w:val="24"/>
          <w:szCs w:val="24"/>
          <w:shd w:val="clear" w:color="auto" w:fill="FFFFFF"/>
        </w:rPr>
        <w:footnoteReference w:id="3"/>
      </w:r>
    </w:p>
    <w:p w14:paraId="2BFE88ED" w14:textId="537414A2" w:rsidR="00A94276" w:rsidRPr="00A43851" w:rsidRDefault="00937DCA" w:rsidP="00395712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Como resumo dos resultados da primeira fase, identificou-se </w:t>
      </w:r>
      <w:r w:rsidR="00654305" w:rsidRPr="00310C5A">
        <w:rPr>
          <w:rFonts w:ascii="Arial" w:hAnsi="Arial" w:cs="Arial"/>
          <w:sz w:val="24"/>
          <w:szCs w:val="24"/>
          <w:shd w:val="clear" w:color="auto" w:fill="FFFFFF"/>
        </w:rPr>
        <w:t>elevada</w:t>
      </w:r>
      <w:r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 possibilidade de formação de monopólios privados regionais, sem garantia de aumento de competitividade que possa ser refletido em  </w:t>
      </w:r>
      <w:r w:rsidR="0022772B" w:rsidRPr="00310C5A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A94276" w:rsidRPr="00310C5A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310C5A">
        <w:rPr>
          <w:rFonts w:ascii="Arial" w:hAnsi="Arial" w:cs="Arial"/>
          <w:sz w:val="24"/>
          <w:szCs w:val="24"/>
          <w:shd w:val="clear" w:color="auto" w:fill="FFFFFF"/>
        </w:rPr>
        <w:t>dução do custo aos consumidores finais</w:t>
      </w:r>
      <w:r w:rsidR="00654305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, exceto para as regiões de influência da REPAR/PR e da RNEST/PE. Para estas duas </w:t>
      </w:r>
      <w:r w:rsidR="00197719" w:rsidRPr="00310C5A">
        <w:rPr>
          <w:rFonts w:ascii="Arial" w:hAnsi="Arial" w:cs="Arial"/>
          <w:sz w:val="24"/>
          <w:szCs w:val="24"/>
          <w:shd w:val="clear" w:color="auto" w:fill="FFFFFF"/>
        </w:rPr>
        <w:t>referidas unidades</w:t>
      </w:r>
      <w:r w:rsidR="0022772B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, o principal fator de inserção de competitividade </w:t>
      </w:r>
      <w:r w:rsidR="00707E08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identificado foi </w:t>
      </w:r>
      <w:r w:rsidR="0022772B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a permanente pressão competitiva de produtos de outros fornecedores, sejam </w:t>
      </w:r>
      <w:r w:rsidR="0022772B" w:rsidRPr="00310C5A">
        <w:rPr>
          <w:rFonts w:ascii="Arial" w:hAnsi="Arial" w:cs="Arial"/>
          <w:sz w:val="24"/>
          <w:szCs w:val="24"/>
          <w:shd w:val="clear" w:color="auto" w:fill="FFFFFF"/>
        </w:rPr>
        <w:lastRenderedPageBreak/>
        <w:t>importadores ou</w:t>
      </w:r>
      <w:r w:rsidR="003E2856">
        <w:rPr>
          <w:rFonts w:ascii="Arial" w:hAnsi="Arial" w:cs="Arial"/>
          <w:sz w:val="24"/>
          <w:szCs w:val="24"/>
          <w:shd w:val="clear" w:color="auto" w:fill="FFFFFF"/>
        </w:rPr>
        <w:t>, no novo cenário pós-desinvestimentos, do</w:t>
      </w:r>
      <w:r w:rsidR="0022772B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77DB9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produto nacional cabotado a partir de outras regiões. </w:t>
      </w:r>
      <w:r w:rsidR="008F76B8"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Isto reforça o fato, de que </w:t>
      </w:r>
      <w:r w:rsidR="008F76B8" w:rsidRPr="00A43851">
        <w:rPr>
          <w:rFonts w:ascii="Arial" w:hAnsi="Arial" w:cs="Arial"/>
          <w:b/>
          <w:bCs/>
          <w:sz w:val="24"/>
          <w:szCs w:val="24"/>
          <w:shd w:val="clear" w:color="auto" w:fill="FFFFFF"/>
        </w:rPr>
        <w:t>o investimento em infraestrutura logística (principalmente terminais aquaviários, ferrovias e dutos) que possibilite aumentar a superposição de áreas de influência das refinarias teria impacto positivo imediato na competitividade.</w:t>
      </w:r>
    </w:p>
    <w:p w14:paraId="59055136" w14:textId="291A1B81" w:rsidR="00AD6139" w:rsidRDefault="00716E12" w:rsidP="003957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F5B1F">
        <w:rPr>
          <w:rFonts w:ascii="Arial" w:hAnsi="Arial" w:cs="Arial"/>
          <w:sz w:val="24"/>
          <w:szCs w:val="24"/>
          <w:shd w:val="clear" w:color="auto" w:fill="FFFFFF"/>
        </w:rPr>
        <w:t>Em busca de confirmar a percepção do mercad</w:t>
      </w:r>
      <w:r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o sobre os apontamentos iniciais, a Fase 2 do estudo consistiu na aplicação do método Delphi tomando por base entrevistas com profissionais dos segmentos de refino, distribuição, revenda, importação, operadores logísticos, órgãos reguladores e advogados especialistas, todos com renomado conhecimento do </w:t>
      </w:r>
      <w:r w:rsidRPr="00310C5A">
        <w:rPr>
          <w:rFonts w:ascii="Arial" w:hAnsi="Arial" w:cs="Arial"/>
          <w:i/>
          <w:iCs/>
          <w:sz w:val="24"/>
          <w:szCs w:val="24"/>
          <w:shd w:val="clear" w:color="auto" w:fill="FFFFFF"/>
        </w:rPr>
        <w:t>downstream</w:t>
      </w:r>
      <w:r w:rsidRPr="00310C5A">
        <w:rPr>
          <w:rFonts w:ascii="Arial" w:hAnsi="Arial" w:cs="Arial"/>
          <w:sz w:val="24"/>
          <w:szCs w:val="24"/>
          <w:shd w:val="clear" w:color="auto" w:fill="FFFFFF"/>
        </w:rPr>
        <w:t xml:space="preserve"> brasileiro</w:t>
      </w:r>
      <w:r w:rsidR="00EB3CDC" w:rsidRPr="00310C5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B3CDC" w:rsidRPr="00310C5A">
        <w:rPr>
          <w:rStyle w:val="Refdenotaderodap"/>
          <w:rFonts w:ascii="Arial" w:hAnsi="Arial" w:cs="Arial"/>
          <w:sz w:val="24"/>
          <w:szCs w:val="24"/>
          <w:shd w:val="clear" w:color="auto" w:fill="FFFFFF"/>
        </w:rPr>
        <w:footnoteReference w:id="4"/>
      </w:r>
    </w:p>
    <w:p w14:paraId="699DDCE2" w14:textId="03B639A4" w:rsidR="00A907E2" w:rsidRDefault="00A907E2" w:rsidP="003957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Destacando</w:t>
      </w:r>
      <w:r w:rsidR="0075442E">
        <w:rPr>
          <w:rFonts w:ascii="Arial" w:hAnsi="Arial" w:cs="Arial"/>
          <w:sz w:val="24"/>
          <w:szCs w:val="24"/>
          <w:shd w:val="clear" w:color="auto" w:fill="FFFFFF"/>
        </w:rPr>
        <w:t xml:space="preserve"> da Fase 2 do estudo, </w:t>
      </w:r>
      <w:r>
        <w:rPr>
          <w:rFonts w:ascii="Arial" w:hAnsi="Arial" w:cs="Arial"/>
          <w:sz w:val="24"/>
          <w:szCs w:val="24"/>
          <w:shd w:val="clear" w:color="auto" w:fill="FFFFFF"/>
        </w:rPr>
        <w:t>resultados d</w:t>
      </w:r>
      <w:r w:rsidR="000D49B3">
        <w:rPr>
          <w:rFonts w:ascii="Arial" w:hAnsi="Arial" w:cs="Arial"/>
          <w:sz w:val="24"/>
          <w:szCs w:val="24"/>
          <w:shd w:val="clear" w:color="auto" w:fill="FFFFFF"/>
        </w:rPr>
        <w:t xml:space="preserve">e algumas das </w:t>
      </w:r>
      <w:r>
        <w:rPr>
          <w:rFonts w:ascii="Arial" w:hAnsi="Arial" w:cs="Arial"/>
          <w:sz w:val="24"/>
          <w:szCs w:val="24"/>
          <w:shd w:val="clear" w:color="auto" w:fill="FFFFFF"/>
        </w:rPr>
        <w:t>assertivas relacionadas ao tema em discussão</w:t>
      </w:r>
      <w:r w:rsidR="0075442E">
        <w:rPr>
          <w:rFonts w:ascii="Arial" w:hAnsi="Arial" w:cs="Arial"/>
          <w:sz w:val="24"/>
          <w:szCs w:val="24"/>
          <w:shd w:val="clear" w:color="auto" w:fill="FFFFFF"/>
        </w:rPr>
        <w:t>, temos que:</w:t>
      </w:r>
    </w:p>
    <w:p w14:paraId="7CAC3D14" w14:textId="77777777" w:rsidR="002C06AD" w:rsidRDefault="002C06AD" w:rsidP="00B11479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A227833" w14:textId="30C124C4" w:rsidR="002C06AD" w:rsidRPr="002C06AD" w:rsidRDefault="002C06AD" w:rsidP="002C06AD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2C06AD">
        <w:rPr>
          <w:rFonts w:ascii="Arial" w:hAnsi="Arial" w:cs="Arial"/>
          <w:shd w:val="clear" w:color="auto" w:fill="FFFFFF"/>
        </w:rPr>
        <w:t>Assertiva INV31. “A venda das refinarias estimulará investimentos em infraestrutura logística de abastecimento de combustíveis.”</w:t>
      </w:r>
    </w:p>
    <w:p w14:paraId="0F245929" w14:textId="30A7F8F8" w:rsidR="002C06AD" w:rsidRDefault="002C06AD" w:rsidP="002C06A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Resultado: </w:t>
      </w:r>
      <w:r w:rsidRPr="002C06AD">
        <w:rPr>
          <w:rFonts w:ascii="Arial" w:hAnsi="Arial" w:cs="Arial"/>
          <w:sz w:val="24"/>
          <w:szCs w:val="24"/>
          <w:shd w:val="clear" w:color="auto" w:fill="FFFFFF"/>
        </w:rPr>
        <w:t xml:space="preserve">Foi evidenciado consenso de concordância entre os respondentes (índice de </w:t>
      </w:r>
      <w:proofErr w:type="spellStart"/>
      <w:r w:rsidRPr="002C06AD">
        <w:rPr>
          <w:rFonts w:ascii="Arial" w:hAnsi="Arial" w:cs="Arial"/>
          <w:sz w:val="24"/>
          <w:szCs w:val="24"/>
          <w:shd w:val="clear" w:color="auto" w:fill="FFFFFF"/>
        </w:rPr>
        <w:t>favorabilidade</w:t>
      </w:r>
      <w:proofErr w:type="spellEnd"/>
      <w:r w:rsidRPr="002C06AD">
        <w:rPr>
          <w:rFonts w:ascii="Arial" w:hAnsi="Arial" w:cs="Arial"/>
          <w:sz w:val="24"/>
          <w:szCs w:val="24"/>
          <w:shd w:val="clear" w:color="auto" w:fill="FFFFFF"/>
        </w:rPr>
        <w:t xml:space="preserve"> de 91,67%). </w:t>
      </w:r>
    </w:p>
    <w:p w14:paraId="3707144A" w14:textId="77777777" w:rsidR="00B11479" w:rsidRPr="00310C5A" w:rsidRDefault="00B11479" w:rsidP="002C06A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63A019B" w14:textId="77777777" w:rsidR="00B11479" w:rsidRPr="0075442E" w:rsidRDefault="00B11479" w:rsidP="00B11479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75442E">
        <w:rPr>
          <w:rFonts w:ascii="Arial" w:hAnsi="Arial" w:cs="Arial"/>
          <w:shd w:val="clear" w:color="auto" w:fill="FFFFFF"/>
        </w:rPr>
        <w:t>Assertiva COM1. “Com relação à gasolina e ao óleo diesel, no curto prazo, a importação representa o maior concorrente das refinarias em processo de desinvestimento</w:t>
      </w:r>
      <w:r>
        <w:rPr>
          <w:rFonts w:ascii="Arial" w:hAnsi="Arial" w:cs="Arial"/>
          <w:shd w:val="clear" w:color="auto" w:fill="FFFFFF"/>
        </w:rPr>
        <w:t>.</w:t>
      </w:r>
      <w:r w:rsidRPr="0075442E">
        <w:rPr>
          <w:rFonts w:ascii="Arial" w:hAnsi="Arial" w:cs="Arial"/>
          <w:shd w:val="clear" w:color="auto" w:fill="FFFFFF"/>
        </w:rPr>
        <w:t>”</w:t>
      </w:r>
    </w:p>
    <w:p w14:paraId="0A5C75DF" w14:textId="77777777" w:rsidR="00B11479" w:rsidRPr="00310C5A" w:rsidRDefault="00B11479" w:rsidP="00B1147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Resultado: </w:t>
      </w:r>
      <w:r w:rsidRPr="0075442E">
        <w:rPr>
          <w:rFonts w:ascii="Arial" w:hAnsi="Arial" w:cs="Arial"/>
          <w:sz w:val="24"/>
          <w:szCs w:val="24"/>
          <w:shd w:val="clear" w:color="auto" w:fill="FFFFFF"/>
        </w:rPr>
        <w:t xml:space="preserve">Foi evidenciado consenso de concordância entre os respondentes (índice de </w:t>
      </w:r>
      <w:proofErr w:type="spellStart"/>
      <w:r w:rsidRPr="0075442E">
        <w:rPr>
          <w:rFonts w:ascii="Arial" w:hAnsi="Arial" w:cs="Arial"/>
          <w:sz w:val="24"/>
          <w:szCs w:val="24"/>
          <w:shd w:val="clear" w:color="auto" w:fill="FFFFFF"/>
        </w:rPr>
        <w:t>favorabilidade</w:t>
      </w:r>
      <w:proofErr w:type="spellEnd"/>
      <w:r w:rsidRPr="0075442E">
        <w:rPr>
          <w:rFonts w:ascii="Arial" w:hAnsi="Arial" w:cs="Arial"/>
          <w:sz w:val="24"/>
          <w:szCs w:val="24"/>
          <w:shd w:val="clear" w:color="auto" w:fill="FFFFFF"/>
        </w:rPr>
        <w:t xml:space="preserve"> de 91,67%). </w:t>
      </w:r>
    </w:p>
    <w:p w14:paraId="1822A855" w14:textId="77777777" w:rsidR="00B11479" w:rsidRPr="00310C5A" w:rsidRDefault="00B11479" w:rsidP="00B1147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4A080D3" w14:textId="77777777" w:rsidR="00B11479" w:rsidRPr="00AA14C8" w:rsidRDefault="00B11479" w:rsidP="00B11479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Assertiva </w:t>
      </w:r>
      <w:r w:rsidRPr="00AA14C8">
        <w:rPr>
          <w:rFonts w:ascii="Arial" w:hAnsi="Arial" w:cs="Arial"/>
          <w:shd w:val="clear" w:color="auto" w:fill="FFFFFF"/>
        </w:rPr>
        <w:t xml:space="preserve">IMP7. </w:t>
      </w:r>
      <w:r>
        <w:rPr>
          <w:rFonts w:ascii="Arial" w:hAnsi="Arial" w:cs="Arial"/>
          <w:shd w:val="clear" w:color="auto" w:fill="FFFFFF"/>
        </w:rPr>
        <w:t>“</w:t>
      </w:r>
      <w:r w:rsidRPr="00AA14C8">
        <w:rPr>
          <w:rFonts w:ascii="Arial" w:hAnsi="Arial" w:cs="Arial"/>
          <w:shd w:val="clear" w:color="auto" w:fill="FFFFFF"/>
        </w:rPr>
        <w:t>No curto prazo, o Brasil permanecerá na condição de importador de gasolina e óleo diesel</w:t>
      </w:r>
      <w:r>
        <w:rPr>
          <w:rFonts w:ascii="Arial" w:hAnsi="Arial" w:cs="Arial"/>
          <w:shd w:val="clear" w:color="auto" w:fill="FFFFFF"/>
        </w:rPr>
        <w:t>”.</w:t>
      </w:r>
    </w:p>
    <w:p w14:paraId="6E55D194" w14:textId="33363CAD" w:rsidR="00736135" w:rsidRDefault="00B11479" w:rsidP="00F5302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Resultado: </w:t>
      </w:r>
      <w:r w:rsidRPr="00AA14C8">
        <w:rPr>
          <w:rFonts w:ascii="Arial" w:hAnsi="Arial" w:cs="Arial"/>
          <w:sz w:val="24"/>
          <w:szCs w:val="24"/>
          <w:shd w:val="clear" w:color="auto" w:fill="FFFFFF"/>
        </w:rPr>
        <w:t xml:space="preserve">Foi evidenciado consenso de concordância entre os respondentes (índice de </w:t>
      </w:r>
      <w:proofErr w:type="spellStart"/>
      <w:r w:rsidRPr="00AA14C8">
        <w:rPr>
          <w:rFonts w:ascii="Arial" w:hAnsi="Arial" w:cs="Arial"/>
          <w:sz w:val="24"/>
          <w:szCs w:val="24"/>
          <w:shd w:val="clear" w:color="auto" w:fill="FFFFFF"/>
        </w:rPr>
        <w:t>favorabilidade</w:t>
      </w:r>
      <w:proofErr w:type="spellEnd"/>
      <w:r w:rsidRPr="00AA14C8">
        <w:rPr>
          <w:rFonts w:ascii="Arial" w:hAnsi="Arial" w:cs="Arial"/>
          <w:sz w:val="24"/>
          <w:szCs w:val="24"/>
          <w:shd w:val="clear" w:color="auto" w:fill="FFFFFF"/>
        </w:rPr>
        <w:t xml:space="preserve"> de 91,67%). </w:t>
      </w:r>
    </w:p>
    <w:p w14:paraId="42C27FF4" w14:textId="7BCC6AA3" w:rsidR="001C3BEA" w:rsidRDefault="001C3BEA" w:rsidP="00F5302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Estes resultados enfatizam a relevância e necessidade de estabelecimento claro das regras governando o livre acesso aos terminais aquaviários.</w:t>
      </w:r>
    </w:p>
    <w:p w14:paraId="6C23F615" w14:textId="77777777" w:rsidR="001C3BEA" w:rsidRDefault="001C3BEA" w:rsidP="00F5302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8FF88BE" w14:textId="1FEB99F4" w:rsidR="00736135" w:rsidRPr="00736135" w:rsidRDefault="00736135" w:rsidP="00736135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bCs/>
          <w:caps/>
          <w:color w:val="003875"/>
          <w:shd w:val="clear" w:color="auto" w:fill="FFFFFF"/>
        </w:rPr>
      </w:pPr>
      <w:r w:rsidRPr="00736135">
        <w:rPr>
          <w:rFonts w:ascii="Arial" w:hAnsi="Arial" w:cs="Arial"/>
          <w:b/>
          <w:bCs/>
          <w:caps/>
          <w:color w:val="003875"/>
          <w:shd w:val="clear" w:color="auto" w:fill="FFFFFF"/>
        </w:rPr>
        <w:t>estado do acesso aquaviário por refinaria</w:t>
      </w:r>
    </w:p>
    <w:p w14:paraId="498F2B32" w14:textId="521F9C06" w:rsidR="00716E12" w:rsidRDefault="00716E12" w:rsidP="003957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6BDD0C6" w14:textId="18CFC348" w:rsidR="00432B69" w:rsidRPr="005809C8" w:rsidRDefault="00B84EAB" w:rsidP="005809C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Nas regiões portuárias mais desenvolvidas, as barreiras à entrada de produtos de outros fornecedores (não-Petrobras) são tão menores quanto menor a concentração de operadores verticalizados na tancagem total. </w:t>
      </w:r>
    </w:p>
    <w:p w14:paraId="434495CA" w14:textId="14732FF4" w:rsidR="00E76F22" w:rsidRDefault="00B84EAB" w:rsidP="005809C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01CC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F3682">
        <w:rPr>
          <w:rFonts w:ascii="Arial" w:hAnsi="Arial" w:cs="Arial"/>
          <w:sz w:val="24"/>
          <w:szCs w:val="24"/>
          <w:shd w:val="clear" w:color="auto" w:fill="FFFFFF"/>
        </w:rPr>
        <w:t xml:space="preserve">A Tabela </w:t>
      </w:r>
      <w:r w:rsidR="005809C8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8F3682">
        <w:rPr>
          <w:rFonts w:ascii="Arial" w:hAnsi="Arial" w:cs="Arial"/>
          <w:sz w:val="24"/>
          <w:szCs w:val="24"/>
          <w:shd w:val="clear" w:color="auto" w:fill="FFFFFF"/>
        </w:rPr>
        <w:t>, a seguir</w:t>
      </w:r>
      <w:r w:rsidR="00FB76B9">
        <w:rPr>
          <w:rFonts w:ascii="Arial" w:hAnsi="Arial" w:cs="Arial"/>
          <w:sz w:val="24"/>
          <w:szCs w:val="24"/>
          <w:shd w:val="clear" w:color="auto" w:fill="FFFFFF"/>
        </w:rPr>
        <w:t xml:space="preserve">, resume principais </w:t>
      </w:r>
      <w:r w:rsidR="000E4A11">
        <w:rPr>
          <w:rFonts w:ascii="Arial" w:hAnsi="Arial" w:cs="Arial"/>
          <w:sz w:val="24"/>
          <w:szCs w:val="24"/>
          <w:shd w:val="clear" w:color="auto" w:fill="FFFFFF"/>
        </w:rPr>
        <w:t>considerações sobre o acesso nas áreas de influências das refinarias em desinvestimento</w:t>
      </w:r>
      <w:r w:rsidR="00E76F22"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r w:rsidR="000E4A11">
        <w:rPr>
          <w:rFonts w:ascii="Arial" w:hAnsi="Arial" w:cs="Arial"/>
          <w:sz w:val="24"/>
          <w:szCs w:val="24"/>
          <w:shd w:val="clear" w:color="auto" w:fill="FFFFFF"/>
        </w:rPr>
        <w:t xml:space="preserve">reforça a relevância </w:t>
      </w:r>
      <w:r w:rsidR="00E76F22">
        <w:rPr>
          <w:rFonts w:ascii="Arial" w:hAnsi="Arial" w:cs="Arial"/>
          <w:sz w:val="24"/>
          <w:szCs w:val="24"/>
          <w:shd w:val="clear" w:color="auto" w:fill="FFFFFF"/>
        </w:rPr>
        <w:t xml:space="preserve">do tema </w:t>
      </w:r>
      <w:r w:rsidR="000E4A11">
        <w:rPr>
          <w:rFonts w:ascii="Arial" w:hAnsi="Arial" w:cs="Arial"/>
          <w:sz w:val="24"/>
          <w:szCs w:val="24"/>
          <w:shd w:val="clear" w:color="auto" w:fill="FFFFFF"/>
        </w:rPr>
        <w:t>no processo de desinvestimento, seja do ponto de vista da distribuição</w:t>
      </w:r>
      <w:r w:rsidR="00E76F22">
        <w:rPr>
          <w:rFonts w:ascii="Arial" w:hAnsi="Arial" w:cs="Arial"/>
          <w:sz w:val="24"/>
          <w:szCs w:val="24"/>
          <w:shd w:val="clear" w:color="auto" w:fill="FFFFFF"/>
        </w:rPr>
        <w:t>, seja a partir do referencial dos próprios compradores, que desejaram transparência e segurança jurídica nas regras dos ativos em processo de avaliação.</w:t>
      </w:r>
    </w:p>
    <w:p w14:paraId="19A8AEDF" w14:textId="29439F27" w:rsidR="00E76F22" w:rsidRDefault="00E76F22" w:rsidP="00E1774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Tabelacomgrade"/>
        <w:tblW w:w="9748" w:type="dxa"/>
        <w:jc w:val="center"/>
        <w:tblLook w:val="04A0" w:firstRow="1" w:lastRow="0" w:firstColumn="1" w:lastColumn="0" w:noHBand="0" w:noVBand="1"/>
      </w:tblPr>
      <w:tblGrid>
        <w:gridCol w:w="2110"/>
        <w:gridCol w:w="5895"/>
        <w:gridCol w:w="1743"/>
      </w:tblGrid>
      <w:tr w:rsidR="009123A9" w:rsidRPr="004603C6" w14:paraId="50C066E1" w14:textId="77777777" w:rsidTr="009123A9">
        <w:trPr>
          <w:trHeight w:val="1001"/>
          <w:jc w:val="center"/>
        </w:trPr>
        <w:tc>
          <w:tcPr>
            <w:tcW w:w="2110" w:type="dxa"/>
            <w:hideMark/>
          </w:tcPr>
          <w:p w14:paraId="55BE09A3" w14:textId="77777777" w:rsidR="009123A9" w:rsidRPr="004603C6" w:rsidRDefault="009123A9" w:rsidP="009123A9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4603C6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Unidade de refino em desinvestimento</w:t>
            </w:r>
          </w:p>
        </w:tc>
        <w:tc>
          <w:tcPr>
            <w:tcW w:w="5895" w:type="dxa"/>
            <w:hideMark/>
          </w:tcPr>
          <w:p w14:paraId="597E9E68" w14:textId="77777777" w:rsidR="009123A9" w:rsidRPr="004603C6" w:rsidRDefault="009123A9" w:rsidP="009123A9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4603C6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Observações específicas</w:t>
            </w:r>
          </w:p>
        </w:tc>
        <w:tc>
          <w:tcPr>
            <w:tcW w:w="1743" w:type="dxa"/>
            <w:hideMark/>
          </w:tcPr>
          <w:p w14:paraId="698FE7E7" w14:textId="77777777" w:rsidR="009123A9" w:rsidRPr="004603C6" w:rsidRDefault="009123A9" w:rsidP="009123A9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4603C6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Possui terminal logístico associado sujeito à PANP 251/2000?</w:t>
            </w:r>
          </w:p>
        </w:tc>
      </w:tr>
      <w:tr w:rsidR="009123A9" w:rsidRPr="004603C6" w14:paraId="59FD0180" w14:textId="77777777" w:rsidTr="009123A9">
        <w:trPr>
          <w:trHeight w:val="920"/>
          <w:jc w:val="center"/>
        </w:trPr>
        <w:tc>
          <w:tcPr>
            <w:tcW w:w="2110" w:type="dxa"/>
            <w:hideMark/>
          </w:tcPr>
          <w:p w14:paraId="0037970A" w14:textId="77777777" w:rsidR="009123A9" w:rsidRPr="004603C6" w:rsidRDefault="009123A9" w:rsidP="004603C6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60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REMAN</w:t>
            </w:r>
          </w:p>
        </w:tc>
        <w:tc>
          <w:tcPr>
            <w:tcW w:w="5895" w:type="dxa"/>
            <w:hideMark/>
          </w:tcPr>
          <w:p w14:paraId="6A61F48A" w14:textId="77777777" w:rsidR="009123A9" w:rsidRPr="004603C6" w:rsidRDefault="009123A9" w:rsidP="009123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60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-Isolamento e boa infraestrutura portuária. </w:t>
            </w:r>
            <w:r w:rsidRPr="00460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  <w:t xml:space="preserve">-O mercado da REMAN é protegido pela falta de infraestrutura de movimentação de produtos que permita o ingresso de produtos de outros mercados pelos modais ferroviário, dutoviário, rodoviário. </w:t>
            </w:r>
          </w:p>
        </w:tc>
        <w:tc>
          <w:tcPr>
            <w:tcW w:w="1743" w:type="dxa"/>
            <w:hideMark/>
          </w:tcPr>
          <w:p w14:paraId="4AEF50D6" w14:textId="77777777" w:rsidR="009123A9" w:rsidRPr="004603C6" w:rsidRDefault="009123A9" w:rsidP="004603C6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60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SIM</w:t>
            </w:r>
          </w:p>
        </w:tc>
      </w:tr>
      <w:tr w:rsidR="009123A9" w:rsidRPr="004603C6" w14:paraId="2126EF8F" w14:textId="77777777" w:rsidTr="009123A9">
        <w:trPr>
          <w:trHeight w:val="955"/>
          <w:jc w:val="center"/>
        </w:trPr>
        <w:tc>
          <w:tcPr>
            <w:tcW w:w="2110" w:type="dxa"/>
            <w:hideMark/>
          </w:tcPr>
          <w:p w14:paraId="5A2F6A95" w14:textId="77777777" w:rsidR="009123A9" w:rsidRPr="004603C6" w:rsidRDefault="009123A9" w:rsidP="004603C6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60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RNEST</w:t>
            </w:r>
          </w:p>
        </w:tc>
        <w:tc>
          <w:tcPr>
            <w:tcW w:w="5895" w:type="dxa"/>
            <w:hideMark/>
          </w:tcPr>
          <w:p w14:paraId="19064D88" w14:textId="77777777" w:rsidR="009123A9" w:rsidRPr="004603C6" w:rsidRDefault="009123A9" w:rsidP="009123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60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Construção relativamente recente, boa infraestrutura de recebimento e expedição aquaviária.</w:t>
            </w:r>
            <w:r w:rsidRPr="00460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  <w:t xml:space="preserve">-A infraestrutura portuária  de SUAPE é boa, e neste porto localizam-se terminais com grande capacidade </w:t>
            </w:r>
            <w:r w:rsidRPr="00460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de tancagem. O comprador da RNEST enfrentará permanente pressão por este modal</w:t>
            </w:r>
          </w:p>
        </w:tc>
        <w:tc>
          <w:tcPr>
            <w:tcW w:w="1743" w:type="dxa"/>
            <w:hideMark/>
          </w:tcPr>
          <w:p w14:paraId="21D91C7F" w14:textId="77777777" w:rsidR="009123A9" w:rsidRPr="004603C6" w:rsidRDefault="009123A9" w:rsidP="004603C6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60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SIM</w:t>
            </w:r>
          </w:p>
        </w:tc>
      </w:tr>
      <w:tr w:rsidR="009123A9" w:rsidRPr="004603C6" w14:paraId="52CBCB53" w14:textId="77777777" w:rsidTr="009123A9">
        <w:trPr>
          <w:trHeight w:val="1277"/>
          <w:jc w:val="center"/>
        </w:trPr>
        <w:tc>
          <w:tcPr>
            <w:tcW w:w="2110" w:type="dxa"/>
            <w:hideMark/>
          </w:tcPr>
          <w:p w14:paraId="6DC0F5FF" w14:textId="77777777" w:rsidR="009123A9" w:rsidRPr="004603C6" w:rsidRDefault="009123A9" w:rsidP="004603C6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60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RLAM</w:t>
            </w:r>
          </w:p>
        </w:tc>
        <w:tc>
          <w:tcPr>
            <w:tcW w:w="5895" w:type="dxa"/>
            <w:hideMark/>
          </w:tcPr>
          <w:p w14:paraId="00E29F3D" w14:textId="77777777" w:rsidR="009123A9" w:rsidRPr="004603C6" w:rsidRDefault="009123A9" w:rsidP="009123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60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-Boa infraestrutura de recebimento e expedição aquaviária. O comprador da RLAM irá adquirir junto da refinaria, um pacote logístico de dutos até os terminais de Jequié e Itabuna, acesso para escoamento ferroviário para produtos para o mercado de Minas Gerais (destino Montes Claros), de modo que terá domínio de toda a logística do sul da Bahia e predominância da região de Salvador e demais mercados.  </w:t>
            </w:r>
          </w:p>
        </w:tc>
        <w:tc>
          <w:tcPr>
            <w:tcW w:w="1743" w:type="dxa"/>
            <w:hideMark/>
          </w:tcPr>
          <w:p w14:paraId="11039DDC" w14:textId="77777777" w:rsidR="009123A9" w:rsidRPr="004603C6" w:rsidRDefault="009123A9" w:rsidP="004603C6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60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SIM</w:t>
            </w:r>
          </w:p>
        </w:tc>
      </w:tr>
      <w:tr w:rsidR="009123A9" w:rsidRPr="004603C6" w14:paraId="3E54A7A0" w14:textId="77777777" w:rsidTr="009123A9">
        <w:trPr>
          <w:trHeight w:val="1553"/>
          <w:jc w:val="center"/>
        </w:trPr>
        <w:tc>
          <w:tcPr>
            <w:tcW w:w="2110" w:type="dxa"/>
            <w:hideMark/>
          </w:tcPr>
          <w:p w14:paraId="6F4422A7" w14:textId="77777777" w:rsidR="009123A9" w:rsidRPr="004603C6" w:rsidRDefault="009123A9" w:rsidP="004603C6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60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REGAP</w:t>
            </w:r>
          </w:p>
        </w:tc>
        <w:tc>
          <w:tcPr>
            <w:tcW w:w="5895" w:type="dxa"/>
            <w:hideMark/>
          </w:tcPr>
          <w:p w14:paraId="6F03EA46" w14:textId="77777777" w:rsidR="00B7734E" w:rsidRDefault="009123A9" w:rsidP="004603C6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60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Situada no terceiro maior centro metropolitano do Brasil. A REGAP tem o mercado da região metropolitana de Belo Horizonte/MG protegido pela inexistência de infraestrutura dutoviária e ferroviária que possibilite ingresso de produtos de refinarias limítrofes.</w:t>
            </w:r>
          </w:p>
          <w:p w14:paraId="21985E13" w14:textId="043F7B4A" w:rsidR="009123A9" w:rsidRPr="004603C6" w:rsidRDefault="009123A9" w:rsidP="00B7734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60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-Dependência de terceiros (Petrobras) uma vez que as Instalações para suprimento de petróleo não serão vendidas: Terminal de Ilha d'Água, no Rio de Janeiro e oleoduto ORBEL (Rio-Belo Horizonte). O comprador ficará sujeito às condições de acordo operacional com os terminais da Petrobras para recebimento de petróleo pela refinaria.</w:t>
            </w:r>
          </w:p>
        </w:tc>
        <w:tc>
          <w:tcPr>
            <w:tcW w:w="1743" w:type="dxa"/>
            <w:hideMark/>
          </w:tcPr>
          <w:p w14:paraId="6D5DB0CD" w14:textId="77777777" w:rsidR="009123A9" w:rsidRPr="004603C6" w:rsidRDefault="009123A9" w:rsidP="004603C6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60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SIM (Recebimento de petróleo no Rio de Janeiro)</w:t>
            </w:r>
          </w:p>
        </w:tc>
      </w:tr>
      <w:tr w:rsidR="009123A9" w:rsidRPr="004603C6" w14:paraId="613D37B6" w14:textId="77777777" w:rsidTr="009123A9">
        <w:trPr>
          <w:trHeight w:val="1105"/>
          <w:jc w:val="center"/>
        </w:trPr>
        <w:tc>
          <w:tcPr>
            <w:tcW w:w="2110" w:type="dxa"/>
            <w:hideMark/>
          </w:tcPr>
          <w:p w14:paraId="50AF8867" w14:textId="77777777" w:rsidR="009123A9" w:rsidRPr="004603C6" w:rsidRDefault="009123A9" w:rsidP="004603C6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60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REPAR</w:t>
            </w:r>
          </w:p>
        </w:tc>
        <w:tc>
          <w:tcPr>
            <w:tcW w:w="5895" w:type="dxa"/>
            <w:hideMark/>
          </w:tcPr>
          <w:p w14:paraId="144CB609" w14:textId="35568900" w:rsidR="009123A9" w:rsidRPr="004603C6" w:rsidRDefault="009123A9" w:rsidP="009123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60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-Localização e boa infraestrutura para recebimento de petróleo e escoamento da produção. O comprador da REPAR receberá também o duto OPASC e seus três terminais terrestres, localizados próximos às cidades de Joinville, Itajaí e Florianópolis, todos com instalações para carregamento rodoviário. </w:t>
            </w:r>
            <w:r w:rsidRPr="00460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  <w:r w:rsidRPr="00460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-A proximidade do Porto de Paranaguá submete a REPAR à pressão dos produtos importados, e sofrerá concorrência ao norte pela própria Petrobras.</w:t>
            </w:r>
          </w:p>
        </w:tc>
        <w:tc>
          <w:tcPr>
            <w:tcW w:w="1743" w:type="dxa"/>
            <w:hideMark/>
          </w:tcPr>
          <w:p w14:paraId="5DF0280C" w14:textId="77777777" w:rsidR="009123A9" w:rsidRPr="004603C6" w:rsidRDefault="009123A9" w:rsidP="004603C6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60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SIM</w:t>
            </w:r>
          </w:p>
        </w:tc>
      </w:tr>
      <w:tr w:rsidR="009123A9" w:rsidRPr="004603C6" w14:paraId="15525F57" w14:textId="77777777" w:rsidTr="009123A9">
        <w:trPr>
          <w:trHeight w:val="1334"/>
          <w:jc w:val="center"/>
        </w:trPr>
        <w:tc>
          <w:tcPr>
            <w:tcW w:w="2110" w:type="dxa"/>
            <w:hideMark/>
          </w:tcPr>
          <w:p w14:paraId="048F3BC7" w14:textId="77777777" w:rsidR="009123A9" w:rsidRPr="004603C6" w:rsidRDefault="009123A9" w:rsidP="004603C6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60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REFAP</w:t>
            </w:r>
          </w:p>
        </w:tc>
        <w:tc>
          <w:tcPr>
            <w:tcW w:w="5895" w:type="dxa"/>
            <w:hideMark/>
          </w:tcPr>
          <w:p w14:paraId="74D73F47" w14:textId="77777777" w:rsidR="00B7734E" w:rsidRDefault="009123A9" w:rsidP="009123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60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Bom mercado à disposição de seus produtos e boa infraestrutura para recebimento de petróleo e escoamento da produção. A infraestrutura portuária do Terminal de Osório será de propriedade do comprador da REFAP.</w:t>
            </w:r>
          </w:p>
          <w:p w14:paraId="235BC45A" w14:textId="00A387E6" w:rsidR="009123A9" w:rsidRPr="004603C6" w:rsidRDefault="009123A9" w:rsidP="009123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60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Área de influência provavelmente limitada à atual pela concorrência ao norte com a REPAR e Porto de Paranaguá (importação).</w:t>
            </w:r>
          </w:p>
        </w:tc>
        <w:tc>
          <w:tcPr>
            <w:tcW w:w="1743" w:type="dxa"/>
            <w:hideMark/>
          </w:tcPr>
          <w:p w14:paraId="12886333" w14:textId="77777777" w:rsidR="009123A9" w:rsidRPr="004603C6" w:rsidRDefault="009123A9" w:rsidP="004603C6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60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SIM</w:t>
            </w:r>
          </w:p>
        </w:tc>
      </w:tr>
    </w:tbl>
    <w:p w14:paraId="346C0E3B" w14:textId="6A21B60E" w:rsidR="00557265" w:rsidRPr="00FE435E" w:rsidRDefault="00FE435E" w:rsidP="00F5302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Tabela 1. Acesso aquaviário por refinaria em processo de desinvestimento</w:t>
      </w:r>
    </w:p>
    <w:p w14:paraId="2ED526EB" w14:textId="77777777" w:rsidR="00FE435E" w:rsidRDefault="00FE435E" w:rsidP="00506B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A853FF6" w14:textId="2A523557" w:rsidR="00506B2C" w:rsidRPr="00506B2C" w:rsidRDefault="00506B2C" w:rsidP="00506B2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aps/>
          <w:color w:val="003875"/>
          <w:sz w:val="24"/>
          <w:szCs w:val="24"/>
          <w:shd w:val="clear" w:color="auto" w:fill="FFFFFF"/>
          <w:lang w:eastAsia="pt-BR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Os comentários a seguir referem-se às principais regiões com movimentação de produtos via modal aquaviário.</w:t>
      </w:r>
      <w:r>
        <w:rPr>
          <w:rFonts w:ascii="Arial" w:eastAsia="Times New Roman" w:hAnsi="Arial" w:cs="Arial"/>
          <w:b/>
          <w:bCs/>
          <w:caps/>
          <w:color w:val="003875"/>
          <w:sz w:val="24"/>
          <w:szCs w:val="24"/>
          <w:shd w:val="clear" w:color="auto" w:fill="FFFFFF"/>
          <w:lang w:eastAsia="pt-BR"/>
        </w:rPr>
        <w:tab/>
      </w:r>
    </w:p>
    <w:p w14:paraId="1E9F1F72" w14:textId="53DC6E6D" w:rsidR="005809C8" w:rsidRDefault="005809C8" w:rsidP="005809C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Nos mercados de Pernambuco e Paraná, a infraestrutura de operadores logísticos é tal que distribuidoras regionais em tese teriam capacidade de movimentar seus produtos mediante remuneração adequada ao investidor. </w:t>
      </w:r>
    </w:p>
    <w:p w14:paraId="59861A46" w14:textId="77777777" w:rsidR="005809C8" w:rsidRDefault="005809C8" w:rsidP="005809C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 caso da Bahia, por outro lado, é crítico, à medida em que o Terminal de Madre de Deus, que representa 67% da tancagem total do estado está no pacote de ativos logísticos do programa de desinvestimentos da Petrobras e poderá ser adquirido por um operador verticalizado na cadeia de combustíveis. </w:t>
      </w:r>
    </w:p>
    <w:p w14:paraId="08AAE2AC" w14:textId="77777777" w:rsidR="005809C8" w:rsidRDefault="005809C8" w:rsidP="005809C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No Rio Grande do Sul, existe risco semelhante ao do caso baiano, à medida em que a</w:t>
      </w:r>
      <w:r w:rsidRPr="00AE1DA6">
        <w:rPr>
          <w:rFonts w:ascii="Arial" w:hAnsi="Arial" w:cs="Arial"/>
          <w:sz w:val="24"/>
          <w:szCs w:val="24"/>
          <w:shd w:val="clear" w:color="auto" w:fill="FFFFFF"/>
        </w:rPr>
        <w:t xml:space="preserve"> infraestrutura portuária do Terminal de Osório será de propriedade do comprador da REFAP.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E1DA6">
        <w:rPr>
          <w:rFonts w:ascii="Arial" w:hAnsi="Arial" w:cs="Arial"/>
          <w:sz w:val="24"/>
          <w:szCs w:val="24"/>
          <w:shd w:val="clear" w:color="auto" w:fill="FFFFFF"/>
        </w:rPr>
        <w:t>Mesmo considerando cenário regulatório de efetivo livre acesso em terminais aquaviários, o Terminal de Osório não tem operação rodoviária, de modo que um player independente ficaria sujeito a acordo com o comprador da REFAP para utilizar a infra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estrutura </w:t>
      </w:r>
      <w:r w:rsidRPr="00AE1DA6">
        <w:rPr>
          <w:rFonts w:ascii="Arial" w:hAnsi="Arial" w:cs="Arial"/>
          <w:sz w:val="24"/>
          <w:szCs w:val="24"/>
          <w:shd w:val="clear" w:color="auto" w:fill="FFFFFF"/>
        </w:rPr>
        <w:t>da refinaria para entrega por duto até as bases dos distribuidores</w:t>
      </w:r>
      <w:r>
        <w:rPr>
          <w:rFonts w:ascii="Arial" w:hAnsi="Arial" w:cs="Arial"/>
          <w:sz w:val="24"/>
          <w:szCs w:val="24"/>
          <w:shd w:val="clear" w:color="auto" w:fill="FFFFFF"/>
        </w:rPr>
        <w:t>. Aqui, é também imperativo o fato do operador ser ou não um agente verticalizado na cadeia.</w:t>
      </w:r>
    </w:p>
    <w:p w14:paraId="1EC6A1E6" w14:textId="77777777" w:rsidR="005809C8" w:rsidRDefault="005809C8" w:rsidP="005809C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 depender do texto final, a Resolução poderá também ter reflexos na operação da REGAP, localizada em Minas Gerais. Isto porque</w:t>
      </w:r>
      <w:r w:rsidRPr="00C01CC4">
        <w:rPr>
          <w:rFonts w:ascii="Arial" w:hAnsi="Arial" w:cs="Arial"/>
          <w:sz w:val="24"/>
          <w:szCs w:val="24"/>
          <w:shd w:val="clear" w:color="auto" w:fill="FFFFFF"/>
        </w:rPr>
        <w:t xml:space="preserve">, o terminal de entrada de petróleo </w:t>
      </w:r>
      <w:r w:rsidRPr="00C01CC4">
        <w:rPr>
          <w:rFonts w:ascii="Arial" w:hAnsi="Arial" w:cs="Arial"/>
          <w:sz w:val="24"/>
          <w:szCs w:val="24"/>
          <w:shd w:val="clear" w:color="auto" w:fill="FFFFFF"/>
        </w:rPr>
        <w:lastRenderedPageBreak/>
        <w:t>para a refinaria (TECAM) não está incluído na logística associada à unidade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no 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cluster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em desinvestimento</w:t>
      </w:r>
      <w:r w:rsidRPr="00C01CC4">
        <w:rPr>
          <w:rFonts w:ascii="Arial" w:hAnsi="Arial" w:cs="Arial"/>
          <w:sz w:val="24"/>
          <w:szCs w:val="24"/>
          <w:shd w:val="clear" w:color="auto" w:fill="FFFFFF"/>
        </w:rPr>
        <w:t>, fica</w:t>
      </w:r>
      <w:r>
        <w:rPr>
          <w:rFonts w:ascii="Arial" w:hAnsi="Arial" w:cs="Arial"/>
          <w:sz w:val="24"/>
          <w:szCs w:val="24"/>
          <w:shd w:val="clear" w:color="auto" w:fill="FFFFFF"/>
        </w:rPr>
        <w:t>ndo o comprado</w:t>
      </w:r>
      <w:r w:rsidRPr="00C01CC4">
        <w:rPr>
          <w:rFonts w:ascii="Arial" w:hAnsi="Arial" w:cs="Arial"/>
          <w:sz w:val="24"/>
          <w:szCs w:val="24"/>
          <w:shd w:val="clear" w:color="auto" w:fill="FFFFFF"/>
        </w:rPr>
        <w:t xml:space="preserve"> sujeito a acordo operaciona</w:t>
      </w:r>
      <w:r>
        <w:rPr>
          <w:rFonts w:ascii="Arial" w:hAnsi="Arial" w:cs="Arial"/>
          <w:sz w:val="24"/>
          <w:szCs w:val="24"/>
          <w:shd w:val="clear" w:color="auto" w:fill="FFFFFF"/>
        </w:rPr>
        <w:t>l</w:t>
      </w:r>
      <w:r w:rsidRPr="00C01CC4">
        <w:rPr>
          <w:rFonts w:ascii="Arial" w:hAnsi="Arial" w:cs="Arial"/>
          <w:sz w:val="24"/>
          <w:szCs w:val="24"/>
          <w:shd w:val="clear" w:color="auto" w:fill="FFFFFF"/>
        </w:rPr>
        <w:t xml:space="preserve"> com o terminal que permanecerá sendo de propriedade da Petrobras. </w:t>
      </w:r>
      <w:r>
        <w:rPr>
          <w:rFonts w:ascii="Arial" w:hAnsi="Arial" w:cs="Arial"/>
          <w:sz w:val="24"/>
          <w:szCs w:val="24"/>
          <w:shd w:val="clear" w:color="auto" w:fill="FFFFFF"/>
        </w:rPr>
        <w:t>Dependendo das condições de</w:t>
      </w:r>
      <w:r w:rsidRPr="00C01CC4">
        <w:rPr>
          <w:rFonts w:ascii="Arial" w:hAnsi="Arial" w:cs="Arial"/>
          <w:sz w:val="24"/>
          <w:szCs w:val="24"/>
          <w:shd w:val="clear" w:color="auto" w:fill="FFFFFF"/>
        </w:rPr>
        <w:t xml:space="preserve"> acesso nos terminais da Ilha D’água e Angra dos Reis, </w:t>
      </w:r>
      <w:r>
        <w:rPr>
          <w:rFonts w:ascii="Arial" w:hAnsi="Arial" w:cs="Arial"/>
          <w:sz w:val="24"/>
          <w:szCs w:val="24"/>
          <w:shd w:val="clear" w:color="auto" w:fill="FFFFFF"/>
        </w:rPr>
        <w:t>há</w:t>
      </w:r>
      <w:r w:rsidRPr="00C01CC4">
        <w:rPr>
          <w:rFonts w:ascii="Arial" w:hAnsi="Arial" w:cs="Arial"/>
          <w:sz w:val="24"/>
          <w:szCs w:val="24"/>
          <w:shd w:val="clear" w:color="auto" w:fill="FFFFFF"/>
        </w:rPr>
        <w:t xml:space="preserve"> risco de aumento de custo ao distribuidor pelo repasse do pagamento de tarifa de movimentação no TECAM</w:t>
      </w:r>
    </w:p>
    <w:p w14:paraId="10C6828D" w14:textId="7E400394" w:rsidR="00837A0A" w:rsidRDefault="00970113" w:rsidP="0094687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Além das áreas de influência das refinarias há potencial impacto em outras regiões atendidas pelo modal de cabotagem. </w:t>
      </w:r>
      <w:r w:rsidR="0094687F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bookmarkStart w:id="2" w:name="_Hlk52877009"/>
      <w:r w:rsidR="0094687F">
        <w:rPr>
          <w:rFonts w:ascii="Arial" w:hAnsi="Arial" w:cs="Arial"/>
          <w:sz w:val="24"/>
          <w:szCs w:val="24"/>
          <w:shd w:val="clear" w:color="auto" w:fill="FFFFFF"/>
        </w:rPr>
        <w:t>percentual de tancagem estática de biocombustíveis e derivados de petróleo operado atualmente pela Transpetro, no comparativo à tancagem total de cada UF</w:t>
      </w:r>
      <w:bookmarkEnd w:id="2"/>
      <w:r w:rsidR="0094687F">
        <w:rPr>
          <w:rFonts w:ascii="Arial" w:hAnsi="Arial" w:cs="Arial"/>
          <w:sz w:val="24"/>
          <w:szCs w:val="24"/>
          <w:shd w:val="clear" w:color="auto" w:fill="FFFFFF"/>
        </w:rPr>
        <w:t>, está disposto na Tabela 2</w:t>
      </w:r>
      <w:r w:rsidR="001136F0">
        <w:rPr>
          <w:rFonts w:ascii="Arial" w:hAnsi="Arial" w:cs="Arial"/>
          <w:sz w:val="24"/>
          <w:szCs w:val="24"/>
          <w:shd w:val="clear" w:color="auto" w:fill="FFFFFF"/>
        </w:rPr>
        <w:t>, no anexo a este texto</w:t>
      </w:r>
      <w:r w:rsidR="0094687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3359710" w14:textId="68C2B5D4" w:rsidR="00970113" w:rsidRPr="00970113" w:rsidRDefault="00970113" w:rsidP="00970113">
      <w:pPr>
        <w:spacing w:after="0" w:line="360" w:lineRule="auto"/>
        <w:ind w:firstLine="360"/>
        <w:jc w:val="both"/>
        <w:rPr>
          <w:rFonts w:ascii="Arial" w:eastAsia="Times New Roman" w:hAnsi="Arial" w:cs="Arial"/>
          <w:b/>
          <w:bCs/>
          <w:caps/>
          <w:color w:val="003875"/>
          <w:sz w:val="24"/>
          <w:szCs w:val="24"/>
          <w:shd w:val="clear" w:color="auto" w:fill="FFFFFF"/>
          <w:lang w:eastAsia="pt-BR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EA586A">
        <w:rPr>
          <w:rFonts w:ascii="Arial" w:hAnsi="Arial" w:cs="Arial"/>
          <w:sz w:val="24"/>
          <w:szCs w:val="24"/>
          <w:shd w:val="clear" w:color="auto" w:fill="FFFFFF"/>
        </w:rPr>
        <w:t xml:space="preserve">ara Alagoas, por exemplo, a única tancagem disponível é operada pela TRANSPETRO, sujeita ao direito de preferência do carregador proprietário (Petrobras), o que poderia dificultar eventual cumprimento de pedido de acesso por parte de terceiros por limitação da infraestrutura. </w:t>
      </w:r>
      <w:r>
        <w:rPr>
          <w:rFonts w:ascii="Arial" w:hAnsi="Arial" w:cs="Arial"/>
          <w:sz w:val="24"/>
          <w:szCs w:val="24"/>
          <w:shd w:val="clear" w:color="auto" w:fill="FFFFFF"/>
        </w:rPr>
        <w:t>Em</w:t>
      </w:r>
      <w:r w:rsidRPr="00EA586A">
        <w:rPr>
          <w:rFonts w:ascii="Arial" w:hAnsi="Arial" w:cs="Arial"/>
          <w:sz w:val="24"/>
          <w:szCs w:val="24"/>
          <w:shd w:val="clear" w:color="auto" w:fill="FFFFFF"/>
        </w:rPr>
        <w:t xml:space="preserve"> Maceió, existem bases de distribuidores de combustíveis com recebimento de produto pelo modal marítimo, no entanto, por serem classificadas como “Base de Distribuição” estão fora do escopo d</w:t>
      </w:r>
      <w:r>
        <w:rPr>
          <w:rFonts w:ascii="Arial" w:hAnsi="Arial" w:cs="Arial"/>
          <w:sz w:val="24"/>
          <w:szCs w:val="24"/>
          <w:shd w:val="clear" w:color="auto" w:fill="FFFFFF"/>
        </w:rPr>
        <w:t>a PANP 251/2000.</w:t>
      </w:r>
    </w:p>
    <w:p w14:paraId="3B1DAC1D" w14:textId="7C60B4E4" w:rsidR="00837A0A" w:rsidRDefault="00837A0A" w:rsidP="00395712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aps/>
          <w:color w:val="003875"/>
          <w:sz w:val="24"/>
          <w:szCs w:val="24"/>
          <w:shd w:val="clear" w:color="auto" w:fill="FFFFFF"/>
          <w:lang w:eastAsia="pt-BR"/>
        </w:rPr>
      </w:pPr>
    </w:p>
    <w:p w14:paraId="25087F4C" w14:textId="520852D0" w:rsidR="00837A0A" w:rsidRDefault="00837A0A" w:rsidP="00395712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aps/>
          <w:color w:val="003875"/>
          <w:sz w:val="24"/>
          <w:szCs w:val="24"/>
          <w:shd w:val="clear" w:color="auto" w:fill="FFFFFF"/>
          <w:lang w:eastAsia="pt-BR"/>
        </w:rPr>
      </w:pPr>
    </w:p>
    <w:p w14:paraId="245DC4FD" w14:textId="3C5AE611" w:rsidR="00837A0A" w:rsidRDefault="00837A0A" w:rsidP="00395712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aps/>
          <w:color w:val="003875"/>
          <w:sz w:val="24"/>
          <w:szCs w:val="24"/>
          <w:shd w:val="clear" w:color="auto" w:fill="FFFFFF"/>
          <w:lang w:eastAsia="pt-BR"/>
        </w:rPr>
      </w:pPr>
    </w:p>
    <w:p w14:paraId="0638F0F2" w14:textId="5180346D" w:rsidR="00837A0A" w:rsidRDefault="00837A0A" w:rsidP="00395712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aps/>
          <w:color w:val="003875"/>
          <w:sz w:val="24"/>
          <w:szCs w:val="24"/>
          <w:shd w:val="clear" w:color="auto" w:fill="FFFFFF"/>
          <w:lang w:eastAsia="pt-BR"/>
        </w:rPr>
      </w:pPr>
    </w:p>
    <w:p w14:paraId="3E68227F" w14:textId="3C00475E" w:rsidR="00837A0A" w:rsidRDefault="00837A0A" w:rsidP="00395712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aps/>
          <w:color w:val="003875"/>
          <w:sz w:val="24"/>
          <w:szCs w:val="24"/>
          <w:shd w:val="clear" w:color="auto" w:fill="FFFFFF"/>
          <w:lang w:eastAsia="pt-BR"/>
        </w:rPr>
      </w:pPr>
    </w:p>
    <w:p w14:paraId="71BEA3D5" w14:textId="39A0158B" w:rsidR="00837A0A" w:rsidRDefault="00837A0A" w:rsidP="00395712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aps/>
          <w:color w:val="003875"/>
          <w:sz w:val="24"/>
          <w:szCs w:val="24"/>
          <w:shd w:val="clear" w:color="auto" w:fill="FFFFFF"/>
          <w:lang w:eastAsia="pt-BR"/>
        </w:rPr>
      </w:pPr>
    </w:p>
    <w:p w14:paraId="4D675661" w14:textId="10699BC3" w:rsidR="00837A0A" w:rsidRDefault="00837A0A" w:rsidP="00395712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aps/>
          <w:color w:val="003875"/>
          <w:sz w:val="24"/>
          <w:szCs w:val="24"/>
          <w:shd w:val="clear" w:color="auto" w:fill="FFFFFF"/>
          <w:lang w:eastAsia="pt-BR"/>
        </w:rPr>
      </w:pPr>
    </w:p>
    <w:p w14:paraId="3E89371F" w14:textId="31146B57" w:rsidR="00837A0A" w:rsidRDefault="00837A0A" w:rsidP="00395712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aps/>
          <w:color w:val="003875"/>
          <w:sz w:val="24"/>
          <w:szCs w:val="24"/>
          <w:shd w:val="clear" w:color="auto" w:fill="FFFFFF"/>
          <w:lang w:eastAsia="pt-BR"/>
        </w:rPr>
      </w:pPr>
    </w:p>
    <w:p w14:paraId="7766C297" w14:textId="3D79F196" w:rsidR="00837A0A" w:rsidRDefault="00837A0A" w:rsidP="00395712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aps/>
          <w:color w:val="003875"/>
          <w:sz w:val="24"/>
          <w:szCs w:val="24"/>
          <w:shd w:val="clear" w:color="auto" w:fill="FFFFFF"/>
          <w:lang w:eastAsia="pt-BR"/>
        </w:rPr>
      </w:pPr>
    </w:p>
    <w:p w14:paraId="0A35DDF7" w14:textId="77777777" w:rsidR="003A4423" w:rsidRDefault="003A4423" w:rsidP="00395712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aps/>
          <w:color w:val="003875"/>
          <w:sz w:val="24"/>
          <w:szCs w:val="24"/>
          <w:shd w:val="clear" w:color="auto" w:fill="FFFFFF"/>
          <w:lang w:eastAsia="pt-BR"/>
        </w:rPr>
      </w:pPr>
    </w:p>
    <w:p w14:paraId="51787527" w14:textId="6015EB50" w:rsidR="001136F0" w:rsidRDefault="001136F0" w:rsidP="001136F0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color w:val="003875"/>
          <w:sz w:val="24"/>
          <w:szCs w:val="24"/>
          <w:shd w:val="clear" w:color="auto" w:fill="FFFFFF"/>
          <w:lang w:eastAsia="pt-BR"/>
        </w:rPr>
      </w:pPr>
    </w:p>
    <w:p w14:paraId="43F147A9" w14:textId="77777777" w:rsidR="001136F0" w:rsidRDefault="001136F0" w:rsidP="001136F0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color w:val="003875"/>
          <w:sz w:val="24"/>
          <w:szCs w:val="24"/>
          <w:shd w:val="clear" w:color="auto" w:fill="FFFFFF"/>
          <w:lang w:eastAsia="pt-BR"/>
        </w:rPr>
      </w:pPr>
    </w:p>
    <w:p w14:paraId="7EE5B6A6" w14:textId="77777777" w:rsidR="00837A0A" w:rsidRDefault="00837A0A" w:rsidP="00395712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aps/>
          <w:color w:val="003875"/>
          <w:sz w:val="24"/>
          <w:szCs w:val="24"/>
          <w:shd w:val="clear" w:color="auto" w:fill="FFFFFF"/>
          <w:lang w:eastAsia="pt-BR"/>
        </w:rPr>
      </w:pPr>
    </w:p>
    <w:p w14:paraId="1DF49599" w14:textId="77777777" w:rsidR="00D3389D" w:rsidRPr="00D3389D" w:rsidRDefault="00D3389D" w:rsidP="00395712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aps/>
          <w:color w:val="003875"/>
          <w:sz w:val="24"/>
          <w:szCs w:val="24"/>
          <w:shd w:val="clear" w:color="auto" w:fill="FFFFFF"/>
          <w:lang w:eastAsia="pt-BR"/>
        </w:rPr>
      </w:pPr>
    </w:p>
    <w:p w14:paraId="5583B984" w14:textId="615BBFD2" w:rsidR="001E21B7" w:rsidRPr="0022796F" w:rsidRDefault="003552DE" w:rsidP="001E21B7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bCs/>
          <w:caps/>
          <w:color w:val="003875"/>
          <w:shd w:val="clear" w:color="auto" w:fill="FFFFFF"/>
        </w:rPr>
      </w:pPr>
      <w:r w:rsidRPr="003552DE">
        <w:rPr>
          <w:rFonts w:ascii="Arial" w:hAnsi="Arial" w:cs="Arial"/>
          <w:b/>
          <w:bCs/>
          <w:caps/>
          <w:color w:val="003875"/>
          <w:shd w:val="clear" w:color="auto" w:fill="FFFFFF"/>
        </w:rPr>
        <w:lastRenderedPageBreak/>
        <w:t>proposta de princípios norteadores da regulamentação do acesso</w:t>
      </w:r>
    </w:p>
    <w:p w14:paraId="453BCD50" w14:textId="28F6BC27" w:rsidR="00256B95" w:rsidRDefault="001E21B7" w:rsidP="001E21B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Como aspecto geral, não há dúvidas de que, durante a mudança para uma configuração de mercado com multifornecedores, os investimentos privados atuarão como a alavanca do desenvolvimento de infraestrutura para movimentação dos derivados. Cabe ressaltar, contudo, que </w:t>
      </w:r>
      <w:r w:rsidRPr="008141D4">
        <w:rPr>
          <w:rFonts w:ascii="Arial" w:hAnsi="Arial" w:cs="Arial"/>
          <w:b/>
          <w:bCs/>
          <w:sz w:val="24"/>
          <w:szCs w:val="24"/>
          <w:shd w:val="clear" w:color="auto" w:fill="FFFFFF"/>
        </w:rPr>
        <w:t>embora essenciais, tais investimentos terão prazo de maturação da tomada de decisão e período de realização para que estejam operacionais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Durante este período, o país continuará como importador líquido de derivados e, até que se alcance este momento de mercado plenamente maduro e competitivo do ponto de vista da etapa primária de fornecimento, o acesso isonômico aos ativos pode ser o diferencial </w:t>
      </w:r>
      <w:r w:rsidR="00D165A6">
        <w:rPr>
          <w:rFonts w:ascii="Arial" w:hAnsi="Arial" w:cs="Arial"/>
          <w:sz w:val="24"/>
          <w:szCs w:val="24"/>
          <w:shd w:val="clear" w:color="auto" w:fill="FFFFFF"/>
        </w:rPr>
        <w:t xml:space="preserve">que </w:t>
      </w:r>
      <w:r w:rsidR="005B21A1" w:rsidRPr="005B21A1">
        <w:rPr>
          <w:rFonts w:ascii="Arial" w:hAnsi="Arial" w:cs="Arial"/>
          <w:sz w:val="24"/>
          <w:szCs w:val="24"/>
          <w:shd w:val="clear" w:color="auto" w:fill="FFFFFF"/>
        </w:rPr>
        <w:t>permitirá a atuação de agentes de menor porte, como os de âmbito regional</w:t>
      </w:r>
      <w:r w:rsidR="00D165A6">
        <w:rPr>
          <w:rFonts w:ascii="Arial" w:hAnsi="Arial" w:cs="Arial"/>
          <w:sz w:val="24"/>
          <w:szCs w:val="24"/>
          <w:shd w:val="clear" w:color="auto" w:fill="FFFFFF"/>
        </w:rPr>
        <w:t>, incentivando a competitividade regional/local</w:t>
      </w:r>
      <w:r w:rsidR="005B21A1" w:rsidRPr="005B21A1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256B9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1BF4EA7A" w14:textId="57DFF160" w:rsidR="001E21B7" w:rsidRDefault="001E21B7" w:rsidP="001E21B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Vale ratificar, por outro lado, que para a atração efetiva de investidores para projetos de infraestrutura no Brasil é substancial que sejam respeitados os princípios norteadores da Lei 13.874/19 (Lei de Liberdade Econômica)</w:t>
      </w:r>
      <w:r w:rsidRPr="00D165A6">
        <w:rPr>
          <w:vertAlign w:val="superscript"/>
        </w:rPr>
        <w:footnoteReference w:id="5"/>
      </w:r>
      <w:r>
        <w:rPr>
          <w:rFonts w:ascii="Arial" w:hAnsi="Arial" w:cs="Arial"/>
          <w:sz w:val="24"/>
          <w:szCs w:val="24"/>
          <w:shd w:val="clear" w:color="auto" w:fill="FFFFFF"/>
        </w:rPr>
        <w:t>, entre os quais: “</w:t>
      </w:r>
      <w:r w:rsidRPr="00C44368">
        <w:rPr>
          <w:rFonts w:ascii="Arial" w:hAnsi="Arial" w:cs="Arial"/>
          <w:sz w:val="24"/>
          <w:szCs w:val="24"/>
          <w:shd w:val="clear" w:color="auto" w:fill="FFFFFF"/>
        </w:rPr>
        <w:t>a liberdade como uma garantia no exercício de atividades econômicas” e “a intervenção subsidiária e excepcional do Estado sobre o exercício de atividades econômicas”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Neste contexto o equilíbrio entre intervenções regulatórias e promoção da liberdade econômica é um complexo 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trade-off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 ser solucionado pelo regulador.</w:t>
      </w:r>
    </w:p>
    <w:p w14:paraId="0B7B124E" w14:textId="77777777" w:rsidR="00403809" w:rsidRDefault="001E21B7" w:rsidP="001267D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Do ponto de vista da administração dos terminais, pela natureza da atividade, terminais de operadores logísticos tenderiam a não discriminar clientes, já que suas receitas são auferidas pelo nível de movimentação e ocupação do terminal. Isto significa que um operador logístico não verticalizado na cadeia de suprimento de combustíveis, em teoria, liberaria acesso a qualquer terceiro interessado mediante remuneração compatível com os custos da operação, de modo a utilizar a capacidade máxima do ativo. </w:t>
      </w:r>
      <w:r w:rsidR="00403809">
        <w:rPr>
          <w:rFonts w:ascii="Arial" w:hAnsi="Arial" w:cs="Arial"/>
          <w:sz w:val="24"/>
          <w:szCs w:val="24"/>
          <w:shd w:val="clear" w:color="auto" w:fill="FFFFFF"/>
        </w:rPr>
        <w:t xml:space="preserve">Não se tem conhecimento no mercado de registro de queixas formais quanto ao livre acesso aos terminais aquaviários. Torna-se conveniente a análise de impacto regulatório (AIR) para que se possa avaliar o escopo, cobertura e implicações de mercado das mudanças sugeridas a atual regulação de acesso. </w:t>
      </w:r>
    </w:p>
    <w:p w14:paraId="01D181A8" w14:textId="074F38CE" w:rsidR="00FE435E" w:rsidRDefault="001136F0" w:rsidP="001136F0">
      <w:pPr>
        <w:spacing w:line="360" w:lineRule="auto"/>
        <w:jc w:val="both"/>
        <w:rPr>
          <w:rFonts w:ascii="Arial" w:hAnsi="Arial" w:cs="Arial"/>
          <w:b/>
          <w:bCs/>
          <w:caps/>
          <w:color w:val="003875"/>
          <w:shd w:val="clear" w:color="auto" w:fill="FFFFFF"/>
        </w:rPr>
      </w:pPr>
      <w:r>
        <w:rPr>
          <w:rFonts w:ascii="Arial" w:hAnsi="Arial" w:cs="Arial"/>
          <w:b/>
          <w:bCs/>
          <w:caps/>
          <w:color w:val="003875"/>
          <w:shd w:val="clear" w:color="auto" w:fill="FFFFFF"/>
        </w:rPr>
        <w:lastRenderedPageBreak/>
        <w:t xml:space="preserve">ANEXO </w:t>
      </w:r>
      <w:r w:rsidR="00ED2F2A">
        <w:rPr>
          <w:rFonts w:ascii="Arial" w:hAnsi="Arial" w:cs="Arial"/>
          <w:b/>
          <w:bCs/>
          <w:caps/>
          <w:color w:val="003875"/>
          <w:shd w:val="clear" w:color="auto" w:fill="FFFFFF"/>
        </w:rPr>
        <w:t>I</w:t>
      </w:r>
    </w:p>
    <w:p w14:paraId="6D99AFB1" w14:textId="0A62CFDD" w:rsidR="001136F0" w:rsidRPr="008C5258" w:rsidRDefault="008C5258" w:rsidP="00FE435E">
      <w:pPr>
        <w:spacing w:line="360" w:lineRule="auto"/>
        <w:jc w:val="center"/>
        <w:rPr>
          <w:rFonts w:ascii="Arial" w:hAnsi="Arial" w:cs="Arial"/>
          <w:b/>
          <w:bCs/>
          <w:caps/>
          <w:color w:val="003875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Tabela 2. P</w:t>
      </w:r>
      <w:r w:rsidRPr="008C5258">
        <w:rPr>
          <w:rFonts w:ascii="Arial" w:hAnsi="Arial" w:cs="Arial"/>
          <w:sz w:val="24"/>
          <w:szCs w:val="24"/>
          <w:shd w:val="clear" w:color="auto" w:fill="FFFFFF"/>
        </w:rPr>
        <w:t>ercentual de tancagem estática de biocombustíveis e derivados de petróleo operado atualmente pela Transpetro, no comparativo à tancagem total de cada UF</w:t>
      </w:r>
      <w:r w:rsidR="003A4423">
        <w:rPr>
          <w:rStyle w:val="Refdenotaderodap"/>
          <w:rFonts w:ascii="Arial" w:hAnsi="Arial" w:cs="Arial"/>
          <w:sz w:val="24"/>
          <w:szCs w:val="24"/>
          <w:shd w:val="clear" w:color="auto" w:fill="FFFFFF"/>
        </w:rPr>
        <w:footnoteReference w:id="6"/>
      </w:r>
    </w:p>
    <w:p w14:paraId="2AD0B6F8" w14:textId="0BCCF64E" w:rsidR="001136F0" w:rsidRPr="00CD4621" w:rsidRDefault="0022796F" w:rsidP="00CD462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C5258"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58240" behindDoc="0" locked="0" layoutInCell="1" allowOverlap="1" wp14:anchorId="27D68814" wp14:editId="42C52797">
            <wp:simplePos x="0" y="0"/>
            <wp:positionH relativeFrom="margin">
              <wp:posOffset>857250</wp:posOffset>
            </wp:positionH>
            <wp:positionV relativeFrom="margin">
              <wp:posOffset>1143000</wp:posOffset>
            </wp:positionV>
            <wp:extent cx="3903980" cy="6591300"/>
            <wp:effectExtent l="0" t="0" r="127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36F0" w:rsidRPr="00CD4621" w:rsidSect="00CB2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4249C" w14:textId="77777777" w:rsidR="00A17FB7" w:rsidRDefault="00A17FB7" w:rsidP="00EB4AE7">
      <w:pPr>
        <w:spacing w:after="0" w:line="240" w:lineRule="auto"/>
      </w:pPr>
      <w:r>
        <w:separator/>
      </w:r>
    </w:p>
  </w:endnote>
  <w:endnote w:type="continuationSeparator" w:id="0">
    <w:p w14:paraId="63F48C0C" w14:textId="77777777" w:rsidR="00A17FB7" w:rsidRDefault="00A17FB7" w:rsidP="00EB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1E377" w14:textId="77777777" w:rsidR="00A17FB7" w:rsidRDefault="00A17FB7" w:rsidP="00EB4AE7">
      <w:pPr>
        <w:spacing w:after="0" w:line="240" w:lineRule="auto"/>
      </w:pPr>
      <w:r>
        <w:separator/>
      </w:r>
    </w:p>
  </w:footnote>
  <w:footnote w:type="continuationSeparator" w:id="0">
    <w:p w14:paraId="7B391845" w14:textId="77777777" w:rsidR="00A17FB7" w:rsidRDefault="00A17FB7" w:rsidP="00EB4AE7">
      <w:pPr>
        <w:spacing w:after="0" w:line="240" w:lineRule="auto"/>
      </w:pPr>
      <w:r>
        <w:continuationSeparator/>
      </w:r>
    </w:p>
  </w:footnote>
  <w:footnote w:id="1">
    <w:p w14:paraId="3F761891" w14:textId="048054C6" w:rsidR="00BA44C1" w:rsidRPr="002F50CE" w:rsidRDefault="00BA44C1">
      <w:pPr>
        <w:pStyle w:val="Textodenotaderodap"/>
        <w:rPr>
          <w:rFonts w:ascii="Arial" w:hAnsi="Arial" w:cs="Arial"/>
        </w:rPr>
      </w:pPr>
      <w:r w:rsidRPr="00310C5A">
        <w:rPr>
          <w:rStyle w:val="Refdenotaderodap"/>
          <w:rFonts w:ascii="Arial" w:hAnsi="Arial" w:cs="Arial"/>
        </w:rPr>
        <w:footnoteRef/>
      </w:r>
      <w:r w:rsidRPr="002F50CE">
        <w:rPr>
          <w:rFonts w:ascii="Arial" w:hAnsi="Arial" w:cs="Arial"/>
        </w:rPr>
        <w:t xml:space="preserve"> </w:t>
      </w:r>
      <w:hyperlink r:id="rId1" w:history="1">
        <w:r w:rsidRPr="002F50CE">
          <w:rPr>
            <w:rStyle w:val="Hyperlink"/>
            <w:rFonts w:ascii="Arial" w:hAnsi="Arial" w:cs="Arial"/>
          </w:rPr>
          <w:t>http://www.planalto.gov.br/ccivil_03/leis/l9478.htm</w:t>
        </w:r>
      </w:hyperlink>
      <w:r w:rsidR="002F50CE" w:rsidRPr="002F50CE">
        <w:rPr>
          <w:rFonts w:ascii="Arial" w:hAnsi="Arial" w:cs="Arial"/>
        </w:rPr>
        <w:t>, ace</w:t>
      </w:r>
      <w:r w:rsidR="002F50CE">
        <w:rPr>
          <w:rFonts w:ascii="Arial" w:hAnsi="Arial" w:cs="Arial"/>
        </w:rPr>
        <w:t>sso em 04/10/2020</w:t>
      </w:r>
    </w:p>
  </w:footnote>
  <w:footnote w:id="2">
    <w:p w14:paraId="2877BB25" w14:textId="4AB6BDF3" w:rsidR="000E755D" w:rsidRPr="002F50CE" w:rsidRDefault="000E755D">
      <w:pPr>
        <w:pStyle w:val="Textodenotaderodap"/>
      </w:pPr>
      <w:r w:rsidRPr="00310C5A">
        <w:rPr>
          <w:rStyle w:val="Refdenotaderodap"/>
          <w:rFonts w:ascii="Arial" w:hAnsi="Arial" w:cs="Arial"/>
        </w:rPr>
        <w:footnoteRef/>
      </w:r>
      <w:r w:rsidRPr="002F50CE">
        <w:rPr>
          <w:rFonts w:ascii="Arial" w:hAnsi="Arial" w:cs="Arial"/>
        </w:rPr>
        <w:t xml:space="preserve"> http://www.planalto.gov.br/ccivil_03/_ato2011-2014/2013/lei/l12815.htm#:~:text=Art.%201º%20Esta%20Lei%20regula,e%20arrendamento%20de%20bem%20público</w:t>
      </w:r>
      <w:r w:rsidR="002F50CE" w:rsidRPr="002F50CE">
        <w:rPr>
          <w:rFonts w:ascii="Arial" w:hAnsi="Arial" w:cs="Arial"/>
        </w:rPr>
        <w:t>, aces</w:t>
      </w:r>
      <w:r w:rsidR="002F50CE">
        <w:rPr>
          <w:rFonts w:ascii="Arial" w:hAnsi="Arial" w:cs="Arial"/>
        </w:rPr>
        <w:t>so em 04/10/2020</w:t>
      </w:r>
    </w:p>
  </w:footnote>
  <w:footnote w:id="3">
    <w:p w14:paraId="624E9D03" w14:textId="17CA478F" w:rsidR="0023758C" w:rsidRPr="0023758C" w:rsidRDefault="0023758C">
      <w:pPr>
        <w:pStyle w:val="Textodenotaderodap"/>
      </w:pPr>
      <w:r>
        <w:rPr>
          <w:rStyle w:val="Refdenotaderodap"/>
        </w:rPr>
        <w:footnoteRef/>
      </w:r>
      <w:r>
        <w:t xml:space="preserve"> Ficaram </w:t>
      </w:r>
      <w:r w:rsidRPr="0023758C">
        <w:t xml:space="preserve">fora do escopo </w:t>
      </w:r>
      <w:r>
        <w:t xml:space="preserve">do estudo </w:t>
      </w:r>
      <w:r w:rsidRPr="0023758C">
        <w:t>a SIX, por não produzir óleo diesel e gasolina e a LUBNOR por produzir apenas 0,1% de toda a oferta nacional (sem produção de gasolina)</w:t>
      </w:r>
    </w:p>
  </w:footnote>
  <w:footnote w:id="4">
    <w:p w14:paraId="311AFE1D" w14:textId="0F617409" w:rsidR="00EB3CDC" w:rsidRPr="00310C5A" w:rsidRDefault="00EB3CDC">
      <w:pPr>
        <w:pStyle w:val="Textodenotaderodap"/>
        <w:rPr>
          <w:rFonts w:ascii="Arial" w:hAnsi="Arial" w:cs="Arial"/>
        </w:rPr>
      </w:pPr>
      <w:r w:rsidRPr="00310C5A">
        <w:rPr>
          <w:rStyle w:val="Refdenotaderodap"/>
          <w:rFonts w:ascii="Arial" w:hAnsi="Arial" w:cs="Arial"/>
        </w:rPr>
        <w:footnoteRef/>
      </w:r>
      <w:r w:rsidRPr="00310C5A">
        <w:rPr>
          <w:rFonts w:ascii="Arial" w:hAnsi="Arial" w:cs="Arial"/>
        </w:rPr>
        <w:t xml:space="preserve"> Ressalte-se que o resumo estatístico das opiniões dos especialistas entrevistados não representa nenhuma opinião institucional, refletindo o que se captou das diferentes percepções de mercado.</w:t>
      </w:r>
    </w:p>
  </w:footnote>
  <w:footnote w:id="5">
    <w:p w14:paraId="555E853E" w14:textId="77777777" w:rsidR="001E21B7" w:rsidRPr="002F50CE" w:rsidRDefault="001E21B7" w:rsidP="001E21B7">
      <w:pPr>
        <w:pStyle w:val="Textodenotaderodap"/>
      </w:pPr>
      <w:r>
        <w:rPr>
          <w:rStyle w:val="Refdenotaderodap"/>
        </w:rPr>
        <w:footnoteRef/>
      </w:r>
      <w:r w:rsidRPr="002F50CE">
        <w:t xml:space="preserve"> </w:t>
      </w:r>
      <w:hyperlink r:id="rId2" w:history="1">
        <w:r w:rsidRPr="002F50CE">
          <w:rPr>
            <w:rStyle w:val="Hyperlink"/>
          </w:rPr>
          <w:t>http://www.planalto.gov.br/ccivil_03/_ato2019-2022/2019/lei/L13874.htm</w:t>
        </w:r>
      </w:hyperlink>
      <w:r w:rsidRPr="002F50CE">
        <w:t>, ace</w:t>
      </w:r>
      <w:r>
        <w:t>sso em 04/10/2020</w:t>
      </w:r>
    </w:p>
  </w:footnote>
  <w:footnote w:id="6">
    <w:p w14:paraId="264949DF" w14:textId="77777777" w:rsidR="003A4423" w:rsidRPr="002F50CE" w:rsidRDefault="003A4423" w:rsidP="003A442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F50CE">
        <w:t>Tabela elaborada com base nos d</w:t>
      </w:r>
      <w:r>
        <w:t xml:space="preserve">ados disponibilizados pela ANP em: </w:t>
      </w:r>
      <w:hyperlink r:id="rId3" w:history="1">
        <w:r w:rsidRPr="00486CE6">
          <w:rPr>
            <w:rStyle w:val="Hyperlink"/>
          </w:rPr>
          <w:t>http://www.anp.gov.br/dados-abertos-anp/capacidade-armazenage</w:t>
        </w:r>
        <w:bookmarkStart w:id="3" w:name="_GoBack"/>
        <w:bookmarkEnd w:id="3"/>
        <w:r w:rsidRPr="00486CE6">
          <w:rPr>
            <w:rStyle w:val="Hyperlink"/>
          </w:rPr>
          <w:t>m-terminais</w:t>
        </w:r>
      </w:hyperlink>
      <w:r>
        <w:t>, acesso em 04/10/20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6F88"/>
    <w:multiLevelType w:val="hybridMultilevel"/>
    <w:tmpl w:val="2C2E3100"/>
    <w:lvl w:ilvl="0" w:tplc="129AE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0A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167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5E7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286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1CF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E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F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F26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B36514"/>
    <w:multiLevelType w:val="hybridMultilevel"/>
    <w:tmpl w:val="68F88D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A2E86"/>
    <w:multiLevelType w:val="hybridMultilevel"/>
    <w:tmpl w:val="33E4176A"/>
    <w:lvl w:ilvl="0" w:tplc="C3680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42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38A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BA6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A4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FA7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621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67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E5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F620AA"/>
    <w:multiLevelType w:val="hybridMultilevel"/>
    <w:tmpl w:val="4EA0AAA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D51296"/>
    <w:multiLevelType w:val="hybridMultilevel"/>
    <w:tmpl w:val="5D34242E"/>
    <w:lvl w:ilvl="0" w:tplc="71B6C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C2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06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144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52A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0F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8F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83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CC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F0573C"/>
    <w:multiLevelType w:val="hybridMultilevel"/>
    <w:tmpl w:val="B7DAC946"/>
    <w:lvl w:ilvl="0" w:tplc="148A7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0D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6F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783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E0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6F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C6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8E9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0C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692C19"/>
    <w:multiLevelType w:val="hybridMultilevel"/>
    <w:tmpl w:val="E87C88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30A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167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5E7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286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1CF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E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F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F26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32B0A5C"/>
    <w:multiLevelType w:val="hybridMultilevel"/>
    <w:tmpl w:val="39DABA5A"/>
    <w:lvl w:ilvl="0" w:tplc="4B3EFBF2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30A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167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5E7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286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1CF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E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F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F26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6FE4D99"/>
    <w:multiLevelType w:val="hybridMultilevel"/>
    <w:tmpl w:val="5F940E86"/>
    <w:lvl w:ilvl="0" w:tplc="72D01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3A17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5E2D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388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22BE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8458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4FD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FA8C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14DA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487091D"/>
    <w:multiLevelType w:val="hybridMultilevel"/>
    <w:tmpl w:val="A2202C8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013B3"/>
    <w:multiLevelType w:val="hybridMultilevel"/>
    <w:tmpl w:val="BD001D8A"/>
    <w:lvl w:ilvl="0" w:tplc="AF04C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CD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885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4C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23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6A5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69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2AF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68A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0C403E5"/>
    <w:multiLevelType w:val="hybridMultilevel"/>
    <w:tmpl w:val="5520FE3C"/>
    <w:lvl w:ilvl="0" w:tplc="09C06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1E3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EA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86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DAC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AA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940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40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3C8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91C21A1"/>
    <w:multiLevelType w:val="multilevel"/>
    <w:tmpl w:val="86421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796737DA"/>
    <w:multiLevelType w:val="hybridMultilevel"/>
    <w:tmpl w:val="E7961DCC"/>
    <w:lvl w:ilvl="0" w:tplc="8EEC6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05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48E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B4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265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29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989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609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E40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C37181F"/>
    <w:multiLevelType w:val="hybridMultilevel"/>
    <w:tmpl w:val="08D8B810"/>
    <w:lvl w:ilvl="0" w:tplc="CF20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43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AD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02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B8E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21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A8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EE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0E2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CB16075"/>
    <w:multiLevelType w:val="hybridMultilevel"/>
    <w:tmpl w:val="6528496C"/>
    <w:lvl w:ilvl="0" w:tplc="04265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AE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AB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2B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0B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6A3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03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8E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CAB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E4D326B"/>
    <w:multiLevelType w:val="hybridMultilevel"/>
    <w:tmpl w:val="EB9C7F8A"/>
    <w:lvl w:ilvl="0" w:tplc="35D8F5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2"/>
  </w:num>
  <w:num w:numId="5">
    <w:abstractNumId w:val="5"/>
  </w:num>
  <w:num w:numId="6">
    <w:abstractNumId w:val="15"/>
  </w:num>
  <w:num w:numId="7">
    <w:abstractNumId w:val="4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16"/>
  </w:num>
  <w:num w:numId="13">
    <w:abstractNumId w:val="10"/>
  </w:num>
  <w:num w:numId="14">
    <w:abstractNumId w:val="2"/>
  </w:num>
  <w:num w:numId="15">
    <w:abstractNumId w:val="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wMDUyMzMyMDcxMDRW0lEKTi0uzszPAykwrAUA+o1k/ywAAAA="/>
  </w:docVars>
  <w:rsids>
    <w:rsidRoot w:val="00D222D6"/>
    <w:rsid w:val="00001BA9"/>
    <w:rsid w:val="000040FA"/>
    <w:rsid w:val="000117A9"/>
    <w:rsid w:val="00026257"/>
    <w:rsid w:val="00055C1C"/>
    <w:rsid w:val="00057495"/>
    <w:rsid w:val="00065779"/>
    <w:rsid w:val="00066877"/>
    <w:rsid w:val="0006740B"/>
    <w:rsid w:val="00083E60"/>
    <w:rsid w:val="000B73C6"/>
    <w:rsid w:val="000B7AB4"/>
    <w:rsid w:val="000D49B3"/>
    <w:rsid w:val="000D6BBB"/>
    <w:rsid w:val="000E4A11"/>
    <w:rsid w:val="000E755D"/>
    <w:rsid w:val="00111D92"/>
    <w:rsid w:val="001136F0"/>
    <w:rsid w:val="001267D0"/>
    <w:rsid w:val="00132816"/>
    <w:rsid w:val="0014017E"/>
    <w:rsid w:val="001578A2"/>
    <w:rsid w:val="00197719"/>
    <w:rsid w:val="001C3BEA"/>
    <w:rsid w:val="001D2311"/>
    <w:rsid w:val="001E21B7"/>
    <w:rsid w:val="00204DCC"/>
    <w:rsid w:val="00207A6F"/>
    <w:rsid w:val="0021706D"/>
    <w:rsid w:val="002243FD"/>
    <w:rsid w:val="0022772B"/>
    <w:rsid w:val="0022796F"/>
    <w:rsid w:val="00236421"/>
    <w:rsid w:val="0023758C"/>
    <w:rsid w:val="002413E9"/>
    <w:rsid w:val="002472AD"/>
    <w:rsid w:val="002555A6"/>
    <w:rsid w:val="00256B95"/>
    <w:rsid w:val="00266B76"/>
    <w:rsid w:val="002948AE"/>
    <w:rsid w:val="002C06AD"/>
    <w:rsid w:val="002E06C7"/>
    <w:rsid w:val="002E16EC"/>
    <w:rsid w:val="002E5D52"/>
    <w:rsid w:val="002F50CE"/>
    <w:rsid w:val="002F7AD5"/>
    <w:rsid w:val="00305567"/>
    <w:rsid w:val="00310C5A"/>
    <w:rsid w:val="003115BA"/>
    <w:rsid w:val="00317661"/>
    <w:rsid w:val="00317F5A"/>
    <w:rsid w:val="00334A28"/>
    <w:rsid w:val="00340584"/>
    <w:rsid w:val="00347AB4"/>
    <w:rsid w:val="003552DE"/>
    <w:rsid w:val="00361B35"/>
    <w:rsid w:val="00361CEB"/>
    <w:rsid w:val="00371034"/>
    <w:rsid w:val="0038256B"/>
    <w:rsid w:val="003911D4"/>
    <w:rsid w:val="00395712"/>
    <w:rsid w:val="003A4423"/>
    <w:rsid w:val="003A4664"/>
    <w:rsid w:val="003A65FB"/>
    <w:rsid w:val="003C2B8A"/>
    <w:rsid w:val="003C42DF"/>
    <w:rsid w:val="003C7ABD"/>
    <w:rsid w:val="003D1B2E"/>
    <w:rsid w:val="003E2856"/>
    <w:rsid w:val="003F0191"/>
    <w:rsid w:val="00403809"/>
    <w:rsid w:val="00403A39"/>
    <w:rsid w:val="004073EF"/>
    <w:rsid w:val="0042340B"/>
    <w:rsid w:val="00423C99"/>
    <w:rsid w:val="00432B69"/>
    <w:rsid w:val="00435B09"/>
    <w:rsid w:val="00450492"/>
    <w:rsid w:val="00450A66"/>
    <w:rsid w:val="0045366F"/>
    <w:rsid w:val="004603C6"/>
    <w:rsid w:val="00466009"/>
    <w:rsid w:val="00467491"/>
    <w:rsid w:val="00470E84"/>
    <w:rsid w:val="0047274D"/>
    <w:rsid w:val="00472B8D"/>
    <w:rsid w:val="00481683"/>
    <w:rsid w:val="00497BEF"/>
    <w:rsid w:val="004D3316"/>
    <w:rsid w:val="004D52C0"/>
    <w:rsid w:val="004E64A7"/>
    <w:rsid w:val="004F5B1F"/>
    <w:rsid w:val="00500778"/>
    <w:rsid w:val="00500A1B"/>
    <w:rsid w:val="00504002"/>
    <w:rsid w:val="00506B2C"/>
    <w:rsid w:val="00522796"/>
    <w:rsid w:val="00527336"/>
    <w:rsid w:val="005334FF"/>
    <w:rsid w:val="00535E6A"/>
    <w:rsid w:val="00544F95"/>
    <w:rsid w:val="00557265"/>
    <w:rsid w:val="005608EC"/>
    <w:rsid w:val="00562EB6"/>
    <w:rsid w:val="005771FF"/>
    <w:rsid w:val="005809C8"/>
    <w:rsid w:val="005828F7"/>
    <w:rsid w:val="0059564E"/>
    <w:rsid w:val="005A0F87"/>
    <w:rsid w:val="005A6F09"/>
    <w:rsid w:val="005B21A1"/>
    <w:rsid w:val="005B4157"/>
    <w:rsid w:val="005F1839"/>
    <w:rsid w:val="005F3923"/>
    <w:rsid w:val="00606340"/>
    <w:rsid w:val="00626A3A"/>
    <w:rsid w:val="00654305"/>
    <w:rsid w:val="00654FEB"/>
    <w:rsid w:val="00673706"/>
    <w:rsid w:val="00677DB9"/>
    <w:rsid w:val="006968B1"/>
    <w:rsid w:val="006A7776"/>
    <w:rsid w:val="006B622A"/>
    <w:rsid w:val="006C5F78"/>
    <w:rsid w:val="006E2013"/>
    <w:rsid w:val="006F4470"/>
    <w:rsid w:val="00701434"/>
    <w:rsid w:val="00701FDB"/>
    <w:rsid w:val="00706500"/>
    <w:rsid w:val="00707E08"/>
    <w:rsid w:val="00716E12"/>
    <w:rsid w:val="00717E8D"/>
    <w:rsid w:val="00721994"/>
    <w:rsid w:val="00725E2B"/>
    <w:rsid w:val="00735A05"/>
    <w:rsid w:val="00736135"/>
    <w:rsid w:val="007423CC"/>
    <w:rsid w:val="00745C4D"/>
    <w:rsid w:val="0074671E"/>
    <w:rsid w:val="0075442E"/>
    <w:rsid w:val="00786EDD"/>
    <w:rsid w:val="00796461"/>
    <w:rsid w:val="007B1059"/>
    <w:rsid w:val="007B1659"/>
    <w:rsid w:val="007C4AD6"/>
    <w:rsid w:val="007C6564"/>
    <w:rsid w:val="007E1C14"/>
    <w:rsid w:val="007F0EF4"/>
    <w:rsid w:val="007F3087"/>
    <w:rsid w:val="0080503F"/>
    <w:rsid w:val="008141D4"/>
    <w:rsid w:val="00826875"/>
    <w:rsid w:val="00830D29"/>
    <w:rsid w:val="00837A0A"/>
    <w:rsid w:val="00846DA6"/>
    <w:rsid w:val="00851262"/>
    <w:rsid w:val="008527A0"/>
    <w:rsid w:val="0086063D"/>
    <w:rsid w:val="008764BE"/>
    <w:rsid w:val="00876FBC"/>
    <w:rsid w:val="00880333"/>
    <w:rsid w:val="0088198A"/>
    <w:rsid w:val="0089080E"/>
    <w:rsid w:val="00896F3D"/>
    <w:rsid w:val="008B697A"/>
    <w:rsid w:val="008C5258"/>
    <w:rsid w:val="008E1657"/>
    <w:rsid w:val="008E7CF5"/>
    <w:rsid w:val="008F3682"/>
    <w:rsid w:val="008F4404"/>
    <w:rsid w:val="008F607B"/>
    <w:rsid w:val="008F76B8"/>
    <w:rsid w:val="009123A9"/>
    <w:rsid w:val="0091302F"/>
    <w:rsid w:val="00923375"/>
    <w:rsid w:val="00923F63"/>
    <w:rsid w:val="00926C46"/>
    <w:rsid w:val="00932BA7"/>
    <w:rsid w:val="00933A26"/>
    <w:rsid w:val="00937DCA"/>
    <w:rsid w:val="0094687F"/>
    <w:rsid w:val="00954FFB"/>
    <w:rsid w:val="00970113"/>
    <w:rsid w:val="0097182B"/>
    <w:rsid w:val="00976CEC"/>
    <w:rsid w:val="00986F05"/>
    <w:rsid w:val="009A0720"/>
    <w:rsid w:val="009A2322"/>
    <w:rsid w:val="009B143D"/>
    <w:rsid w:val="009B1809"/>
    <w:rsid w:val="009B26AF"/>
    <w:rsid w:val="009B5AFA"/>
    <w:rsid w:val="009C0FA0"/>
    <w:rsid w:val="009C7799"/>
    <w:rsid w:val="009D51EB"/>
    <w:rsid w:val="009E1127"/>
    <w:rsid w:val="009E1764"/>
    <w:rsid w:val="009E23D3"/>
    <w:rsid w:val="009F39C6"/>
    <w:rsid w:val="009F5D5D"/>
    <w:rsid w:val="00A0742D"/>
    <w:rsid w:val="00A17FB7"/>
    <w:rsid w:val="00A21CFC"/>
    <w:rsid w:val="00A2736F"/>
    <w:rsid w:val="00A37A7E"/>
    <w:rsid w:val="00A4142C"/>
    <w:rsid w:val="00A43851"/>
    <w:rsid w:val="00A47A17"/>
    <w:rsid w:val="00A51C87"/>
    <w:rsid w:val="00A5622A"/>
    <w:rsid w:val="00A6152F"/>
    <w:rsid w:val="00A704A9"/>
    <w:rsid w:val="00A71CDA"/>
    <w:rsid w:val="00A737E9"/>
    <w:rsid w:val="00A74969"/>
    <w:rsid w:val="00A907E2"/>
    <w:rsid w:val="00A94276"/>
    <w:rsid w:val="00AA14C8"/>
    <w:rsid w:val="00AB3336"/>
    <w:rsid w:val="00AB5D4F"/>
    <w:rsid w:val="00AB5D9B"/>
    <w:rsid w:val="00AC7042"/>
    <w:rsid w:val="00AD6139"/>
    <w:rsid w:val="00AE1DA6"/>
    <w:rsid w:val="00AF0B75"/>
    <w:rsid w:val="00B107D4"/>
    <w:rsid w:val="00B11479"/>
    <w:rsid w:val="00B12275"/>
    <w:rsid w:val="00B21BFB"/>
    <w:rsid w:val="00B31C79"/>
    <w:rsid w:val="00B31F6B"/>
    <w:rsid w:val="00B352E0"/>
    <w:rsid w:val="00B3670D"/>
    <w:rsid w:val="00B371E8"/>
    <w:rsid w:val="00B41577"/>
    <w:rsid w:val="00B43212"/>
    <w:rsid w:val="00B63C0F"/>
    <w:rsid w:val="00B646F2"/>
    <w:rsid w:val="00B65DA1"/>
    <w:rsid w:val="00B72095"/>
    <w:rsid w:val="00B72CB6"/>
    <w:rsid w:val="00B7734E"/>
    <w:rsid w:val="00B84EAB"/>
    <w:rsid w:val="00B90E14"/>
    <w:rsid w:val="00B94394"/>
    <w:rsid w:val="00BA3DED"/>
    <w:rsid w:val="00BA44C1"/>
    <w:rsid w:val="00BC13AE"/>
    <w:rsid w:val="00BF57B4"/>
    <w:rsid w:val="00C01CC4"/>
    <w:rsid w:val="00C15FC3"/>
    <w:rsid w:val="00C32ED9"/>
    <w:rsid w:val="00C44368"/>
    <w:rsid w:val="00C54630"/>
    <w:rsid w:val="00C63C62"/>
    <w:rsid w:val="00C75A26"/>
    <w:rsid w:val="00C947C5"/>
    <w:rsid w:val="00CA6ABB"/>
    <w:rsid w:val="00CB2470"/>
    <w:rsid w:val="00CB2976"/>
    <w:rsid w:val="00CB39F6"/>
    <w:rsid w:val="00CC50B4"/>
    <w:rsid w:val="00CD4621"/>
    <w:rsid w:val="00CE69DF"/>
    <w:rsid w:val="00D04779"/>
    <w:rsid w:val="00D165A6"/>
    <w:rsid w:val="00D222D6"/>
    <w:rsid w:val="00D2324E"/>
    <w:rsid w:val="00D23EAC"/>
    <w:rsid w:val="00D27883"/>
    <w:rsid w:val="00D27E5F"/>
    <w:rsid w:val="00D3389D"/>
    <w:rsid w:val="00D36927"/>
    <w:rsid w:val="00D41C12"/>
    <w:rsid w:val="00D449E4"/>
    <w:rsid w:val="00D555C6"/>
    <w:rsid w:val="00D81648"/>
    <w:rsid w:val="00D837DD"/>
    <w:rsid w:val="00D85998"/>
    <w:rsid w:val="00D8705A"/>
    <w:rsid w:val="00DA17AD"/>
    <w:rsid w:val="00DA6347"/>
    <w:rsid w:val="00DB2F2E"/>
    <w:rsid w:val="00DB78EB"/>
    <w:rsid w:val="00DC20CE"/>
    <w:rsid w:val="00DC678B"/>
    <w:rsid w:val="00DC698C"/>
    <w:rsid w:val="00DE3BCE"/>
    <w:rsid w:val="00DF0083"/>
    <w:rsid w:val="00DF5B11"/>
    <w:rsid w:val="00E053C5"/>
    <w:rsid w:val="00E0627A"/>
    <w:rsid w:val="00E13C09"/>
    <w:rsid w:val="00E17743"/>
    <w:rsid w:val="00E30D4A"/>
    <w:rsid w:val="00E673B6"/>
    <w:rsid w:val="00E705DA"/>
    <w:rsid w:val="00E709DB"/>
    <w:rsid w:val="00E70D04"/>
    <w:rsid w:val="00E744F5"/>
    <w:rsid w:val="00E76F22"/>
    <w:rsid w:val="00E8024A"/>
    <w:rsid w:val="00E84AB3"/>
    <w:rsid w:val="00E90B23"/>
    <w:rsid w:val="00E9659C"/>
    <w:rsid w:val="00EA311F"/>
    <w:rsid w:val="00EA41AE"/>
    <w:rsid w:val="00EA586A"/>
    <w:rsid w:val="00EA7C1B"/>
    <w:rsid w:val="00EB11C8"/>
    <w:rsid w:val="00EB3CDC"/>
    <w:rsid w:val="00EB4AE7"/>
    <w:rsid w:val="00ED2F2A"/>
    <w:rsid w:val="00EE525A"/>
    <w:rsid w:val="00EF1D5F"/>
    <w:rsid w:val="00F1585E"/>
    <w:rsid w:val="00F173E3"/>
    <w:rsid w:val="00F174DF"/>
    <w:rsid w:val="00F23F13"/>
    <w:rsid w:val="00F308FE"/>
    <w:rsid w:val="00F377E8"/>
    <w:rsid w:val="00F4373C"/>
    <w:rsid w:val="00F445F8"/>
    <w:rsid w:val="00F52094"/>
    <w:rsid w:val="00F53022"/>
    <w:rsid w:val="00F60384"/>
    <w:rsid w:val="00F671C0"/>
    <w:rsid w:val="00F7075C"/>
    <w:rsid w:val="00F7078B"/>
    <w:rsid w:val="00F84CFD"/>
    <w:rsid w:val="00F90BDC"/>
    <w:rsid w:val="00F91089"/>
    <w:rsid w:val="00F93556"/>
    <w:rsid w:val="00F96B9B"/>
    <w:rsid w:val="00FB4D43"/>
    <w:rsid w:val="00FB76B9"/>
    <w:rsid w:val="00FE435E"/>
    <w:rsid w:val="00FE5B2E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B626"/>
  <w15:chartTrackingRefBased/>
  <w15:docId w15:val="{EA13679C-D946-4E92-B449-A73F2162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1B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D04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4AE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4AE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B4AE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B4AE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B4A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60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165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65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65A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65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65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0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5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8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6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9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0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p.gov.br/dados-abertos-anp/capacidade-armazenagem-terminais" TargetMode="External"/><Relationship Id="rId2" Type="http://schemas.openxmlformats.org/officeDocument/2006/relationships/hyperlink" Target="http://www.planalto.gov.br/ccivil_03/_ato2019-2022/2019/lei/L13874.htm" TargetMode="External"/><Relationship Id="rId1" Type="http://schemas.openxmlformats.org/officeDocument/2006/relationships/hyperlink" Target="http://www.planalto.gov.br/ccivil_03/leis/l9478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0AD6B524EEEC4BAA51BCC58BE57588" ma:contentTypeVersion="13" ma:contentTypeDescription="Crie um novo documento." ma:contentTypeScope="" ma:versionID="5b1cfe64ed6cfc33777af3fe999df311">
  <xsd:schema xmlns:xsd="http://www.w3.org/2001/XMLSchema" xmlns:xs="http://www.w3.org/2001/XMLSchema" xmlns:p="http://schemas.microsoft.com/office/2006/metadata/properties" xmlns:ns1="http://schemas.microsoft.com/sharepoint/v3" xmlns:ns2="263b76eb-076a-43de-9c2a-dfcca6b436d1" xmlns:ns3="4f03e862-ba49-4201-828b-632377d64776" targetNamespace="http://schemas.microsoft.com/office/2006/metadata/properties" ma:root="true" ma:fieldsID="22e2a42fc4f510c34dbf44b20042ab2c" ns1:_="" ns2:_="" ns3:_="">
    <xsd:import namespace="http://schemas.microsoft.com/sharepoint/v3"/>
    <xsd:import namespace="263b76eb-076a-43de-9c2a-dfcca6b436d1"/>
    <xsd:import namespace="4f03e862-ba49-4201-828b-632377d64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b76eb-076a-43de-9c2a-dfcca6b43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3e862-ba49-4201-828b-632377d647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5AE32A-18BC-4482-8018-4C5C967A12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8D20D6-07C1-4F81-A6FE-16D72C4E88B7}"/>
</file>

<file path=customXml/itemProps3.xml><?xml version="1.0" encoding="utf-8"?>
<ds:datastoreItem xmlns:ds="http://schemas.openxmlformats.org/officeDocument/2006/customXml" ds:itemID="{D50A9508-1F87-4DEB-92E6-FFA2C0D68863}"/>
</file>

<file path=customXml/itemProps4.xml><?xml version="1.0" encoding="utf-8"?>
<ds:datastoreItem xmlns:ds="http://schemas.openxmlformats.org/officeDocument/2006/customXml" ds:itemID="{990E36E7-A96F-45B2-A935-0F1CC06E0E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2060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Marcio Thome</cp:lastModifiedBy>
  <cp:revision>2</cp:revision>
  <dcterms:created xsi:type="dcterms:W3CDTF">2020-10-13T17:55:00Z</dcterms:created>
  <dcterms:modified xsi:type="dcterms:W3CDTF">2020-10-13T17:55:00Z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0x010100600AD6B524EEEC4BAA51BCC58BE57588</vt:lpwstr>
  </property>
</Properties>
</file>