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AD89" w14:textId="77777777" w:rsidR="001F74A0" w:rsidRPr="004B5F6C" w:rsidRDefault="00561ABC" w:rsidP="00482F43">
      <w:pPr>
        <w:jc w:val="center"/>
        <w:rPr>
          <w:rFonts w:asciiTheme="minorHAnsi" w:hAnsiTheme="minorHAnsi"/>
          <w:b/>
          <w:sz w:val="36"/>
          <w:szCs w:val="36"/>
        </w:rPr>
      </w:pPr>
      <w:bookmarkStart w:id="0" w:name="_GoBack"/>
      <w:bookmarkEnd w:id="0"/>
      <w:r>
        <w:rPr>
          <w:rFonts w:asciiTheme="minorHAnsi" w:hAnsiTheme="minorHAnsi"/>
          <w:b/>
          <w:noProof/>
          <w:sz w:val="36"/>
          <w:szCs w:val="36"/>
        </w:rPr>
        <w:object w:dxaOrig="1440" w:dyaOrig="1440" w14:anchorId="499AC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5" o:title=""/>
            <w10:wrap type="square" anchory="page"/>
          </v:shape>
          <o:OLEObject Type="Embed" ProgID="MSPhotoEd.3" ShapeID="_x0000_s1026" DrawAspect="Content" ObjectID="_1634980063" r:id="rId6"/>
        </w:object>
      </w:r>
      <w:r w:rsidR="00482F43" w:rsidRPr="004B5F6C">
        <w:rPr>
          <w:rFonts w:asciiTheme="minorHAnsi" w:hAnsiTheme="minorHAnsi"/>
          <w:b/>
          <w:sz w:val="36"/>
          <w:szCs w:val="36"/>
        </w:rPr>
        <w:t>FORMULÁRIO DE COMENTÁRIOS E SUGESTÕES</w:t>
      </w:r>
    </w:p>
    <w:p w14:paraId="344835D0" w14:textId="4CA2DCAE" w:rsidR="00C13A89" w:rsidRPr="004B5F6C" w:rsidRDefault="002808DC" w:rsidP="00BB004F">
      <w:pPr>
        <w:jc w:val="center"/>
        <w:rPr>
          <w:rFonts w:asciiTheme="minorHAnsi" w:hAnsiTheme="minorHAnsi"/>
          <w:b/>
          <w:color w:val="FF0000"/>
          <w:sz w:val="26"/>
          <w:szCs w:val="26"/>
        </w:rPr>
      </w:pPr>
      <w:r w:rsidRPr="004B5F6C">
        <w:rPr>
          <w:rFonts w:asciiTheme="minorHAnsi" w:hAnsiTheme="minorHAnsi"/>
          <w:b/>
          <w:sz w:val="26"/>
          <w:szCs w:val="26"/>
        </w:rPr>
        <w:t>CONSULTA PÚ</w:t>
      </w:r>
      <w:r w:rsidR="00482F43" w:rsidRPr="004B5F6C">
        <w:rPr>
          <w:rFonts w:asciiTheme="minorHAnsi" w:hAnsiTheme="minorHAnsi"/>
          <w:b/>
          <w:sz w:val="26"/>
          <w:szCs w:val="26"/>
        </w:rPr>
        <w:t>BLICA N°</w:t>
      </w:r>
      <w:r w:rsidR="00F8559B">
        <w:rPr>
          <w:rFonts w:asciiTheme="minorHAnsi" w:hAnsiTheme="minorHAnsi"/>
          <w:b/>
          <w:sz w:val="26"/>
          <w:szCs w:val="26"/>
        </w:rPr>
        <w:t xml:space="preserve"> </w:t>
      </w:r>
      <w:r w:rsidR="00D453ED">
        <w:rPr>
          <w:rFonts w:asciiTheme="minorHAnsi" w:hAnsiTheme="minorHAnsi"/>
          <w:b/>
          <w:sz w:val="26"/>
          <w:szCs w:val="26"/>
        </w:rPr>
        <w:t>23</w:t>
      </w:r>
      <w:r w:rsidR="00482F43" w:rsidRPr="004B5F6C">
        <w:rPr>
          <w:rFonts w:asciiTheme="minorHAnsi" w:hAnsiTheme="minorHAnsi"/>
          <w:b/>
          <w:color w:val="000000" w:themeColor="text1"/>
          <w:sz w:val="26"/>
          <w:szCs w:val="26"/>
        </w:rPr>
        <w:t>/</w:t>
      </w:r>
      <w:r w:rsidR="00F229D8" w:rsidRPr="004B5F6C">
        <w:rPr>
          <w:rFonts w:asciiTheme="minorHAnsi" w:hAnsiTheme="minorHAnsi"/>
          <w:b/>
          <w:color w:val="000000" w:themeColor="text1"/>
          <w:sz w:val="26"/>
          <w:szCs w:val="26"/>
        </w:rPr>
        <w:t>201</w:t>
      </w:r>
      <w:r w:rsidR="004B5F6C" w:rsidRPr="004B5F6C">
        <w:rPr>
          <w:rFonts w:asciiTheme="minorHAnsi" w:hAnsiTheme="minorHAnsi"/>
          <w:b/>
          <w:color w:val="000000" w:themeColor="text1"/>
          <w:sz w:val="26"/>
          <w:szCs w:val="26"/>
        </w:rPr>
        <w:t>9</w:t>
      </w:r>
      <w:r w:rsidR="00482F43" w:rsidRPr="004B5F6C">
        <w:rPr>
          <w:rFonts w:asciiTheme="minorHAnsi" w:hAnsiTheme="minorHAnsi"/>
          <w:b/>
          <w:color w:val="000000" w:themeColor="text1"/>
          <w:sz w:val="26"/>
          <w:szCs w:val="26"/>
        </w:rPr>
        <w:t xml:space="preserve"> </w:t>
      </w:r>
      <w:r w:rsidR="00F8559B">
        <w:rPr>
          <w:rFonts w:asciiTheme="minorHAnsi" w:hAnsiTheme="minorHAnsi"/>
          <w:b/>
          <w:color w:val="000000" w:themeColor="text1"/>
          <w:sz w:val="26"/>
          <w:szCs w:val="26"/>
        </w:rPr>
        <w:t xml:space="preserve">(de </w:t>
      </w:r>
      <w:r w:rsidR="00B460CF">
        <w:rPr>
          <w:rFonts w:asciiTheme="minorHAnsi" w:hAnsiTheme="minorHAnsi"/>
          <w:b/>
          <w:color w:val="000000" w:themeColor="text1"/>
          <w:sz w:val="26"/>
          <w:szCs w:val="26"/>
        </w:rPr>
        <w:t>2</w:t>
      </w:r>
      <w:r w:rsidR="00405603">
        <w:rPr>
          <w:rFonts w:asciiTheme="minorHAnsi" w:hAnsiTheme="minorHAnsi"/>
          <w:b/>
          <w:color w:val="000000" w:themeColor="text1"/>
          <w:sz w:val="26"/>
          <w:szCs w:val="26"/>
        </w:rPr>
        <w:t>8</w:t>
      </w:r>
      <w:r w:rsidR="00F8559B" w:rsidRPr="00F31209">
        <w:rPr>
          <w:rFonts w:asciiTheme="minorHAnsi" w:hAnsiTheme="minorHAnsi"/>
          <w:b/>
          <w:color w:val="000000" w:themeColor="text1"/>
          <w:sz w:val="26"/>
          <w:szCs w:val="26"/>
        </w:rPr>
        <w:t>/</w:t>
      </w:r>
      <w:r w:rsidR="00405603">
        <w:rPr>
          <w:rFonts w:asciiTheme="minorHAnsi" w:hAnsiTheme="minorHAnsi"/>
          <w:b/>
          <w:color w:val="000000" w:themeColor="text1"/>
          <w:sz w:val="26"/>
          <w:szCs w:val="26"/>
        </w:rPr>
        <w:t>10</w:t>
      </w:r>
      <w:r w:rsidR="00F8559B" w:rsidRPr="00F31209">
        <w:rPr>
          <w:rFonts w:asciiTheme="minorHAnsi" w:hAnsiTheme="minorHAnsi"/>
          <w:b/>
          <w:color w:val="000000" w:themeColor="text1"/>
          <w:sz w:val="26"/>
          <w:szCs w:val="26"/>
        </w:rPr>
        <w:t xml:space="preserve">/2019 a </w:t>
      </w:r>
      <w:r w:rsidR="00405603">
        <w:rPr>
          <w:rFonts w:asciiTheme="minorHAnsi" w:hAnsiTheme="minorHAnsi"/>
          <w:b/>
          <w:color w:val="000000" w:themeColor="text1"/>
          <w:sz w:val="26"/>
          <w:szCs w:val="26"/>
        </w:rPr>
        <w:t>11</w:t>
      </w:r>
      <w:r w:rsidR="00B460CF">
        <w:rPr>
          <w:rFonts w:asciiTheme="minorHAnsi" w:hAnsiTheme="minorHAnsi"/>
          <w:b/>
          <w:color w:val="000000" w:themeColor="text1"/>
          <w:sz w:val="26"/>
          <w:szCs w:val="26"/>
        </w:rPr>
        <w:t>/11</w:t>
      </w:r>
      <w:r w:rsidR="00F8559B" w:rsidRPr="00F31209">
        <w:rPr>
          <w:rFonts w:asciiTheme="minorHAnsi" w:hAnsiTheme="minorHAnsi"/>
          <w:b/>
          <w:color w:val="000000" w:themeColor="text1"/>
          <w:sz w:val="26"/>
          <w:szCs w:val="26"/>
        </w:rPr>
        <w:t>/2019</w:t>
      </w:r>
      <w:r w:rsidR="00F8559B">
        <w:rPr>
          <w:rFonts w:asciiTheme="minorHAnsi" w:hAnsiTheme="minorHAnsi"/>
          <w:b/>
          <w:color w:val="000000" w:themeColor="text1"/>
          <w:sz w:val="26"/>
          <w:szCs w:val="26"/>
        </w:rPr>
        <w:t>)</w:t>
      </w:r>
    </w:p>
    <w:p w14:paraId="51454C9F" w14:textId="77777777" w:rsidR="00E06319" w:rsidRPr="00BB004F" w:rsidRDefault="00E06319" w:rsidP="00BB004F">
      <w:pPr>
        <w:jc w:val="center"/>
        <w:rPr>
          <w:sz w:val="26"/>
          <w:szCs w:val="26"/>
        </w:rPr>
      </w:pPr>
    </w:p>
    <w:p w14:paraId="6A99445A" w14:textId="77777777" w:rsidR="004B5F6C" w:rsidRDefault="004B5F6C" w:rsidP="00CF534B">
      <w:pPr>
        <w:ind w:left="4111"/>
        <w:jc w:val="center"/>
        <w:rPr>
          <w:sz w:val="26"/>
          <w:szCs w:val="26"/>
        </w:rPr>
      </w:pPr>
    </w:p>
    <w:p w14:paraId="14E033AC" w14:textId="77777777" w:rsidR="004B5F6C" w:rsidRDefault="004B5F6C" w:rsidP="004B5F6C">
      <w:pPr>
        <w:ind w:left="1418"/>
        <w:jc w:val="center"/>
        <w:rPr>
          <w:sz w:val="26"/>
          <w:szCs w:val="26"/>
        </w:rPr>
      </w:pPr>
    </w:p>
    <w:p w14:paraId="782B1470" w14:textId="77777777" w:rsidR="004B5F6C" w:rsidRDefault="004B5F6C" w:rsidP="00CF534B">
      <w:pPr>
        <w:ind w:left="4111"/>
        <w:jc w:val="center"/>
        <w:rPr>
          <w:sz w:val="26"/>
          <w:szCs w:val="26"/>
        </w:rPr>
      </w:pPr>
    </w:p>
    <w:p w14:paraId="27BC0D6B" w14:textId="56628BAE" w:rsidR="001F74A0" w:rsidRPr="004B5F6C" w:rsidRDefault="00BD5993" w:rsidP="004B5F6C">
      <w:pPr>
        <w:pBdr>
          <w:top w:val="single" w:sz="4" w:space="1" w:color="auto"/>
          <w:left w:val="single" w:sz="4" w:space="4" w:color="auto"/>
          <w:bottom w:val="single" w:sz="4" w:space="1" w:color="auto"/>
          <w:right w:val="single" w:sz="4" w:space="4" w:color="auto"/>
        </w:pBdr>
        <w:rPr>
          <w:b/>
          <w:sz w:val="26"/>
          <w:szCs w:val="26"/>
        </w:rPr>
      </w:pPr>
      <w:r w:rsidRPr="004B5F6C">
        <w:rPr>
          <w:rFonts w:asciiTheme="minorHAnsi" w:hAnsiTheme="minorHAnsi"/>
          <w:b/>
          <w:sz w:val="26"/>
          <w:szCs w:val="26"/>
        </w:rPr>
        <w:t>NOME</w:t>
      </w:r>
      <w:r w:rsidR="004B5F6C">
        <w:rPr>
          <w:rFonts w:asciiTheme="minorHAnsi" w:hAnsiTheme="minorHAnsi"/>
          <w:b/>
          <w:sz w:val="26"/>
          <w:szCs w:val="26"/>
        </w:rPr>
        <w:t>/RAZÃO SOCIAL</w:t>
      </w:r>
      <w:r w:rsidR="004B5F6C" w:rsidRPr="004B5F6C">
        <w:rPr>
          <w:b/>
          <w:sz w:val="26"/>
          <w:szCs w:val="26"/>
        </w:rPr>
        <w:t>:</w:t>
      </w:r>
      <w:r w:rsidR="004B5F6C">
        <w:rPr>
          <w:b/>
          <w:sz w:val="26"/>
          <w:szCs w:val="26"/>
        </w:rPr>
        <w:t xml:space="preserve">  </w:t>
      </w:r>
      <w:r w:rsidR="00EC4667">
        <w:rPr>
          <w:b/>
          <w:sz w:val="26"/>
          <w:szCs w:val="26"/>
        </w:rPr>
        <w:t>INPASA AGROINDUSTRIAL LTDA</w:t>
      </w:r>
    </w:p>
    <w:p w14:paraId="745B77BE" w14:textId="77777777" w:rsidR="00100689" w:rsidRDefault="00100689" w:rsidP="00CF534B">
      <w:pPr>
        <w:ind w:left="4111"/>
        <w:jc w:val="center"/>
        <w:rPr>
          <w:sz w:val="26"/>
          <w:szCs w:val="26"/>
        </w:rPr>
      </w:pPr>
    </w:p>
    <w:tbl>
      <w:tblPr>
        <w:tblW w:w="14317" w:type="dxa"/>
        <w:tblInd w:w="-122" w:type="dxa"/>
        <w:tblCellMar>
          <w:left w:w="0" w:type="dxa"/>
          <w:right w:w="0" w:type="dxa"/>
        </w:tblCellMar>
        <w:tblLook w:val="0000" w:firstRow="0" w:lastRow="0" w:firstColumn="0" w:lastColumn="0" w:noHBand="0" w:noVBand="0"/>
      </w:tblPr>
      <w:tblGrid>
        <w:gridCol w:w="1702"/>
        <w:gridCol w:w="5456"/>
        <w:gridCol w:w="1489"/>
        <w:gridCol w:w="5670"/>
      </w:tblGrid>
      <w:tr w:rsidR="00BD5993" w14:paraId="2E7CD1D2" w14:textId="77777777" w:rsidTr="000C4B4B">
        <w:trPr>
          <w:trHeight w:val="1002"/>
        </w:trPr>
        <w:tc>
          <w:tcPr>
            <w:tcW w:w="7158" w:type="dxa"/>
            <w:gridSpan w:val="2"/>
            <w:tcBorders>
              <w:top w:val="single" w:sz="4" w:space="0" w:color="auto"/>
              <w:left w:val="single" w:sz="4" w:space="0" w:color="auto"/>
              <w:bottom w:val="single" w:sz="4" w:space="0" w:color="auto"/>
            </w:tcBorders>
            <w:shd w:val="clear" w:color="auto" w:fill="FFFFFF"/>
            <w:tcMar>
              <w:top w:w="20" w:type="dxa"/>
              <w:left w:w="20" w:type="dxa"/>
              <w:bottom w:w="0" w:type="dxa"/>
              <w:right w:w="20" w:type="dxa"/>
            </w:tcMar>
            <w:vAlign w:val="center"/>
          </w:tcPr>
          <w:p w14:paraId="740DA4DD" w14:textId="6A5FB646" w:rsidR="00BD5993" w:rsidRPr="004B5F6C" w:rsidRDefault="00BD5993" w:rsidP="00BD5993">
            <w:pPr>
              <w:pStyle w:val="Legenda"/>
              <w:jc w:val="both"/>
              <w:rPr>
                <w:rFonts w:asciiTheme="minorHAnsi" w:hAnsiTheme="minorHAnsi" w:cs="Arial"/>
                <w:color w:val="000000"/>
                <w:sz w:val="28"/>
                <w:szCs w:val="28"/>
              </w:rPr>
            </w:pPr>
            <w:r w:rsidRPr="004B5F6C">
              <w:rPr>
                <w:rFonts w:asciiTheme="minorHAnsi" w:hAnsiTheme="minorHAnsi" w:cs="Arial"/>
                <w:color w:val="000000"/>
                <w:sz w:val="28"/>
                <w:szCs w:val="28"/>
              </w:rPr>
              <w:t xml:space="preserve">  (</w:t>
            </w:r>
            <w:r w:rsidR="00EC4667">
              <w:rPr>
                <w:rFonts w:asciiTheme="minorHAnsi" w:hAnsiTheme="minorHAnsi" w:cs="Arial"/>
                <w:color w:val="000000"/>
                <w:sz w:val="28"/>
                <w:szCs w:val="28"/>
              </w:rPr>
              <w:t>X</w:t>
            </w:r>
            <w:r w:rsidRPr="004B5F6C">
              <w:rPr>
                <w:rFonts w:asciiTheme="minorHAnsi" w:hAnsiTheme="minorHAnsi" w:cs="Arial"/>
                <w:color w:val="000000"/>
                <w:sz w:val="28"/>
                <w:szCs w:val="28"/>
              </w:rPr>
              <w:t xml:space="preserve">) agente econômico </w:t>
            </w:r>
            <w:r w:rsidR="00BA64CE" w:rsidRPr="004B5F6C">
              <w:rPr>
                <w:rFonts w:asciiTheme="minorHAnsi" w:hAnsiTheme="minorHAnsi" w:cs="Arial"/>
                <w:color w:val="000000"/>
                <w:sz w:val="28"/>
                <w:szCs w:val="28"/>
              </w:rPr>
              <w:t xml:space="preserve"> </w:t>
            </w:r>
          </w:p>
          <w:p w14:paraId="4A7AA167" w14:textId="77777777" w:rsidR="00BD5993" w:rsidRPr="004B5F6C" w:rsidRDefault="00BD5993" w:rsidP="00CF534B">
            <w:pPr>
              <w:rPr>
                <w:rFonts w:asciiTheme="minorHAnsi" w:hAnsiTheme="minorHAnsi" w:cs="Calibri"/>
                <w:color w:val="000000"/>
                <w:sz w:val="28"/>
                <w:szCs w:val="28"/>
              </w:rPr>
            </w:pPr>
            <w:r w:rsidRPr="004B5F6C">
              <w:rPr>
                <w:rFonts w:asciiTheme="minorHAnsi" w:hAnsiTheme="minorHAnsi" w:cs="Arial"/>
                <w:color w:val="000000"/>
                <w:sz w:val="28"/>
                <w:szCs w:val="28"/>
              </w:rPr>
              <w:t xml:space="preserve">  (  ) consumidor ou usuário</w:t>
            </w:r>
          </w:p>
        </w:tc>
        <w:tc>
          <w:tcPr>
            <w:tcW w:w="7159" w:type="dxa"/>
            <w:gridSpan w:val="2"/>
            <w:tcBorders>
              <w:top w:val="single" w:sz="4" w:space="0" w:color="auto"/>
              <w:bottom w:val="single" w:sz="4" w:space="0" w:color="auto"/>
              <w:right w:val="single" w:sz="4" w:space="0" w:color="auto"/>
            </w:tcBorders>
            <w:shd w:val="clear" w:color="auto" w:fill="FFFFFF"/>
            <w:vAlign w:val="center"/>
          </w:tcPr>
          <w:p w14:paraId="5D8ED4A4" w14:textId="77777777" w:rsidR="00BD5993" w:rsidRPr="004B5F6C" w:rsidRDefault="00BD5993" w:rsidP="00BA64CE">
            <w:pPr>
              <w:pStyle w:val="Legenda"/>
              <w:tabs>
                <w:tab w:val="left" w:pos="214"/>
              </w:tabs>
              <w:ind w:left="23"/>
              <w:jc w:val="both"/>
              <w:rPr>
                <w:rFonts w:asciiTheme="minorHAnsi" w:hAnsiTheme="minorHAnsi" w:cs="Arial"/>
                <w:color w:val="000000"/>
                <w:sz w:val="28"/>
                <w:szCs w:val="28"/>
              </w:rPr>
            </w:pPr>
            <w:r w:rsidRPr="004B5F6C">
              <w:rPr>
                <w:rFonts w:asciiTheme="minorHAnsi" w:hAnsiTheme="minorHAnsi" w:cs="Arial"/>
                <w:color w:val="000000"/>
                <w:sz w:val="28"/>
                <w:szCs w:val="28"/>
              </w:rPr>
              <w:t xml:space="preserve">  </w:t>
            </w:r>
            <w:r w:rsidR="00BA64CE" w:rsidRPr="004B5F6C">
              <w:rPr>
                <w:rFonts w:asciiTheme="minorHAnsi" w:hAnsiTheme="minorHAnsi" w:cs="Arial"/>
                <w:color w:val="000000"/>
                <w:sz w:val="28"/>
                <w:szCs w:val="28"/>
              </w:rPr>
              <w:tab/>
            </w:r>
            <w:r w:rsidRPr="004B5F6C">
              <w:rPr>
                <w:rFonts w:asciiTheme="minorHAnsi" w:hAnsiTheme="minorHAnsi" w:cs="Arial"/>
                <w:color w:val="000000"/>
                <w:sz w:val="28"/>
                <w:szCs w:val="28"/>
              </w:rPr>
              <w:t>(  ) representante órgão de classe ou associação</w:t>
            </w:r>
          </w:p>
          <w:p w14:paraId="4B808AD1" w14:textId="77777777" w:rsidR="00BD5993" w:rsidRPr="004B5F6C" w:rsidRDefault="00BD5993" w:rsidP="00BA64CE">
            <w:pPr>
              <w:pStyle w:val="Legenda"/>
              <w:tabs>
                <w:tab w:val="left" w:pos="214"/>
              </w:tabs>
              <w:ind w:left="23"/>
              <w:jc w:val="both"/>
              <w:rPr>
                <w:rFonts w:asciiTheme="minorHAnsi" w:hAnsiTheme="minorHAnsi" w:cs="Arial"/>
                <w:color w:val="000000"/>
                <w:sz w:val="28"/>
                <w:szCs w:val="28"/>
              </w:rPr>
            </w:pPr>
            <w:r w:rsidRPr="004B5F6C">
              <w:rPr>
                <w:rFonts w:asciiTheme="minorHAnsi" w:hAnsiTheme="minorHAnsi" w:cs="Arial"/>
                <w:color w:val="000000"/>
                <w:sz w:val="28"/>
                <w:szCs w:val="28"/>
              </w:rPr>
              <w:t xml:space="preserve"> </w:t>
            </w:r>
            <w:r w:rsidR="00BA64CE" w:rsidRPr="004B5F6C">
              <w:rPr>
                <w:rFonts w:asciiTheme="minorHAnsi" w:hAnsiTheme="minorHAnsi" w:cs="Arial"/>
                <w:color w:val="000000"/>
                <w:sz w:val="28"/>
                <w:szCs w:val="28"/>
              </w:rPr>
              <w:tab/>
            </w:r>
            <w:r w:rsidRPr="004B5F6C">
              <w:rPr>
                <w:rFonts w:asciiTheme="minorHAnsi" w:hAnsiTheme="minorHAnsi" w:cs="Arial"/>
                <w:color w:val="000000"/>
                <w:sz w:val="28"/>
                <w:szCs w:val="28"/>
              </w:rPr>
              <w:t>(  ) representante de instituição governamental</w:t>
            </w:r>
          </w:p>
          <w:p w14:paraId="1D5A5BB4" w14:textId="77777777" w:rsidR="00BD5993" w:rsidRPr="004B5F6C" w:rsidRDefault="00BD5993" w:rsidP="00BA64CE">
            <w:pPr>
              <w:tabs>
                <w:tab w:val="left" w:pos="214"/>
              </w:tabs>
              <w:rPr>
                <w:rFonts w:asciiTheme="minorHAnsi" w:hAnsiTheme="minorHAnsi" w:cs="Calibri"/>
                <w:color w:val="000000"/>
                <w:sz w:val="28"/>
                <w:szCs w:val="28"/>
              </w:rPr>
            </w:pPr>
            <w:r w:rsidRPr="004B5F6C">
              <w:rPr>
                <w:rFonts w:asciiTheme="minorHAnsi" w:hAnsiTheme="minorHAnsi" w:cs="Arial"/>
                <w:color w:val="000000"/>
                <w:sz w:val="28"/>
                <w:szCs w:val="28"/>
              </w:rPr>
              <w:t xml:space="preserve">  </w:t>
            </w:r>
            <w:r w:rsidR="00BA64CE" w:rsidRPr="004B5F6C">
              <w:rPr>
                <w:rFonts w:asciiTheme="minorHAnsi" w:hAnsiTheme="minorHAnsi" w:cs="Arial"/>
                <w:color w:val="000000"/>
                <w:sz w:val="28"/>
                <w:szCs w:val="28"/>
              </w:rPr>
              <w:tab/>
            </w:r>
            <w:r w:rsidRPr="004B5F6C">
              <w:rPr>
                <w:rFonts w:asciiTheme="minorHAnsi" w:hAnsiTheme="minorHAnsi" w:cs="Arial"/>
                <w:color w:val="000000"/>
                <w:sz w:val="28"/>
                <w:szCs w:val="28"/>
              </w:rPr>
              <w:t>(  ) representante de órgãos de defesa do consumidor</w:t>
            </w:r>
          </w:p>
        </w:tc>
      </w:tr>
      <w:tr w:rsidR="004602FD" w14:paraId="23B02625" w14:textId="77777777" w:rsidTr="00140A48">
        <w:trPr>
          <w:trHeight w:val="1102"/>
        </w:trPr>
        <w:tc>
          <w:tcPr>
            <w:tcW w:w="14317" w:type="dxa"/>
            <w:gridSpan w:val="4"/>
            <w:tcBorders>
              <w:top w:val="single" w:sz="4" w:space="0" w:color="auto"/>
              <w:left w:val="single" w:sz="4" w:space="0" w:color="auto"/>
              <w:bottom w:val="single" w:sz="4" w:space="0" w:color="auto"/>
              <w:right w:val="single" w:sz="4" w:space="0" w:color="auto"/>
            </w:tcBorders>
            <w:shd w:val="clear" w:color="auto" w:fill="70B56B"/>
            <w:tcMar>
              <w:top w:w="20" w:type="dxa"/>
              <w:left w:w="20" w:type="dxa"/>
              <w:bottom w:w="0" w:type="dxa"/>
              <w:right w:w="20" w:type="dxa"/>
            </w:tcMar>
            <w:vAlign w:val="center"/>
          </w:tcPr>
          <w:p w14:paraId="058A3F6F" w14:textId="21A6E93C" w:rsidR="00BB004F" w:rsidRPr="004B5F6C" w:rsidRDefault="004602FD" w:rsidP="00F82184">
            <w:pPr>
              <w:tabs>
                <w:tab w:val="left" w:pos="720"/>
                <w:tab w:val="left" w:pos="1698"/>
                <w:tab w:val="left" w:pos="2304"/>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jc w:val="both"/>
              <w:rPr>
                <w:rFonts w:asciiTheme="minorHAnsi" w:hAnsiTheme="minorHAnsi" w:cs="Arial"/>
                <w:bCs/>
                <w:sz w:val="32"/>
                <w:szCs w:val="32"/>
              </w:rPr>
            </w:pPr>
            <w:r w:rsidRPr="004B5F6C">
              <w:rPr>
                <w:rFonts w:asciiTheme="minorHAnsi" w:hAnsiTheme="minorHAnsi" w:cs="Arial"/>
                <w:bCs/>
                <w:sz w:val="32"/>
                <w:szCs w:val="32"/>
              </w:rPr>
              <w:t>C</w:t>
            </w:r>
            <w:r w:rsidR="000C742C" w:rsidRPr="004B5F6C">
              <w:rPr>
                <w:rFonts w:asciiTheme="minorHAnsi" w:hAnsiTheme="minorHAnsi" w:cs="Arial"/>
                <w:bCs/>
                <w:sz w:val="32"/>
                <w:szCs w:val="32"/>
              </w:rPr>
              <w:t xml:space="preserve">onsulta Pública </w:t>
            </w:r>
            <w:r w:rsidR="00E06319" w:rsidRPr="004B5F6C">
              <w:rPr>
                <w:rFonts w:asciiTheme="minorHAnsi" w:hAnsiTheme="minorHAnsi" w:cs="Arial"/>
                <w:bCs/>
                <w:sz w:val="32"/>
                <w:szCs w:val="32"/>
              </w:rPr>
              <w:t xml:space="preserve">sobre </w:t>
            </w:r>
            <w:r w:rsidR="00032321" w:rsidRPr="004B5F6C">
              <w:rPr>
                <w:rFonts w:asciiTheme="minorHAnsi" w:hAnsiTheme="minorHAnsi" w:cs="Arial"/>
                <w:sz w:val="32"/>
                <w:szCs w:val="32"/>
              </w:rPr>
              <w:t xml:space="preserve">minuta </w:t>
            </w:r>
            <w:r w:rsidR="009F1EA8" w:rsidRPr="009F1EA8">
              <w:rPr>
                <w:rFonts w:asciiTheme="minorHAnsi" w:hAnsiTheme="minorHAnsi" w:cs="Arial"/>
                <w:bCs/>
                <w:sz w:val="32"/>
                <w:szCs w:val="32"/>
              </w:rPr>
              <w:t xml:space="preserve">de resolução </w:t>
            </w:r>
            <w:r w:rsidR="00F82184" w:rsidRPr="00F82184">
              <w:rPr>
                <w:rFonts w:asciiTheme="minorHAnsi" w:hAnsiTheme="minorHAnsi" w:cs="Arial"/>
                <w:bCs/>
                <w:sz w:val="32"/>
                <w:szCs w:val="32"/>
              </w:rPr>
              <w:t>que estabelece os procedimentos para geração de lastro necessário para emissão primária de Créditos de Descarbonização, de que trata o art. 14 da Lei nº 13.576, de 26 de dezembro de 2017, e altera a Resolução ANP nº 758, de 23 de novembro de 2018.</w:t>
            </w:r>
          </w:p>
        </w:tc>
      </w:tr>
      <w:tr w:rsidR="00C13A89" w14:paraId="6FBBAE2E" w14:textId="77777777" w:rsidTr="00C13A89">
        <w:trPr>
          <w:trHeight w:val="330"/>
        </w:trPr>
        <w:tc>
          <w:tcPr>
            <w:tcW w:w="1702"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14:paraId="37B42259" w14:textId="77777777" w:rsidR="00C13A89" w:rsidRPr="004B5F6C" w:rsidRDefault="00C13A89" w:rsidP="00ED7714">
            <w:pPr>
              <w:jc w:val="center"/>
              <w:rPr>
                <w:rFonts w:asciiTheme="minorHAnsi" w:eastAsia="Arial Unicode MS" w:hAnsiTheme="minorHAnsi" w:cs="Arial"/>
                <w:b/>
                <w:bCs/>
                <w:sz w:val="24"/>
                <w:szCs w:val="24"/>
              </w:rPr>
            </w:pPr>
            <w:r w:rsidRPr="004B5F6C">
              <w:rPr>
                <w:rFonts w:asciiTheme="minorHAnsi" w:hAnsiTheme="minorHAnsi" w:cs="Arial"/>
                <w:b/>
                <w:bCs/>
                <w:sz w:val="24"/>
                <w:szCs w:val="24"/>
              </w:rPr>
              <w:t>ARTIGO DA MINUTA</w:t>
            </w:r>
          </w:p>
        </w:tc>
        <w:tc>
          <w:tcPr>
            <w:tcW w:w="6945" w:type="dxa"/>
            <w:gridSpan w:val="2"/>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1496800F" w14:textId="77777777" w:rsidR="00C13A89" w:rsidRPr="004B5F6C" w:rsidRDefault="00C13A89" w:rsidP="00ED7714">
            <w:pPr>
              <w:jc w:val="center"/>
              <w:rPr>
                <w:rFonts w:asciiTheme="minorHAnsi" w:eastAsia="Arial Unicode MS" w:hAnsiTheme="minorHAnsi" w:cs="Arial"/>
                <w:b/>
                <w:bCs/>
                <w:sz w:val="24"/>
                <w:szCs w:val="24"/>
              </w:rPr>
            </w:pPr>
            <w:r w:rsidRPr="004B5F6C">
              <w:rPr>
                <w:rFonts w:asciiTheme="minorHAnsi" w:hAnsiTheme="minorHAnsi" w:cs="Arial"/>
                <w:b/>
                <w:bCs/>
                <w:sz w:val="24"/>
                <w:szCs w:val="24"/>
              </w:rPr>
              <w:t>PROPOSTA DE ALTERAÇÃO</w:t>
            </w:r>
          </w:p>
        </w:tc>
        <w:tc>
          <w:tcPr>
            <w:tcW w:w="5670"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6CBB7D1D" w14:textId="77777777" w:rsidR="00C13A89" w:rsidRPr="004B5F6C" w:rsidRDefault="00C13A89" w:rsidP="00ED7714">
            <w:pPr>
              <w:jc w:val="center"/>
              <w:rPr>
                <w:rFonts w:asciiTheme="minorHAnsi" w:eastAsia="Arial Unicode MS" w:hAnsiTheme="minorHAnsi" w:cs="Arial"/>
                <w:b/>
                <w:bCs/>
                <w:sz w:val="24"/>
                <w:szCs w:val="24"/>
              </w:rPr>
            </w:pPr>
            <w:r w:rsidRPr="004B5F6C">
              <w:rPr>
                <w:rFonts w:asciiTheme="minorHAnsi" w:hAnsiTheme="minorHAnsi" w:cs="Arial"/>
                <w:b/>
                <w:bCs/>
                <w:sz w:val="24"/>
                <w:szCs w:val="24"/>
              </w:rPr>
              <w:t>JUSTIFICATIVA</w:t>
            </w:r>
          </w:p>
        </w:tc>
      </w:tr>
      <w:tr w:rsidR="00C13A89" w14:paraId="6493FC23" w14:textId="77777777" w:rsidTr="00C13A89">
        <w:trPr>
          <w:trHeight w:val="568"/>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16033D" w14:textId="699C392C" w:rsidR="00C13A89" w:rsidRDefault="00EC4667" w:rsidP="00EC4667">
            <w:pPr>
              <w:jc w:val="center"/>
              <w:rPr>
                <w:rFonts w:ascii="Arial" w:eastAsia="Arial Unicode MS" w:hAnsi="Arial" w:cs="Arial"/>
                <w:b/>
                <w:bCs/>
                <w:sz w:val="24"/>
                <w:szCs w:val="24"/>
              </w:rPr>
            </w:pPr>
            <w:r>
              <w:rPr>
                <w:rFonts w:ascii="Arial" w:hAnsi="Arial" w:cs="Arial"/>
                <w:b/>
                <w:bCs/>
                <w:color w:val="000000"/>
              </w:rPr>
              <w:t>13</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D86FD9E" w14:textId="59F888ED" w:rsidR="00C13A89" w:rsidRDefault="00C13A89" w:rsidP="000303C4">
            <w:pPr>
              <w:rPr>
                <w:rFonts w:ascii="Arial" w:eastAsia="Arial Unicode MS" w:hAnsi="Arial" w:cs="Arial"/>
                <w:sz w:val="24"/>
                <w:szCs w:val="24"/>
              </w:rPr>
            </w:pPr>
            <w:r>
              <w:rPr>
                <w:rFonts w:ascii="Arial" w:hAnsi="Arial" w:cs="Arial"/>
              </w:rPr>
              <w:t> </w:t>
            </w:r>
            <w:r w:rsidR="00EC4667">
              <w:rPr>
                <w:rFonts w:ascii="Arial" w:hAnsi="Arial" w:cs="Arial"/>
              </w:rPr>
              <w:t>Art. 28 § 3º - A – Caso o segundo processo de Certificação</w:t>
            </w:r>
            <w:proofErr w:type="gramStart"/>
            <w:r w:rsidR="00EC4667">
              <w:rPr>
                <w:rFonts w:ascii="Arial" w:hAnsi="Arial" w:cs="Arial"/>
              </w:rPr>
              <w:t>.....</w:t>
            </w:r>
            <w:proofErr w:type="gramEnd"/>
            <w:r w:rsidR="00EC4667">
              <w:rPr>
                <w:rFonts w:ascii="Arial" w:hAnsi="Arial" w:cs="Arial"/>
              </w:rPr>
              <w:t xml:space="preserve"> se inicie no ano de 2020, deve ser utilizada a média dos dados dos anos de 2018 e 2019,para as empresas já em operação naquele período. Para os casos em que o início das atividades tenha sido a partir de 2019, deverá ser considerada a média de produção mensal a partir do início das suas operações.</w:t>
            </w: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EBC9B06" w14:textId="2E350172" w:rsidR="00C13A89" w:rsidRDefault="00C13A89" w:rsidP="000303C4">
            <w:pPr>
              <w:rPr>
                <w:rFonts w:ascii="Arial" w:eastAsia="Arial Unicode MS" w:hAnsi="Arial" w:cs="Arial"/>
                <w:sz w:val="24"/>
                <w:szCs w:val="24"/>
              </w:rPr>
            </w:pPr>
            <w:r>
              <w:rPr>
                <w:rFonts w:ascii="Arial" w:hAnsi="Arial" w:cs="Arial"/>
              </w:rPr>
              <w:t> </w:t>
            </w:r>
            <w:r w:rsidR="00EC4667">
              <w:rPr>
                <w:rFonts w:ascii="Arial" w:hAnsi="Arial" w:cs="Arial"/>
              </w:rPr>
              <w:t>Existem empresas em início de operação, que não podem ser prejudicadas pela falta de movimentação no período considerado (2018 e 2019)</w:t>
            </w:r>
          </w:p>
        </w:tc>
      </w:tr>
      <w:tr w:rsidR="00C13A89" w14:paraId="240B93CC" w14:textId="77777777" w:rsidTr="00C13A89">
        <w:trPr>
          <w:trHeight w:val="704"/>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C3CA515" w14:textId="0CA06440" w:rsidR="00C13A89" w:rsidRDefault="00EC4667" w:rsidP="00EC4667">
            <w:pPr>
              <w:jc w:val="center"/>
              <w:rPr>
                <w:rFonts w:ascii="Arial" w:eastAsia="Arial Unicode MS" w:hAnsi="Arial" w:cs="Arial"/>
                <w:b/>
                <w:bCs/>
              </w:rPr>
            </w:pPr>
            <w:r>
              <w:rPr>
                <w:rFonts w:ascii="Arial" w:hAnsi="Arial" w:cs="Arial"/>
              </w:rPr>
              <w:t>13</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051A797" w14:textId="77777777" w:rsidR="00C13A89" w:rsidRDefault="00C13A89" w:rsidP="000303C4">
            <w:pPr>
              <w:rPr>
                <w:rFonts w:ascii="Arial" w:hAnsi="Arial" w:cs="Arial"/>
              </w:rPr>
            </w:pPr>
            <w:r>
              <w:rPr>
                <w:rFonts w:ascii="Arial" w:hAnsi="Arial" w:cs="Arial"/>
              </w:rPr>
              <w:t> </w:t>
            </w:r>
            <w:r w:rsidR="00EC4667">
              <w:rPr>
                <w:rFonts w:ascii="Arial" w:hAnsi="Arial" w:cs="Arial"/>
              </w:rPr>
              <w:t>Art. 28, § 5º - As unidades produtoras de biocombustíveis somente poderão obter a Certificação da Produção Eficiente de Biocombustíveis</w:t>
            </w:r>
            <w:r w:rsidR="00937DE3">
              <w:rPr>
                <w:rFonts w:ascii="Arial" w:hAnsi="Arial" w:cs="Arial"/>
              </w:rPr>
              <w:t xml:space="preserve"> caso tenham operado no mínimo 01 (um) mês no ano civil anterior.</w:t>
            </w:r>
          </w:p>
          <w:p w14:paraId="4E347C79" w14:textId="77777777" w:rsidR="00937DE3" w:rsidRDefault="00937DE3" w:rsidP="000303C4">
            <w:pPr>
              <w:rPr>
                <w:rFonts w:ascii="Arial" w:hAnsi="Arial" w:cs="Arial"/>
              </w:rPr>
            </w:pPr>
          </w:p>
          <w:p w14:paraId="5D95CC5A" w14:textId="7840F77E" w:rsidR="00937DE3" w:rsidRDefault="00937DE3" w:rsidP="00937DE3">
            <w:pPr>
              <w:rPr>
                <w:rFonts w:ascii="Arial" w:eastAsia="Arial Unicode MS" w:hAnsi="Arial" w:cs="Arial"/>
              </w:rPr>
            </w:pPr>
            <w:r>
              <w:rPr>
                <w:rFonts w:ascii="Arial" w:hAnsi="Arial" w:cs="Arial"/>
              </w:rPr>
              <w:t>(Caso entendam que um mês seja pouco, sugerimos considerar o mínimo de três meses ao invés dos seis aqui previstos)</w:t>
            </w: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6CD7B99" w14:textId="655BFBFC" w:rsidR="00C13A89" w:rsidRDefault="00C13A89" w:rsidP="000303C4">
            <w:pPr>
              <w:rPr>
                <w:rFonts w:ascii="Arial" w:eastAsia="Arial Unicode MS" w:hAnsi="Arial" w:cs="Arial"/>
                <w:sz w:val="24"/>
                <w:szCs w:val="24"/>
              </w:rPr>
            </w:pPr>
            <w:r>
              <w:rPr>
                <w:rFonts w:ascii="Arial" w:hAnsi="Arial" w:cs="Arial"/>
              </w:rPr>
              <w:t> </w:t>
            </w:r>
            <w:r w:rsidR="00937DE3">
              <w:rPr>
                <w:rFonts w:ascii="Arial" w:hAnsi="Arial" w:cs="Arial"/>
              </w:rPr>
              <w:t>Empresas que iniciaram sua atividade a partir de agosto do ano anterior estariam fora desse direito. Há de ser considerado que não importa se a operação aconteceu durante seis meses, ou se o período foi menor em um mês ou dois....  Há de ser considerado que unidades produtoras de etanol de milho não têm entressafra, e, portanto, funcionam 12 meses por ano, ao contrário da produção pela cana de açúcar, cuja safra dura no máximo 9 meses.  É preciso considerar que a isonomia de tratamento é benéfica a todo o segmento, e que o número maior de participantes sempre há de trazer maior liquidez ao mercado.</w:t>
            </w:r>
          </w:p>
        </w:tc>
      </w:tr>
      <w:tr w:rsidR="00C13A89" w14:paraId="74221975" w14:textId="77777777" w:rsidTr="00C13A89">
        <w:trPr>
          <w:trHeight w:val="670"/>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B31AC35" w14:textId="383F380B" w:rsidR="00C13A89" w:rsidRDefault="00917595" w:rsidP="00937DE3">
            <w:pPr>
              <w:jc w:val="center"/>
              <w:rPr>
                <w:rFonts w:ascii="Arial" w:eastAsia="Arial Unicode MS" w:hAnsi="Arial" w:cs="Arial"/>
                <w:b/>
                <w:bCs/>
                <w:sz w:val="24"/>
                <w:szCs w:val="24"/>
              </w:rPr>
            </w:pPr>
            <w:r>
              <w:rPr>
                <w:rFonts w:ascii="Arial" w:hAnsi="Arial" w:cs="Arial"/>
                <w:b/>
                <w:bCs/>
              </w:rPr>
              <w:lastRenderedPageBreak/>
              <w:t>5</w:t>
            </w:r>
            <w:r w:rsidR="00BA5D1F">
              <w:rPr>
                <w:rFonts w:ascii="Arial" w:hAnsi="Arial" w:cs="Arial"/>
                <w:b/>
                <w:bCs/>
              </w:rPr>
              <w:t xml:space="preserve">º </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BA868CF" w14:textId="171CBF7C" w:rsidR="00C13A89" w:rsidRDefault="00C13A89" w:rsidP="00917595">
            <w:pPr>
              <w:rPr>
                <w:rFonts w:ascii="Arial" w:eastAsia="Arial Unicode MS" w:hAnsi="Arial" w:cs="Arial"/>
                <w:sz w:val="24"/>
                <w:szCs w:val="24"/>
              </w:rPr>
            </w:pPr>
            <w:r>
              <w:rPr>
                <w:rFonts w:ascii="Arial" w:hAnsi="Arial" w:cs="Arial"/>
              </w:rPr>
              <w:t> </w:t>
            </w:r>
            <w:r w:rsidR="00BA5D1F">
              <w:rPr>
                <w:rFonts w:ascii="Arial" w:hAnsi="Arial" w:cs="Arial"/>
              </w:rPr>
              <w:t xml:space="preserve"> </w:t>
            </w:r>
            <w:r w:rsidR="00917595">
              <w:rPr>
                <w:rFonts w:ascii="Arial" w:hAnsi="Arial" w:cs="Arial"/>
              </w:rPr>
              <w:t xml:space="preserve">As informações necessárias pra a emissão dos </w:t>
            </w:r>
            <w:proofErr w:type="spellStart"/>
            <w:r w:rsidR="00917595">
              <w:rPr>
                <w:rFonts w:ascii="Arial" w:hAnsi="Arial" w:cs="Arial"/>
              </w:rPr>
              <w:t>CBIos</w:t>
            </w:r>
            <w:proofErr w:type="spellEnd"/>
            <w:r w:rsidR="00917595">
              <w:rPr>
                <w:rFonts w:ascii="Arial" w:hAnsi="Arial" w:cs="Arial"/>
              </w:rPr>
              <w:t>, de que trata o art. 1º, serão geradas través da Plataforma CBIO, mediante.....definido no art. 5º, VUU, da Lei nº 13.576, de 2017, ressalvando-se no caso da produção de etanol anidro ou hidratado carburante, as particularidades inerentes aos processos da obtenção a partir da cana de açúcar e do milho.</w:t>
            </w: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C9BB45" w14:textId="1113890E" w:rsidR="00C13A89" w:rsidRDefault="00C13A89" w:rsidP="000303C4">
            <w:pPr>
              <w:rPr>
                <w:rFonts w:ascii="Arial" w:eastAsia="Arial Unicode MS" w:hAnsi="Arial" w:cs="Arial"/>
                <w:sz w:val="24"/>
                <w:szCs w:val="24"/>
              </w:rPr>
            </w:pPr>
            <w:r>
              <w:rPr>
                <w:rFonts w:ascii="Arial" w:hAnsi="Arial" w:cs="Arial"/>
              </w:rPr>
              <w:t> </w:t>
            </w:r>
            <w:r w:rsidR="00917595">
              <w:rPr>
                <w:rFonts w:ascii="Arial" w:hAnsi="Arial" w:cs="Arial"/>
              </w:rPr>
              <w:t xml:space="preserve">Os valores-padrão utilizados para </w:t>
            </w:r>
            <w:proofErr w:type="spellStart"/>
            <w:r w:rsidR="00917595">
              <w:rPr>
                <w:rFonts w:ascii="Arial" w:hAnsi="Arial" w:cs="Arial"/>
              </w:rPr>
              <w:t>RenovaCalc</w:t>
            </w:r>
            <w:proofErr w:type="spellEnd"/>
            <w:r w:rsidR="00917595">
              <w:rPr>
                <w:rFonts w:ascii="Arial" w:hAnsi="Arial" w:cs="Arial"/>
              </w:rPr>
              <w:t xml:space="preserve"> não compreendem o real cenário do processo de fabricação a partir do milho. Isso, certamente porque por ocasião da redação e publicação da Lei 13576, a produção estava voltada unicamente </w:t>
            </w:r>
            <w:r w:rsidR="004924B4">
              <w:rPr>
                <w:rFonts w:ascii="Arial" w:hAnsi="Arial" w:cs="Arial"/>
              </w:rPr>
              <w:t xml:space="preserve">ao processamento da cana de açúcar. Disso resultaram as omissões e previsibilidades quanto às questões de elegibilidade no que se refere ao desenvolvimento de parcerias e contratos realizados no fornecimento da matéria prima.  No caso da cana de açúcar, os fornecedores são poucos, devidamente definidos, localizados em áreas de no máximo 50 km da unidade produtora. Para a produção a partir do milho, a matéria prima pode ter sua origem em qualquer localidade dentro ou fora do território nacional, o fornecimento pode ser feito por cooperativas de produtores ou até por importadores. </w:t>
            </w:r>
          </w:p>
        </w:tc>
      </w:tr>
      <w:tr w:rsidR="00C13A89" w14:paraId="21FE5960" w14:textId="77777777" w:rsidTr="00C13A89">
        <w:trPr>
          <w:trHeight w:val="667"/>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B37A413" w14:textId="77777777" w:rsidR="00C13A89" w:rsidRDefault="00C13A89" w:rsidP="00A02F11">
            <w:pPr>
              <w:rPr>
                <w:rFonts w:ascii="Arial" w:eastAsia="Arial Unicode MS" w:hAnsi="Arial" w:cs="Arial"/>
                <w:b/>
                <w:bCs/>
                <w:color w:val="000000"/>
                <w:sz w:val="24"/>
                <w:szCs w:val="24"/>
              </w:rPr>
            </w:pPr>
            <w:r>
              <w:rPr>
                <w:rFonts w:ascii="Arial" w:hAnsi="Arial" w:cs="Arial"/>
                <w:b/>
                <w:bCs/>
              </w:rPr>
              <w:t> </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09E4F70" w14:textId="77777777" w:rsidR="00C13A89" w:rsidRDefault="00C13A89" w:rsidP="000303C4">
            <w:pPr>
              <w:rPr>
                <w:rFonts w:ascii="Arial" w:eastAsia="Arial Unicode MS" w:hAnsi="Arial" w:cs="Arial"/>
                <w:color w:val="000000"/>
                <w:sz w:val="24"/>
                <w:szCs w:val="24"/>
              </w:rPr>
            </w:pPr>
            <w:r>
              <w:rPr>
                <w:rFonts w:ascii="Arial" w:hAnsi="Arial" w:cs="Arial"/>
                <w:color w:val="000000"/>
              </w:rPr>
              <w:t> </w:t>
            </w: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5A29B1" w14:textId="77777777" w:rsidR="00C13A89" w:rsidRDefault="00C13A89" w:rsidP="000303C4">
            <w:pPr>
              <w:rPr>
                <w:rFonts w:ascii="Arial" w:eastAsia="Arial Unicode MS" w:hAnsi="Arial" w:cs="Arial"/>
                <w:sz w:val="24"/>
                <w:szCs w:val="24"/>
              </w:rPr>
            </w:pPr>
            <w:r>
              <w:rPr>
                <w:rFonts w:ascii="Arial" w:hAnsi="Arial" w:cs="Arial"/>
              </w:rPr>
              <w:t> </w:t>
            </w:r>
          </w:p>
        </w:tc>
      </w:tr>
      <w:tr w:rsidR="00C13A89" w14:paraId="3B7B51BE"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5B7704C" w14:textId="77777777" w:rsidR="00C13A89" w:rsidRDefault="00C13A89" w:rsidP="00A02F11">
            <w:pPr>
              <w:rPr>
                <w:rFonts w:ascii="Arial" w:eastAsia="Arial Unicode MS" w:hAnsi="Arial" w:cs="Arial"/>
                <w:b/>
                <w:bCs/>
                <w:sz w:val="24"/>
                <w:szCs w:val="24"/>
              </w:rPr>
            </w:pPr>
            <w:r>
              <w:rPr>
                <w:rFonts w:ascii="Arial" w:hAnsi="Arial" w:cs="Arial"/>
                <w:b/>
                <w:bCs/>
              </w:rPr>
              <w:t> </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95BE4D5" w14:textId="77777777" w:rsidR="00C13A89" w:rsidRDefault="00C13A89" w:rsidP="000303C4">
            <w:pPr>
              <w:rPr>
                <w:rFonts w:ascii="Arial" w:eastAsia="Arial Unicode MS" w:hAnsi="Arial" w:cs="Arial"/>
                <w:sz w:val="24"/>
                <w:szCs w:val="24"/>
              </w:rPr>
            </w:pPr>
            <w:r>
              <w:rPr>
                <w:rFonts w:ascii="Arial" w:hAnsi="Arial" w:cs="Arial"/>
              </w:rPr>
              <w:t> </w:t>
            </w: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5669553" w14:textId="77777777" w:rsidR="00C13A89" w:rsidRDefault="00C13A89" w:rsidP="000303C4">
            <w:pPr>
              <w:rPr>
                <w:rFonts w:ascii="Arial" w:eastAsia="Arial Unicode MS" w:hAnsi="Arial" w:cs="Arial"/>
                <w:sz w:val="24"/>
                <w:szCs w:val="24"/>
              </w:rPr>
            </w:pPr>
            <w:r>
              <w:rPr>
                <w:rFonts w:ascii="Arial" w:hAnsi="Arial" w:cs="Arial"/>
              </w:rPr>
              <w:t> </w:t>
            </w:r>
          </w:p>
        </w:tc>
      </w:tr>
      <w:tr w:rsidR="00AE66B2" w14:paraId="4D2756B7"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4FBAF88" w14:textId="77777777" w:rsidR="00AE66B2" w:rsidRDefault="00AE66B2"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689AF26" w14:textId="77777777" w:rsidR="00AE66B2" w:rsidRDefault="00AE66B2"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112E3B" w14:textId="77777777" w:rsidR="00AE66B2" w:rsidRDefault="00AE66B2" w:rsidP="000303C4">
            <w:pPr>
              <w:rPr>
                <w:rFonts w:ascii="Arial" w:hAnsi="Arial" w:cs="Arial"/>
              </w:rPr>
            </w:pPr>
          </w:p>
        </w:tc>
      </w:tr>
      <w:tr w:rsidR="004B5F6C" w14:paraId="5AF2DC4C"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93676AE"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973E700"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E71B328" w14:textId="77777777" w:rsidR="004B5F6C" w:rsidRDefault="004B5F6C" w:rsidP="000303C4">
            <w:pPr>
              <w:rPr>
                <w:rFonts w:ascii="Arial" w:hAnsi="Arial" w:cs="Arial"/>
              </w:rPr>
            </w:pPr>
          </w:p>
        </w:tc>
      </w:tr>
      <w:tr w:rsidR="004B5F6C" w14:paraId="0C196622"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FA367D"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7091BF2"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81F824" w14:textId="77777777" w:rsidR="004B5F6C" w:rsidRDefault="004B5F6C" w:rsidP="000303C4">
            <w:pPr>
              <w:rPr>
                <w:rFonts w:ascii="Arial" w:hAnsi="Arial" w:cs="Arial"/>
              </w:rPr>
            </w:pPr>
          </w:p>
        </w:tc>
      </w:tr>
      <w:tr w:rsidR="004B5F6C" w14:paraId="4F679989"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56FCCCA"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D104230"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C81F5B" w14:textId="77777777" w:rsidR="004B5F6C" w:rsidRDefault="004B5F6C" w:rsidP="000303C4">
            <w:pPr>
              <w:rPr>
                <w:rFonts w:ascii="Arial" w:hAnsi="Arial" w:cs="Arial"/>
              </w:rPr>
            </w:pPr>
          </w:p>
        </w:tc>
      </w:tr>
      <w:tr w:rsidR="004B5F6C" w14:paraId="704EC68B"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479EE71"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4BD3E70"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114347" w14:textId="77777777" w:rsidR="004B5F6C" w:rsidRDefault="004B5F6C" w:rsidP="000303C4">
            <w:pPr>
              <w:rPr>
                <w:rFonts w:ascii="Arial" w:hAnsi="Arial" w:cs="Arial"/>
              </w:rPr>
            </w:pPr>
          </w:p>
        </w:tc>
      </w:tr>
      <w:tr w:rsidR="004B5F6C" w14:paraId="1BEBBF5E"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923B4D7"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9DD56C7"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56CC64" w14:textId="77777777" w:rsidR="004B5F6C" w:rsidRDefault="004B5F6C" w:rsidP="000303C4">
            <w:pPr>
              <w:rPr>
                <w:rFonts w:ascii="Arial" w:hAnsi="Arial" w:cs="Arial"/>
              </w:rPr>
            </w:pPr>
          </w:p>
        </w:tc>
      </w:tr>
      <w:tr w:rsidR="004B5F6C" w14:paraId="2F49ECA0"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E1944FA"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A77FDC3"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84F24F8" w14:textId="77777777" w:rsidR="004B5F6C" w:rsidRDefault="004B5F6C" w:rsidP="000303C4">
            <w:pPr>
              <w:rPr>
                <w:rFonts w:ascii="Arial" w:hAnsi="Arial" w:cs="Arial"/>
              </w:rPr>
            </w:pPr>
          </w:p>
        </w:tc>
      </w:tr>
      <w:tr w:rsidR="004B5F6C" w14:paraId="71ACBE89"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207883F"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02B5B9"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025612" w14:textId="77777777" w:rsidR="004B5F6C" w:rsidRDefault="004B5F6C" w:rsidP="000303C4">
            <w:pPr>
              <w:rPr>
                <w:rFonts w:ascii="Arial" w:hAnsi="Arial" w:cs="Arial"/>
              </w:rPr>
            </w:pPr>
          </w:p>
        </w:tc>
      </w:tr>
      <w:tr w:rsidR="004B5F6C" w14:paraId="712DA2BC"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B169159"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BD2B54E"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827775" w14:textId="77777777" w:rsidR="004B5F6C" w:rsidRDefault="004B5F6C" w:rsidP="000303C4">
            <w:pPr>
              <w:rPr>
                <w:rFonts w:ascii="Arial" w:hAnsi="Arial" w:cs="Arial"/>
              </w:rPr>
            </w:pPr>
          </w:p>
        </w:tc>
      </w:tr>
      <w:tr w:rsidR="004B5F6C" w14:paraId="31AC71C4"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EC90153"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044D740"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C025CBB" w14:textId="77777777" w:rsidR="004B5F6C" w:rsidRDefault="004B5F6C" w:rsidP="000303C4">
            <w:pPr>
              <w:rPr>
                <w:rFonts w:ascii="Arial" w:hAnsi="Arial" w:cs="Arial"/>
              </w:rPr>
            </w:pPr>
          </w:p>
        </w:tc>
      </w:tr>
      <w:tr w:rsidR="004B5F6C" w14:paraId="0601845D"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F95296B"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62D712"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2E1A847" w14:textId="77777777" w:rsidR="004B5F6C" w:rsidRDefault="004B5F6C" w:rsidP="000303C4">
            <w:pPr>
              <w:rPr>
                <w:rFonts w:ascii="Arial" w:hAnsi="Arial" w:cs="Arial"/>
              </w:rPr>
            </w:pPr>
          </w:p>
        </w:tc>
      </w:tr>
      <w:tr w:rsidR="004B5F6C" w14:paraId="68E85FAF"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3F8BBA" w14:textId="77777777" w:rsidR="004B5F6C" w:rsidRDefault="004B5F6C" w:rsidP="000303C4">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E00AEE" w14:textId="77777777" w:rsidR="004B5F6C" w:rsidRDefault="004B5F6C"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9101452" w14:textId="77777777" w:rsidR="004B5F6C" w:rsidRDefault="004B5F6C" w:rsidP="000303C4">
            <w:pPr>
              <w:rPr>
                <w:rFonts w:ascii="Arial" w:hAnsi="Arial" w:cs="Arial"/>
              </w:rPr>
            </w:pPr>
          </w:p>
        </w:tc>
      </w:tr>
    </w:tbl>
    <w:p w14:paraId="2C6F6C4E" w14:textId="77777777" w:rsidR="004602FD" w:rsidRPr="004B5F6C" w:rsidRDefault="00100689" w:rsidP="00100689">
      <w:pPr>
        <w:jc w:val="center"/>
        <w:rPr>
          <w:rFonts w:asciiTheme="minorHAnsi" w:hAnsiTheme="minorHAnsi"/>
          <w:sz w:val="26"/>
          <w:szCs w:val="26"/>
        </w:rPr>
      </w:pPr>
      <w:r w:rsidRPr="004B5F6C">
        <w:rPr>
          <w:rFonts w:asciiTheme="minorHAnsi" w:eastAsia="Arial Unicode MS" w:hAnsiTheme="minorHAnsi" w:cs="Arial"/>
          <w:sz w:val="26"/>
          <w:szCs w:val="26"/>
        </w:rPr>
        <w:t xml:space="preserve">Este formulário deverá ser encaminhado à ANP para o endereço eletrônico: </w:t>
      </w:r>
      <w:r w:rsidR="00F229D8" w:rsidRPr="004B5F6C">
        <w:rPr>
          <w:rFonts w:asciiTheme="minorHAnsi" w:eastAsia="Arial Unicode MS" w:hAnsiTheme="minorHAnsi" w:cs="Arial"/>
          <w:i/>
          <w:sz w:val="26"/>
          <w:szCs w:val="26"/>
        </w:rPr>
        <w:t>conspub_qualidade@anp.gov.br</w:t>
      </w:r>
      <w:r w:rsidRPr="004B5F6C">
        <w:rPr>
          <w:rFonts w:asciiTheme="minorHAnsi" w:eastAsia="Arial Unicode MS" w:hAnsiTheme="minorHAnsi" w:cs="Arial"/>
          <w:sz w:val="26"/>
          <w:szCs w:val="26"/>
        </w:rPr>
        <w:t xml:space="preserve">, fax (21) </w:t>
      </w:r>
      <w:r w:rsidR="009B4815" w:rsidRPr="004B5F6C">
        <w:rPr>
          <w:rFonts w:asciiTheme="minorHAnsi" w:eastAsia="Arial Unicode MS" w:hAnsiTheme="minorHAnsi" w:cs="Arial"/>
          <w:sz w:val="26"/>
          <w:szCs w:val="26"/>
        </w:rPr>
        <w:t>2112-8669</w:t>
      </w:r>
      <w:r w:rsidRPr="004B5F6C">
        <w:rPr>
          <w:rFonts w:asciiTheme="minorHAnsi" w:eastAsia="Arial Unicode MS" w:hAnsiTheme="minorHAnsi" w:cs="Arial"/>
          <w:sz w:val="26"/>
          <w:szCs w:val="26"/>
        </w:rPr>
        <w:t>, ou diretamente em um dos protocolos da ANP</w:t>
      </w:r>
      <w:r w:rsidR="00570C4C" w:rsidRPr="004B5F6C">
        <w:rPr>
          <w:rFonts w:asciiTheme="minorHAnsi" w:eastAsia="Arial Unicode MS" w:hAnsiTheme="minorHAnsi" w:cs="Arial"/>
          <w:sz w:val="26"/>
          <w:szCs w:val="26"/>
        </w:rPr>
        <w:t xml:space="preserve"> indicado</w:t>
      </w:r>
      <w:r w:rsidRPr="004B5F6C">
        <w:rPr>
          <w:rFonts w:asciiTheme="minorHAnsi" w:eastAsia="Arial Unicode MS" w:hAnsiTheme="minorHAnsi" w:cs="Arial"/>
          <w:sz w:val="26"/>
          <w:szCs w:val="26"/>
        </w:rPr>
        <w:t xml:space="preserve"> no item 2.1 do Aviso</w:t>
      </w:r>
      <w:r w:rsidR="00570C4C" w:rsidRPr="004B5F6C">
        <w:rPr>
          <w:rFonts w:asciiTheme="minorHAnsi" w:eastAsia="Arial Unicode MS" w:hAnsiTheme="minorHAnsi" w:cs="Arial"/>
          <w:sz w:val="26"/>
          <w:szCs w:val="26"/>
        </w:rPr>
        <w:t xml:space="preserve"> </w:t>
      </w:r>
      <w:r w:rsidR="00D71D82" w:rsidRPr="004B5F6C">
        <w:rPr>
          <w:rFonts w:asciiTheme="minorHAnsi" w:eastAsia="Arial Unicode MS" w:hAnsiTheme="minorHAnsi" w:cs="Arial"/>
          <w:sz w:val="26"/>
          <w:szCs w:val="26"/>
        </w:rPr>
        <w:t>da referida</w:t>
      </w:r>
      <w:r w:rsidR="00570C4C" w:rsidRPr="004B5F6C">
        <w:rPr>
          <w:rFonts w:asciiTheme="minorHAnsi" w:eastAsia="Arial Unicode MS" w:hAnsiTheme="minorHAnsi" w:cs="Arial"/>
          <w:sz w:val="26"/>
          <w:szCs w:val="26"/>
        </w:rPr>
        <w:t xml:space="preserve"> Consulta Pública.</w:t>
      </w:r>
    </w:p>
    <w:sectPr w:rsidR="004602FD" w:rsidRPr="004B5F6C" w:rsidSect="004B5F6C">
      <w:pgSz w:w="16840" w:h="11907" w:orient="landscape" w:code="9"/>
      <w:pgMar w:top="1418" w:right="1389"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2C"/>
    <w:rsid w:val="000303C4"/>
    <w:rsid w:val="00032321"/>
    <w:rsid w:val="00050F3F"/>
    <w:rsid w:val="000873C6"/>
    <w:rsid w:val="000C4B4B"/>
    <w:rsid w:val="000C72BB"/>
    <w:rsid w:val="000C742C"/>
    <w:rsid w:val="000E0FF4"/>
    <w:rsid w:val="000F43D7"/>
    <w:rsid w:val="00100689"/>
    <w:rsid w:val="00140A48"/>
    <w:rsid w:val="001C5D32"/>
    <w:rsid w:val="001E4CEE"/>
    <w:rsid w:val="001F69FB"/>
    <w:rsid w:val="001F74A0"/>
    <w:rsid w:val="002109D6"/>
    <w:rsid w:val="0023358F"/>
    <w:rsid w:val="0026582D"/>
    <w:rsid w:val="002808DC"/>
    <w:rsid w:val="00287B41"/>
    <w:rsid w:val="00335A11"/>
    <w:rsid w:val="00392E33"/>
    <w:rsid w:val="00396C03"/>
    <w:rsid w:val="003D6783"/>
    <w:rsid w:val="003E1717"/>
    <w:rsid w:val="004017EF"/>
    <w:rsid w:val="00405603"/>
    <w:rsid w:val="00452D91"/>
    <w:rsid w:val="004602FD"/>
    <w:rsid w:val="00482F43"/>
    <w:rsid w:val="004924B4"/>
    <w:rsid w:val="00494A88"/>
    <w:rsid w:val="004B5F6C"/>
    <w:rsid w:val="004C5AA8"/>
    <w:rsid w:val="004E6BA1"/>
    <w:rsid w:val="00543A96"/>
    <w:rsid w:val="00555103"/>
    <w:rsid w:val="00561ABC"/>
    <w:rsid w:val="00570C4C"/>
    <w:rsid w:val="00586DD3"/>
    <w:rsid w:val="005E2BE6"/>
    <w:rsid w:val="00630321"/>
    <w:rsid w:val="0063117B"/>
    <w:rsid w:val="006C7878"/>
    <w:rsid w:val="006E69BF"/>
    <w:rsid w:val="006F13A8"/>
    <w:rsid w:val="007220DF"/>
    <w:rsid w:val="007244E0"/>
    <w:rsid w:val="00735912"/>
    <w:rsid w:val="00754009"/>
    <w:rsid w:val="00762754"/>
    <w:rsid w:val="007845F5"/>
    <w:rsid w:val="00786B19"/>
    <w:rsid w:val="007C6850"/>
    <w:rsid w:val="007E6AB1"/>
    <w:rsid w:val="00834A5C"/>
    <w:rsid w:val="0085243A"/>
    <w:rsid w:val="00852D24"/>
    <w:rsid w:val="00892317"/>
    <w:rsid w:val="008C0A6C"/>
    <w:rsid w:val="008E1D4F"/>
    <w:rsid w:val="00903A5F"/>
    <w:rsid w:val="00917595"/>
    <w:rsid w:val="00937DE3"/>
    <w:rsid w:val="00937E08"/>
    <w:rsid w:val="0099485E"/>
    <w:rsid w:val="009A7203"/>
    <w:rsid w:val="009B4815"/>
    <w:rsid w:val="009D4FC6"/>
    <w:rsid w:val="009E5AD5"/>
    <w:rsid w:val="009F1EA8"/>
    <w:rsid w:val="009F4F0E"/>
    <w:rsid w:val="00A02F11"/>
    <w:rsid w:val="00A225FB"/>
    <w:rsid w:val="00A6562E"/>
    <w:rsid w:val="00A8005F"/>
    <w:rsid w:val="00A94E85"/>
    <w:rsid w:val="00AC5BC1"/>
    <w:rsid w:val="00AE1711"/>
    <w:rsid w:val="00AE66B2"/>
    <w:rsid w:val="00AF2899"/>
    <w:rsid w:val="00B4490B"/>
    <w:rsid w:val="00B460CF"/>
    <w:rsid w:val="00B74C89"/>
    <w:rsid w:val="00B80194"/>
    <w:rsid w:val="00BA5D1F"/>
    <w:rsid w:val="00BA64CE"/>
    <w:rsid w:val="00BB004F"/>
    <w:rsid w:val="00BC59FF"/>
    <w:rsid w:val="00BD479F"/>
    <w:rsid w:val="00BD5993"/>
    <w:rsid w:val="00C04AB3"/>
    <w:rsid w:val="00C13A89"/>
    <w:rsid w:val="00C74BAD"/>
    <w:rsid w:val="00CD7D9E"/>
    <w:rsid w:val="00CF2605"/>
    <w:rsid w:val="00CF534B"/>
    <w:rsid w:val="00D060D3"/>
    <w:rsid w:val="00D11D93"/>
    <w:rsid w:val="00D453ED"/>
    <w:rsid w:val="00D71D82"/>
    <w:rsid w:val="00DB6F51"/>
    <w:rsid w:val="00DC0FFA"/>
    <w:rsid w:val="00DE64B2"/>
    <w:rsid w:val="00E06319"/>
    <w:rsid w:val="00E51418"/>
    <w:rsid w:val="00EC4667"/>
    <w:rsid w:val="00ED7714"/>
    <w:rsid w:val="00EE4F1F"/>
    <w:rsid w:val="00EF61CF"/>
    <w:rsid w:val="00F10E00"/>
    <w:rsid w:val="00F229D8"/>
    <w:rsid w:val="00F26EAF"/>
    <w:rsid w:val="00F31209"/>
    <w:rsid w:val="00F82184"/>
    <w:rsid w:val="00F8559B"/>
    <w:rsid w:val="00F8702E"/>
    <w:rsid w:val="00FB0E77"/>
    <w:rsid w:val="00FC27EB"/>
    <w:rsid w:val="00FD2C11"/>
    <w:rsid w:val="00FD3A8A"/>
    <w:rsid w:val="00FF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3E624B"/>
  <w15:docId w15:val="{8D06A24A-EED1-42DF-8527-4D12F0F8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Ana Amelia Magalhaes Gomes Martini</cp:lastModifiedBy>
  <cp:revision>2</cp:revision>
  <cp:lastPrinted>2010-12-28T18:08:00Z</cp:lastPrinted>
  <dcterms:created xsi:type="dcterms:W3CDTF">2019-11-11T15:21:00Z</dcterms:created>
  <dcterms:modified xsi:type="dcterms:W3CDTF">2019-11-11T15:21:00Z</dcterms:modified>
</cp:coreProperties>
</file>