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AD89" w14:textId="77777777" w:rsidR="001F74A0" w:rsidRPr="004B5F6C" w:rsidRDefault="00194886" w:rsidP="00482F43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6"/>
          <w:szCs w:val="36"/>
        </w:rPr>
        <w:object w:dxaOrig="1440" w:dyaOrig="1440" w14:anchorId="499AC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634979592" r:id="rId6"/>
        </w:object>
      </w:r>
      <w:r w:rsidR="00482F43" w:rsidRPr="004B5F6C">
        <w:rPr>
          <w:rFonts w:asciiTheme="minorHAnsi" w:hAnsiTheme="minorHAnsi"/>
          <w:b/>
          <w:sz w:val="36"/>
          <w:szCs w:val="36"/>
        </w:rPr>
        <w:t>FORMULÁRIO DE COMENTÁRIOS E SUGESTÕES</w:t>
      </w:r>
    </w:p>
    <w:p w14:paraId="344835D0" w14:textId="4CA2DCAE" w:rsidR="00C13A89" w:rsidRPr="004B5F6C" w:rsidRDefault="002808DC" w:rsidP="00BB004F">
      <w:pPr>
        <w:jc w:val="center"/>
        <w:rPr>
          <w:rFonts w:asciiTheme="minorHAnsi" w:hAnsiTheme="minorHAnsi"/>
          <w:b/>
          <w:color w:val="FF0000"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CONSULTA PÚ</w:t>
      </w:r>
      <w:r w:rsidR="00482F43" w:rsidRPr="004B5F6C">
        <w:rPr>
          <w:rFonts w:asciiTheme="minorHAnsi" w:hAnsiTheme="minorHAnsi"/>
          <w:b/>
          <w:sz w:val="26"/>
          <w:szCs w:val="26"/>
        </w:rPr>
        <w:t>BLICA N°</w:t>
      </w:r>
      <w:r w:rsidR="00F8559B">
        <w:rPr>
          <w:rFonts w:asciiTheme="minorHAnsi" w:hAnsiTheme="minorHAnsi"/>
          <w:b/>
          <w:sz w:val="26"/>
          <w:szCs w:val="26"/>
        </w:rPr>
        <w:t xml:space="preserve"> </w:t>
      </w:r>
      <w:r w:rsidR="00D453ED">
        <w:rPr>
          <w:rFonts w:asciiTheme="minorHAnsi" w:hAnsiTheme="minorHAnsi"/>
          <w:b/>
          <w:sz w:val="26"/>
          <w:szCs w:val="26"/>
        </w:rPr>
        <w:t>23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F229D8" w:rsidRPr="004B5F6C">
        <w:rPr>
          <w:rFonts w:asciiTheme="minorHAnsi" w:hAnsiTheme="minorHAnsi"/>
          <w:b/>
          <w:color w:val="000000" w:themeColor="text1"/>
          <w:sz w:val="26"/>
          <w:szCs w:val="26"/>
        </w:rPr>
        <w:t>201</w:t>
      </w:r>
      <w:r w:rsidR="004B5F6C" w:rsidRPr="004B5F6C">
        <w:rPr>
          <w:rFonts w:asciiTheme="minorHAnsi" w:hAnsiTheme="minorHAnsi"/>
          <w:b/>
          <w:color w:val="000000" w:themeColor="text1"/>
          <w:sz w:val="26"/>
          <w:szCs w:val="26"/>
        </w:rPr>
        <w:t>9</w:t>
      </w:r>
      <w:r w:rsidR="00482F43" w:rsidRPr="004B5F6C">
        <w:rPr>
          <w:rFonts w:asciiTheme="minorHAnsi" w:hAnsiTheme="minorHAnsi"/>
          <w:b/>
          <w:color w:val="000000" w:themeColor="text1"/>
          <w:sz w:val="26"/>
          <w:szCs w:val="26"/>
        </w:rPr>
        <w:t xml:space="preserve"> 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 xml:space="preserve">(de 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2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8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10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 xml:space="preserve">/2019 a </w:t>
      </w:r>
      <w:r w:rsidR="00405603">
        <w:rPr>
          <w:rFonts w:asciiTheme="minorHAnsi" w:hAnsiTheme="minorHAnsi"/>
          <w:b/>
          <w:color w:val="000000" w:themeColor="text1"/>
          <w:sz w:val="26"/>
          <w:szCs w:val="26"/>
        </w:rPr>
        <w:t>11</w:t>
      </w:r>
      <w:r w:rsidR="00B460CF">
        <w:rPr>
          <w:rFonts w:asciiTheme="minorHAnsi" w:hAnsiTheme="minorHAnsi"/>
          <w:b/>
          <w:color w:val="000000" w:themeColor="text1"/>
          <w:sz w:val="26"/>
          <w:szCs w:val="26"/>
        </w:rPr>
        <w:t>/11</w:t>
      </w:r>
      <w:r w:rsidR="00F8559B" w:rsidRPr="00F31209">
        <w:rPr>
          <w:rFonts w:asciiTheme="minorHAnsi" w:hAnsiTheme="minorHAnsi"/>
          <w:b/>
          <w:color w:val="000000" w:themeColor="text1"/>
          <w:sz w:val="26"/>
          <w:szCs w:val="26"/>
        </w:rPr>
        <w:t>/2019</w:t>
      </w:r>
      <w:r w:rsidR="00F8559B">
        <w:rPr>
          <w:rFonts w:asciiTheme="minorHAnsi" w:hAnsiTheme="minorHAnsi"/>
          <w:b/>
          <w:color w:val="000000" w:themeColor="text1"/>
          <w:sz w:val="26"/>
          <w:szCs w:val="26"/>
        </w:rPr>
        <w:t>)</w:t>
      </w:r>
    </w:p>
    <w:p w14:paraId="51454C9F" w14:textId="77777777" w:rsidR="00E06319" w:rsidRPr="00BB004F" w:rsidRDefault="00E06319" w:rsidP="00BB004F">
      <w:pPr>
        <w:jc w:val="center"/>
        <w:rPr>
          <w:sz w:val="26"/>
          <w:szCs w:val="26"/>
        </w:rPr>
      </w:pPr>
    </w:p>
    <w:p w14:paraId="6A99445A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14E033AC" w14:textId="77777777" w:rsidR="004B5F6C" w:rsidRDefault="004B5F6C" w:rsidP="004B5F6C">
      <w:pPr>
        <w:ind w:left="1418"/>
        <w:jc w:val="center"/>
        <w:rPr>
          <w:sz w:val="26"/>
          <w:szCs w:val="26"/>
        </w:rPr>
      </w:pPr>
    </w:p>
    <w:p w14:paraId="782B1470" w14:textId="77777777" w:rsidR="004B5F6C" w:rsidRDefault="004B5F6C" w:rsidP="00CF534B">
      <w:pPr>
        <w:ind w:left="4111"/>
        <w:jc w:val="center"/>
        <w:rPr>
          <w:sz w:val="26"/>
          <w:szCs w:val="26"/>
        </w:rPr>
      </w:pPr>
    </w:p>
    <w:p w14:paraId="27BC0D6B" w14:textId="5CC89099" w:rsidR="001F74A0" w:rsidRPr="004B5F6C" w:rsidRDefault="00BD5993" w:rsidP="004B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4B5F6C">
        <w:rPr>
          <w:rFonts w:asciiTheme="minorHAnsi" w:hAnsiTheme="minorHAnsi"/>
          <w:b/>
          <w:sz w:val="26"/>
          <w:szCs w:val="26"/>
        </w:rPr>
        <w:t>NOME</w:t>
      </w:r>
      <w:r w:rsidR="004B5F6C">
        <w:rPr>
          <w:rFonts w:asciiTheme="minorHAnsi" w:hAnsiTheme="minorHAnsi"/>
          <w:b/>
          <w:sz w:val="26"/>
          <w:szCs w:val="26"/>
        </w:rPr>
        <w:t>/RAZÃO SOCIAL</w:t>
      </w:r>
      <w:r w:rsidR="004B5F6C" w:rsidRPr="004B5F6C">
        <w:rPr>
          <w:b/>
          <w:sz w:val="26"/>
          <w:szCs w:val="26"/>
        </w:rPr>
        <w:t>:</w:t>
      </w:r>
      <w:r w:rsidR="004B5F6C">
        <w:rPr>
          <w:b/>
          <w:sz w:val="26"/>
          <w:szCs w:val="26"/>
        </w:rPr>
        <w:t xml:space="preserve">  </w:t>
      </w:r>
      <w:proofErr w:type="spellStart"/>
      <w:r w:rsidR="00703CD1">
        <w:rPr>
          <w:b/>
          <w:sz w:val="26"/>
          <w:szCs w:val="26"/>
        </w:rPr>
        <w:t>Alesat</w:t>
      </w:r>
      <w:proofErr w:type="spellEnd"/>
      <w:r w:rsidR="00703CD1">
        <w:rPr>
          <w:b/>
          <w:sz w:val="26"/>
          <w:szCs w:val="26"/>
        </w:rPr>
        <w:t xml:space="preserve"> Combustíveis S/A – Gabriela Navarro (</w:t>
      </w:r>
      <w:hyperlink r:id="rId7" w:history="1">
        <w:r w:rsidR="00703CD1" w:rsidRPr="00EB41BB">
          <w:rPr>
            <w:rStyle w:val="Hyperlink"/>
            <w:b/>
            <w:sz w:val="26"/>
            <w:szCs w:val="26"/>
          </w:rPr>
          <w:t>gabriela.navarro@ale.com.br</w:t>
        </w:r>
      </w:hyperlink>
      <w:r w:rsidR="00703CD1">
        <w:rPr>
          <w:b/>
          <w:sz w:val="26"/>
          <w:szCs w:val="26"/>
        </w:rPr>
        <w:t>) e Igor Ferreira Luna (</w:t>
      </w:r>
      <w:hyperlink r:id="rId8" w:history="1">
        <w:r w:rsidR="00703CD1" w:rsidRPr="00EB41BB">
          <w:rPr>
            <w:rStyle w:val="Hyperlink"/>
            <w:b/>
            <w:sz w:val="26"/>
            <w:szCs w:val="26"/>
          </w:rPr>
          <w:t>ifluna@almeidalaw.com.br</w:t>
        </w:r>
      </w:hyperlink>
      <w:r w:rsidR="00703CD1">
        <w:rPr>
          <w:b/>
          <w:sz w:val="26"/>
          <w:szCs w:val="26"/>
        </w:rPr>
        <w:t xml:space="preserve">) </w:t>
      </w:r>
    </w:p>
    <w:p w14:paraId="745B77BE" w14:textId="77777777" w:rsidR="0010068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14:paraId="2E7CD1D2" w14:textId="77777777" w:rsidTr="000C4B4B">
        <w:trPr>
          <w:trHeight w:val="1002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0DA4DD" w14:textId="01E266E4" w:rsidR="00BD5993" w:rsidRPr="004B5F6C" w:rsidRDefault="00BD5993" w:rsidP="00BD5993">
            <w:pPr>
              <w:pStyle w:val="Legenda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</w:t>
            </w:r>
            <w:r w:rsidR="006A355D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x </w:t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) agente econômico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</w:p>
          <w:p w14:paraId="4A7AA167" w14:textId="77777777" w:rsidR="00BD5993" w:rsidRPr="004B5F6C" w:rsidRDefault="00BD5993" w:rsidP="00CF534B">
            <w:pPr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D4A4" w14:textId="77777777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órgão de classe ou associação</w:t>
            </w:r>
          </w:p>
          <w:p w14:paraId="4B808AD1" w14:textId="77777777" w:rsidR="00BD5993" w:rsidRPr="004B5F6C" w:rsidRDefault="00BD5993" w:rsidP="00BA64CE">
            <w:pPr>
              <w:pStyle w:val="Legenda"/>
              <w:tabs>
                <w:tab w:val="left" w:pos="214"/>
              </w:tabs>
              <w:ind w:left="23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de instituição governamental</w:t>
            </w:r>
          </w:p>
          <w:p w14:paraId="1D5A5BB4" w14:textId="77777777" w:rsidR="00BD5993" w:rsidRPr="004B5F6C" w:rsidRDefault="00BD5993" w:rsidP="00BA64CE">
            <w:pPr>
              <w:tabs>
                <w:tab w:val="left" w:pos="214"/>
              </w:tabs>
              <w:rPr>
                <w:rFonts w:asciiTheme="minorHAnsi" w:hAnsiTheme="minorHAnsi" w:cs="Calibri"/>
                <w:color w:val="000000"/>
                <w:sz w:val="28"/>
                <w:szCs w:val="28"/>
              </w:rPr>
            </w:pP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 </w:t>
            </w:r>
            <w:r w:rsidR="00BA64CE"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ab/>
            </w:r>
            <w:r w:rsidRPr="004B5F6C">
              <w:rPr>
                <w:rFonts w:asciiTheme="minorHAnsi" w:hAnsiTheme="minorHAnsi" w:cs="Arial"/>
                <w:color w:val="000000"/>
                <w:sz w:val="28"/>
                <w:szCs w:val="28"/>
              </w:rPr>
              <w:t>(  ) representante de órgãos de defesa do consumidor</w:t>
            </w:r>
          </w:p>
        </w:tc>
      </w:tr>
      <w:tr w:rsidR="004602FD" w14:paraId="23B02625" w14:textId="77777777" w:rsidTr="00140A48">
        <w:trPr>
          <w:trHeight w:val="1102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8A3F6F" w14:textId="21A6E93C" w:rsidR="00BB004F" w:rsidRPr="004B5F6C" w:rsidRDefault="004602FD" w:rsidP="00F82184">
            <w:pPr>
              <w:tabs>
                <w:tab w:val="left" w:pos="720"/>
                <w:tab w:val="left" w:pos="1698"/>
                <w:tab w:val="left" w:pos="2304"/>
                <w:tab w:val="left" w:pos="3601"/>
                <w:tab w:val="left" w:pos="4322"/>
                <w:tab w:val="left" w:pos="5043"/>
                <w:tab w:val="left" w:pos="5761"/>
                <w:tab w:val="left" w:pos="6482"/>
                <w:tab w:val="left" w:pos="7203"/>
                <w:tab w:val="left" w:pos="7923"/>
                <w:tab w:val="left" w:pos="8641"/>
                <w:tab w:val="left" w:pos="9362"/>
                <w:tab w:val="left" w:pos="10083"/>
                <w:tab w:val="left" w:pos="10801"/>
                <w:tab w:val="left" w:pos="11522"/>
                <w:tab w:val="left" w:pos="12243"/>
                <w:tab w:val="left" w:pos="12964"/>
                <w:tab w:val="left" w:pos="13682"/>
                <w:tab w:val="left" w:pos="14403"/>
                <w:tab w:val="left" w:pos="15123"/>
                <w:tab w:val="left" w:pos="15844"/>
                <w:tab w:val="left" w:pos="16562"/>
                <w:tab w:val="left" w:pos="17283"/>
                <w:tab w:val="left" w:pos="18004"/>
                <w:tab w:val="left" w:pos="18722"/>
                <w:tab w:val="left" w:pos="19443"/>
                <w:tab w:val="left" w:pos="20164"/>
                <w:tab w:val="left" w:pos="20885"/>
              </w:tabs>
              <w:suppressAutoHyphens/>
              <w:spacing w:after="120"/>
              <w:jc w:val="both"/>
              <w:rPr>
                <w:rFonts w:asciiTheme="minorHAnsi" w:hAnsiTheme="minorHAnsi" w:cs="Arial"/>
                <w:bCs/>
                <w:sz w:val="32"/>
                <w:szCs w:val="32"/>
              </w:rPr>
            </w:pPr>
            <w:r w:rsidRPr="004B5F6C">
              <w:rPr>
                <w:rFonts w:asciiTheme="minorHAnsi" w:hAnsiTheme="minorHAnsi" w:cs="Arial"/>
                <w:bCs/>
                <w:sz w:val="32"/>
                <w:szCs w:val="32"/>
              </w:rPr>
              <w:t>C</w:t>
            </w:r>
            <w:r w:rsidR="000C742C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onsulta Pública </w:t>
            </w:r>
            <w:r w:rsidR="00E06319" w:rsidRPr="004B5F6C">
              <w:rPr>
                <w:rFonts w:asciiTheme="minorHAnsi" w:hAnsiTheme="minorHAnsi" w:cs="Arial"/>
                <w:bCs/>
                <w:sz w:val="32"/>
                <w:szCs w:val="32"/>
              </w:rPr>
              <w:t xml:space="preserve">sobre </w:t>
            </w:r>
            <w:r w:rsidR="00032321" w:rsidRPr="004B5F6C">
              <w:rPr>
                <w:rFonts w:asciiTheme="minorHAnsi" w:hAnsiTheme="minorHAnsi" w:cs="Arial"/>
                <w:sz w:val="32"/>
                <w:szCs w:val="32"/>
              </w:rPr>
              <w:t xml:space="preserve">minuta </w:t>
            </w:r>
            <w:r w:rsidR="009F1EA8" w:rsidRPr="009F1EA8">
              <w:rPr>
                <w:rFonts w:asciiTheme="minorHAnsi" w:hAnsiTheme="minorHAnsi" w:cs="Arial"/>
                <w:bCs/>
                <w:sz w:val="32"/>
                <w:szCs w:val="32"/>
              </w:rPr>
              <w:t xml:space="preserve">de resolução </w:t>
            </w:r>
            <w:r w:rsidR="00F82184" w:rsidRPr="00F82184">
              <w:rPr>
                <w:rFonts w:asciiTheme="minorHAnsi" w:hAnsiTheme="minorHAnsi" w:cs="Arial"/>
                <w:bCs/>
                <w:sz w:val="32"/>
                <w:szCs w:val="32"/>
              </w:rPr>
              <w:t>que estabelece os procedimentos para geração de lastro necessário para emissão primária de Créditos de Descarbonização, de que trata o art. 14 da Lei nº 13.576, de 26 de dezembro de 2017, e altera a Resolução ANP nº 758, de 23 de novembro de 2018.</w:t>
            </w:r>
          </w:p>
        </w:tc>
      </w:tr>
      <w:tr w:rsidR="00C13A89" w14:paraId="6FBBAE2E" w14:textId="77777777" w:rsidTr="00DF329F">
        <w:trPr>
          <w:trHeight w:val="4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42259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96800F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BB7D1D" w14:textId="77777777" w:rsidR="00C13A89" w:rsidRPr="004B5F6C" w:rsidRDefault="00C13A89" w:rsidP="00ED7714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24"/>
                <w:szCs w:val="24"/>
              </w:rPr>
            </w:pPr>
            <w:r w:rsidRPr="004B5F6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E87AC0" w14:paraId="679341A0" w14:textId="77777777" w:rsidTr="003154E3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94C362" w14:textId="0173C8A7" w:rsidR="00E87AC0" w:rsidRPr="00DF329F" w:rsidRDefault="001F0A46" w:rsidP="00DF329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Art. 5º, I, </w:t>
            </w:r>
            <w:r w:rsidRPr="00DF329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187DE4" w14:textId="7D0F0BFE" w:rsidR="00E87AC0" w:rsidRPr="00DF329F" w:rsidRDefault="001F0A46" w:rsidP="00DF32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>“e) não ter sido utilizada como lastro para emissão de outra CBIO”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A24DE6" w14:textId="0CC72695" w:rsidR="00E87AC0" w:rsidRPr="00DF329F" w:rsidRDefault="00703CD1" w:rsidP="00DF32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A simples solicitação anterior não torna a NF-e imprestável a dar lastro a novo pedido de CBIO, </w:t>
            </w:r>
            <w:r w:rsidR="006A355D" w:rsidRPr="00DF329F">
              <w:rPr>
                <w:rFonts w:asciiTheme="minorHAnsi" w:hAnsiTheme="minorHAnsi" w:cstheme="minorHAnsi"/>
                <w:sz w:val="24"/>
                <w:szCs w:val="24"/>
              </w:rPr>
              <w:t>pois pedido anterior pode não ter sido acolhido por motivos diversos e incapazes de desqualificá-la, como</w:t>
            </w:r>
            <w:r w:rsidR="00282309" w:rsidRPr="00DF329F">
              <w:rPr>
                <w:rFonts w:asciiTheme="minorHAnsi" w:hAnsiTheme="minorHAnsi" w:cstheme="minorHAnsi"/>
                <w:sz w:val="24"/>
                <w:szCs w:val="24"/>
              </w:rPr>
              <w:t>, por exemplo,</w:t>
            </w:r>
            <w:r w:rsidR="006A355D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eventual instrução insuficiente do processo de geração de lastro. O critério razoável é a efetiva utilização da NF-e como lastro para a emissão de outr</w:t>
            </w:r>
            <w:r w:rsidR="00B851E2" w:rsidRPr="00DF329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6A355D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CBIO, inclusive de forma a garantir o máximo aproveitamento do potencial de geração de crédito.</w:t>
            </w:r>
          </w:p>
        </w:tc>
      </w:tr>
      <w:tr w:rsidR="0015253E" w14:paraId="070A46A8" w14:textId="77777777" w:rsidTr="003154E3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977306" w14:textId="32AA5759" w:rsidR="0015253E" w:rsidRPr="00DF329F" w:rsidRDefault="000A0CB3" w:rsidP="00DF329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Art. 5º, II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247C27" w14:textId="539C11A0" w:rsidR="0015253E" w:rsidRPr="00DF329F" w:rsidRDefault="000A0CB3" w:rsidP="00DF32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="008B50D0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II – não será admitida a solicitação da emissão de lastro de CBIO formalizada antes de quinze dias e após trinta dias da data de emissão da nota fiscal de venda do biocombustível pelo emissor primário.”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BBCF3D" w14:textId="1E2A18B7" w:rsidR="0015253E" w:rsidRPr="00DF329F" w:rsidRDefault="008B50D0" w:rsidP="00DF32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>Alteração da redação para explicitar a consequência do descumprimento do prazo fixado, consistente na inviabilidade de formalização da solicitação.</w:t>
            </w:r>
          </w:p>
        </w:tc>
      </w:tr>
      <w:tr w:rsidR="000A0CB3" w14:paraId="68CEDDEA" w14:textId="77777777" w:rsidTr="003154E3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D9F786" w14:textId="43EADD27" w:rsidR="000A0CB3" w:rsidRPr="00DF329F" w:rsidRDefault="000A0CB3" w:rsidP="00DF329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>Inclusão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F9C9D0" w14:textId="19BD45CE" w:rsidR="000A0CB3" w:rsidRPr="00DF329F" w:rsidRDefault="000A0CB3" w:rsidP="00DF32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“Art. X – </w:t>
            </w:r>
            <w:r w:rsidR="004D46F5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Não será escriturado </w:t>
            </w: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CBIO </w:t>
            </w:r>
            <w:r w:rsidR="004D46F5" w:rsidRPr="00DF329F">
              <w:rPr>
                <w:rFonts w:asciiTheme="minorHAnsi" w:hAnsiTheme="minorHAnsi" w:cstheme="minorHAnsi"/>
                <w:sz w:val="24"/>
                <w:szCs w:val="24"/>
              </w:rPr>
              <w:t>após sessenta dias da data de</w:t>
            </w: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sua emissão.”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C00D66" w14:textId="00D697AA" w:rsidR="000A0CB3" w:rsidRPr="00DF329F" w:rsidRDefault="000A0CB3" w:rsidP="00DF32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Embora se tenha fixado prazo para a solicitação de lastro (art. 5º, II), não se fixou prazo para a escrituração de CBIO, </w:t>
            </w:r>
            <w:r w:rsidR="008B50D0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imprescindível para </w:t>
            </w: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="008B50D0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assegure a</w:t>
            </w: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efetiva</w:t>
            </w:r>
            <w:r w:rsidR="008B50D0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e tempestiva</w:t>
            </w: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B50D0" w:rsidRPr="00DF329F">
              <w:rPr>
                <w:rFonts w:asciiTheme="minorHAnsi" w:hAnsiTheme="minorHAnsi" w:cstheme="minorHAnsi"/>
                <w:sz w:val="24"/>
                <w:szCs w:val="24"/>
              </w:rPr>
              <w:t>disponibilidade de</w:t>
            </w: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certificado no mercado </w:t>
            </w:r>
            <w:r w:rsidR="008B50D0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para viabilizar o cumprimento das metas compulsórias dos distribuidores.   </w:t>
            </w:r>
          </w:p>
        </w:tc>
      </w:tr>
      <w:tr w:rsidR="000A0CB3" w14:paraId="3EACF352" w14:textId="77777777" w:rsidTr="003154E3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584795" w14:textId="5218A6C9" w:rsidR="000A0CB3" w:rsidRPr="00DF329F" w:rsidRDefault="000A0CB3" w:rsidP="00DF329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Inclusão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BF099A" w14:textId="6DC7E9A8" w:rsidR="000A0CB3" w:rsidRPr="00DF329F" w:rsidRDefault="000A0CB3" w:rsidP="00DF32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>“Art. X – O CBIO possu</w:t>
            </w:r>
            <w:r w:rsidR="009D326F" w:rsidRPr="00DF329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autonomia em relação ao procedimento de geração do respectivo lastro de emissão primária.”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E0370F" w14:textId="4B91CEE1" w:rsidR="000A0CB3" w:rsidRPr="00DF329F" w:rsidRDefault="000A0CB3" w:rsidP="00DF32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Por não integrarem nenhuma etapa de geração dos </w:t>
            </w:r>
            <w:proofErr w:type="spellStart"/>
            <w:r w:rsidRPr="00DF329F">
              <w:rPr>
                <w:rFonts w:asciiTheme="minorHAnsi" w:hAnsiTheme="minorHAnsi" w:cstheme="minorHAnsi"/>
                <w:sz w:val="24"/>
                <w:szCs w:val="24"/>
              </w:rPr>
              <w:t>CBIOs</w:t>
            </w:r>
            <w:proofErr w:type="spellEnd"/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(credenciamento, certificação e emissão), tampouco por não exercerem atividade de fiscalização ou disporem de ferramentas para tanto, os terceiros de boa-fé que adquirirem os </w:t>
            </w:r>
            <w:proofErr w:type="spellStart"/>
            <w:r w:rsidRPr="00DF329F">
              <w:rPr>
                <w:rFonts w:asciiTheme="minorHAnsi" w:hAnsiTheme="minorHAnsi" w:cstheme="minorHAnsi"/>
                <w:sz w:val="24"/>
                <w:szCs w:val="24"/>
              </w:rPr>
              <w:t>CBIOs</w:t>
            </w:r>
            <w:proofErr w:type="spellEnd"/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não podem suportar as consequências de eventuais vícios que antecedem a inserção no mercado. Uma das formas de fazê-lo é garantir a autonomia do CBIO do processo de lastro, assegurando que, uma vez postos os </w:t>
            </w:r>
            <w:proofErr w:type="spellStart"/>
            <w:r w:rsidRPr="00DF329F">
              <w:rPr>
                <w:rFonts w:asciiTheme="minorHAnsi" w:hAnsiTheme="minorHAnsi" w:cstheme="minorHAnsi"/>
                <w:sz w:val="24"/>
                <w:szCs w:val="24"/>
              </w:rPr>
              <w:t>CBIOs</w:t>
            </w:r>
            <w:proofErr w:type="spellEnd"/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em circulação, terceiros de boa-fé fiquem protegidos, inclusive garantindo que as metas integral ou parcialmente cumpridas com tais certificados não sejam prejudicadas pela superveniente identificação de eventual vício, sem prejuízo de responsabilização civil, administrativa e criminal dos responsáveis pela fraude. A redação proposta também não impede que </w:t>
            </w:r>
            <w:proofErr w:type="spellStart"/>
            <w:r w:rsidRPr="00DF329F">
              <w:rPr>
                <w:rFonts w:asciiTheme="minorHAnsi" w:hAnsiTheme="minorHAnsi" w:cstheme="minorHAnsi"/>
                <w:sz w:val="24"/>
                <w:szCs w:val="24"/>
              </w:rPr>
              <w:t>CBIOs</w:t>
            </w:r>
            <w:proofErr w:type="spellEnd"/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não adquiridos e expedidos sem lastro idôneo sejam retirados de circulação.  </w:t>
            </w:r>
          </w:p>
        </w:tc>
      </w:tr>
      <w:tr w:rsidR="000A0CB3" w14:paraId="6493FC23" w14:textId="77777777" w:rsidTr="003154E3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6033D" w14:textId="0E49CC09" w:rsidR="000A0CB3" w:rsidRPr="00DF329F" w:rsidRDefault="000A0CB3" w:rsidP="00DF329F">
            <w:pPr>
              <w:jc w:val="both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Inclusão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86FD9E" w14:textId="234D8400" w:rsidR="000A0CB3" w:rsidRPr="00DF329F" w:rsidRDefault="000A0CB3" w:rsidP="00DF329F">
            <w:p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 “Art. X – Em caso de suspensão, cancelamento ou expiração dos Certificados de Produção Eficiente de Biocombustíveis do produtor ou do importador de combustíveis ou de fraude no procedimento de geração de lastro </w:t>
            </w:r>
            <w:r w:rsidR="00314F62" w:rsidRPr="00DF329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CBIO, o CBIO adquiridos preservar</w:t>
            </w:r>
            <w:r w:rsidR="00314F62" w:rsidRPr="00DF329F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sua autonomia e seus efeitos para o</w:t>
            </w:r>
            <w:r w:rsidR="00314F62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fim</w:t>
            </w: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de cumprimento da meta compulsória anua</w:t>
            </w:r>
            <w:r w:rsidR="00314F62" w:rsidRPr="00DF329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de distribuidores de combustíveis.”    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BC9B06" w14:textId="3F03BA0E" w:rsidR="000A0CB3" w:rsidRPr="00DF329F" w:rsidRDefault="000A0CB3" w:rsidP="00DF329F">
            <w:p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923B03" w14:paraId="3E6E2094" w14:textId="77777777" w:rsidTr="003154E3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4E4F35" w14:textId="0815CA19" w:rsidR="00923B03" w:rsidRPr="00DF329F" w:rsidRDefault="00923B03" w:rsidP="00DF329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Inclusão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4160B8" w14:textId="1B997A39" w:rsidR="00923B03" w:rsidRPr="00DF329F" w:rsidRDefault="00923B03" w:rsidP="00DF329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“Art. X – O distribuidor terá acesso à Plataforma CBIO exclusivamente para consultar a autenticidade de CBIO.”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286317" w14:textId="4889E66F" w:rsidR="00923B03" w:rsidRPr="00DF329F" w:rsidRDefault="00DF329F" w:rsidP="00DF329F">
            <w:p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DF329F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Considerando que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o distribuidor não tem acesso a nenhuma etapa do processo de geração de CBIO, entende-se recomendável que ao menos tenha condições de conferir a autenticidade do CBIO negociado no mercado, ainda que o ambiente de negociação seja presumido seguro.</w:t>
            </w:r>
          </w:p>
        </w:tc>
      </w:tr>
      <w:tr w:rsidR="000A0CB3" w14:paraId="3F39FD9B" w14:textId="77777777" w:rsidTr="003154E3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5ED8D8" w14:textId="0EADD276" w:rsidR="000A0CB3" w:rsidRPr="00DF329F" w:rsidRDefault="000A0CB3" w:rsidP="000A0CB3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B1B1E2" w14:textId="6E7186A4" w:rsidR="000A0CB3" w:rsidRPr="00DF329F" w:rsidRDefault="00923B03" w:rsidP="000A0C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>Apenas a título informativo, a</w:t>
            </w:r>
            <w:r w:rsidR="00863DC1" w:rsidRPr="00DF329F">
              <w:rPr>
                <w:rFonts w:asciiTheme="minorHAnsi" w:hAnsiTheme="minorHAnsi" w:cstheme="minorHAnsi"/>
                <w:sz w:val="24"/>
                <w:szCs w:val="24"/>
              </w:rPr>
              <w:t>pesar da redação do art. 3º, incisos V e VII, e</w:t>
            </w:r>
            <w:r w:rsidR="000A0CB3" w:rsidRPr="00DF329F">
              <w:rPr>
                <w:rFonts w:asciiTheme="minorHAnsi" w:hAnsiTheme="minorHAnsi" w:cstheme="minorHAnsi"/>
                <w:sz w:val="24"/>
                <w:szCs w:val="24"/>
              </w:rPr>
              <w:t>ntende-se recomendável a edição de tipo legal específico</w:t>
            </w:r>
            <w:r w:rsidR="001571AC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, seguindo a mesma estrutura adotada para as distribuidoras (art. 9º, p. u., da Lei 13.576/2017), </w:t>
            </w:r>
            <w:r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para </w:t>
            </w:r>
            <w:r w:rsidR="001571AC" w:rsidRPr="00DF329F">
              <w:rPr>
                <w:rFonts w:asciiTheme="minorHAnsi" w:hAnsiTheme="minorHAnsi" w:cstheme="minorHAnsi"/>
                <w:sz w:val="24"/>
                <w:szCs w:val="24"/>
              </w:rPr>
              <w:t>viabilizar a punição</w:t>
            </w:r>
            <w:r w:rsidR="00863DC1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de agentes </w:t>
            </w:r>
            <w:r w:rsidR="00863DC1" w:rsidRPr="00DF329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econômicos </w:t>
            </w:r>
            <w:r w:rsidR="001571AC" w:rsidRPr="00DF329F">
              <w:rPr>
                <w:rFonts w:asciiTheme="minorHAnsi" w:hAnsiTheme="minorHAnsi" w:cstheme="minorHAnsi"/>
                <w:sz w:val="24"/>
                <w:szCs w:val="24"/>
              </w:rPr>
              <w:t>cujas condutas gravitem</w:t>
            </w:r>
            <w:r w:rsidR="000A0CB3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63DC1" w:rsidRPr="00DF329F">
              <w:rPr>
                <w:rFonts w:asciiTheme="minorHAnsi" w:hAnsiTheme="minorHAnsi" w:cstheme="minorHAnsi"/>
                <w:sz w:val="24"/>
                <w:szCs w:val="24"/>
              </w:rPr>
              <w:t>fraudes nos processos de Certificação de Produção Eficiente e no procedimento de geração de lastro de CBIO</w:t>
            </w:r>
            <w:r w:rsidR="009D326F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4E3B6C">
              <w:rPr>
                <w:rFonts w:asciiTheme="minorHAnsi" w:hAnsiTheme="minorHAnsi" w:cstheme="minorHAnsi"/>
                <w:sz w:val="24"/>
                <w:szCs w:val="24"/>
              </w:rPr>
              <w:t xml:space="preserve">Isso porque aparentemente a redação dos incisos, sob o ponto de vista semântico, não seria abrangente o suficiente para incluir as condutas indicadas. Além disso, o teto da multa prevista nos incisos alcança R$5mi, </w:t>
            </w:r>
            <w:r w:rsidR="002E06F7">
              <w:rPr>
                <w:rFonts w:asciiTheme="minorHAnsi" w:hAnsiTheme="minorHAnsi" w:cstheme="minorHAnsi"/>
                <w:sz w:val="24"/>
                <w:szCs w:val="24"/>
              </w:rPr>
              <w:t>impedindo a ANP de aplicar</w:t>
            </w:r>
            <w:r w:rsidR="004E3B6C">
              <w:rPr>
                <w:rFonts w:asciiTheme="minorHAnsi" w:hAnsiTheme="minorHAnsi" w:cstheme="minorHAnsi"/>
                <w:sz w:val="24"/>
                <w:szCs w:val="24"/>
              </w:rPr>
              <w:t xml:space="preserve"> sanção proporcional à gravidade da geração de </w:t>
            </w:r>
            <w:proofErr w:type="spellStart"/>
            <w:r w:rsidR="004E3B6C">
              <w:rPr>
                <w:rFonts w:asciiTheme="minorHAnsi" w:hAnsiTheme="minorHAnsi" w:cstheme="minorHAnsi"/>
                <w:sz w:val="24"/>
                <w:szCs w:val="24"/>
              </w:rPr>
              <w:t>CBIOs</w:t>
            </w:r>
            <w:proofErr w:type="spellEnd"/>
            <w:r w:rsidR="004E3B6C">
              <w:rPr>
                <w:rFonts w:asciiTheme="minorHAnsi" w:hAnsiTheme="minorHAnsi" w:cstheme="minorHAnsi"/>
                <w:sz w:val="24"/>
                <w:szCs w:val="24"/>
              </w:rPr>
              <w:t xml:space="preserve"> fraudulentos, especialmente se considera a capacidade financeira dos geradores e</w:t>
            </w:r>
            <w:r w:rsidR="002E06F7">
              <w:rPr>
                <w:rFonts w:asciiTheme="minorHAnsi" w:hAnsiTheme="minorHAnsi" w:cstheme="minorHAnsi"/>
                <w:sz w:val="24"/>
                <w:szCs w:val="24"/>
              </w:rPr>
              <w:t>, comparativamente,</w:t>
            </w:r>
            <w:r w:rsidR="004E3B6C">
              <w:rPr>
                <w:rFonts w:asciiTheme="minorHAnsi" w:hAnsiTheme="minorHAnsi" w:cstheme="minorHAnsi"/>
                <w:sz w:val="24"/>
                <w:szCs w:val="24"/>
              </w:rPr>
              <w:t xml:space="preserve"> o teto da sanção aplicável às distribuidoras</w:t>
            </w:r>
            <w:r w:rsidR="00A03363">
              <w:rPr>
                <w:rFonts w:asciiTheme="minorHAnsi" w:hAnsiTheme="minorHAnsi" w:cstheme="minorHAnsi"/>
                <w:sz w:val="24"/>
                <w:szCs w:val="24"/>
              </w:rPr>
              <w:t xml:space="preserve"> dentro do mesmo sistema</w:t>
            </w:r>
            <w:r w:rsidR="004E3B6C">
              <w:rPr>
                <w:rFonts w:asciiTheme="minorHAnsi" w:hAnsiTheme="minorHAnsi" w:cstheme="minorHAnsi"/>
                <w:sz w:val="24"/>
                <w:szCs w:val="24"/>
              </w:rPr>
              <w:t xml:space="preserve"> (R$50 mi). </w:t>
            </w:r>
            <w:r w:rsidR="009D326F" w:rsidRPr="00DF329F">
              <w:rPr>
                <w:rFonts w:asciiTheme="minorHAnsi" w:hAnsiTheme="minorHAnsi" w:cstheme="minorHAnsi"/>
                <w:sz w:val="24"/>
                <w:szCs w:val="24"/>
              </w:rPr>
              <w:t>Assim,</w:t>
            </w:r>
            <w:r w:rsidR="002E06F7">
              <w:rPr>
                <w:rFonts w:asciiTheme="minorHAnsi" w:hAnsiTheme="minorHAnsi" w:cstheme="minorHAnsi"/>
                <w:sz w:val="24"/>
                <w:szCs w:val="24"/>
              </w:rPr>
              <w:t xml:space="preserve"> com a edição de tipo específico,</w:t>
            </w:r>
            <w:r w:rsidR="009D326F" w:rsidRPr="00DF329F">
              <w:rPr>
                <w:rFonts w:asciiTheme="minorHAnsi" w:hAnsiTheme="minorHAnsi" w:cstheme="minorHAnsi"/>
                <w:sz w:val="24"/>
                <w:szCs w:val="24"/>
              </w:rPr>
              <w:t xml:space="preserve"> haverá a maximização dos mecanismos de controle da atividade e de geração efetiva adicionalidade (alcançando o objetivo do projeto e o cumprimento das metas do Acordo de Paris), ampliando a segurança na aquisição de CBIO.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01F5A8" w14:textId="2585D39D" w:rsidR="000A0CB3" w:rsidRPr="00DF329F" w:rsidRDefault="00863DC1" w:rsidP="000A0CB3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DF329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N/A</w:t>
            </w:r>
          </w:p>
        </w:tc>
      </w:tr>
    </w:tbl>
    <w:p w14:paraId="2C6F6C4E" w14:textId="77777777" w:rsidR="004602FD" w:rsidRPr="004B5F6C" w:rsidRDefault="00100689" w:rsidP="00100689">
      <w:pPr>
        <w:jc w:val="center"/>
        <w:rPr>
          <w:rFonts w:asciiTheme="minorHAnsi" w:hAnsiTheme="minorHAnsi"/>
          <w:sz w:val="26"/>
          <w:szCs w:val="26"/>
        </w:rPr>
      </w:pP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Este formulário deverá ser encaminhado à ANP para o endereço eletrônico: </w:t>
      </w:r>
      <w:r w:rsidR="00F229D8" w:rsidRPr="004B5F6C">
        <w:rPr>
          <w:rFonts w:asciiTheme="minorHAnsi" w:eastAsia="Arial Unicode MS" w:hAnsiTheme="minorHAnsi" w:cs="Arial"/>
          <w:i/>
          <w:sz w:val="26"/>
          <w:szCs w:val="26"/>
        </w:rPr>
        <w:t>conspub_qualidade@anp.gov.br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, fax (21) </w:t>
      </w:r>
      <w:r w:rsidR="009B4815" w:rsidRPr="004B5F6C">
        <w:rPr>
          <w:rFonts w:asciiTheme="minorHAnsi" w:eastAsia="Arial Unicode MS" w:hAnsiTheme="minorHAnsi" w:cs="Arial"/>
          <w:sz w:val="26"/>
          <w:szCs w:val="26"/>
        </w:rPr>
        <w:t>2112-8669</w:t>
      </w:r>
      <w:r w:rsidRPr="004B5F6C">
        <w:rPr>
          <w:rFonts w:asciiTheme="minorHAnsi" w:eastAsia="Arial Unicode MS" w:hAnsiTheme="minorHAnsi" w:cs="Arial"/>
          <w:sz w:val="26"/>
          <w:szCs w:val="26"/>
        </w:rPr>
        <w:t>, ou diretamente em um dos protocolos da ANP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indicado</w:t>
      </w:r>
      <w:r w:rsidRPr="004B5F6C">
        <w:rPr>
          <w:rFonts w:asciiTheme="minorHAnsi" w:eastAsia="Arial Unicode MS" w:hAnsiTheme="minorHAnsi" w:cs="Arial"/>
          <w:sz w:val="26"/>
          <w:szCs w:val="26"/>
        </w:rPr>
        <w:t xml:space="preserve"> no item 2.1 do Aviso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</w:t>
      </w:r>
      <w:r w:rsidR="00D71D82" w:rsidRPr="004B5F6C">
        <w:rPr>
          <w:rFonts w:asciiTheme="minorHAnsi" w:eastAsia="Arial Unicode MS" w:hAnsiTheme="minorHAnsi" w:cs="Arial"/>
          <w:sz w:val="26"/>
          <w:szCs w:val="26"/>
        </w:rPr>
        <w:t>da referida</w:t>
      </w:r>
      <w:r w:rsidR="00570C4C" w:rsidRPr="004B5F6C">
        <w:rPr>
          <w:rFonts w:asciiTheme="minorHAnsi" w:eastAsia="Arial Unicode MS" w:hAnsiTheme="minorHAnsi" w:cs="Arial"/>
          <w:sz w:val="26"/>
          <w:szCs w:val="26"/>
        </w:rPr>
        <w:t xml:space="preserve"> Consulta Pública.</w:t>
      </w:r>
    </w:p>
    <w:sectPr w:rsidR="004602FD" w:rsidRPr="004B5F6C" w:rsidSect="004B5F6C">
      <w:pgSz w:w="16840" w:h="11907" w:orient="landscape" w:code="9"/>
      <w:pgMar w:top="1418" w:right="1389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2C"/>
    <w:rsid w:val="000303C4"/>
    <w:rsid w:val="00032321"/>
    <w:rsid w:val="00050F3F"/>
    <w:rsid w:val="000873C6"/>
    <w:rsid w:val="000A0CB3"/>
    <w:rsid w:val="000B57C1"/>
    <w:rsid w:val="000C4B4B"/>
    <w:rsid w:val="000C72BB"/>
    <w:rsid w:val="000C742C"/>
    <w:rsid w:val="000E0FF4"/>
    <w:rsid w:val="000E7126"/>
    <w:rsid w:val="000F43D7"/>
    <w:rsid w:val="00100689"/>
    <w:rsid w:val="00140A48"/>
    <w:rsid w:val="0015253E"/>
    <w:rsid w:val="001571AC"/>
    <w:rsid w:val="00194886"/>
    <w:rsid w:val="001C5D32"/>
    <w:rsid w:val="001E4CEE"/>
    <w:rsid w:val="001F0A46"/>
    <w:rsid w:val="001F69FB"/>
    <w:rsid w:val="001F74A0"/>
    <w:rsid w:val="002109D6"/>
    <w:rsid w:val="0023358F"/>
    <w:rsid w:val="0026582D"/>
    <w:rsid w:val="002808DC"/>
    <w:rsid w:val="00282309"/>
    <w:rsid w:val="00287B41"/>
    <w:rsid w:val="002E06F7"/>
    <w:rsid w:val="00314F62"/>
    <w:rsid w:val="003154E3"/>
    <w:rsid w:val="00335A11"/>
    <w:rsid w:val="00356BD2"/>
    <w:rsid w:val="00392E33"/>
    <w:rsid w:val="00396C03"/>
    <w:rsid w:val="003D6783"/>
    <w:rsid w:val="003E1717"/>
    <w:rsid w:val="004017EF"/>
    <w:rsid w:val="00405603"/>
    <w:rsid w:val="00452D91"/>
    <w:rsid w:val="004602FD"/>
    <w:rsid w:val="00482F43"/>
    <w:rsid w:val="00494A88"/>
    <w:rsid w:val="004B5F6C"/>
    <w:rsid w:val="004C5AA8"/>
    <w:rsid w:val="004D46F5"/>
    <w:rsid w:val="004E3B6C"/>
    <w:rsid w:val="004E6BA1"/>
    <w:rsid w:val="00543A96"/>
    <w:rsid w:val="00555103"/>
    <w:rsid w:val="00570C4C"/>
    <w:rsid w:val="00586DD3"/>
    <w:rsid w:val="005E2BE6"/>
    <w:rsid w:val="0060263A"/>
    <w:rsid w:val="00630321"/>
    <w:rsid w:val="0063117B"/>
    <w:rsid w:val="006624FC"/>
    <w:rsid w:val="006A355D"/>
    <w:rsid w:val="006C7878"/>
    <w:rsid w:val="006E69BF"/>
    <w:rsid w:val="006F13A8"/>
    <w:rsid w:val="00703CD1"/>
    <w:rsid w:val="007220DF"/>
    <w:rsid w:val="007244E0"/>
    <w:rsid w:val="00735912"/>
    <w:rsid w:val="00754009"/>
    <w:rsid w:val="00762754"/>
    <w:rsid w:val="007845F5"/>
    <w:rsid w:val="00786B19"/>
    <w:rsid w:val="007C6850"/>
    <w:rsid w:val="007E6AB1"/>
    <w:rsid w:val="00834A5C"/>
    <w:rsid w:val="0085243A"/>
    <w:rsid w:val="00852D24"/>
    <w:rsid w:val="00863DC1"/>
    <w:rsid w:val="00892317"/>
    <w:rsid w:val="008B50D0"/>
    <w:rsid w:val="008C0A6C"/>
    <w:rsid w:val="008E1D4F"/>
    <w:rsid w:val="00903A5F"/>
    <w:rsid w:val="00910BD1"/>
    <w:rsid w:val="00921510"/>
    <w:rsid w:val="00923B03"/>
    <w:rsid w:val="00937E08"/>
    <w:rsid w:val="0099485E"/>
    <w:rsid w:val="009A7203"/>
    <w:rsid w:val="009B4815"/>
    <w:rsid w:val="009D326F"/>
    <w:rsid w:val="009D4FC6"/>
    <w:rsid w:val="009E5AD5"/>
    <w:rsid w:val="009F1EA8"/>
    <w:rsid w:val="009F4F0E"/>
    <w:rsid w:val="00A02F11"/>
    <w:rsid w:val="00A03363"/>
    <w:rsid w:val="00A225FB"/>
    <w:rsid w:val="00A241C0"/>
    <w:rsid w:val="00A6562E"/>
    <w:rsid w:val="00A71A9C"/>
    <w:rsid w:val="00A8005F"/>
    <w:rsid w:val="00A94E85"/>
    <w:rsid w:val="00AC5BC1"/>
    <w:rsid w:val="00AE1711"/>
    <w:rsid w:val="00AE66B2"/>
    <w:rsid w:val="00AF2899"/>
    <w:rsid w:val="00B4490B"/>
    <w:rsid w:val="00B460CF"/>
    <w:rsid w:val="00B74C89"/>
    <w:rsid w:val="00B80194"/>
    <w:rsid w:val="00B851E2"/>
    <w:rsid w:val="00BA64CE"/>
    <w:rsid w:val="00BB004F"/>
    <w:rsid w:val="00BC59FF"/>
    <w:rsid w:val="00BD479F"/>
    <w:rsid w:val="00BD5993"/>
    <w:rsid w:val="00C04AB3"/>
    <w:rsid w:val="00C13A89"/>
    <w:rsid w:val="00C2040A"/>
    <w:rsid w:val="00C74BAD"/>
    <w:rsid w:val="00CD7D9E"/>
    <w:rsid w:val="00CF2605"/>
    <w:rsid w:val="00CF534B"/>
    <w:rsid w:val="00D060D3"/>
    <w:rsid w:val="00D11D93"/>
    <w:rsid w:val="00D453ED"/>
    <w:rsid w:val="00D71D82"/>
    <w:rsid w:val="00DB6F51"/>
    <w:rsid w:val="00DC0FFA"/>
    <w:rsid w:val="00DE64B2"/>
    <w:rsid w:val="00DF329F"/>
    <w:rsid w:val="00E06319"/>
    <w:rsid w:val="00E51418"/>
    <w:rsid w:val="00E87AC0"/>
    <w:rsid w:val="00ED7714"/>
    <w:rsid w:val="00EE4F1F"/>
    <w:rsid w:val="00EF61CF"/>
    <w:rsid w:val="00F10E00"/>
    <w:rsid w:val="00F21602"/>
    <w:rsid w:val="00F229D8"/>
    <w:rsid w:val="00F26EAF"/>
    <w:rsid w:val="00F31209"/>
    <w:rsid w:val="00F652A3"/>
    <w:rsid w:val="00F82184"/>
    <w:rsid w:val="00F8559B"/>
    <w:rsid w:val="00F8702E"/>
    <w:rsid w:val="00FB0E77"/>
    <w:rsid w:val="00FC27EB"/>
    <w:rsid w:val="00FD2C11"/>
    <w:rsid w:val="00FD3A8A"/>
    <w:rsid w:val="00FF2925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3E624B"/>
  <w15:docId w15:val="{8D06A24A-EED1-42DF-8527-4D12F0F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3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luna@almeidalaw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riela.navarro@al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Ana Amelia Magalhaes Gomes Martini</cp:lastModifiedBy>
  <cp:revision>2</cp:revision>
  <cp:lastPrinted>2010-12-28T18:08:00Z</cp:lastPrinted>
  <dcterms:created xsi:type="dcterms:W3CDTF">2019-11-11T15:13:00Z</dcterms:created>
  <dcterms:modified xsi:type="dcterms:W3CDTF">2019-11-11T15:13:00Z</dcterms:modified>
</cp:coreProperties>
</file>