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6B" w:rsidRPr="00C33929" w:rsidRDefault="00B0106B" w:rsidP="00873C2E">
      <w:pPr>
        <w:spacing w:before="120" w:after="120" w:line="36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C33929">
        <w:rPr>
          <w:rFonts w:ascii="Times New Roman" w:hAnsi="Times New Roman"/>
          <w:b/>
          <w:szCs w:val="24"/>
        </w:rPr>
        <w:t>Nota Técnica n</w:t>
      </w:r>
      <w:r w:rsidR="00DC2030">
        <w:rPr>
          <w:rFonts w:ascii="Times New Roman" w:hAnsi="Times New Roman"/>
          <w:b/>
          <w:szCs w:val="24"/>
          <w:u w:val="single"/>
          <w:vertAlign w:val="superscript"/>
        </w:rPr>
        <w:t>°</w:t>
      </w:r>
      <w:r w:rsidR="00DC2030" w:rsidRPr="00C33929">
        <w:rPr>
          <w:rFonts w:ascii="Times New Roman" w:hAnsi="Times New Roman"/>
          <w:szCs w:val="24"/>
        </w:rPr>
        <w:t xml:space="preserve"> </w:t>
      </w:r>
      <w:r w:rsidR="003A32A2">
        <w:rPr>
          <w:rFonts w:ascii="Times New Roman" w:hAnsi="Times New Roman"/>
          <w:szCs w:val="24"/>
        </w:rPr>
        <w:t xml:space="preserve"> </w:t>
      </w:r>
      <w:r w:rsidR="00077873">
        <w:rPr>
          <w:rFonts w:ascii="Times New Roman" w:hAnsi="Times New Roman"/>
          <w:szCs w:val="24"/>
        </w:rPr>
        <w:t>132</w:t>
      </w:r>
      <w:r w:rsidR="003D424F">
        <w:rPr>
          <w:rFonts w:ascii="Times New Roman" w:hAnsi="Times New Roman"/>
          <w:szCs w:val="24"/>
        </w:rPr>
        <w:t>/</w:t>
      </w:r>
      <w:r w:rsidR="00CC3148" w:rsidRPr="00C33929">
        <w:rPr>
          <w:rFonts w:ascii="Times New Roman" w:hAnsi="Times New Roman"/>
          <w:szCs w:val="24"/>
        </w:rPr>
        <w:t>201</w:t>
      </w:r>
      <w:r w:rsidR="008D69E9">
        <w:rPr>
          <w:rFonts w:ascii="Times New Roman" w:hAnsi="Times New Roman"/>
          <w:szCs w:val="24"/>
        </w:rPr>
        <w:t>7</w:t>
      </w:r>
      <w:r w:rsidR="00CC3148" w:rsidRPr="00C33929">
        <w:rPr>
          <w:rFonts w:ascii="Times New Roman" w:hAnsi="Times New Roman"/>
          <w:szCs w:val="24"/>
        </w:rPr>
        <w:t>/SBQ/</w:t>
      </w:r>
      <w:r w:rsidR="007B16BE">
        <w:rPr>
          <w:rFonts w:ascii="Times New Roman" w:hAnsi="Times New Roman"/>
          <w:szCs w:val="24"/>
        </w:rPr>
        <w:t>RJ</w:t>
      </w:r>
    </w:p>
    <w:p w:rsidR="005F6E68" w:rsidRPr="00C33929" w:rsidRDefault="005F6E68" w:rsidP="00873C2E">
      <w:pPr>
        <w:spacing w:before="120" w:after="120" w:line="360" w:lineRule="auto"/>
        <w:jc w:val="both"/>
        <w:rPr>
          <w:rFonts w:ascii="Times New Roman" w:hAnsi="Times New Roman"/>
          <w:szCs w:val="24"/>
        </w:rPr>
      </w:pPr>
    </w:p>
    <w:p w:rsidR="008D69E9" w:rsidRDefault="00B0106B" w:rsidP="003A32A2">
      <w:pPr>
        <w:spacing w:before="120" w:after="120"/>
        <w:jc w:val="both"/>
        <w:rPr>
          <w:rFonts w:ascii="Times New Roman" w:hAnsi="Times New Roman"/>
          <w:szCs w:val="24"/>
        </w:rPr>
      </w:pPr>
      <w:r w:rsidRPr="00740E20">
        <w:rPr>
          <w:rFonts w:ascii="Times New Roman" w:hAnsi="Times New Roman"/>
          <w:b/>
          <w:szCs w:val="24"/>
        </w:rPr>
        <w:t>Assunto:</w:t>
      </w:r>
      <w:r w:rsidR="00632E0F" w:rsidRPr="00740E20">
        <w:rPr>
          <w:rFonts w:ascii="Times New Roman" w:hAnsi="Times New Roman"/>
          <w:szCs w:val="24"/>
        </w:rPr>
        <w:t xml:space="preserve"> </w:t>
      </w:r>
      <w:r w:rsidR="008B45EF">
        <w:rPr>
          <w:rFonts w:ascii="Times New Roman" w:hAnsi="Times New Roman"/>
          <w:szCs w:val="24"/>
        </w:rPr>
        <w:t>Revogação</w:t>
      </w:r>
      <w:r w:rsidR="008B45EF" w:rsidRPr="00740E20">
        <w:rPr>
          <w:rFonts w:ascii="Times New Roman" w:hAnsi="Times New Roman"/>
          <w:szCs w:val="24"/>
        </w:rPr>
        <w:t xml:space="preserve"> </w:t>
      </w:r>
      <w:r w:rsidR="00B50626" w:rsidRPr="00740E20">
        <w:rPr>
          <w:rFonts w:ascii="Times New Roman" w:hAnsi="Times New Roman"/>
          <w:szCs w:val="24"/>
        </w:rPr>
        <w:t xml:space="preserve">da Resolução </w:t>
      </w:r>
      <w:r w:rsidR="00977FEE" w:rsidRPr="00740E20">
        <w:rPr>
          <w:rFonts w:ascii="Times New Roman" w:hAnsi="Times New Roman"/>
          <w:szCs w:val="24"/>
        </w:rPr>
        <w:t xml:space="preserve">ANP nº </w:t>
      </w:r>
      <w:r w:rsidR="00740E20" w:rsidRPr="00740E20">
        <w:rPr>
          <w:rFonts w:ascii="Times New Roman" w:hAnsi="Times New Roman"/>
          <w:szCs w:val="24"/>
        </w:rPr>
        <w:t>0</w:t>
      </w:r>
      <w:r w:rsidR="008D69E9">
        <w:rPr>
          <w:rFonts w:ascii="Times New Roman" w:hAnsi="Times New Roman"/>
          <w:szCs w:val="24"/>
        </w:rPr>
        <w:t>6</w:t>
      </w:r>
      <w:r w:rsidR="00740E20" w:rsidRPr="00740E20">
        <w:rPr>
          <w:rFonts w:ascii="Times New Roman" w:hAnsi="Times New Roman"/>
          <w:szCs w:val="24"/>
        </w:rPr>
        <w:t>/201</w:t>
      </w:r>
      <w:r w:rsidR="008D69E9">
        <w:rPr>
          <w:rFonts w:ascii="Times New Roman" w:hAnsi="Times New Roman"/>
          <w:szCs w:val="24"/>
        </w:rPr>
        <w:t>4</w:t>
      </w:r>
      <w:r w:rsidR="00940F69">
        <w:rPr>
          <w:rFonts w:ascii="Times New Roman" w:hAnsi="Times New Roman"/>
          <w:szCs w:val="24"/>
        </w:rPr>
        <w:t>,</w:t>
      </w:r>
      <w:r w:rsidR="000532C0">
        <w:rPr>
          <w:rFonts w:ascii="Times New Roman" w:hAnsi="Times New Roman"/>
          <w:szCs w:val="24"/>
        </w:rPr>
        <w:t xml:space="preserve"> que trata d</w:t>
      </w:r>
      <w:r w:rsidR="008D69E9" w:rsidRPr="008D69E9">
        <w:rPr>
          <w:rFonts w:ascii="Times New Roman" w:hAnsi="Times New Roman"/>
          <w:szCs w:val="24"/>
        </w:rPr>
        <w:t>os requisitos para cadastramento de laboratórios instalados no país</w:t>
      </w:r>
      <w:r w:rsidR="00940F69">
        <w:rPr>
          <w:rFonts w:ascii="Times New Roman" w:hAnsi="Times New Roman"/>
          <w:szCs w:val="24"/>
        </w:rPr>
        <w:t>,</w:t>
      </w:r>
      <w:r w:rsidR="008D69E9" w:rsidRPr="008D69E9">
        <w:rPr>
          <w:rFonts w:ascii="Times New Roman" w:hAnsi="Times New Roman"/>
          <w:szCs w:val="24"/>
        </w:rPr>
        <w:t xml:space="preserve"> interessados em realizar ensaios </w:t>
      </w:r>
      <w:r w:rsidR="003A32A2">
        <w:rPr>
          <w:rFonts w:ascii="Times New Roman" w:hAnsi="Times New Roman"/>
          <w:szCs w:val="24"/>
        </w:rPr>
        <w:t>em</w:t>
      </w:r>
      <w:r w:rsidR="008D69E9" w:rsidRPr="008D69E9">
        <w:rPr>
          <w:rFonts w:ascii="Times New Roman" w:hAnsi="Times New Roman"/>
          <w:szCs w:val="24"/>
        </w:rPr>
        <w:t xml:space="preserve"> biodiesel destinado à comercialização em todo o território nacional.</w:t>
      </w:r>
    </w:p>
    <w:p w:rsidR="002F0D33" w:rsidRDefault="002F0D33" w:rsidP="00873C2E">
      <w:pPr>
        <w:tabs>
          <w:tab w:val="left" w:pos="1134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</w:p>
    <w:p w:rsidR="00F33EDD" w:rsidRPr="004F46A5" w:rsidRDefault="00B5260D" w:rsidP="00873C2E">
      <w:pPr>
        <w:tabs>
          <w:tab w:val="left" w:pos="1134"/>
        </w:tabs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BA4852">
        <w:rPr>
          <w:rFonts w:ascii="Times New Roman" w:hAnsi="Times New Roman"/>
          <w:b/>
          <w:szCs w:val="24"/>
        </w:rPr>
        <w:t xml:space="preserve">Processo </w:t>
      </w:r>
      <w:r w:rsidR="00651C41" w:rsidRPr="00BA4852">
        <w:rPr>
          <w:rFonts w:ascii="Times New Roman" w:hAnsi="Times New Roman"/>
          <w:b/>
          <w:szCs w:val="24"/>
        </w:rPr>
        <w:t>nº</w:t>
      </w:r>
      <w:r w:rsidR="00651C41" w:rsidRPr="00BA4852">
        <w:rPr>
          <w:rFonts w:ascii="Times New Roman" w:hAnsi="Times New Roman"/>
          <w:szCs w:val="24"/>
        </w:rPr>
        <w:t xml:space="preserve"> </w:t>
      </w:r>
      <w:r w:rsidR="002044D1" w:rsidRPr="004F46A5">
        <w:rPr>
          <w:rFonts w:ascii="Times New Roman" w:hAnsi="Times New Roman"/>
          <w:szCs w:val="24"/>
        </w:rPr>
        <w:t>486</w:t>
      </w:r>
      <w:r w:rsidR="008D69E9" w:rsidRPr="004F46A5">
        <w:rPr>
          <w:rFonts w:ascii="Times New Roman" w:hAnsi="Times New Roman"/>
          <w:szCs w:val="24"/>
        </w:rPr>
        <w:t>00</w:t>
      </w:r>
      <w:r w:rsidR="002044D1" w:rsidRPr="004F46A5">
        <w:rPr>
          <w:rFonts w:ascii="Times New Roman" w:hAnsi="Times New Roman"/>
          <w:szCs w:val="24"/>
        </w:rPr>
        <w:t>.</w:t>
      </w:r>
      <w:r w:rsidR="00BA4852" w:rsidRPr="004F46A5">
        <w:rPr>
          <w:rFonts w:ascii="Times New Roman" w:hAnsi="Times New Roman"/>
          <w:szCs w:val="24"/>
        </w:rPr>
        <w:t>0</w:t>
      </w:r>
      <w:r w:rsidR="008D69E9" w:rsidRPr="004F46A5">
        <w:rPr>
          <w:rFonts w:ascii="Times New Roman" w:hAnsi="Times New Roman"/>
          <w:szCs w:val="24"/>
        </w:rPr>
        <w:t>01716</w:t>
      </w:r>
      <w:r w:rsidR="002044D1" w:rsidRPr="004F46A5">
        <w:rPr>
          <w:rFonts w:ascii="Times New Roman" w:hAnsi="Times New Roman"/>
          <w:szCs w:val="24"/>
        </w:rPr>
        <w:t>/20</w:t>
      </w:r>
      <w:r w:rsidR="008D69E9" w:rsidRPr="004F46A5">
        <w:rPr>
          <w:rFonts w:ascii="Times New Roman" w:hAnsi="Times New Roman"/>
          <w:szCs w:val="24"/>
        </w:rPr>
        <w:t>16-67</w:t>
      </w:r>
    </w:p>
    <w:p w:rsidR="005F6E68" w:rsidRDefault="007B16BE" w:rsidP="00873C2E">
      <w:pPr>
        <w:tabs>
          <w:tab w:val="left" w:pos="6096"/>
        </w:tabs>
        <w:spacing w:before="120" w:after="120" w:line="36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>Rio de Janeiro</w:t>
      </w:r>
      <w:r w:rsidR="005F6E68" w:rsidRPr="003276F0">
        <w:rPr>
          <w:rFonts w:ascii="Times New Roman" w:hAnsi="Times New Roman"/>
          <w:color w:val="000000" w:themeColor="text1"/>
          <w:szCs w:val="24"/>
        </w:rPr>
        <w:t xml:space="preserve">, </w:t>
      </w:r>
      <w:r w:rsidR="003A32A2">
        <w:rPr>
          <w:rFonts w:ascii="Times New Roman" w:hAnsi="Times New Roman"/>
          <w:color w:val="000000" w:themeColor="text1"/>
          <w:szCs w:val="24"/>
        </w:rPr>
        <w:t xml:space="preserve"> 0</w:t>
      </w:r>
      <w:r w:rsidR="00077873">
        <w:rPr>
          <w:rFonts w:ascii="Times New Roman" w:hAnsi="Times New Roman"/>
          <w:color w:val="000000" w:themeColor="text1"/>
          <w:szCs w:val="24"/>
        </w:rPr>
        <w:t>9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5F6E68" w:rsidRPr="003276F0">
        <w:rPr>
          <w:rFonts w:ascii="Times New Roman" w:hAnsi="Times New Roman"/>
          <w:color w:val="000000" w:themeColor="text1"/>
          <w:szCs w:val="24"/>
        </w:rPr>
        <w:t xml:space="preserve">de </w:t>
      </w:r>
      <w:r w:rsidR="003812E7">
        <w:rPr>
          <w:rFonts w:ascii="Times New Roman" w:hAnsi="Times New Roman"/>
          <w:color w:val="000000" w:themeColor="text1"/>
          <w:szCs w:val="24"/>
        </w:rPr>
        <w:t>outubro</w:t>
      </w:r>
      <w:r w:rsidR="003812E7" w:rsidRPr="003276F0">
        <w:rPr>
          <w:rFonts w:ascii="Times New Roman" w:hAnsi="Times New Roman"/>
          <w:color w:val="000000" w:themeColor="text1"/>
          <w:szCs w:val="24"/>
        </w:rPr>
        <w:t xml:space="preserve"> </w:t>
      </w:r>
      <w:r w:rsidR="005F6E68" w:rsidRPr="003276F0">
        <w:rPr>
          <w:rFonts w:ascii="Times New Roman" w:hAnsi="Times New Roman"/>
          <w:color w:val="000000" w:themeColor="text1"/>
          <w:szCs w:val="24"/>
        </w:rPr>
        <w:t>de 201</w:t>
      </w:r>
      <w:r w:rsidR="00E715C4">
        <w:rPr>
          <w:rFonts w:ascii="Times New Roman" w:hAnsi="Times New Roman"/>
          <w:color w:val="000000" w:themeColor="text1"/>
          <w:szCs w:val="24"/>
        </w:rPr>
        <w:t>7</w:t>
      </w:r>
      <w:r w:rsidR="003A32A2">
        <w:rPr>
          <w:rFonts w:ascii="Times New Roman" w:hAnsi="Times New Roman"/>
          <w:color w:val="000000" w:themeColor="text1"/>
          <w:szCs w:val="24"/>
        </w:rPr>
        <w:t>.</w:t>
      </w:r>
    </w:p>
    <w:p w:rsidR="005F6E68" w:rsidRPr="005C0BE3" w:rsidRDefault="005F6E68" w:rsidP="000A54DC">
      <w:pPr>
        <w:numPr>
          <w:ilvl w:val="0"/>
          <w:numId w:val="2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0BE3">
        <w:rPr>
          <w:rFonts w:ascii="Times New Roman" w:hAnsi="Times New Roman"/>
          <w:b/>
          <w:sz w:val="28"/>
          <w:szCs w:val="28"/>
        </w:rPr>
        <w:t>OBJETIVO</w:t>
      </w:r>
    </w:p>
    <w:p w:rsidR="00977FEE" w:rsidRDefault="00977FEE" w:rsidP="003A32A2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0A37AA">
        <w:rPr>
          <w:rFonts w:ascii="Times New Roman" w:hAnsi="Times New Roman"/>
          <w:bCs/>
          <w:szCs w:val="24"/>
        </w:rPr>
        <w:t xml:space="preserve">A presente Nota Técnica tem por objetivo </w:t>
      </w:r>
      <w:r w:rsidR="00A41BA7">
        <w:rPr>
          <w:rFonts w:ascii="Times New Roman" w:hAnsi="Times New Roman"/>
          <w:bCs/>
          <w:szCs w:val="24"/>
        </w:rPr>
        <w:t xml:space="preserve">expor os motivos que </w:t>
      </w:r>
      <w:r w:rsidR="00C64E73">
        <w:rPr>
          <w:rFonts w:ascii="Times New Roman" w:hAnsi="Times New Roman"/>
          <w:bCs/>
          <w:szCs w:val="24"/>
        </w:rPr>
        <w:t>justificam</w:t>
      </w:r>
      <w:r w:rsidR="000958E8">
        <w:rPr>
          <w:rFonts w:ascii="Times New Roman" w:hAnsi="Times New Roman"/>
          <w:bCs/>
          <w:szCs w:val="24"/>
        </w:rPr>
        <w:t xml:space="preserve"> </w:t>
      </w:r>
      <w:r w:rsidR="00C64E73">
        <w:rPr>
          <w:rFonts w:ascii="Times New Roman" w:hAnsi="Times New Roman"/>
          <w:bCs/>
          <w:szCs w:val="24"/>
        </w:rPr>
        <w:t>a</w:t>
      </w:r>
      <w:r w:rsidR="008B45EF">
        <w:rPr>
          <w:rFonts w:ascii="Times New Roman" w:hAnsi="Times New Roman"/>
          <w:bCs/>
          <w:szCs w:val="24"/>
        </w:rPr>
        <w:t xml:space="preserve"> revogação da Resolução ANP nº 6, de 5 de fevereiro de 2014</w:t>
      </w:r>
      <w:r w:rsidR="00C64E73">
        <w:rPr>
          <w:rFonts w:ascii="Times New Roman" w:hAnsi="Times New Roman"/>
          <w:bCs/>
          <w:szCs w:val="24"/>
        </w:rPr>
        <w:t>,</w:t>
      </w:r>
      <w:r w:rsidR="008B45EF">
        <w:rPr>
          <w:rFonts w:ascii="Times New Roman" w:hAnsi="Times New Roman"/>
          <w:bCs/>
          <w:szCs w:val="24"/>
        </w:rPr>
        <w:t xml:space="preserve"> que </w:t>
      </w:r>
      <w:r w:rsidR="00BB7960">
        <w:rPr>
          <w:rFonts w:ascii="Times New Roman" w:hAnsi="Times New Roman"/>
          <w:bCs/>
          <w:szCs w:val="24"/>
        </w:rPr>
        <w:t>dispõe acerca</w:t>
      </w:r>
      <w:r w:rsidR="008B45EF">
        <w:rPr>
          <w:rFonts w:ascii="Times New Roman" w:hAnsi="Times New Roman"/>
          <w:bCs/>
          <w:szCs w:val="24"/>
        </w:rPr>
        <w:t xml:space="preserve"> do </w:t>
      </w:r>
      <w:r w:rsidR="00DF62F1" w:rsidRPr="008D69E9">
        <w:rPr>
          <w:rFonts w:ascii="Times New Roman" w:hAnsi="Times New Roman"/>
          <w:szCs w:val="24"/>
        </w:rPr>
        <w:t>cadastramento de laboratórios interessados em realizar ensaios</w:t>
      </w:r>
      <w:r w:rsidR="00BB7960">
        <w:rPr>
          <w:rFonts w:ascii="Times New Roman" w:hAnsi="Times New Roman"/>
          <w:szCs w:val="24"/>
        </w:rPr>
        <w:t xml:space="preserve"> para certificação</w:t>
      </w:r>
      <w:r w:rsidR="00AE7F1D">
        <w:rPr>
          <w:rFonts w:ascii="Times New Roman" w:hAnsi="Times New Roman"/>
          <w:szCs w:val="24"/>
        </w:rPr>
        <w:t xml:space="preserve"> da qualidade</w:t>
      </w:r>
      <w:r w:rsidR="00DF62F1" w:rsidRPr="008D69E9">
        <w:rPr>
          <w:rFonts w:ascii="Times New Roman" w:hAnsi="Times New Roman"/>
          <w:szCs w:val="24"/>
        </w:rPr>
        <w:t xml:space="preserve"> </w:t>
      </w:r>
      <w:r w:rsidR="003A32A2">
        <w:rPr>
          <w:rFonts w:ascii="Times New Roman" w:hAnsi="Times New Roman"/>
          <w:szCs w:val="24"/>
        </w:rPr>
        <w:t>em</w:t>
      </w:r>
      <w:r w:rsidR="00DF62F1" w:rsidRPr="008D69E9">
        <w:rPr>
          <w:rFonts w:ascii="Times New Roman" w:hAnsi="Times New Roman"/>
          <w:szCs w:val="24"/>
        </w:rPr>
        <w:t xml:space="preserve"> biodiesel destinado à comercialização </w:t>
      </w:r>
      <w:r w:rsidR="00783467">
        <w:rPr>
          <w:rFonts w:ascii="Times New Roman" w:hAnsi="Times New Roman"/>
          <w:szCs w:val="24"/>
        </w:rPr>
        <w:t>n</w:t>
      </w:r>
      <w:r w:rsidR="00DF62F1" w:rsidRPr="008D69E9">
        <w:rPr>
          <w:rFonts w:ascii="Times New Roman" w:hAnsi="Times New Roman"/>
          <w:szCs w:val="24"/>
        </w:rPr>
        <w:t>o território nacional</w:t>
      </w:r>
      <w:r w:rsidR="008B45EF">
        <w:rPr>
          <w:rFonts w:ascii="Times New Roman" w:hAnsi="Times New Roman"/>
          <w:bCs/>
          <w:szCs w:val="24"/>
        </w:rPr>
        <w:t>.</w:t>
      </w:r>
    </w:p>
    <w:p w:rsidR="008B45EF" w:rsidRDefault="008B45EF" w:rsidP="002924BF">
      <w:pPr>
        <w:tabs>
          <w:tab w:val="left" w:pos="1134"/>
        </w:tabs>
        <w:spacing w:before="120" w:after="120" w:line="360" w:lineRule="auto"/>
        <w:ind w:firstLine="851"/>
        <w:jc w:val="both"/>
        <w:rPr>
          <w:rFonts w:ascii="Times New Roman" w:hAnsi="Times New Roman"/>
        </w:rPr>
      </w:pPr>
      <w:bookmarkStart w:id="1" w:name="art2"/>
      <w:bookmarkStart w:id="2" w:name="art3"/>
      <w:bookmarkStart w:id="3" w:name="art4"/>
      <w:bookmarkStart w:id="4" w:name="art5"/>
      <w:bookmarkStart w:id="5" w:name="art6"/>
      <w:bookmarkStart w:id="6" w:name="art7"/>
      <w:bookmarkStart w:id="7" w:name="art8"/>
      <w:bookmarkStart w:id="8" w:name="art9"/>
      <w:bookmarkStart w:id="9" w:name="art10"/>
      <w:bookmarkStart w:id="10" w:name="art11"/>
      <w:bookmarkStart w:id="11" w:name="art12"/>
      <w:bookmarkStart w:id="12" w:name="art13"/>
      <w:bookmarkStart w:id="13" w:name="art14"/>
      <w:bookmarkStart w:id="14" w:name="art15"/>
      <w:bookmarkStart w:id="15" w:name="art16"/>
      <w:bookmarkStart w:id="16" w:name="art1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C0BE3" w:rsidRPr="005C0BE3" w:rsidRDefault="005C0BE3" w:rsidP="000A54DC">
      <w:pPr>
        <w:numPr>
          <w:ilvl w:val="0"/>
          <w:numId w:val="2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0BE3">
        <w:rPr>
          <w:rFonts w:ascii="Times New Roman" w:hAnsi="Times New Roman"/>
          <w:b/>
          <w:sz w:val="28"/>
          <w:szCs w:val="28"/>
        </w:rPr>
        <w:t>DO PROBLEMA</w:t>
      </w:r>
    </w:p>
    <w:p w:rsidR="004B7275" w:rsidRPr="004B7275" w:rsidRDefault="004B7275" w:rsidP="000A54DC">
      <w:pPr>
        <w:numPr>
          <w:ilvl w:val="1"/>
          <w:numId w:val="2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  <w:r w:rsidRPr="004B7275">
        <w:rPr>
          <w:rFonts w:ascii="Times New Roman" w:hAnsi="Times New Roman"/>
          <w:b/>
          <w:szCs w:val="24"/>
        </w:rPr>
        <w:t>DESCRIÇÃO</w:t>
      </w:r>
    </w:p>
    <w:p w:rsidR="00B72AFD" w:rsidRDefault="00B72AFD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Resolução ANP n° 6, de 5 de fevereiro de 2014, estabelece os requisitos para cadastramento, </w:t>
      </w:r>
      <w:r w:rsidR="003A32A2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ANP, de laboratórios </w:t>
      </w:r>
      <w:r w:rsidR="00AD2DDF" w:rsidRPr="008D69E9">
        <w:rPr>
          <w:rFonts w:ascii="Times New Roman" w:hAnsi="Times New Roman"/>
          <w:szCs w:val="24"/>
        </w:rPr>
        <w:t xml:space="preserve">instalados no país </w:t>
      </w:r>
      <w:r>
        <w:rPr>
          <w:rFonts w:ascii="Times New Roman" w:hAnsi="Times New Roman"/>
          <w:szCs w:val="24"/>
        </w:rPr>
        <w:t xml:space="preserve">interessados em realizar ensaios </w:t>
      </w:r>
      <w:r w:rsidR="003A32A2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biodiesel para fins de emissão de </w:t>
      </w:r>
      <w:r w:rsidR="000D0935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ertificado d</w:t>
      </w:r>
      <w:r w:rsidR="000D0935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="000D0935">
        <w:rPr>
          <w:rFonts w:ascii="Times New Roman" w:hAnsi="Times New Roman"/>
          <w:szCs w:val="24"/>
        </w:rPr>
        <w:t>Q</w:t>
      </w:r>
      <w:r>
        <w:rPr>
          <w:rFonts w:ascii="Times New Roman" w:hAnsi="Times New Roman"/>
          <w:szCs w:val="24"/>
        </w:rPr>
        <w:t xml:space="preserve">ualidade e </w:t>
      </w:r>
      <w:r w:rsidR="000D0935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 xml:space="preserve">oletim de </w:t>
      </w:r>
      <w:r w:rsidR="000D0935">
        <w:rPr>
          <w:rFonts w:ascii="Times New Roman" w:hAnsi="Times New Roman"/>
          <w:szCs w:val="24"/>
        </w:rPr>
        <w:t>Análise exigidos na Resolução ANP n° 45, de 25 de agosto de 2014</w:t>
      </w:r>
      <w:r>
        <w:rPr>
          <w:rFonts w:ascii="Times New Roman" w:hAnsi="Times New Roman"/>
          <w:szCs w:val="24"/>
        </w:rPr>
        <w:t>.</w:t>
      </w:r>
    </w:p>
    <w:p w:rsidR="006600EE" w:rsidRDefault="00FF7D31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Para solicitação do referido cadastro, os laboratórios interessados devem enviar </w:t>
      </w:r>
      <w:r w:rsidR="00265DC1">
        <w:rPr>
          <w:rFonts w:ascii="Times New Roman" w:hAnsi="Times New Roman"/>
          <w:szCs w:val="24"/>
        </w:rPr>
        <w:t>documentação</w:t>
      </w:r>
      <w:r>
        <w:rPr>
          <w:rFonts w:ascii="Times New Roman" w:hAnsi="Times New Roman"/>
          <w:szCs w:val="24"/>
        </w:rPr>
        <w:t xml:space="preserve">, conforme </w:t>
      </w:r>
      <w:r w:rsidR="00111BDC">
        <w:rPr>
          <w:rFonts w:ascii="Times New Roman" w:hAnsi="Times New Roman"/>
          <w:szCs w:val="24"/>
        </w:rPr>
        <w:t>prevê o art</w:t>
      </w:r>
      <w:r>
        <w:rPr>
          <w:rFonts w:ascii="Times New Roman" w:hAnsi="Times New Roman"/>
          <w:szCs w:val="24"/>
        </w:rPr>
        <w:t xml:space="preserve">. </w:t>
      </w:r>
      <w:r w:rsidR="006600EE">
        <w:rPr>
          <w:rFonts w:ascii="Times New Roman" w:hAnsi="Times New Roman"/>
          <w:szCs w:val="24"/>
        </w:rPr>
        <w:t>3°</w:t>
      </w:r>
      <w:r w:rsidR="00966BCB">
        <w:rPr>
          <w:rFonts w:ascii="Times New Roman" w:hAnsi="Times New Roman"/>
          <w:szCs w:val="24"/>
        </w:rPr>
        <w:t xml:space="preserve"> da Resolução </w:t>
      </w:r>
      <w:r w:rsidR="00966BCB">
        <w:rPr>
          <w:rFonts w:ascii="Times New Roman" w:hAnsi="Times New Roman"/>
          <w:caps/>
          <w:szCs w:val="24"/>
        </w:rPr>
        <w:t xml:space="preserve">ANP </w:t>
      </w:r>
      <w:r w:rsidR="00DD2129">
        <w:rPr>
          <w:rFonts w:ascii="Times New Roman" w:hAnsi="Times New Roman"/>
          <w:szCs w:val="24"/>
        </w:rPr>
        <w:t>n</w:t>
      </w:r>
      <w:r w:rsidR="00966BCB">
        <w:rPr>
          <w:rFonts w:ascii="Times New Roman" w:hAnsi="Times New Roman"/>
          <w:caps/>
          <w:szCs w:val="24"/>
        </w:rPr>
        <w:t>º 6/2014</w:t>
      </w:r>
      <w:r w:rsidR="006600EE">
        <w:rPr>
          <w:rFonts w:ascii="Times New Roman" w:hAnsi="Times New Roman"/>
          <w:szCs w:val="24"/>
        </w:rPr>
        <w:t xml:space="preserve">. Para a concessão do </w:t>
      </w:r>
      <w:r w:rsidR="00386251">
        <w:rPr>
          <w:rFonts w:ascii="Times New Roman" w:hAnsi="Times New Roman"/>
          <w:szCs w:val="24"/>
        </w:rPr>
        <w:t>cadastro</w:t>
      </w:r>
      <w:r w:rsidR="006600EE">
        <w:rPr>
          <w:rFonts w:ascii="Times New Roman" w:hAnsi="Times New Roman"/>
          <w:szCs w:val="24"/>
        </w:rPr>
        <w:t xml:space="preserve">, a </w:t>
      </w:r>
      <w:r w:rsidR="00686884">
        <w:rPr>
          <w:rFonts w:ascii="Times New Roman" w:hAnsi="Times New Roman"/>
          <w:szCs w:val="24"/>
        </w:rPr>
        <w:t>Agência</w:t>
      </w:r>
      <w:r w:rsidR="006600EE">
        <w:rPr>
          <w:rFonts w:ascii="Times New Roman" w:hAnsi="Times New Roman"/>
          <w:szCs w:val="24"/>
        </w:rPr>
        <w:t xml:space="preserve"> deve realizar vistoria no laboratório</w:t>
      </w:r>
      <w:r w:rsidR="00696725">
        <w:rPr>
          <w:rFonts w:ascii="Times New Roman" w:hAnsi="Times New Roman"/>
          <w:szCs w:val="24"/>
        </w:rPr>
        <w:t>,</w:t>
      </w:r>
      <w:r w:rsidR="006600EE">
        <w:rPr>
          <w:rFonts w:ascii="Times New Roman" w:hAnsi="Times New Roman"/>
          <w:szCs w:val="24"/>
        </w:rPr>
        <w:t xml:space="preserve"> </w:t>
      </w:r>
      <w:r w:rsidR="00111BDC">
        <w:rPr>
          <w:rFonts w:ascii="Times New Roman" w:hAnsi="Times New Roman"/>
          <w:szCs w:val="24"/>
        </w:rPr>
        <w:t>com vistas a verificar</w:t>
      </w:r>
      <w:r w:rsidR="006600EE">
        <w:rPr>
          <w:rFonts w:ascii="Times New Roman" w:hAnsi="Times New Roman"/>
          <w:szCs w:val="24"/>
        </w:rPr>
        <w:t xml:space="preserve"> as informações prestadas e, após aprovação, </w:t>
      </w:r>
      <w:r w:rsidR="00F41F39">
        <w:rPr>
          <w:rFonts w:ascii="Times New Roman" w:hAnsi="Times New Roman"/>
          <w:szCs w:val="24"/>
        </w:rPr>
        <w:t xml:space="preserve">o ato </w:t>
      </w:r>
      <w:r w:rsidR="00DC2030">
        <w:rPr>
          <w:rFonts w:ascii="Times New Roman" w:hAnsi="Times New Roman"/>
          <w:szCs w:val="24"/>
        </w:rPr>
        <w:t>é</w:t>
      </w:r>
      <w:r w:rsidR="00F41F39">
        <w:rPr>
          <w:rFonts w:ascii="Times New Roman" w:hAnsi="Times New Roman"/>
          <w:szCs w:val="24"/>
        </w:rPr>
        <w:t xml:space="preserve"> publicado</w:t>
      </w:r>
      <w:r w:rsidR="006600EE">
        <w:rPr>
          <w:rFonts w:ascii="Times New Roman" w:hAnsi="Times New Roman"/>
          <w:szCs w:val="24"/>
        </w:rPr>
        <w:t xml:space="preserve"> no Diário Oficial da União, com os respectivos ensaios e métodos habilitados. Anualmente, os laboratórios cadastrados devem confirmar o interesse </w:t>
      </w:r>
      <w:r w:rsidR="008D5790">
        <w:rPr>
          <w:rFonts w:ascii="Times New Roman" w:hAnsi="Times New Roman"/>
          <w:szCs w:val="24"/>
        </w:rPr>
        <w:t xml:space="preserve">em </w:t>
      </w:r>
      <w:r w:rsidR="00111BDC">
        <w:rPr>
          <w:rFonts w:ascii="Times New Roman" w:hAnsi="Times New Roman"/>
          <w:szCs w:val="24"/>
        </w:rPr>
        <w:t>manter o cadastro</w:t>
      </w:r>
      <w:r w:rsidR="008D5790">
        <w:rPr>
          <w:rFonts w:ascii="Times New Roman" w:hAnsi="Times New Roman"/>
          <w:szCs w:val="24"/>
        </w:rPr>
        <w:t>, por meio d</w:t>
      </w:r>
      <w:r w:rsidR="00B85C8C">
        <w:rPr>
          <w:rFonts w:ascii="Times New Roman" w:hAnsi="Times New Roman"/>
          <w:szCs w:val="24"/>
        </w:rPr>
        <w:t>o</w:t>
      </w:r>
      <w:r w:rsidR="006600EE">
        <w:rPr>
          <w:rFonts w:ascii="Times New Roman" w:hAnsi="Times New Roman"/>
          <w:szCs w:val="24"/>
        </w:rPr>
        <w:t xml:space="preserve"> envio </w:t>
      </w:r>
      <w:r w:rsidR="004D0166">
        <w:rPr>
          <w:rFonts w:ascii="Times New Roman" w:hAnsi="Times New Roman"/>
          <w:szCs w:val="24"/>
        </w:rPr>
        <w:t xml:space="preserve">de declaração </w:t>
      </w:r>
      <w:r w:rsidR="006600EE">
        <w:rPr>
          <w:rFonts w:ascii="Times New Roman" w:hAnsi="Times New Roman"/>
          <w:szCs w:val="24"/>
        </w:rPr>
        <w:t xml:space="preserve">à ANP. A revogação do cadastro do laboratório </w:t>
      </w:r>
      <w:r w:rsidR="005407DA">
        <w:rPr>
          <w:rFonts w:ascii="Times New Roman" w:hAnsi="Times New Roman"/>
          <w:szCs w:val="24"/>
        </w:rPr>
        <w:t xml:space="preserve">previsto no </w:t>
      </w:r>
      <w:r w:rsidR="00696725">
        <w:rPr>
          <w:rFonts w:ascii="Times New Roman" w:hAnsi="Times New Roman"/>
          <w:szCs w:val="24"/>
        </w:rPr>
        <w:t>art</w:t>
      </w:r>
      <w:r w:rsidR="005407DA">
        <w:rPr>
          <w:rFonts w:ascii="Times New Roman" w:hAnsi="Times New Roman"/>
          <w:szCs w:val="24"/>
        </w:rPr>
        <w:t>. 14</w:t>
      </w:r>
      <w:r w:rsidR="00132E03">
        <w:rPr>
          <w:rFonts w:ascii="Times New Roman" w:hAnsi="Times New Roman"/>
          <w:szCs w:val="24"/>
        </w:rPr>
        <w:t>,</w:t>
      </w:r>
      <w:r w:rsidR="005407DA">
        <w:rPr>
          <w:rFonts w:ascii="Times New Roman" w:hAnsi="Times New Roman"/>
          <w:szCs w:val="24"/>
        </w:rPr>
        <w:t xml:space="preserve"> seção </w:t>
      </w:r>
      <w:r w:rsidR="00132E03">
        <w:rPr>
          <w:rFonts w:ascii="Times New Roman" w:hAnsi="Times New Roman"/>
          <w:szCs w:val="24"/>
        </w:rPr>
        <w:t>IX</w:t>
      </w:r>
      <w:r w:rsidR="003A32A2">
        <w:rPr>
          <w:rFonts w:ascii="Times New Roman" w:hAnsi="Times New Roman"/>
          <w:szCs w:val="24"/>
        </w:rPr>
        <w:t>,</w:t>
      </w:r>
      <w:r w:rsidR="005407DA">
        <w:rPr>
          <w:rFonts w:ascii="Times New Roman" w:hAnsi="Times New Roman"/>
          <w:szCs w:val="24"/>
        </w:rPr>
        <w:t xml:space="preserve"> </w:t>
      </w:r>
      <w:r w:rsidR="006600EE">
        <w:rPr>
          <w:rFonts w:ascii="Times New Roman" w:hAnsi="Times New Roman"/>
          <w:szCs w:val="24"/>
        </w:rPr>
        <w:t xml:space="preserve">também </w:t>
      </w:r>
      <w:r w:rsidR="005D4297">
        <w:rPr>
          <w:rFonts w:ascii="Times New Roman" w:hAnsi="Times New Roman"/>
          <w:szCs w:val="24"/>
        </w:rPr>
        <w:t>é</w:t>
      </w:r>
      <w:r w:rsidR="006600EE">
        <w:rPr>
          <w:rFonts w:ascii="Times New Roman" w:hAnsi="Times New Roman"/>
          <w:szCs w:val="24"/>
        </w:rPr>
        <w:t xml:space="preserve"> publicada no Diário Oficial da União.</w:t>
      </w:r>
    </w:p>
    <w:p w:rsidR="006600EE" w:rsidRDefault="006600EE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Conforme disposto no </w:t>
      </w:r>
      <w:r w:rsidR="00696725">
        <w:rPr>
          <w:rFonts w:ascii="Times New Roman" w:hAnsi="Times New Roman"/>
          <w:szCs w:val="24"/>
        </w:rPr>
        <w:t>art</w:t>
      </w:r>
      <w:r>
        <w:rPr>
          <w:rFonts w:ascii="Times New Roman" w:hAnsi="Times New Roman"/>
          <w:szCs w:val="24"/>
        </w:rPr>
        <w:t xml:space="preserve">. 18 da Resolução ANP </w:t>
      </w:r>
      <w:r w:rsidR="00A30738">
        <w:rPr>
          <w:rFonts w:ascii="Times New Roman" w:hAnsi="Times New Roman"/>
          <w:szCs w:val="24"/>
        </w:rPr>
        <w:t xml:space="preserve">n° </w:t>
      </w:r>
      <w:r>
        <w:rPr>
          <w:rFonts w:ascii="Times New Roman" w:hAnsi="Times New Roman"/>
          <w:szCs w:val="24"/>
        </w:rPr>
        <w:t xml:space="preserve">6/2014, todos os laboratórios cadastrados </w:t>
      </w:r>
      <w:r w:rsidR="003A32A2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ANP </w:t>
      </w:r>
      <w:r w:rsidR="00D45AFB">
        <w:rPr>
          <w:rFonts w:ascii="Times New Roman" w:hAnsi="Times New Roman"/>
          <w:szCs w:val="24"/>
        </w:rPr>
        <w:t>foram obrigados a</w:t>
      </w:r>
      <w:r>
        <w:rPr>
          <w:rFonts w:ascii="Times New Roman" w:hAnsi="Times New Roman"/>
          <w:szCs w:val="24"/>
        </w:rPr>
        <w:t xml:space="preserve"> apresentar</w:t>
      </w:r>
      <w:r w:rsidR="00BF3757">
        <w:rPr>
          <w:rFonts w:ascii="Times New Roman" w:hAnsi="Times New Roman"/>
          <w:szCs w:val="24"/>
        </w:rPr>
        <w:t>, a partir de</w:t>
      </w:r>
      <w:r>
        <w:rPr>
          <w:rFonts w:ascii="Times New Roman" w:hAnsi="Times New Roman"/>
          <w:szCs w:val="24"/>
        </w:rPr>
        <w:t xml:space="preserve"> 31 de dezembro de 2014</w:t>
      </w:r>
      <w:r w:rsidR="00BF375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certificado de acreditação </w:t>
      </w:r>
      <w:r w:rsidR="003A32A2">
        <w:rPr>
          <w:rFonts w:ascii="Times New Roman" w:hAnsi="Times New Roman"/>
          <w:szCs w:val="24"/>
        </w:rPr>
        <w:t>do</w:t>
      </w:r>
      <w:r>
        <w:rPr>
          <w:rFonts w:ascii="Times New Roman" w:hAnsi="Times New Roman"/>
          <w:szCs w:val="24"/>
        </w:rPr>
        <w:t xml:space="preserve"> </w:t>
      </w:r>
      <w:r w:rsidR="00DD2129">
        <w:rPr>
          <w:rFonts w:ascii="Times New Roman" w:hAnsi="Times New Roman"/>
          <w:szCs w:val="24"/>
        </w:rPr>
        <w:t>Inmetro</w:t>
      </w:r>
      <w:r>
        <w:rPr>
          <w:rFonts w:ascii="Times New Roman" w:hAnsi="Times New Roman"/>
          <w:szCs w:val="24"/>
        </w:rPr>
        <w:t xml:space="preserve">, </w:t>
      </w:r>
      <w:r w:rsidR="00E40E18">
        <w:rPr>
          <w:rFonts w:ascii="Times New Roman" w:hAnsi="Times New Roman"/>
          <w:szCs w:val="24"/>
        </w:rPr>
        <w:t>conforme</w:t>
      </w:r>
      <w:r>
        <w:rPr>
          <w:rFonts w:ascii="Times New Roman" w:hAnsi="Times New Roman"/>
          <w:szCs w:val="24"/>
        </w:rPr>
        <w:t xml:space="preserve"> a NBR</w:t>
      </w:r>
      <w:r w:rsidR="00BB7F43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ISO</w:t>
      </w:r>
      <w:r w:rsidR="00BB7F43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IEC</w:t>
      </w:r>
      <w:r w:rsidR="00BB7F43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17025, para todos os ensaios cadastrados</w:t>
      </w:r>
      <w:r w:rsidR="00520BA5">
        <w:rPr>
          <w:rFonts w:ascii="Times New Roman" w:hAnsi="Times New Roman"/>
          <w:szCs w:val="24"/>
        </w:rPr>
        <w:t>. Destaca-se que foi concedido prazo de transição</w:t>
      </w:r>
      <w:r w:rsidR="002C40F5">
        <w:rPr>
          <w:rFonts w:ascii="Times New Roman" w:hAnsi="Times New Roman"/>
          <w:szCs w:val="24"/>
        </w:rPr>
        <w:t xml:space="preserve"> para aqueles que apresentaram </w:t>
      </w:r>
      <w:r w:rsidR="002C40F5" w:rsidRPr="002C40F5">
        <w:rPr>
          <w:rFonts w:ascii="Times New Roman" w:hAnsi="Times New Roman"/>
          <w:szCs w:val="24"/>
        </w:rPr>
        <w:t xml:space="preserve">o protocolo de solicitação de acreditação </w:t>
      </w:r>
      <w:r w:rsidR="003A32A2">
        <w:rPr>
          <w:rFonts w:ascii="Times New Roman" w:hAnsi="Times New Roman"/>
          <w:szCs w:val="24"/>
        </w:rPr>
        <w:t>n</w:t>
      </w:r>
      <w:r w:rsidR="002C40F5" w:rsidRPr="002C40F5">
        <w:rPr>
          <w:rFonts w:ascii="Times New Roman" w:hAnsi="Times New Roman"/>
          <w:szCs w:val="24"/>
        </w:rPr>
        <w:t xml:space="preserve">o </w:t>
      </w:r>
      <w:r w:rsidR="00DD2129">
        <w:rPr>
          <w:rFonts w:ascii="Times New Roman" w:hAnsi="Times New Roman"/>
          <w:szCs w:val="24"/>
        </w:rPr>
        <w:t>Inmetro</w:t>
      </w:r>
      <w:r w:rsidR="002C40F5">
        <w:rPr>
          <w:rFonts w:ascii="Times New Roman" w:hAnsi="Times New Roman"/>
          <w:szCs w:val="24"/>
        </w:rPr>
        <w:t>,</w:t>
      </w:r>
      <w:r w:rsidR="00520BA5">
        <w:rPr>
          <w:rFonts w:ascii="Times New Roman" w:hAnsi="Times New Roman"/>
          <w:szCs w:val="24"/>
        </w:rPr>
        <w:t xml:space="preserve"> </w:t>
      </w:r>
      <w:r w:rsidR="002C40F5">
        <w:rPr>
          <w:rFonts w:ascii="Times New Roman" w:hAnsi="Times New Roman"/>
          <w:szCs w:val="24"/>
        </w:rPr>
        <w:t>que finalizou em 30 de junho de 2016</w:t>
      </w:r>
      <w:r w:rsidR="00796036">
        <w:rPr>
          <w:rFonts w:ascii="Times New Roman" w:hAnsi="Times New Roman"/>
          <w:szCs w:val="24"/>
        </w:rPr>
        <w:t>.</w:t>
      </w:r>
    </w:p>
    <w:p w:rsidR="0087592A" w:rsidRPr="0087592A" w:rsidRDefault="0087592A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 w:rsidRPr="0087592A">
        <w:rPr>
          <w:rFonts w:ascii="Times New Roman" w:hAnsi="Times New Roman"/>
          <w:szCs w:val="24"/>
        </w:rPr>
        <w:t>A realização do cadastro de laboratório para certificação de biodiesel por parte da A</w:t>
      </w:r>
      <w:r w:rsidR="003A32A2">
        <w:rPr>
          <w:rFonts w:ascii="Times New Roman" w:hAnsi="Times New Roman"/>
          <w:szCs w:val="24"/>
        </w:rPr>
        <w:t>gência</w:t>
      </w:r>
      <w:r w:rsidRPr="0087592A">
        <w:rPr>
          <w:rFonts w:ascii="Times New Roman" w:hAnsi="Times New Roman"/>
          <w:szCs w:val="24"/>
        </w:rPr>
        <w:t xml:space="preserve"> iniciou em 2008, por meio da Resolução </w:t>
      </w:r>
      <w:r w:rsidR="003A32A2">
        <w:rPr>
          <w:rFonts w:ascii="Times New Roman" w:hAnsi="Times New Roman"/>
          <w:szCs w:val="24"/>
        </w:rPr>
        <w:t xml:space="preserve">ANP </w:t>
      </w:r>
      <w:r w:rsidRPr="0087592A">
        <w:rPr>
          <w:rFonts w:ascii="Times New Roman" w:hAnsi="Times New Roman"/>
          <w:szCs w:val="24"/>
        </w:rPr>
        <w:t>nº 31/2008. O objetivo des</w:t>
      </w:r>
      <w:r w:rsidR="003A32A2">
        <w:rPr>
          <w:rFonts w:ascii="Times New Roman" w:hAnsi="Times New Roman"/>
          <w:szCs w:val="24"/>
        </w:rPr>
        <w:t>s</w:t>
      </w:r>
      <w:r w:rsidRPr="0087592A">
        <w:rPr>
          <w:rFonts w:ascii="Times New Roman" w:hAnsi="Times New Roman"/>
          <w:szCs w:val="24"/>
        </w:rPr>
        <w:t xml:space="preserve">a ação regulatória era uniformizar os procedimentos dos laboratórios que desejassem realizar análises de biodiesel, de </w:t>
      </w:r>
      <w:r w:rsidRPr="0087592A">
        <w:rPr>
          <w:rFonts w:ascii="Times New Roman" w:hAnsi="Times New Roman"/>
          <w:szCs w:val="24"/>
        </w:rPr>
        <w:lastRenderedPageBreak/>
        <w:t xml:space="preserve">modo a </w:t>
      </w:r>
      <w:r w:rsidR="005453DF">
        <w:rPr>
          <w:rFonts w:ascii="Times New Roman" w:hAnsi="Times New Roman"/>
          <w:szCs w:val="24"/>
        </w:rPr>
        <w:t>aumentar</w:t>
      </w:r>
      <w:r w:rsidR="00696725">
        <w:rPr>
          <w:rFonts w:ascii="Times New Roman" w:hAnsi="Times New Roman"/>
          <w:szCs w:val="24"/>
        </w:rPr>
        <w:t xml:space="preserve"> a</w:t>
      </w:r>
      <w:r w:rsidR="00696725" w:rsidRPr="0087592A">
        <w:rPr>
          <w:rFonts w:ascii="Times New Roman" w:hAnsi="Times New Roman"/>
          <w:szCs w:val="24"/>
        </w:rPr>
        <w:t xml:space="preserve"> </w:t>
      </w:r>
      <w:r w:rsidRPr="0087592A">
        <w:rPr>
          <w:rFonts w:ascii="Times New Roman" w:hAnsi="Times New Roman"/>
          <w:szCs w:val="24"/>
        </w:rPr>
        <w:t xml:space="preserve">confiabilidade dos resultados </w:t>
      </w:r>
      <w:r w:rsidR="00696725">
        <w:rPr>
          <w:rFonts w:ascii="Times New Roman" w:hAnsi="Times New Roman"/>
          <w:szCs w:val="24"/>
        </w:rPr>
        <w:t>presentes</w:t>
      </w:r>
      <w:r w:rsidR="00696725" w:rsidRPr="0087592A">
        <w:rPr>
          <w:rFonts w:ascii="Times New Roman" w:hAnsi="Times New Roman"/>
          <w:szCs w:val="24"/>
        </w:rPr>
        <w:t xml:space="preserve"> </w:t>
      </w:r>
      <w:r w:rsidRPr="0087592A">
        <w:rPr>
          <w:rFonts w:ascii="Times New Roman" w:hAnsi="Times New Roman"/>
          <w:szCs w:val="24"/>
        </w:rPr>
        <w:t xml:space="preserve">nos Certificados da Qualidade. Como o processo de acreditação do Inmetro </w:t>
      </w:r>
      <w:r w:rsidR="00696725">
        <w:rPr>
          <w:rFonts w:ascii="Times New Roman" w:hAnsi="Times New Roman"/>
          <w:szCs w:val="24"/>
        </w:rPr>
        <w:t>demanda</w:t>
      </w:r>
      <w:r w:rsidRPr="0087592A">
        <w:rPr>
          <w:rFonts w:ascii="Times New Roman" w:hAnsi="Times New Roman"/>
          <w:szCs w:val="24"/>
        </w:rPr>
        <w:t xml:space="preserve"> tempo (de um ano e meio a dois anos) para o laboratório se adequar </w:t>
      </w:r>
      <w:r w:rsidR="00696725">
        <w:rPr>
          <w:rFonts w:ascii="Times New Roman" w:hAnsi="Times New Roman"/>
          <w:szCs w:val="24"/>
        </w:rPr>
        <w:t>à</w:t>
      </w:r>
      <w:r w:rsidR="00696725" w:rsidRPr="0087592A">
        <w:rPr>
          <w:rFonts w:ascii="Times New Roman" w:hAnsi="Times New Roman"/>
          <w:szCs w:val="24"/>
        </w:rPr>
        <w:t xml:space="preserve"> </w:t>
      </w:r>
      <w:r w:rsidRPr="0087592A">
        <w:rPr>
          <w:rFonts w:ascii="Times New Roman" w:hAnsi="Times New Roman"/>
          <w:szCs w:val="24"/>
        </w:rPr>
        <w:t>NBR ISO IEC 17025, exigindo custo para sua concessão e manutenção e como</w:t>
      </w:r>
      <w:r w:rsidR="003A32A2">
        <w:rPr>
          <w:rFonts w:ascii="Times New Roman" w:hAnsi="Times New Roman"/>
          <w:szCs w:val="24"/>
        </w:rPr>
        <w:t>,</w:t>
      </w:r>
      <w:r w:rsidRPr="0087592A">
        <w:rPr>
          <w:rFonts w:ascii="Times New Roman" w:hAnsi="Times New Roman"/>
          <w:szCs w:val="24"/>
        </w:rPr>
        <w:t xml:space="preserve"> naquela época</w:t>
      </w:r>
      <w:r w:rsidR="003A32A2">
        <w:rPr>
          <w:rFonts w:ascii="Times New Roman" w:hAnsi="Times New Roman"/>
          <w:szCs w:val="24"/>
        </w:rPr>
        <w:t>,</w:t>
      </w:r>
      <w:r w:rsidRPr="0087592A">
        <w:rPr>
          <w:rFonts w:ascii="Times New Roman" w:hAnsi="Times New Roman"/>
          <w:szCs w:val="24"/>
        </w:rPr>
        <w:t xml:space="preserve"> </w:t>
      </w:r>
      <w:r w:rsidR="005453DF" w:rsidRPr="0087592A">
        <w:rPr>
          <w:rFonts w:ascii="Times New Roman" w:hAnsi="Times New Roman"/>
          <w:szCs w:val="24"/>
        </w:rPr>
        <w:t>fo</w:t>
      </w:r>
      <w:r w:rsidR="005453DF">
        <w:rPr>
          <w:rFonts w:ascii="Times New Roman" w:hAnsi="Times New Roman"/>
          <w:szCs w:val="24"/>
        </w:rPr>
        <w:t>ram</w:t>
      </w:r>
      <w:r w:rsidR="005453DF" w:rsidRPr="0087592A">
        <w:rPr>
          <w:rFonts w:ascii="Times New Roman" w:hAnsi="Times New Roman"/>
          <w:szCs w:val="24"/>
        </w:rPr>
        <w:t xml:space="preserve"> </w:t>
      </w:r>
      <w:r w:rsidRPr="0087592A">
        <w:rPr>
          <w:rFonts w:ascii="Times New Roman" w:hAnsi="Times New Roman"/>
          <w:szCs w:val="24"/>
        </w:rPr>
        <w:t>observado</w:t>
      </w:r>
      <w:r w:rsidR="005453DF">
        <w:rPr>
          <w:rFonts w:ascii="Times New Roman" w:hAnsi="Times New Roman"/>
          <w:szCs w:val="24"/>
        </w:rPr>
        <w:t>s</w:t>
      </w:r>
      <w:r w:rsidRPr="0087592A">
        <w:rPr>
          <w:rFonts w:ascii="Times New Roman" w:hAnsi="Times New Roman"/>
          <w:szCs w:val="24"/>
        </w:rPr>
        <w:t xml:space="preserve"> diversos problemas de qualidade </w:t>
      </w:r>
      <w:r w:rsidR="005453DF">
        <w:rPr>
          <w:rFonts w:ascii="Times New Roman" w:hAnsi="Times New Roman"/>
          <w:szCs w:val="24"/>
        </w:rPr>
        <w:t>n</w:t>
      </w:r>
      <w:r w:rsidR="005453DF" w:rsidRPr="0087592A">
        <w:rPr>
          <w:rFonts w:ascii="Times New Roman" w:hAnsi="Times New Roman"/>
          <w:szCs w:val="24"/>
        </w:rPr>
        <w:t xml:space="preserve">o </w:t>
      </w:r>
      <w:r w:rsidRPr="0087592A">
        <w:rPr>
          <w:rFonts w:ascii="Times New Roman" w:hAnsi="Times New Roman"/>
          <w:szCs w:val="24"/>
        </w:rPr>
        <w:t xml:space="preserve">biodiesel, </w:t>
      </w:r>
      <w:r w:rsidR="005453DF">
        <w:rPr>
          <w:rFonts w:ascii="Times New Roman" w:hAnsi="Times New Roman"/>
          <w:szCs w:val="24"/>
        </w:rPr>
        <w:t>foi considerada</w:t>
      </w:r>
      <w:r w:rsidR="005453DF" w:rsidRPr="0087592A">
        <w:rPr>
          <w:rFonts w:ascii="Times New Roman" w:hAnsi="Times New Roman"/>
          <w:szCs w:val="24"/>
        </w:rPr>
        <w:t xml:space="preserve"> </w:t>
      </w:r>
      <w:r w:rsidRPr="0087592A">
        <w:rPr>
          <w:rFonts w:ascii="Times New Roman" w:hAnsi="Times New Roman"/>
          <w:szCs w:val="24"/>
        </w:rPr>
        <w:t xml:space="preserve">fundamental a ação da </w:t>
      </w:r>
      <w:r w:rsidR="005453DF">
        <w:rPr>
          <w:rFonts w:ascii="Times New Roman" w:hAnsi="Times New Roman"/>
          <w:szCs w:val="24"/>
        </w:rPr>
        <w:t>ANP</w:t>
      </w:r>
      <w:r w:rsidRPr="0087592A">
        <w:rPr>
          <w:rFonts w:ascii="Times New Roman" w:hAnsi="Times New Roman"/>
          <w:szCs w:val="24"/>
        </w:rPr>
        <w:t xml:space="preserve"> com relação à certificação desse produto. Assim, a Agência </w:t>
      </w:r>
      <w:r w:rsidR="005453DF">
        <w:rPr>
          <w:rFonts w:ascii="Times New Roman" w:hAnsi="Times New Roman"/>
          <w:szCs w:val="24"/>
        </w:rPr>
        <w:t xml:space="preserve">estabeleceu </w:t>
      </w:r>
      <w:r w:rsidRPr="0087592A">
        <w:rPr>
          <w:rFonts w:ascii="Times New Roman" w:hAnsi="Times New Roman"/>
          <w:szCs w:val="24"/>
        </w:rPr>
        <w:t xml:space="preserve">exigências baseadas na referida norma ISO e concedeu prazo para os laboratórios se acreditarem </w:t>
      </w:r>
      <w:r w:rsidR="003A32A2">
        <w:rPr>
          <w:rFonts w:ascii="Times New Roman" w:hAnsi="Times New Roman"/>
          <w:szCs w:val="24"/>
        </w:rPr>
        <w:t>n</w:t>
      </w:r>
      <w:r w:rsidRPr="0087592A">
        <w:rPr>
          <w:rFonts w:ascii="Times New Roman" w:hAnsi="Times New Roman"/>
          <w:szCs w:val="24"/>
        </w:rPr>
        <w:t>o Inmetro.</w:t>
      </w:r>
    </w:p>
    <w:p w:rsidR="00FA17E2" w:rsidRDefault="00FA17E2" w:rsidP="00FA17E2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7592A" w:rsidRPr="0087592A">
        <w:rPr>
          <w:rFonts w:ascii="Times New Roman" w:hAnsi="Times New Roman"/>
          <w:szCs w:val="24"/>
        </w:rPr>
        <w:t xml:space="preserve">Ao longo </w:t>
      </w:r>
      <w:r w:rsidR="005453DF">
        <w:rPr>
          <w:rFonts w:ascii="Times New Roman" w:hAnsi="Times New Roman"/>
          <w:szCs w:val="24"/>
        </w:rPr>
        <w:t>do</w:t>
      </w:r>
      <w:r w:rsidR="005453DF" w:rsidRPr="0087592A">
        <w:rPr>
          <w:rFonts w:ascii="Times New Roman" w:hAnsi="Times New Roman"/>
          <w:szCs w:val="24"/>
        </w:rPr>
        <w:t xml:space="preserve"> </w:t>
      </w:r>
      <w:r w:rsidR="0087592A" w:rsidRPr="0087592A">
        <w:rPr>
          <w:rFonts w:ascii="Times New Roman" w:hAnsi="Times New Roman"/>
          <w:szCs w:val="24"/>
        </w:rPr>
        <w:t xml:space="preserve">tempo, o regulamento </w:t>
      </w:r>
      <w:r w:rsidR="003067FC">
        <w:rPr>
          <w:rFonts w:ascii="Times New Roman" w:hAnsi="Times New Roman"/>
          <w:szCs w:val="24"/>
        </w:rPr>
        <w:t xml:space="preserve">foi </w:t>
      </w:r>
      <w:r w:rsidR="005453DF">
        <w:rPr>
          <w:rFonts w:ascii="Times New Roman" w:hAnsi="Times New Roman"/>
          <w:szCs w:val="24"/>
        </w:rPr>
        <w:t>revisado e</w:t>
      </w:r>
      <w:r w:rsidR="0087592A" w:rsidRPr="0087592A">
        <w:rPr>
          <w:rFonts w:ascii="Times New Roman" w:hAnsi="Times New Roman"/>
          <w:szCs w:val="24"/>
        </w:rPr>
        <w:t xml:space="preserve"> substituído</w:t>
      </w:r>
      <w:r w:rsidR="005453DF">
        <w:rPr>
          <w:rFonts w:ascii="Times New Roman" w:hAnsi="Times New Roman"/>
          <w:szCs w:val="24"/>
        </w:rPr>
        <w:t>, em sequência,</w:t>
      </w:r>
      <w:r w:rsidR="0087592A" w:rsidRPr="0087592A">
        <w:rPr>
          <w:rFonts w:ascii="Times New Roman" w:hAnsi="Times New Roman"/>
          <w:szCs w:val="24"/>
        </w:rPr>
        <w:t xml:space="preserve"> pelas Resoluções ANP nº 46/2011, n° 48/2012 e</w:t>
      </w:r>
      <w:r w:rsidR="005453DF">
        <w:rPr>
          <w:rFonts w:ascii="Times New Roman" w:hAnsi="Times New Roman"/>
          <w:szCs w:val="24"/>
        </w:rPr>
        <w:t>,</w:t>
      </w:r>
      <w:r w:rsidR="0087592A" w:rsidRPr="0087592A">
        <w:rPr>
          <w:rFonts w:ascii="Times New Roman" w:hAnsi="Times New Roman"/>
          <w:szCs w:val="24"/>
        </w:rPr>
        <w:t xml:space="preserve"> </w:t>
      </w:r>
      <w:r w:rsidR="0087592A">
        <w:rPr>
          <w:rFonts w:ascii="Times New Roman" w:hAnsi="Times New Roman"/>
          <w:szCs w:val="24"/>
        </w:rPr>
        <w:t xml:space="preserve">por fim, </w:t>
      </w:r>
      <w:r w:rsidR="003067FC">
        <w:rPr>
          <w:rFonts w:ascii="Times New Roman" w:hAnsi="Times New Roman"/>
          <w:szCs w:val="24"/>
        </w:rPr>
        <w:t>pel</w:t>
      </w:r>
      <w:r w:rsidR="0087592A">
        <w:rPr>
          <w:rFonts w:ascii="Times New Roman" w:hAnsi="Times New Roman"/>
          <w:szCs w:val="24"/>
        </w:rPr>
        <w:t>a</w:t>
      </w:r>
      <w:r w:rsidR="003A32A2">
        <w:rPr>
          <w:rFonts w:ascii="Times New Roman" w:hAnsi="Times New Roman"/>
          <w:szCs w:val="24"/>
        </w:rPr>
        <w:t xml:space="preserve"> de</w:t>
      </w:r>
      <w:r w:rsidR="0087592A" w:rsidRPr="0087592A">
        <w:rPr>
          <w:rFonts w:ascii="Times New Roman" w:hAnsi="Times New Roman"/>
          <w:szCs w:val="24"/>
        </w:rPr>
        <w:t xml:space="preserve"> n° 6/2014</w:t>
      </w:r>
      <w:r w:rsidR="005453DF">
        <w:rPr>
          <w:rFonts w:ascii="Times New Roman" w:hAnsi="Times New Roman"/>
          <w:szCs w:val="24"/>
        </w:rPr>
        <w:t>.</w:t>
      </w:r>
      <w:r w:rsidR="0087592A" w:rsidRPr="0087592A">
        <w:rPr>
          <w:rFonts w:ascii="Times New Roman" w:hAnsi="Times New Roman"/>
          <w:szCs w:val="24"/>
        </w:rPr>
        <w:t xml:space="preserve"> </w:t>
      </w:r>
      <w:r w:rsidR="005453DF">
        <w:rPr>
          <w:rFonts w:ascii="Times New Roman" w:hAnsi="Times New Roman"/>
          <w:szCs w:val="24"/>
        </w:rPr>
        <w:t>Todas mantiveram a exigência de acreditação</w:t>
      </w:r>
      <w:r w:rsidR="0087592A" w:rsidRPr="0087592A">
        <w:rPr>
          <w:rFonts w:ascii="Times New Roman" w:hAnsi="Times New Roman"/>
          <w:szCs w:val="24"/>
        </w:rPr>
        <w:t xml:space="preserve">. Nesse período, a regra possibilitou </w:t>
      </w:r>
      <w:r w:rsidR="0087592A">
        <w:rPr>
          <w:rFonts w:ascii="Times New Roman" w:hAnsi="Times New Roman"/>
          <w:szCs w:val="24"/>
        </w:rPr>
        <w:t xml:space="preserve">que os laboratórios </w:t>
      </w:r>
      <w:r w:rsidR="00E151AE">
        <w:rPr>
          <w:rFonts w:ascii="Times New Roman" w:hAnsi="Times New Roman"/>
          <w:szCs w:val="24"/>
        </w:rPr>
        <w:t xml:space="preserve">implantassem </w:t>
      </w:r>
      <w:r w:rsidR="005453DF">
        <w:rPr>
          <w:rFonts w:ascii="Times New Roman" w:hAnsi="Times New Roman"/>
          <w:szCs w:val="24"/>
        </w:rPr>
        <w:t xml:space="preserve">seus </w:t>
      </w:r>
      <w:r w:rsidR="00E151AE">
        <w:rPr>
          <w:rFonts w:ascii="Times New Roman" w:hAnsi="Times New Roman"/>
          <w:szCs w:val="24"/>
        </w:rPr>
        <w:t>sistema</w:t>
      </w:r>
      <w:r w:rsidR="005453DF">
        <w:rPr>
          <w:rFonts w:ascii="Times New Roman" w:hAnsi="Times New Roman"/>
          <w:szCs w:val="24"/>
        </w:rPr>
        <w:t>s</w:t>
      </w:r>
      <w:r w:rsidR="00E151AE">
        <w:rPr>
          <w:rFonts w:ascii="Times New Roman" w:hAnsi="Times New Roman"/>
          <w:szCs w:val="24"/>
        </w:rPr>
        <w:t xml:space="preserve"> de gestão da qualidade, participassem do Programa Interlaboratorial de Biodiesel (promovido pela ANP) e se </w:t>
      </w:r>
      <w:r w:rsidR="0087592A">
        <w:rPr>
          <w:rFonts w:ascii="Times New Roman" w:hAnsi="Times New Roman"/>
          <w:szCs w:val="24"/>
        </w:rPr>
        <w:t>adequa</w:t>
      </w:r>
      <w:r w:rsidR="00E151AE">
        <w:rPr>
          <w:rFonts w:ascii="Times New Roman" w:hAnsi="Times New Roman"/>
          <w:szCs w:val="24"/>
        </w:rPr>
        <w:t xml:space="preserve">ssem </w:t>
      </w:r>
      <w:r w:rsidR="0087592A">
        <w:rPr>
          <w:rFonts w:ascii="Times New Roman" w:hAnsi="Times New Roman"/>
          <w:szCs w:val="24"/>
        </w:rPr>
        <w:t xml:space="preserve">às exigências da </w:t>
      </w:r>
      <w:r w:rsidR="00E151AE">
        <w:rPr>
          <w:rFonts w:ascii="Times New Roman" w:hAnsi="Times New Roman"/>
          <w:szCs w:val="24"/>
        </w:rPr>
        <w:t xml:space="preserve">norma ISO. </w:t>
      </w:r>
      <w:r w:rsidR="009527C0">
        <w:rPr>
          <w:rFonts w:ascii="Times New Roman" w:hAnsi="Times New Roman"/>
          <w:szCs w:val="24"/>
        </w:rPr>
        <w:t xml:space="preserve">Os laboratórios </w:t>
      </w:r>
      <w:r w:rsidR="005453DF">
        <w:rPr>
          <w:rFonts w:ascii="Times New Roman" w:hAnsi="Times New Roman"/>
          <w:szCs w:val="24"/>
        </w:rPr>
        <w:t xml:space="preserve">tiveram </w:t>
      </w:r>
      <w:r w:rsidR="009527C0">
        <w:rPr>
          <w:rFonts w:ascii="Times New Roman" w:hAnsi="Times New Roman"/>
          <w:szCs w:val="24"/>
        </w:rPr>
        <w:t>até o final de junho de 2016 para obterem a acreditação do Inmetro</w:t>
      </w:r>
      <w:r w:rsidR="005453DF">
        <w:rPr>
          <w:rFonts w:ascii="Times New Roman" w:hAnsi="Times New Roman"/>
          <w:szCs w:val="24"/>
        </w:rPr>
        <w:t>, de maneira</w:t>
      </w:r>
      <w:r w:rsidR="009527C0">
        <w:rPr>
          <w:rFonts w:ascii="Times New Roman" w:hAnsi="Times New Roman"/>
          <w:szCs w:val="24"/>
        </w:rPr>
        <w:t xml:space="preserve"> </w:t>
      </w:r>
      <w:r w:rsidR="005453DF">
        <w:rPr>
          <w:rFonts w:ascii="Times New Roman" w:hAnsi="Times New Roman"/>
          <w:szCs w:val="24"/>
        </w:rPr>
        <w:t xml:space="preserve">a </w:t>
      </w:r>
      <w:r w:rsidR="009527C0">
        <w:rPr>
          <w:rFonts w:ascii="Times New Roman" w:hAnsi="Times New Roman"/>
          <w:szCs w:val="24"/>
        </w:rPr>
        <w:t xml:space="preserve">continuarem cadastrados na ANP. </w:t>
      </w:r>
      <w:r w:rsidR="00E151AE">
        <w:rPr>
          <w:rFonts w:ascii="Times New Roman" w:hAnsi="Times New Roman"/>
          <w:szCs w:val="24"/>
        </w:rPr>
        <w:t xml:space="preserve">Com isso, </w:t>
      </w:r>
      <w:r w:rsidR="009527C0">
        <w:rPr>
          <w:rFonts w:ascii="Times New Roman" w:hAnsi="Times New Roman"/>
          <w:szCs w:val="24"/>
        </w:rPr>
        <w:t>n</w:t>
      </w:r>
      <w:r w:rsidR="00E151AE">
        <w:rPr>
          <w:rFonts w:ascii="Times New Roman" w:hAnsi="Times New Roman"/>
          <w:szCs w:val="24"/>
        </w:rPr>
        <w:t xml:space="preserve">o segundo semestre de 2016, </w:t>
      </w:r>
      <w:r w:rsidR="009527C0">
        <w:rPr>
          <w:rFonts w:ascii="Times New Roman" w:hAnsi="Times New Roman"/>
          <w:szCs w:val="24"/>
        </w:rPr>
        <w:t>a ANP iniciou o processo de revogação dos cadastros de laboratórios que não atenderam a essa determinação.</w:t>
      </w:r>
      <w:r w:rsidRPr="00FA17E2">
        <w:rPr>
          <w:rFonts w:ascii="Helv" w:hAnsi="Helv" w:cs="Helv"/>
          <w:color w:val="000000"/>
          <w:sz w:val="20"/>
        </w:rPr>
        <w:t xml:space="preserve"> </w:t>
      </w:r>
      <w:r w:rsidRPr="00FA17E2">
        <w:rPr>
          <w:rFonts w:ascii="Times New Roman" w:hAnsi="Times New Roman"/>
          <w:szCs w:val="24"/>
        </w:rPr>
        <w:t xml:space="preserve">De um total de 37 laboratórios cadastrados até junho de 2016, foram revogados 3 pelo não atendimento </w:t>
      </w:r>
      <w:r>
        <w:rPr>
          <w:rFonts w:ascii="Times New Roman" w:hAnsi="Times New Roman"/>
          <w:szCs w:val="24"/>
        </w:rPr>
        <w:t>à</w:t>
      </w:r>
      <w:r w:rsidRPr="00FA17E2">
        <w:rPr>
          <w:rFonts w:ascii="Times New Roman" w:hAnsi="Times New Roman"/>
          <w:szCs w:val="24"/>
        </w:rPr>
        <w:t xml:space="preserve"> acreditação </w:t>
      </w:r>
      <w:r>
        <w:rPr>
          <w:rFonts w:ascii="Times New Roman" w:hAnsi="Times New Roman"/>
          <w:szCs w:val="24"/>
        </w:rPr>
        <w:t xml:space="preserve">e 2 por </w:t>
      </w:r>
      <w:r w:rsidRPr="00FA17E2">
        <w:rPr>
          <w:rFonts w:ascii="Times New Roman" w:hAnsi="Times New Roman"/>
          <w:szCs w:val="24"/>
        </w:rPr>
        <w:t>outros</w:t>
      </w:r>
      <w:r>
        <w:rPr>
          <w:rFonts w:ascii="Times New Roman" w:hAnsi="Times New Roman"/>
          <w:szCs w:val="24"/>
        </w:rPr>
        <w:t xml:space="preserve"> </w:t>
      </w:r>
      <w:r w:rsidRPr="00FA17E2">
        <w:rPr>
          <w:rFonts w:ascii="Times New Roman" w:hAnsi="Times New Roman"/>
          <w:szCs w:val="24"/>
        </w:rPr>
        <w:t>motivos,</w:t>
      </w:r>
      <w:r>
        <w:rPr>
          <w:rFonts w:ascii="Times New Roman" w:hAnsi="Times New Roman"/>
          <w:szCs w:val="24"/>
        </w:rPr>
        <w:t xml:space="preserve"> </w:t>
      </w:r>
      <w:r w:rsidRPr="00FA17E2">
        <w:rPr>
          <w:rFonts w:ascii="Times New Roman" w:hAnsi="Times New Roman"/>
          <w:szCs w:val="24"/>
        </w:rPr>
        <w:t>totalizando</w:t>
      </w:r>
      <w:r>
        <w:rPr>
          <w:rFonts w:ascii="Times New Roman" w:hAnsi="Times New Roman"/>
          <w:szCs w:val="24"/>
        </w:rPr>
        <w:t xml:space="preserve"> </w:t>
      </w:r>
      <w:r w:rsidRPr="00FA17E2">
        <w:rPr>
          <w:rFonts w:ascii="Times New Roman" w:hAnsi="Times New Roman"/>
          <w:szCs w:val="24"/>
        </w:rPr>
        <w:t>atualmente</w:t>
      </w:r>
      <w:r>
        <w:rPr>
          <w:rFonts w:ascii="Times New Roman" w:hAnsi="Times New Roman"/>
          <w:szCs w:val="24"/>
        </w:rPr>
        <w:t xml:space="preserve"> </w:t>
      </w:r>
      <w:r w:rsidRPr="00FA17E2">
        <w:rPr>
          <w:rFonts w:ascii="Times New Roman" w:hAnsi="Times New Roman"/>
          <w:szCs w:val="24"/>
        </w:rPr>
        <w:t>32</w:t>
      </w:r>
      <w:r>
        <w:rPr>
          <w:rFonts w:ascii="Times New Roman" w:hAnsi="Times New Roman"/>
          <w:szCs w:val="24"/>
        </w:rPr>
        <w:t xml:space="preserve"> </w:t>
      </w:r>
      <w:r w:rsidRPr="00FA17E2">
        <w:rPr>
          <w:rFonts w:ascii="Times New Roman" w:hAnsi="Times New Roman"/>
          <w:szCs w:val="24"/>
        </w:rPr>
        <w:t>laboratórios</w:t>
      </w:r>
      <w:r>
        <w:rPr>
          <w:rFonts w:ascii="Times New Roman" w:hAnsi="Times New Roman"/>
          <w:szCs w:val="24"/>
        </w:rPr>
        <w:t xml:space="preserve"> cadastrados na ANP que possuem a acreditação do Inmetro.</w:t>
      </w:r>
    </w:p>
    <w:p w:rsidR="009A1C7E" w:rsidRDefault="009A1C7E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 linha com o Mapa Estratégico da ANP para 2017, um dos objetivos estratégicos é “</w:t>
      </w:r>
      <w:r w:rsidRPr="006E5B6C">
        <w:rPr>
          <w:rFonts w:ascii="Times New Roman" w:hAnsi="Times New Roman"/>
          <w:i/>
          <w:szCs w:val="24"/>
        </w:rPr>
        <w:t>Atualizar a regulamentação da ANP, minimizando barreiras ao investimento e reduzindo os custos impostos pela regulação</w:t>
      </w:r>
      <w:r>
        <w:rPr>
          <w:rFonts w:ascii="Times New Roman" w:hAnsi="Times New Roman"/>
          <w:szCs w:val="24"/>
        </w:rPr>
        <w:t>”, com vistas a buscar a melhor qualidade regulatória. A diretriz estratégica associada a es</w:t>
      </w:r>
      <w:r w:rsidR="003A32A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e objetivo indica que se deve buscar reduzir sobreposições e minimizar as exigências</w:t>
      </w:r>
      <w:r w:rsidR="00FA1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informação nos regulamentos vigentes. Com base nes</w:t>
      </w:r>
      <w:r w:rsidR="003A32A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a premissa</w:t>
      </w:r>
      <w:r w:rsidR="003A32A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e considerando que o objetivo do cadastramento dos laboratórios de biodiesel foi alcançado com a obtenção da acreditação do Inmetro, a Superintendência de Biocombustíveis e Qualidade de Produtos (SBQ) e o Centro de Pesquisas e Análises Tecnológicas (CPT) decidiram reavaliar</w:t>
      </w:r>
      <w:r w:rsidRPr="0087592A">
        <w:rPr>
          <w:rFonts w:ascii="Times New Roman" w:hAnsi="Times New Roman"/>
          <w:szCs w:val="24"/>
        </w:rPr>
        <w:t xml:space="preserve"> os regulamentos afetos ao referido cadastro</w:t>
      </w:r>
      <w:r>
        <w:rPr>
          <w:rFonts w:ascii="Times New Roman" w:hAnsi="Times New Roman"/>
          <w:szCs w:val="24"/>
        </w:rPr>
        <w:t>.</w:t>
      </w:r>
    </w:p>
    <w:p w:rsidR="00CE7B2B" w:rsidRDefault="00CE7B2B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</w:p>
    <w:p w:rsidR="003F5FEE" w:rsidRDefault="003F5FEE" w:rsidP="000A54DC">
      <w:pPr>
        <w:numPr>
          <w:ilvl w:val="1"/>
          <w:numId w:val="2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  <w:r w:rsidRPr="00C33929">
        <w:rPr>
          <w:rFonts w:ascii="Times New Roman" w:hAnsi="Times New Roman"/>
          <w:b/>
          <w:szCs w:val="24"/>
        </w:rPr>
        <w:t>FUNDAMENTAÇÃO LEGAL</w:t>
      </w:r>
    </w:p>
    <w:p w:rsidR="003F5FEE" w:rsidRPr="00D023A4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D023A4">
        <w:rPr>
          <w:rFonts w:ascii="Times New Roman" w:hAnsi="Times New Roman"/>
          <w:bCs/>
          <w:szCs w:val="24"/>
        </w:rPr>
        <w:t xml:space="preserve">A </w:t>
      </w:r>
      <w:r w:rsidR="003A32A2">
        <w:rPr>
          <w:rFonts w:ascii="Times New Roman" w:hAnsi="Times New Roman"/>
          <w:bCs/>
          <w:szCs w:val="24"/>
        </w:rPr>
        <w:t>L</w:t>
      </w:r>
      <w:r w:rsidRPr="00D023A4">
        <w:rPr>
          <w:rFonts w:ascii="Times New Roman" w:hAnsi="Times New Roman"/>
          <w:bCs/>
          <w:szCs w:val="24"/>
        </w:rPr>
        <w:t>ei nº 11.097, de 13 de janeiro de 2005, introduziu o biodiesel na matriz energética brasileira, alteran</w:t>
      </w:r>
      <w:r>
        <w:rPr>
          <w:rFonts w:ascii="Times New Roman" w:hAnsi="Times New Roman"/>
          <w:bCs/>
          <w:szCs w:val="24"/>
        </w:rPr>
        <w:t xml:space="preserve">do, também, a </w:t>
      </w:r>
      <w:r w:rsidR="003A32A2">
        <w:rPr>
          <w:rFonts w:ascii="Times New Roman" w:hAnsi="Times New Roman"/>
          <w:bCs/>
          <w:szCs w:val="24"/>
        </w:rPr>
        <w:t>L</w:t>
      </w:r>
      <w:r>
        <w:rPr>
          <w:rFonts w:ascii="Times New Roman" w:hAnsi="Times New Roman"/>
          <w:bCs/>
          <w:szCs w:val="24"/>
        </w:rPr>
        <w:t xml:space="preserve">ei nº 9.478, de </w:t>
      </w:r>
      <w:r w:rsidRPr="00D023A4">
        <w:rPr>
          <w:rFonts w:ascii="Times New Roman" w:hAnsi="Times New Roman"/>
          <w:bCs/>
          <w:szCs w:val="24"/>
        </w:rPr>
        <w:t>6 de agosto de 1997, a qual instituiu a Agência Nacional do Petróleo, Gás Natural e Biocombustíveis (ANP).</w:t>
      </w:r>
    </w:p>
    <w:p w:rsidR="003F5FEE" w:rsidRPr="00D023A4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D023A4">
        <w:rPr>
          <w:rFonts w:ascii="Times New Roman" w:hAnsi="Times New Roman"/>
          <w:bCs/>
          <w:szCs w:val="24"/>
        </w:rPr>
        <w:t xml:space="preserve">Dentre as atribuições conferidas à ANP, tem-se no </w:t>
      </w:r>
      <w:r w:rsidR="003A32A2">
        <w:rPr>
          <w:rFonts w:ascii="Times New Roman" w:hAnsi="Times New Roman"/>
          <w:bCs/>
          <w:szCs w:val="24"/>
        </w:rPr>
        <w:t>a</w:t>
      </w:r>
      <w:r w:rsidRPr="00D023A4">
        <w:rPr>
          <w:rFonts w:ascii="Times New Roman" w:hAnsi="Times New Roman"/>
          <w:bCs/>
          <w:szCs w:val="24"/>
        </w:rPr>
        <w:t>rt. 8º:</w:t>
      </w:r>
    </w:p>
    <w:p w:rsidR="003F5FE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8B45EF">
        <w:rPr>
          <w:rFonts w:ascii="Times New Roman" w:hAnsi="Times New Roman"/>
          <w:bCs/>
          <w:i/>
          <w:sz w:val="22"/>
          <w:szCs w:val="22"/>
        </w:rPr>
        <w:t>“I - implementar, em sua esfera de atribuições, a política nacional de petróleo, gás natural e biocombustíveis, contida na política energética nacional, nos termos do Capítulo I desta Lei, com ênfase na garantia do suprimento de derivados de petróleo, gás natural e seus derivados, e de biocombustíveis, em todo o território nacional, e na proteção dos interesses dos consumidores quanto a preço, qualidade e oferta dos produtos.</w:t>
      </w:r>
    </w:p>
    <w:p w:rsidR="003F5FEE" w:rsidRPr="008B45EF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(...)</w:t>
      </w:r>
    </w:p>
    <w:p w:rsidR="003F5FEE" w:rsidRPr="008B45EF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8B45EF">
        <w:rPr>
          <w:rFonts w:ascii="Times New Roman" w:hAnsi="Times New Roman"/>
          <w:bCs/>
          <w:i/>
          <w:sz w:val="22"/>
          <w:szCs w:val="22"/>
        </w:rPr>
        <w:t xml:space="preserve">XVI - regular e autorizar as atividades relacionadas à produção, à importação, à exportação, à armazenagem, à estocagem, ao transporte, à transferência, à </w:t>
      </w:r>
      <w:r w:rsidRPr="008B45EF">
        <w:rPr>
          <w:rFonts w:ascii="Times New Roman" w:hAnsi="Times New Roman"/>
          <w:bCs/>
          <w:i/>
          <w:sz w:val="22"/>
          <w:szCs w:val="22"/>
        </w:rPr>
        <w:lastRenderedPageBreak/>
        <w:t>distribuição, à revenda e à comercialização de biocombustíveis, assim como avaliação de conformidade e certificação de sua qualidade, fiscalizando-as diretamente ou mediante convênios com outros órgãos da União, Estados, Distrito Federal ou Municípios.</w:t>
      </w:r>
    </w:p>
    <w:p w:rsidR="003F5FE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8B45EF">
        <w:rPr>
          <w:rFonts w:ascii="Times New Roman" w:hAnsi="Times New Roman"/>
          <w:bCs/>
          <w:i/>
          <w:sz w:val="22"/>
          <w:szCs w:val="22"/>
        </w:rPr>
        <w:t>XVIII - especificar a qualidade dos derivados de petróleo, gás natural e seus derivados e dos biocombustíveis.</w:t>
      </w:r>
    </w:p>
    <w:p w:rsidR="003F5FEE" w:rsidRPr="008B45EF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(...)</w:t>
      </w:r>
      <w:r w:rsidRPr="008B45EF">
        <w:rPr>
          <w:rFonts w:ascii="Times New Roman" w:hAnsi="Times New Roman"/>
          <w:bCs/>
          <w:i/>
          <w:sz w:val="22"/>
          <w:szCs w:val="22"/>
        </w:rPr>
        <w:t>”</w:t>
      </w:r>
    </w:p>
    <w:p w:rsidR="003F5FEE" w:rsidRPr="00D023A4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</w:t>
      </w:r>
      <w:r w:rsidRPr="00D023A4">
        <w:rPr>
          <w:rFonts w:ascii="Times New Roman" w:hAnsi="Times New Roman"/>
          <w:bCs/>
          <w:szCs w:val="24"/>
        </w:rPr>
        <w:t>onsiderando a necessidade de garantir confiabilidade aos resultados dos ensaios físico-químicos</w:t>
      </w:r>
      <w:r>
        <w:rPr>
          <w:rFonts w:ascii="Times New Roman" w:hAnsi="Times New Roman"/>
          <w:bCs/>
          <w:szCs w:val="24"/>
        </w:rPr>
        <w:t xml:space="preserve"> realizados no biodiesel</w:t>
      </w:r>
      <w:r w:rsidRPr="00D023A4">
        <w:rPr>
          <w:rFonts w:ascii="Times New Roman" w:hAnsi="Times New Roman"/>
          <w:bCs/>
          <w:szCs w:val="24"/>
        </w:rPr>
        <w:t xml:space="preserve">, </w:t>
      </w:r>
      <w:r w:rsidR="003A32A2">
        <w:rPr>
          <w:rFonts w:ascii="Times New Roman" w:hAnsi="Times New Roman"/>
          <w:bCs/>
          <w:szCs w:val="24"/>
        </w:rPr>
        <w:t xml:space="preserve">foi publicada </w:t>
      </w:r>
      <w:r>
        <w:rPr>
          <w:rFonts w:ascii="Times New Roman" w:hAnsi="Times New Roman"/>
          <w:bCs/>
          <w:szCs w:val="24"/>
        </w:rPr>
        <w:t xml:space="preserve">a Resolução </w:t>
      </w:r>
      <w:r w:rsidR="003A32A2">
        <w:rPr>
          <w:rFonts w:ascii="Times New Roman" w:hAnsi="Times New Roman"/>
          <w:bCs/>
          <w:szCs w:val="24"/>
        </w:rPr>
        <w:t xml:space="preserve">ANP </w:t>
      </w:r>
      <w:r>
        <w:rPr>
          <w:rFonts w:ascii="Times New Roman" w:hAnsi="Times New Roman"/>
          <w:bCs/>
          <w:szCs w:val="24"/>
        </w:rPr>
        <w:t xml:space="preserve">nº </w:t>
      </w:r>
      <w:r w:rsidRPr="00D023A4">
        <w:rPr>
          <w:rFonts w:ascii="Times New Roman" w:hAnsi="Times New Roman"/>
          <w:bCs/>
          <w:szCs w:val="24"/>
        </w:rPr>
        <w:t xml:space="preserve">7, de 19 de março de 2008, </w:t>
      </w:r>
      <w:r w:rsidR="003E187A">
        <w:rPr>
          <w:rFonts w:ascii="Times New Roman" w:hAnsi="Times New Roman"/>
          <w:bCs/>
          <w:szCs w:val="24"/>
        </w:rPr>
        <w:t xml:space="preserve">por meio da qual </w:t>
      </w:r>
      <w:r w:rsidRPr="00D023A4">
        <w:rPr>
          <w:rFonts w:ascii="Times New Roman" w:hAnsi="Times New Roman"/>
          <w:bCs/>
          <w:szCs w:val="24"/>
        </w:rPr>
        <w:t>os laboratórios</w:t>
      </w:r>
      <w:r>
        <w:rPr>
          <w:rFonts w:ascii="Times New Roman" w:hAnsi="Times New Roman"/>
          <w:bCs/>
          <w:szCs w:val="24"/>
        </w:rPr>
        <w:t>,</w:t>
      </w:r>
      <w:r w:rsidRPr="00D023A4">
        <w:rPr>
          <w:rFonts w:ascii="Times New Roman" w:hAnsi="Times New Roman"/>
          <w:bCs/>
          <w:szCs w:val="24"/>
        </w:rPr>
        <w:t xml:space="preserve"> que realizam ensaios físico-químicos para emissão do </w:t>
      </w:r>
      <w:r>
        <w:rPr>
          <w:rFonts w:ascii="Times New Roman" w:hAnsi="Times New Roman"/>
          <w:bCs/>
          <w:szCs w:val="24"/>
        </w:rPr>
        <w:t>c</w:t>
      </w:r>
      <w:r w:rsidRPr="00D023A4">
        <w:rPr>
          <w:rFonts w:ascii="Times New Roman" w:hAnsi="Times New Roman"/>
          <w:bCs/>
          <w:szCs w:val="24"/>
        </w:rPr>
        <w:t xml:space="preserve">ertificado da </w:t>
      </w:r>
      <w:r>
        <w:rPr>
          <w:rFonts w:ascii="Times New Roman" w:hAnsi="Times New Roman"/>
          <w:bCs/>
          <w:szCs w:val="24"/>
        </w:rPr>
        <w:t>q</w:t>
      </w:r>
      <w:r w:rsidRPr="00D023A4">
        <w:rPr>
          <w:rFonts w:ascii="Times New Roman" w:hAnsi="Times New Roman"/>
          <w:bCs/>
          <w:szCs w:val="24"/>
        </w:rPr>
        <w:t>ualidade</w:t>
      </w:r>
      <w:r>
        <w:rPr>
          <w:rFonts w:ascii="Times New Roman" w:hAnsi="Times New Roman"/>
          <w:bCs/>
          <w:szCs w:val="24"/>
        </w:rPr>
        <w:t xml:space="preserve"> (documento necessário para a comercialização do produto),</w:t>
      </w:r>
      <w:r w:rsidRPr="00D023A4">
        <w:rPr>
          <w:rFonts w:ascii="Times New Roman" w:hAnsi="Times New Roman"/>
          <w:bCs/>
          <w:szCs w:val="24"/>
        </w:rPr>
        <w:t xml:space="preserve"> deveriam </w:t>
      </w:r>
      <w:r w:rsidR="003E187A">
        <w:rPr>
          <w:rFonts w:ascii="Times New Roman" w:hAnsi="Times New Roman"/>
          <w:bCs/>
          <w:szCs w:val="24"/>
        </w:rPr>
        <w:t>buscar o cadastramento</w:t>
      </w:r>
      <w:r w:rsidRPr="00D023A4">
        <w:rPr>
          <w:rFonts w:ascii="Times New Roman" w:hAnsi="Times New Roman"/>
          <w:bCs/>
          <w:szCs w:val="24"/>
        </w:rPr>
        <w:t xml:space="preserve"> </w:t>
      </w:r>
      <w:r w:rsidR="003A32A2">
        <w:rPr>
          <w:rFonts w:ascii="Times New Roman" w:hAnsi="Times New Roman"/>
          <w:bCs/>
          <w:szCs w:val="24"/>
        </w:rPr>
        <w:t>na Agência</w:t>
      </w:r>
      <w:r w:rsidRPr="00D023A4">
        <w:rPr>
          <w:rFonts w:ascii="Times New Roman" w:hAnsi="Times New Roman"/>
          <w:bCs/>
          <w:szCs w:val="24"/>
        </w:rPr>
        <w:t>.</w:t>
      </w:r>
    </w:p>
    <w:p w:rsidR="003F5FEE" w:rsidRPr="00D023A4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Os requisitos necessários para o cadastro de laboratórios interessados em realizar análises visando à certificação do biodiesel foram, primeiramente, estabelecidos pela Resolução ANP nº 31, de 21 de outubro de 2008, que trouxe no seu artigo 18 a previsão de acreditação dos laboratórios na NBR ISO IEC 17025.</w:t>
      </w:r>
    </w:p>
    <w:p w:rsidR="003F5FEE" w:rsidRPr="004223C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4223CE">
        <w:rPr>
          <w:rFonts w:ascii="Times New Roman" w:hAnsi="Times New Roman"/>
          <w:bCs/>
          <w:i/>
          <w:sz w:val="22"/>
          <w:szCs w:val="22"/>
        </w:rPr>
        <w:t>“Art. 18. A ANP exigirá, a partir de 2013, que os laboratórios e instituições que realizam ensaios de Certificação de Biodiesel sejam Acreditados, de acordo com a norma NBR ISO IEC 17025.”</w:t>
      </w:r>
    </w:p>
    <w:p w:rsidR="003F5FEE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Em 2011, </w:t>
      </w:r>
      <w:r w:rsidR="003A32A2">
        <w:rPr>
          <w:rFonts w:ascii="Times New Roman" w:hAnsi="Times New Roman"/>
          <w:bCs/>
          <w:szCs w:val="24"/>
        </w:rPr>
        <w:t>procedeu-se à re</w:t>
      </w:r>
      <w:r>
        <w:rPr>
          <w:rFonts w:ascii="Times New Roman" w:hAnsi="Times New Roman"/>
          <w:bCs/>
          <w:szCs w:val="24"/>
        </w:rPr>
        <w:t>vis</w:t>
      </w:r>
      <w:r w:rsidR="003A32A2">
        <w:rPr>
          <w:rFonts w:ascii="Times New Roman" w:hAnsi="Times New Roman"/>
          <w:bCs/>
          <w:szCs w:val="24"/>
        </w:rPr>
        <w:t>ão</w:t>
      </w:r>
      <w:r>
        <w:rPr>
          <w:rFonts w:ascii="Times New Roman" w:hAnsi="Times New Roman"/>
          <w:bCs/>
          <w:szCs w:val="24"/>
        </w:rPr>
        <w:t xml:space="preserve"> </w:t>
      </w:r>
      <w:r w:rsidR="00317F0F">
        <w:rPr>
          <w:rFonts w:ascii="Times New Roman" w:hAnsi="Times New Roman"/>
          <w:bCs/>
          <w:szCs w:val="24"/>
        </w:rPr>
        <w:t>d</w:t>
      </w:r>
      <w:r>
        <w:rPr>
          <w:rFonts w:ascii="Times New Roman" w:hAnsi="Times New Roman"/>
          <w:bCs/>
          <w:szCs w:val="24"/>
        </w:rPr>
        <w:t xml:space="preserve">a Resolução ANP nº 31/2008, </w:t>
      </w:r>
      <w:r w:rsidR="00317F0F">
        <w:rPr>
          <w:rFonts w:ascii="Times New Roman" w:hAnsi="Times New Roman"/>
          <w:bCs/>
          <w:szCs w:val="24"/>
        </w:rPr>
        <w:t xml:space="preserve">que resultou na </w:t>
      </w:r>
      <w:r>
        <w:rPr>
          <w:rFonts w:ascii="Times New Roman" w:hAnsi="Times New Roman"/>
          <w:bCs/>
          <w:szCs w:val="24"/>
        </w:rPr>
        <w:t>publica</w:t>
      </w:r>
      <w:r w:rsidR="00317F0F">
        <w:rPr>
          <w:rFonts w:ascii="Times New Roman" w:hAnsi="Times New Roman"/>
          <w:bCs/>
          <w:szCs w:val="24"/>
        </w:rPr>
        <w:t>ção</w:t>
      </w:r>
      <w:r>
        <w:rPr>
          <w:rFonts w:ascii="Times New Roman" w:hAnsi="Times New Roman"/>
          <w:bCs/>
          <w:szCs w:val="24"/>
        </w:rPr>
        <w:t xml:space="preserve"> </w:t>
      </w:r>
      <w:r w:rsidR="00317F0F">
        <w:rPr>
          <w:rFonts w:ascii="Times New Roman" w:hAnsi="Times New Roman"/>
          <w:bCs/>
          <w:szCs w:val="24"/>
        </w:rPr>
        <w:t>d</w:t>
      </w:r>
      <w:r>
        <w:rPr>
          <w:rFonts w:ascii="Times New Roman" w:hAnsi="Times New Roman"/>
          <w:bCs/>
          <w:szCs w:val="24"/>
        </w:rPr>
        <w:t>a Resolução ANP nº 46</w:t>
      </w:r>
      <w:r w:rsidR="003E187A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em 9 de setembro, que, entre outras alterações, definiu, em seu artigo 17, data para que os laboratórios obtivessem a acreditação na </w:t>
      </w:r>
      <w:r w:rsidRPr="00A629F0">
        <w:rPr>
          <w:rFonts w:ascii="Times New Roman" w:hAnsi="Times New Roman"/>
          <w:bCs/>
          <w:szCs w:val="24"/>
        </w:rPr>
        <w:t>NBR ISO IEC 17025</w:t>
      </w:r>
      <w:r>
        <w:rPr>
          <w:rFonts w:ascii="Times New Roman" w:hAnsi="Times New Roman"/>
          <w:bCs/>
          <w:szCs w:val="24"/>
        </w:rPr>
        <w:t>.</w:t>
      </w:r>
    </w:p>
    <w:p w:rsidR="003F5FEE" w:rsidRPr="004223C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4223CE">
        <w:rPr>
          <w:rFonts w:ascii="Times New Roman" w:hAnsi="Times New Roman"/>
          <w:bCs/>
          <w:i/>
          <w:sz w:val="22"/>
          <w:szCs w:val="22"/>
        </w:rPr>
        <w:t>“Art. 17. A ANP exigirá, a partir de 1º de janeiro de 2013, que os laboratórios que realizam ensaios de Certificação de Biodiesel sejam Acreditados junto ao INMETRO, nos ensaios a serem cadastrados, de acordo com a norma NBR ISO IEC 17025.”</w:t>
      </w:r>
    </w:p>
    <w:p w:rsidR="003F5FEE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 2012, a ANP percebeu que o prazo estipulado não seria suficiente e publicou a Resolução ANP nº 48, de 21 de dezembro de 2012, que alterou a redação do artigo 17 da Resolução ANP nº 46/2011, prorrogando o prazo para obtenção da acreditação para 1º de janeiro de 2015.</w:t>
      </w:r>
    </w:p>
    <w:p w:rsidR="003F5FEE" w:rsidRPr="004223C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4223CE">
        <w:rPr>
          <w:rFonts w:ascii="Times New Roman" w:hAnsi="Times New Roman"/>
          <w:bCs/>
          <w:i/>
          <w:sz w:val="22"/>
          <w:szCs w:val="22"/>
        </w:rPr>
        <w:t>"Art. 1º. A ANP exigirá, a partir de 1º de janeiro de 2015, que os laboratórios que realizam ensaios de Certificação de Biodiesel sejam Acreditados junto ao INMETRO, nos ensaios a serem cadastrados, de acordo com a norma NBR ISO IEC 17025."</w:t>
      </w:r>
    </w:p>
    <w:p w:rsidR="003F5FEE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fim, em 5 de fevereiro de 2014, foi publicada a Resolução ANP nº6/2014 que, entre outras alterações, escalonou a obrigação de obtenção de acreditação na </w:t>
      </w:r>
      <w:r w:rsidRPr="00B63A56">
        <w:rPr>
          <w:rFonts w:ascii="Times New Roman" w:hAnsi="Times New Roman"/>
          <w:szCs w:val="24"/>
        </w:rPr>
        <w:t>NBR ISO IEC 17025</w:t>
      </w:r>
      <w:r w:rsidR="00317F0F">
        <w:rPr>
          <w:rFonts w:ascii="Times New Roman" w:hAnsi="Times New Roman"/>
          <w:szCs w:val="24"/>
        </w:rPr>
        <w:t xml:space="preserve"> no seu artigo 18. Ess</w:t>
      </w:r>
      <w:r>
        <w:rPr>
          <w:rFonts w:ascii="Times New Roman" w:hAnsi="Times New Roman"/>
          <w:szCs w:val="24"/>
        </w:rPr>
        <w:t xml:space="preserve">e novo prazo foi definido em conjunto com o </w:t>
      </w:r>
      <w:r w:rsidR="00CA04CA">
        <w:rPr>
          <w:rFonts w:ascii="Times New Roman" w:hAnsi="Times New Roman"/>
          <w:szCs w:val="24"/>
        </w:rPr>
        <w:t>Inmetro</w:t>
      </w:r>
      <w:r>
        <w:rPr>
          <w:rFonts w:ascii="Times New Roman" w:hAnsi="Times New Roman"/>
          <w:szCs w:val="24"/>
        </w:rPr>
        <w:t>, organismo acreditador, considerando o número de processos necessários para que todos os laboratórios, à época cadastrados, pudessem obter acreditação, bem como a capacidade de avaliação do órgão.</w:t>
      </w:r>
    </w:p>
    <w:p w:rsidR="003F5FEE" w:rsidRPr="004223C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bookmarkStart w:id="17" w:name="art18"/>
      <w:bookmarkEnd w:id="17"/>
      <w:r w:rsidRPr="004223CE">
        <w:rPr>
          <w:rFonts w:ascii="Times New Roman" w:hAnsi="Times New Roman"/>
          <w:bCs/>
          <w:i/>
          <w:sz w:val="22"/>
          <w:szCs w:val="22"/>
        </w:rPr>
        <w:t>Art. 18. Os laboratórios cadastrados junto à ANP, para fins de certificação de biodiesel, deverão apresentar até 31 de dezembro de 2014, cópia do certificado de acreditação junto ao INMETRO, de acordo com a norma NBR ISO IEC 17025, para todos os ensaios cadastrados.</w:t>
      </w:r>
    </w:p>
    <w:p w:rsidR="003F5FEE" w:rsidRPr="004223C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4223CE">
        <w:rPr>
          <w:rFonts w:ascii="Times New Roman" w:hAnsi="Times New Roman"/>
          <w:bCs/>
          <w:i/>
          <w:sz w:val="22"/>
          <w:szCs w:val="22"/>
        </w:rPr>
        <w:t xml:space="preserve">§ 1º Para aqueles ensaios ainda não acreditados, os laboratórios de que trata o caput poderão encaminhar cópia do protocolo de solicitação de acreditação junto ao </w:t>
      </w:r>
      <w:r w:rsidRPr="004223CE">
        <w:rPr>
          <w:rFonts w:ascii="Times New Roman" w:hAnsi="Times New Roman"/>
          <w:bCs/>
          <w:i/>
          <w:sz w:val="22"/>
          <w:szCs w:val="22"/>
        </w:rPr>
        <w:lastRenderedPageBreak/>
        <w:t>INMETRO, na norma NBR ISO IEC 17025, em substituição ao certificado de acreditação.</w:t>
      </w:r>
    </w:p>
    <w:p w:rsidR="003F5FEE" w:rsidRPr="004223C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4223CE">
        <w:rPr>
          <w:rFonts w:ascii="Times New Roman" w:hAnsi="Times New Roman"/>
          <w:bCs/>
          <w:i/>
          <w:sz w:val="22"/>
          <w:szCs w:val="22"/>
        </w:rPr>
        <w:t>§ 2º A partir de 1º de janeiro de 2015, somente serão aceitas solicitações de cadastros de laboratórios, até mesmo nos casos de inclusão de novo(s) ensaio(s) e/ou metodologia(s), para ensaios que já estejam acreditados junto ao INMETRO ou que o protocolo de solicitação de acreditação de que trata o § 1º deste artigo seja datado de até 31 de dezembro de 2014.</w:t>
      </w:r>
    </w:p>
    <w:p w:rsidR="003F5FEE" w:rsidRPr="004223C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4223CE">
        <w:rPr>
          <w:rFonts w:ascii="Times New Roman" w:hAnsi="Times New Roman"/>
          <w:bCs/>
          <w:i/>
          <w:sz w:val="22"/>
          <w:szCs w:val="22"/>
        </w:rPr>
        <w:t>§ 3º Os laboratórios que apresentaram o protocolo de solicitação de acreditação junto ao INMETRO, conforme trata o § 1º e o § 2º deste artigo, deverão apresentar até 30 de junho de 2016, em substituição ao protocolo, cópia do certificado de acreditação junto ao INMETRO, de acordo com a norma NBR ISO IEC 17025, para todos os ensaios cadastrados.</w:t>
      </w:r>
    </w:p>
    <w:p w:rsidR="003F5FEE" w:rsidRDefault="003F5FEE" w:rsidP="003F5FEE">
      <w:pPr>
        <w:tabs>
          <w:tab w:val="left" w:pos="1134"/>
        </w:tabs>
        <w:spacing w:before="120" w:after="120"/>
        <w:ind w:left="1985"/>
        <w:jc w:val="both"/>
        <w:rPr>
          <w:rFonts w:ascii="Times New Roman" w:hAnsi="Times New Roman"/>
          <w:bCs/>
          <w:i/>
          <w:sz w:val="22"/>
          <w:szCs w:val="22"/>
        </w:rPr>
      </w:pPr>
      <w:r w:rsidRPr="004223CE">
        <w:rPr>
          <w:rFonts w:ascii="Times New Roman" w:hAnsi="Times New Roman"/>
          <w:bCs/>
          <w:i/>
          <w:sz w:val="22"/>
          <w:szCs w:val="22"/>
        </w:rPr>
        <w:t>§ 4º Serão excluídos do cadastro os ensaios para os quais o laboratório não cumprir o disposto neste artigo dentro do prazo estabelecido.</w:t>
      </w:r>
    </w:p>
    <w:p w:rsidR="00D424D0" w:rsidRPr="007766C9" w:rsidRDefault="00D424D0" w:rsidP="007766C9">
      <w:pPr>
        <w:tabs>
          <w:tab w:val="left" w:pos="851"/>
        </w:tabs>
        <w:spacing w:before="120" w:after="120" w:line="360" w:lineRule="auto"/>
        <w:ind w:firstLine="851"/>
        <w:jc w:val="both"/>
        <w:rPr>
          <w:rFonts w:ascii="Times New Roman" w:hAnsi="Times New Roman"/>
          <w:szCs w:val="24"/>
        </w:rPr>
      </w:pPr>
    </w:p>
    <w:p w:rsidR="005E270A" w:rsidRPr="005E270A" w:rsidRDefault="005E270A" w:rsidP="000A54DC">
      <w:pPr>
        <w:numPr>
          <w:ilvl w:val="1"/>
          <w:numId w:val="2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  <w:r w:rsidRPr="005E270A">
        <w:rPr>
          <w:rFonts w:ascii="Times New Roman" w:hAnsi="Times New Roman"/>
          <w:b/>
          <w:szCs w:val="24"/>
        </w:rPr>
        <w:t>HISTÓRICO</w:t>
      </w:r>
    </w:p>
    <w:p w:rsidR="003F5FEE" w:rsidRDefault="003F5FEE" w:rsidP="00DA0041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="00141375">
        <w:fldChar w:fldCharType="begin"/>
      </w:r>
      <w:r w:rsidR="00141375">
        <w:instrText xml:space="preserve"> REF _Ref474265008 \h  \* MERGEFORMAT </w:instrText>
      </w:r>
      <w:r w:rsidR="00141375">
        <w:fldChar w:fldCharType="separate"/>
      </w:r>
      <w:r w:rsidRPr="0042577E">
        <w:rPr>
          <w:rFonts w:ascii="Times New Roman" w:hAnsi="Times New Roman"/>
          <w:b/>
        </w:rPr>
        <w:t>Tabela 1</w:t>
      </w:r>
      <w:r w:rsidR="00141375">
        <w:fldChar w:fldCharType="end"/>
      </w:r>
      <w:r>
        <w:rPr>
          <w:rFonts w:ascii="Times New Roman" w:hAnsi="Times New Roman"/>
          <w:szCs w:val="24"/>
        </w:rPr>
        <w:t xml:space="preserve"> traz um resumo das resoluções ANP que já trataram do tema cadastro de laboratório para certificação de biodiesel.</w:t>
      </w:r>
      <w:r w:rsidR="00E87F98">
        <w:rPr>
          <w:rFonts w:ascii="Times New Roman" w:hAnsi="Times New Roman"/>
          <w:szCs w:val="24"/>
        </w:rPr>
        <w:t xml:space="preserve"> </w:t>
      </w:r>
      <w:r w:rsidR="00E87F98" w:rsidRPr="00E87F98">
        <w:rPr>
          <w:rFonts w:ascii="Times New Roman" w:hAnsi="Times New Roman"/>
          <w:szCs w:val="24"/>
        </w:rPr>
        <w:t>Destaca-se a ampliação da capacidade analítica de biodiesel</w:t>
      </w:r>
      <w:r w:rsidR="002B14ED">
        <w:rPr>
          <w:rFonts w:ascii="Times New Roman" w:hAnsi="Times New Roman"/>
          <w:szCs w:val="24"/>
        </w:rPr>
        <w:t xml:space="preserve"> e o amadurecimento do segmento</w:t>
      </w:r>
      <w:r w:rsidR="00E87F98" w:rsidRPr="00E87F98">
        <w:rPr>
          <w:rFonts w:ascii="Times New Roman" w:hAnsi="Times New Roman"/>
          <w:szCs w:val="24"/>
        </w:rPr>
        <w:t xml:space="preserve">, </w:t>
      </w:r>
      <w:r w:rsidR="002B14ED">
        <w:rPr>
          <w:rFonts w:ascii="Times New Roman" w:hAnsi="Times New Roman"/>
          <w:szCs w:val="24"/>
        </w:rPr>
        <w:t xml:space="preserve">quando se </w:t>
      </w:r>
      <w:r w:rsidR="00E87F98" w:rsidRPr="00E87F98">
        <w:rPr>
          <w:rFonts w:ascii="Times New Roman" w:hAnsi="Times New Roman"/>
          <w:szCs w:val="24"/>
        </w:rPr>
        <w:t>compara</w:t>
      </w:r>
      <w:r w:rsidR="002B14ED">
        <w:rPr>
          <w:rFonts w:ascii="Times New Roman" w:hAnsi="Times New Roman"/>
          <w:szCs w:val="24"/>
        </w:rPr>
        <w:t xml:space="preserve"> ao que se verificava</w:t>
      </w:r>
      <w:r w:rsidR="00E87F98" w:rsidRPr="00E87F98">
        <w:rPr>
          <w:rFonts w:ascii="Times New Roman" w:hAnsi="Times New Roman"/>
          <w:szCs w:val="24"/>
        </w:rPr>
        <w:t xml:space="preserve"> no início </w:t>
      </w:r>
      <w:r w:rsidR="002B14ED">
        <w:rPr>
          <w:rFonts w:ascii="Times New Roman" w:hAnsi="Times New Roman"/>
          <w:szCs w:val="24"/>
        </w:rPr>
        <w:t>do uso</w:t>
      </w:r>
      <w:r w:rsidR="00E87F98" w:rsidRPr="00E87F98">
        <w:rPr>
          <w:rFonts w:ascii="Times New Roman" w:hAnsi="Times New Roman"/>
          <w:szCs w:val="24"/>
        </w:rPr>
        <w:t xml:space="preserve"> obrigatório</w:t>
      </w:r>
      <w:r w:rsidR="002B14ED">
        <w:rPr>
          <w:rFonts w:ascii="Times New Roman" w:hAnsi="Times New Roman"/>
          <w:szCs w:val="24"/>
        </w:rPr>
        <w:t xml:space="preserve"> desse biocombustível</w:t>
      </w:r>
      <w:r w:rsidR="00E87F98" w:rsidRPr="00E87F98">
        <w:rPr>
          <w:rFonts w:ascii="Times New Roman" w:hAnsi="Times New Roman"/>
          <w:szCs w:val="24"/>
        </w:rPr>
        <w:t xml:space="preserve">, </w:t>
      </w:r>
      <w:r w:rsidR="002B14ED">
        <w:rPr>
          <w:rFonts w:ascii="Times New Roman" w:hAnsi="Times New Roman"/>
          <w:szCs w:val="24"/>
        </w:rPr>
        <w:t xml:space="preserve">época em que foi iniciado </w:t>
      </w:r>
      <w:r w:rsidR="00E87F98" w:rsidRPr="00E87F98">
        <w:rPr>
          <w:rFonts w:ascii="Times New Roman" w:hAnsi="Times New Roman"/>
          <w:szCs w:val="24"/>
        </w:rPr>
        <w:t>o cadastro de laboratório</w:t>
      </w:r>
      <w:r w:rsidR="003E187A">
        <w:rPr>
          <w:rFonts w:ascii="Times New Roman" w:hAnsi="Times New Roman"/>
          <w:szCs w:val="24"/>
        </w:rPr>
        <w:t>s</w:t>
      </w:r>
      <w:r w:rsidR="002B14ED">
        <w:rPr>
          <w:rFonts w:ascii="Times New Roman" w:hAnsi="Times New Roman"/>
          <w:szCs w:val="24"/>
        </w:rPr>
        <w:t xml:space="preserve"> pela ANP</w:t>
      </w:r>
      <w:r w:rsidR="00E87F98">
        <w:rPr>
          <w:rFonts w:ascii="Times New Roman" w:hAnsi="Times New Roman"/>
          <w:szCs w:val="24"/>
        </w:rPr>
        <w:t>.</w:t>
      </w:r>
    </w:p>
    <w:p w:rsidR="003F5FEE" w:rsidRPr="00E6414A" w:rsidRDefault="003F5FEE" w:rsidP="003F5FEE">
      <w:pPr>
        <w:pStyle w:val="Legenda"/>
        <w:keepNext/>
        <w:rPr>
          <w:rFonts w:ascii="Times New Roman" w:hAnsi="Times New Roman"/>
          <w:color w:val="auto"/>
        </w:rPr>
      </w:pPr>
      <w:bookmarkStart w:id="18" w:name="_Ref474265008"/>
      <w:r w:rsidRPr="00E6414A">
        <w:rPr>
          <w:rFonts w:ascii="Times New Roman" w:hAnsi="Times New Roman"/>
          <w:color w:val="auto"/>
        </w:rPr>
        <w:t xml:space="preserve">Tabela </w:t>
      </w:r>
      <w:r w:rsidR="00506C55" w:rsidRPr="00E6414A">
        <w:rPr>
          <w:rFonts w:ascii="Times New Roman" w:hAnsi="Times New Roman"/>
          <w:color w:val="auto"/>
        </w:rPr>
        <w:fldChar w:fldCharType="begin"/>
      </w:r>
      <w:r w:rsidRPr="00E6414A">
        <w:rPr>
          <w:rFonts w:ascii="Times New Roman" w:hAnsi="Times New Roman"/>
          <w:color w:val="auto"/>
        </w:rPr>
        <w:instrText xml:space="preserve"> SEQ Tabela \* ARABIC </w:instrText>
      </w:r>
      <w:r w:rsidR="00506C55" w:rsidRPr="00E6414A">
        <w:rPr>
          <w:rFonts w:ascii="Times New Roman" w:hAnsi="Times New Roman"/>
          <w:color w:val="auto"/>
        </w:rPr>
        <w:fldChar w:fldCharType="separate"/>
      </w:r>
      <w:r>
        <w:rPr>
          <w:rFonts w:ascii="Times New Roman" w:hAnsi="Times New Roman"/>
          <w:noProof/>
          <w:color w:val="auto"/>
        </w:rPr>
        <w:t>1</w:t>
      </w:r>
      <w:r w:rsidR="00506C55" w:rsidRPr="00E6414A">
        <w:rPr>
          <w:rFonts w:ascii="Times New Roman" w:hAnsi="Times New Roman"/>
          <w:color w:val="auto"/>
        </w:rPr>
        <w:fldChar w:fldCharType="end"/>
      </w:r>
      <w:bookmarkEnd w:id="18"/>
      <w:r w:rsidRPr="00E6414A">
        <w:rPr>
          <w:rFonts w:ascii="Times New Roman" w:hAnsi="Times New Roman"/>
          <w:color w:val="auto"/>
        </w:rPr>
        <w:t xml:space="preserve"> – Evolução das Resoluções ANP quanto aos prazos para obtenção da acreditação na NBR ISO IEC 17025.</w:t>
      </w:r>
    </w:p>
    <w:tbl>
      <w:tblPr>
        <w:tblStyle w:val="Tabelacomgrade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3F5FEE" w:rsidTr="006024D9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3F5FEE">
              <w:rPr>
                <w:rFonts w:ascii="Times New Roman" w:hAnsi="Times New Roman"/>
                <w:b/>
                <w:sz w:val="20"/>
              </w:rPr>
              <w:t>Resolução ANP</w:t>
            </w:r>
          </w:p>
        </w:tc>
        <w:tc>
          <w:tcPr>
            <w:tcW w:w="7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FEE">
              <w:rPr>
                <w:rFonts w:ascii="Times New Roman" w:hAnsi="Times New Roman"/>
                <w:b/>
                <w:sz w:val="20"/>
              </w:rPr>
              <w:t>Previsão</w:t>
            </w:r>
          </w:p>
        </w:tc>
      </w:tr>
      <w:tr w:rsidR="003F5FEE" w:rsidTr="006024D9">
        <w:tc>
          <w:tcPr>
            <w:tcW w:w="1951" w:type="dxa"/>
            <w:tcBorders>
              <w:top w:val="single" w:sz="12" w:space="0" w:color="auto"/>
            </w:tcBorders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FEE">
              <w:rPr>
                <w:rFonts w:ascii="Times New Roman" w:hAnsi="Times New Roman"/>
                <w:b/>
                <w:sz w:val="20"/>
              </w:rPr>
              <w:t>7/2008</w:t>
            </w:r>
          </w:p>
        </w:tc>
        <w:tc>
          <w:tcPr>
            <w:tcW w:w="7827" w:type="dxa"/>
            <w:tcBorders>
              <w:top w:val="single" w:sz="12" w:space="0" w:color="auto"/>
            </w:tcBorders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3F5FEE">
              <w:rPr>
                <w:rFonts w:ascii="Times New Roman" w:hAnsi="Times New Roman"/>
                <w:sz w:val="20"/>
              </w:rPr>
              <w:t>Estabelece a especificação, contendo a obrigatoriedade do cadastro de laboratórios.</w:t>
            </w:r>
          </w:p>
        </w:tc>
      </w:tr>
      <w:tr w:rsidR="003F5FEE" w:rsidTr="00331216">
        <w:tc>
          <w:tcPr>
            <w:tcW w:w="1951" w:type="dxa"/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FEE">
              <w:rPr>
                <w:rFonts w:ascii="Times New Roman" w:hAnsi="Times New Roman"/>
                <w:b/>
                <w:sz w:val="20"/>
              </w:rPr>
              <w:t>31/2008</w:t>
            </w:r>
          </w:p>
        </w:tc>
        <w:tc>
          <w:tcPr>
            <w:tcW w:w="7827" w:type="dxa"/>
            <w:vAlign w:val="center"/>
          </w:tcPr>
          <w:p w:rsidR="003F5FEE" w:rsidRPr="003F5FEE" w:rsidRDefault="003F5FEE" w:rsidP="00317F0F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3F5FEE">
              <w:rPr>
                <w:rFonts w:ascii="Times New Roman" w:hAnsi="Times New Roman"/>
                <w:sz w:val="20"/>
              </w:rPr>
              <w:t xml:space="preserve">Regras para o cadastramento de laboratórios, incluindo a acreditação na </w:t>
            </w:r>
            <w:r w:rsidRPr="003F5FEE">
              <w:rPr>
                <w:rFonts w:ascii="Times New Roman" w:hAnsi="Times New Roman"/>
                <w:bCs/>
                <w:sz w:val="20"/>
              </w:rPr>
              <w:t>NBR ISO IEC 17025</w:t>
            </w:r>
            <w:r w:rsidRPr="003F5FEE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 w:rsidRPr="003F5FEE">
              <w:rPr>
                <w:rFonts w:ascii="Times New Roman" w:hAnsi="Times New Roman"/>
                <w:b/>
                <w:sz w:val="20"/>
              </w:rPr>
              <w:t>a partir de</w:t>
            </w:r>
            <w:r w:rsidRPr="003F5FEE">
              <w:rPr>
                <w:rFonts w:ascii="Times New Roman" w:hAnsi="Times New Roman"/>
                <w:sz w:val="20"/>
              </w:rPr>
              <w:t xml:space="preserve"> </w:t>
            </w:r>
            <w:r w:rsidRPr="003F5FEE">
              <w:rPr>
                <w:rFonts w:ascii="Times New Roman" w:hAnsi="Times New Roman"/>
                <w:b/>
                <w:sz w:val="20"/>
              </w:rPr>
              <w:t>2013</w:t>
            </w:r>
            <w:r w:rsidRPr="003F5FE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3F5FEE" w:rsidTr="00331216">
        <w:tc>
          <w:tcPr>
            <w:tcW w:w="1951" w:type="dxa"/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FEE">
              <w:rPr>
                <w:rFonts w:ascii="Times New Roman" w:hAnsi="Times New Roman"/>
                <w:b/>
                <w:sz w:val="20"/>
              </w:rPr>
              <w:t>46/2011</w:t>
            </w:r>
          </w:p>
        </w:tc>
        <w:tc>
          <w:tcPr>
            <w:tcW w:w="7827" w:type="dxa"/>
            <w:vAlign w:val="center"/>
          </w:tcPr>
          <w:p w:rsidR="003F5FEE" w:rsidRPr="003F5FEE" w:rsidRDefault="003F5FEE" w:rsidP="00317F0F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3F5FEE">
              <w:rPr>
                <w:rFonts w:ascii="Times New Roman" w:hAnsi="Times New Roman"/>
                <w:sz w:val="20"/>
              </w:rPr>
              <w:t xml:space="preserve">Definiu a data de </w:t>
            </w:r>
            <w:r w:rsidRPr="003F5FEE">
              <w:rPr>
                <w:rFonts w:ascii="Times New Roman" w:hAnsi="Times New Roman"/>
                <w:b/>
                <w:sz w:val="20"/>
              </w:rPr>
              <w:t>1º de janeiro de 2013</w:t>
            </w:r>
            <w:r w:rsidRPr="003F5FEE">
              <w:rPr>
                <w:rFonts w:ascii="Times New Roman" w:hAnsi="Times New Roman"/>
                <w:sz w:val="20"/>
              </w:rPr>
              <w:t xml:space="preserve"> para que os laboratórios estivessem acreditados na </w:t>
            </w:r>
            <w:r w:rsidRPr="003F5FEE">
              <w:rPr>
                <w:rFonts w:ascii="Times New Roman" w:hAnsi="Times New Roman"/>
                <w:bCs/>
                <w:sz w:val="20"/>
              </w:rPr>
              <w:t>NBR ISO IEC 17025.</w:t>
            </w:r>
          </w:p>
        </w:tc>
      </w:tr>
      <w:tr w:rsidR="003F5FEE" w:rsidTr="00331216">
        <w:tc>
          <w:tcPr>
            <w:tcW w:w="1951" w:type="dxa"/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FEE">
              <w:rPr>
                <w:rFonts w:ascii="Times New Roman" w:hAnsi="Times New Roman"/>
                <w:b/>
                <w:sz w:val="20"/>
              </w:rPr>
              <w:t>48/2012</w:t>
            </w:r>
          </w:p>
        </w:tc>
        <w:tc>
          <w:tcPr>
            <w:tcW w:w="7827" w:type="dxa"/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3F5FEE">
              <w:rPr>
                <w:rFonts w:ascii="Times New Roman" w:hAnsi="Times New Roman"/>
                <w:sz w:val="20"/>
              </w:rPr>
              <w:t xml:space="preserve">Alterou a data para </w:t>
            </w:r>
            <w:r w:rsidRPr="003F5FEE">
              <w:rPr>
                <w:rFonts w:ascii="Times New Roman" w:hAnsi="Times New Roman"/>
                <w:b/>
                <w:sz w:val="20"/>
              </w:rPr>
              <w:t>1º de janeiro de 2015</w:t>
            </w:r>
            <w:r w:rsidRPr="003F5FE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3F5FEE" w:rsidTr="006024D9"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F5FEE">
              <w:rPr>
                <w:rFonts w:ascii="Times New Roman" w:hAnsi="Times New Roman"/>
                <w:b/>
                <w:sz w:val="20"/>
              </w:rPr>
              <w:t>6/2014</w:t>
            </w:r>
          </w:p>
        </w:tc>
        <w:tc>
          <w:tcPr>
            <w:tcW w:w="7827" w:type="dxa"/>
            <w:tcBorders>
              <w:bottom w:val="single" w:sz="12" w:space="0" w:color="auto"/>
            </w:tcBorders>
            <w:vAlign w:val="center"/>
          </w:tcPr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3F5FEE">
              <w:rPr>
                <w:rFonts w:ascii="Times New Roman" w:hAnsi="Times New Roman"/>
                <w:sz w:val="20"/>
              </w:rPr>
              <w:t xml:space="preserve">Escalonou as obrigações dos laboratórios quanto à acreditação na </w:t>
            </w:r>
            <w:r w:rsidRPr="003F5FEE">
              <w:rPr>
                <w:rFonts w:ascii="Times New Roman" w:hAnsi="Times New Roman"/>
                <w:bCs/>
                <w:sz w:val="20"/>
              </w:rPr>
              <w:t>NBR ISO IEC 17025:</w:t>
            </w:r>
          </w:p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3F5FEE">
              <w:rPr>
                <w:rFonts w:ascii="Times New Roman" w:hAnsi="Times New Roman"/>
                <w:bCs/>
                <w:sz w:val="20"/>
              </w:rPr>
              <w:t xml:space="preserve">- </w:t>
            </w:r>
            <w:r w:rsidRPr="003F5FEE">
              <w:rPr>
                <w:rFonts w:ascii="Times New Roman" w:hAnsi="Times New Roman"/>
                <w:b/>
                <w:bCs/>
                <w:sz w:val="20"/>
              </w:rPr>
              <w:t>31 de dezembro de 2014</w:t>
            </w:r>
            <w:r w:rsidRPr="003F5FEE">
              <w:rPr>
                <w:rFonts w:ascii="Times New Roman" w:hAnsi="Times New Roman"/>
                <w:bCs/>
                <w:sz w:val="20"/>
              </w:rPr>
              <w:t>: protocolo</w:t>
            </w:r>
            <w:r w:rsidR="00317F0F">
              <w:rPr>
                <w:rFonts w:ascii="Times New Roman" w:hAnsi="Times New Roman"/>
                <w:bCs/>
                <w:sz w:val="20"/>
              </w:rPr>
              <w:t xml:space="preserve"> de solicitação de acreditação n</w:t>
            </w:r>
            <w:r w:rsidRPr="003F5FEE">
              <w:rPr>
                <w:rFonts w:ascii="Times New Roman" w:hAnsi="Times New Roman"/>
                <w:bCs/>
                <w:sz w:val="20"/>
              </w:rPr>
              <w:t xml:space="preserve">o </w:t>
            </w:r>
            <w:r w:rsidR="009F5C79">
              <w:rPr>
                <w:rFonts w:ascii="Times New Roman" w:hAnsi="Times New Roman"/>
                <w:bCs/>
                <w:sz w:val="20"/>
              </w:rPr>
              <w:t>Inmetro</w:t>
            </w:r>
            <w:r w:rsidRPr="003F5FEE">
              <w:rPr>
                <w:rFonts w:ascii="Times New Roman" w:hAnsi="Times New Roman"/>
                <w:bCs/>
                <w:sz w:val="20"/>
              </w:rPr>
              <w:t xml:space="preserve"> para os ensaios já cadastrados </w:t>
            </w:r>
            <w:r w:rsidR="003E187A">
              <w:rPr>
                <w:rFonts w:ascii="Times New Roman" w:hAnsi="Times New Roman"/>
                <w:bCs/>
                <w:sz w:val="20"/>
              </w:rPr>
              <w:t>na</w:t>
            </w:r>
            <w:r w:rsidRPr="003F5FEE">
              <w:rPr>
                <w:rFonts w:ascii="Times New Roman" w:hAnsi="Times New Roman"/>
                <w:bCs/>
                <w:sz w:val="20"/>
              </w:rPr>
              <w:t xml:space="preserve"> ANP;</w:t>
            </w:r>
          </w:p>
          <w:p w:rsidR="003F5FEE" w:rsidRPr="003F5FEE" w:rsidRDefault="003F5FEE" w:rsidP="00CA04C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3F5FEE">
              <w:rPr>
                <w:rFonts w:ascii="Times New Roman" w:hAnsi="Times New Roman"/>
                <w:bCs/>
                <w:sz w:val="20"/>
              </w:rPr>
              <w:t xml:space="preserve">- </w:t>
            </w:r>
            <w:r w:rsidRPr="003F5FEE">
              <w:rPr>
                <w:rFonts w:ascii="Times New Roman" w:hAnsi="Times New Roman"/>
                <w:b/>
                <w:bCs/>
                <w:sz w:val="20"/>
              </w:rPr>
              <w:t xml:space="preserve">1º de janeiro de 2015: </w:t>
            </w:r>
            <w:r w:rsidRPr="003F5FEE">
              <w:rPr>
                <w:rFonts w:ascii="Times New Roman" w:hAnsi="Times New Roman"/>
                <w:bCs/>
                <w:sz w:val="20"/>
              </w:rPr>
              <w:t xml:space="preserve">inclusão de novos ensaios e/ou novos cadastros apenas com, no mínimo, protocolo de solicitação de acreditação </w:t>
            </w:r>
            <w:r w:rsidR="00317F0F">
              <w:rPr>
                <w:rFonts w:ascii="Times New Roman" w:hAnsi="Times New Roman"/>
                <w:bCs/>
                <w:sz w:val="20"/>
              </w:rPr>
              <w:t>n</w:t>
            </w:r>
            <w:r w:rsidRPr="003F5FEE">
              <w:rPr>
                <w:rFonts w:ascii="Times New Roman" w:hAnsi="Times New Roman"/>
                <w:bCs/>
                <w:sz w:val="20"/>
              </w:rPr>
              <w:t xml:space="preserve">o </w:t>
            </w:r>
            <w:r w:rsidR="009F5C79">
              <w:rPr>
                <w:rFonts w:ascii="Times New Roman" w:hAnsi="Times New Roman"/>
                <w:bCs/>
                <w:sz w:val="20"/>
              </w:rPr>
              <w:t>Inmetro</w:t>
            </w:r>
            <w:r w:rsidRPr="003F5FEE">
              <w:rPr>
                <w:rFonts w:ascii="Times New Roman" w:hAnsi="Times New Roman"/>
                <w:bCs/>
                <w:sz w:val="20"/>
              </w:rPr>
              <w:t>;</w:t>
            </w:r>
          </w:p>
          <w:p w:rsidR="003F5FEE" w:rsidRPr="003F5FEE" w:rsidRDefault="003F5FEE" w:rsidP="00317F0F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3F5FEE">
              <w:rPr>
                <w:rFonts w:ascii="Times New Roman" w:hAnsi="Times New Roman"/>
                <w:bCs/>
                <w:sz w:val="20"/>
              </w:rPr>
              <w:t xml:space="preserve">- </w:t>
            </w:r>
            <w:r w:rsidRPr="003F5FEE">
              <w:rPr>
                <w:rFonts w:ascii="Times New Roman" w:hAnsi="Times New Roman"/>
                <w:b/>
                <w:bCs/>
                <w:sz w:val="20"/>
              </w:rPr>
              <w:t>30 de junho de 2016:</w:t>
            </w:r>
            <w:r w:rsidRPr="003F5FEE">
              <w:rPr>
                <w:rFonts w:ascii="Times New Roman" w:hAnsi="Times New Roman"/>
                <w:bCs/>
                <w:sz w:val="20"/>
              </w:rPr>
              <w:t xml:space="preserve"> data limite para que os laboratórios apresentassem a cópia do certificado de acreditação </w:t>
            </w:r>
            <w:r w:rsidR="00317F0F">
              <w:rPr>
                <w:rFonts w:ascii="Times New Roman" w:hAnsi="Times New Roman"/>
                <w:bCs/>
                <w:sz w:val="20"/>
              </w:rPr>
              <w:t>n</w:t>
            </w:r>
            <w:r w:rsidRPr="003F5FEE">
              <w:rPr>
                <w:rFonts w:ascii="Times New Roman" w:hAnsi="Times New Roman"/>
                <w:bCs/>
                <w:sz w:val="20"/>
              </w:rPr>
              <w:t xml:space="preserve">o </w:t>
            </w:r>
            <w:r w:rsidR="009F5C79">
              <w:rPr>
                <w:rFonts w:ascii="Times New Roman" w:hAnsi="Times New Roman"/>
                <w:bCs/>
                <w:sz w:val="20"/>
              </w:rPr>
              <w:t>Inmetro</w:t>
            </w:r>
            <w:r w:rsidRPr="003F5FEE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:rsidR="003F5FEE" w:rsidRDefault="003F5FEE" w:rsidP="003F5FEE">
      <w:pPr>
        <w:tabs>
          <w:tab w:val="left" w:pos="851"/>
        </w:tabs>
        <w:spacing w:before="120" w:after="120" w:line="360" w:lineRule="auto"/>
        <w:ind w:left="567"/>
        <w:jc w:val="both"/>
        <w:rPr>
          <w:rFonts w:ascii="Times New Roman" w:hAnsi="Times New Roman"/>
          <w:b/>
          <w:szCs w:val="24"/>
        </w:rPr>
      </w:pPr>
    </w:p>
    <w:p w:rsidR="001D2FE5" w:rsidRPr="00FA17E2" w:rsidRDefault="003F5FEE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FC4E04">
        <w:rPr>
          <w:rFonts w:ascii="Times New Roman" w:hAnsi="Times New Roman"/>
          <w:szCs w:val="24"/>
        </w:rPr>
        <w:t>onsiderando que</w:t>
      </w:r>
      <w:r w:rsidR="004976C8">
        <w:rPr>
          <w:rFonts w:ascii="Times New Roman" w:hAnsi="Times New Roman"/>
          <w:szCs w:val="24"/>
        </w:rPr>
        <w:t>,</w:t>
      </w:r>
      <w:r w:rsidR="00FC4E04">
        <w:rPr>
          <w:rFonts w:ascii="Times New Roman" w:hAnsi="Times New Roman"/>
          <w:szCs w:val="24"/>
        </w:rPr>
        <w:t xml:space="preserve"> na presente data</w:t>
      </w:r>
      <w:r w:rsidR="004976C8">
        <w:rPr>
          <w:rFonts w:ascii="Times New Roman" w:hAnsi="Times New Roman"/>
          <w:szCs w:val="24"/>
        </w:rPr>
        <w:t>,</w:t>
      </w:r>
      <w:r w:rsidR="00FC4E04">
        <w:rPr>
          <w:rFonts w:ascii="Times New Roman" w:hAnsi="Times New Roman"/>
          <w:szCs w:val="24"/>
        </w:rPr>
        <w:t xml:space="preserve"> todos os laboratórios cadastrados estão acreditados </w:t>
      </w:r>
      <w:r w:rsidR="00317F0F">
        <w:rPr>
          <w:rFonts w:ascii="Times New Roman" w:hAnsi="Times New Roman"/>
          <w:szCs w:val="24"/>
        </w:rPr>
        <w:t>no</w:t>
      </w:r>
      <w:r w:rsidR="00FC4E04">
        <w:rPr>
          <w:rFonts w:ascii="Times New Roman" w:hAnsi="Times New Roman"/>
          <w:szCs w:val="24"/>
        </w:rPr>
        <w:t xml:space="preserve"> </w:t>
      </w:r>
      <w:r w:rsidR="00DD2129">
        <w:rPr>
          <w:rFonts w:ascii="Times New Roman" w:hAnsi="Times New Roman"/>
          <w:szCs w:val="24"/>
        </w:rPr>
        <w:t>Inmetro</w:t>
      </w:r>
      <w:r w:rsidR="00520BA5">
        <w:rPr>
          <w:rFonts w:ascii="Times New Roman" w:hAnsi="Times New Roman"/>
          <w:szCs w:val="24"/>
        </w:rPr>
        <w:t xml:space="preserve">, </w:t>
      </w:r>
      <w:r w:rsidR="00FC4E04">
        <w:rPr>
          <w:rFonts w:ascii="Times New Roman" w:hAnsi="Times New Roman"/>
          <w:szCs w:val="24"/>
        </w:rPr>
        <w:t xml:space="preserve">e que o prazo transitório concedido na Resolução </w:t>
      </w:r>
      <w:r w:rsidR="001D2FE5">
        <w:rPr>
          <w:rFonts w:ascii="Times New Roman" w:hAnsi="Times New Roman"/>
          <w:szCs w:val="24"/>
        </w:rPr>
        <w:t xml:space="preserve">ANP n° 6/2014 </w:t>
      </w:r>
      <w:r w:rsidR="00FC4E04">
        <w:rPr>
          <w:rFonts w:ascii="Times New Roman" w:hAnsi="Times New Roman"/>
          <w:szCs w:val="24"/>
        </w:rPr>
        <w:t xml:space="preserve">para os laboratórios adquirirem a referida Acreditação foi finalizado em 30 de junho de 2016, a </w:t>
      </w:r>
      <w:r w:rsidR="001D2FE5">
        <w:rPr>
          <w:rFonts w:ascii="Times New Roman" w:hAnsi="Times New Roman"/>
          <w:szCs w:val="24"/>
        </w:rPr>
        <w:t>SBQ</w:t>
      </w:r>
      <w:r w:rsidR="00FC4E04">
        <w:rPr>
          <w:rFonts w:ascii="Times New Roman" w:hAnsi="Times New Roman"/>
          <w:szCs w:val="24"/>
        </w:rPr>
        <w:t xml:space="preserve"> entendeu </w:t>
      </w:r>
      <w:r w:rsidR="00FC4E04" w:rsidRPr="00FA17E2">
        <w:rPr>
          <w:rFonts w:ascii="Times New Roman" w:hAnsi="Times New Roman"/>
          <w:szCs w:val="24"/>
        </w:rPr>
        <w:t xml:space="preserve">ser oportuna a revisão da </w:t>
      </w:r>
      <w:r w:rsidR="00317F0F" w:rsidRPr="00FA17E2">
        <w:rPr>
          <w:rFonts w:ascii="Times New Roman" w:hAnsi="Times New Roman"/>
          <w:szCs w:val="24"/>
        </w:rPr>
        <w:t>r</w:t>
      </w:r>
      <w:r w:rsidR="00FC4E04" w:rsidRPr="00FA17E2">
        <w:rPr>
          <w:rFonts w:ascii="Times New Roman" w:hAnsi="Times New Roman"/>
          <w:szCs w:val="24"/>
        </w:rPr>
        <w:t>esolução para adequar o processo a es</w:t>
      </w:r>
      <w:r w:rsidR="00016127" w:rsidRPr="00FA17E2">
        <w:rPr>
          <w:rFonts w:ascii="Times New Roman" w:hAnsi="Times New Roman"/>
          <w:szCs w:val="24"/>
        </w:rPr>
        <w:t>s</w:t>
      </w:r>
      <w:r w:rsidR="00FC4E04" w:rsidRPr="00FA17E2">
        <w:rPr>
          <w:rFonts w:ascii="Times New Roman" w:hAnsi="Times New Roman"/>
          <w:szCs w:val="24"/>
        </w:rPr>
        <w:t>a nova realidade</w:t>
      </w:r>
      <w:r w:rsidR="003E187A" w:rsidRPr="00FA17E2">
        <w:rPr>
          <w:rFonts w:ascii="Times New Roman" w:hAnsi="Times New Roman"/>
          <w:szCs w:val="24"/>
        </w:rPr>
        <w:t>,</w:t>
      </w:r>
      <w:r w:rsidR="00FC4E04" w:rsidRPr="00FA17E2">
        <w:rPr>
          <w:rFonts w:ascii="Times New Roman" w:hAnsi="Times New Roman"/>
          <w:szCs w:val="24"/>
        </w:rPr>
        <w:t xml:space="preserve"> visando tornar mais simples o processo de avaliação do laboratório e diminuir o tempo de atendimento. </w:t>
      </w:r>
    </w:p>
    <w:p w:rsidR="001D2FE5" w:rsidRDefault="00016127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Dess</w:t>
      </w:r>
      <w:r w:rsidR="001D2FE5">
        <w:rPr>
          <w:rFonts w:ascii="Times New Roman" w:hAnsi="Times New Roman"/>
          <w:szCs w:val="24"/>
        </w:rPr>
        <w:t>a forma</w:t>
      </w:r>
      <w:r w:rsidR="0033474B">
        <w:rPr>
          <w:rFonts w:ascii="Times New Roman" w:hAnsi="Times New Roman"/>
          <w:szCs w:val="24"/>
        </w:rPr>
        <w:t>,</w:t>
      </w:r>
      <w:r w:rsidR="001D2FE5">
        <w:rPr>
          <w:rFonts w:ascii="Times New Roman" w:hAnsi="Times New Roman"/>
          <w:szCs w:val="24"/>
        </w:rPr>
        <w:t xml:space="preserve"> foi realizada pesquisa de percepção com o mercado sobre o processo de cadastramento de laboratórios; reunião com o </w:t>
      </w:r>
      <w:r w:rsidR="00DD2129">
        <w:rPr>
          <w:rFonts w:ascii="Times New Roman" w:hAnsi="Times New Roman"/>
          <w:szCs w:val="24"/>
        </w:rPr>
        <w:t xml:space="preserve">Inmetro </w:t>
      </w:r>
      <w:r w:rsidR="001D2FE5">
        <w:rPr>
          <w:rFonts w:ascii="Times New Roman" w:hAnsi="Times New Roman"/>
          <w:szCs w:val="24"/>
        </w:rPr>
        <w:t xml:space="preserve">para verificação de pontos de integração da atuação </w:t>
      </w:r>
      <w:r w:rsidR="00234FB0">
        <w:rPr>
          <w:rFonts w:ascii="Times New Roman" w:hAnsi="Times New Roman"/>
          <w:szCs w:val="24"/>
        </w:rPr>
        <w:t xml:space="preserve">com a </w:t>
      </w:r>
      <w:r w:rsidR="001D2FE5">
        <w:rPr>
          <w:rFonts w:ascii="Times New Roman" w:hAnsi="Times New Roman"/>
          <w:szCs w:val="24"/>
        </w:rPr>
        <w:t>ANP; reuniões internas para discussão de uma possível revisão para simplificação da resolução; e reunião com o mercado para apresentação da minuta pretendida pela SBQ e acolhimento de comentários e sugestões.</w:t>
      </w:r>
      <w:r w:rsidR="001D2FE5" w:rsidRPr="001245AD">
        <w:rPr>
          <w:rFonts w:ascii="Times New Roman" w:hAnsi="Times New Roman"/>
          <w:szCs w:val="24"/>
        </w:rPr>
        <w:t xml:space="preserve"> </w:t>
      </w:r>
    </w:p>
    <w:p w:rsidR="00C442DB" w:rsidRDefault="004D3A65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Adicionalmente</w:t>
      </w:r>
      <w:r w:rsidR="001245AD">
        <w:rPr>
          <w:rFonts w:ascii="Times New Roman" w:hAnsi="Times New Roman"/>
          <w:szCs w:val="24"/>
        </w:rPr>
        <w:t xml:space="preserve">, foi instituída comissão interna </w:t>
      </w:r>
      <w:r w:rsidR="00ED36B3">
        <w:rPr>
          <w:rFonts w:ascii="Times New Roman" w:hAnsi="Times New Roman"/>
          <w:szCs w:val="24"/>
        </w:rPr>
        <w:t xml:space="preserve">na </w:t>
      </w:r>
      <w:r w:rsidR="001245AD">
        <w:rPr>
          <w:rFonts w:ascii="Times New Roman" w:hAnsi="Times New Roman"/>
          <w:szCs w:val="24"/>
        </w:rPr>
        <w:t>SBQ</w:t>
      </w:r>
      <w:r w:rsidR="00ED36B3">
        <w:rPr>
          <w:rFonts w:ascii="Times New Roman" w:hAnsi="Times New Roman"/>
          <w:szCs w:val="24"/>
        </w:rPr>
        <w:t>, com o objetivo de</w:t>
      </w:r>
      <w:r w:rsidR="001245AD">
        <w:rPr>
          <w:rFonts w:ascii="Times New Roman" w:hAnsi="Times New Roman"/>
          <w:szCs w:val="24"/>
        </w:rPr>
        <w:t xml:space="preserve"> identificar e propor ajustes e simplificações em procedimentos internos e atos normativos</w:t>
      </w:r>
      <w:r w:rsidR="00ED36B3">
        <w:rPr>
          <w:rFonts w:ascii="Times New Roman" w:hAnsi="Times New Roman"/>
          <w:szCs w:val="24"/>
        </w:rPr>
        <w:t xml:space="preserve"> da área</w:t>
      </w:r>
      <w:r w:rsidR="001245AD">
        <w:rPr>
          <w:rFonts w:ascii="Times New Roman" w:hAnsi="Times New Roman"/>
          <w:szCs w:val="24"/>
        </w:rPr>
        <w:t>. O comitê responsável verificou que a</w:t>
      </w:r>
      <w:r w:rsidR="004D7CD0">
        <w:rPr>
          <w:rFonts w:ascii="Times New Roman" w:hAnsi="Times New Roman"/>
          <w:szCs w:val="24"/>
        </w:rPr>
        <w:t xml:space="preserve"> equipe técnica já havia identificado a necessidade de alteração da</w:t>
      </w:r>
      <w:r w:rsidR="001245AD">
        <w:rPr>
          <w:rFonts w:ascii="Times New Roman" w:hAnsi="Times New Roman"/>
          <w:szCs w:val="24"/>
        </w:rPr>
        <w:t xml:space="preserve"> Resolução ANP n°6/2014</w:t>
      </w:r>
      <w:r w:rsidR="00A82753">
        <w:rPr>
          <w:rFonts w:ascii="Times New Roman" w:hAnsi="Times New Roman"/>
          <w:szCs w:val="24"/>
        </w:rPr>
        <w:t xml:space="preserve">, visto </w:t>
      </w:r>
      <w:r w:rsidR="00A27C57">
        <w:rPr>
          <w:rFonts w:ascii="Times New Roman" w:hAnsi="Times New Roman"/>
          <w:szCs w:val="24"/>
        </w:rPr>
        <w:t xml:space="preserve">o normativo ser muito detalhado e exigir </w:t>
      </w:r>
      <w:r w:rsidR="00A27C57" w:rsidRPr="004D7CD0">
        <w:rPr>
          <w:rFonts w:ascii="Times New Roman" w:hAnsi="Times New Roman"/>
          <w:szCs w:val="24"/>
        </w:rPr>
        <w:t>inúmeros requisitos para a obtenção do</w:t>
      </w:r>
      <w:r w:rsidR="00A27C57">
        <w:rPr>
          <w:rFonts w:ascii="Times New Roman" w:hAnsi="Times New Roman"/>
          <w:szCs w:val="24"/>
        </w:rPr>
        <w:t xml:space="preserve"> cadastro.</w:t>
      </w:r>
      <w:r w:rsidR="00A82753">
        <w:rPr>
          <w:rFonts w:ascii="Times New Roman" w:hAnsi="Times New Roman"/>
          <w:szCs w:val="24"/>
        </w:rPr>
        <w:t xml:space="preserve"> </w:t>
      </w:r>
      <w:r w:rsidR="00CC476F">
        <w:rPr>
          <w:rFonts w:ascii="Times New Roman" w:hAnsi="Times New Roman"/>
          <w:szCs w:val="24"/>
        </w:rPr>
        <w:t>Nas discussões</w:t>
      </w:r>
      <w:r w:rsidR="00ED36B3">
        <w:rPr>
          <w:rFonts w:ascii="Times New Roman" w:hAnsi="Times New Roman"/>
          <w:szCs w:val="24"/>
        </w:rPr>
        <w:t>,</w:t>
      </w:r>
      <w:r w:rsidR="00CC476F">
        <w:rPr>
          <w:rFonts w:ascii="Times New Roman" w:hAnsi="Times New Roman"/>
          <w:szCs w:val="24"/>
        </w:rPr>
        <w:t xml:space="preserve"> </w:t>
      </w:r>
      <w:r w:rsidR="00557208">
        <w:rPr>
          <w:rFonts w:ascii="Times New Roman" w:hAnsi="Times New Roman"/>
          <w:szCs w:val="24"/>
        </w:rPr>
        <w:t xml:space="preserve">a </w:t>
      </w:r>
      <w:r w:rsidR="00DD2129">
        <w:rPr>
          <w:rFonts w:ascii="Times New Roman" w:hAnsi="Times New Roman"/>
          <w:szCs w:val="24"/>
        </w:rPr>
        <w:t>c</w:t>
      </w:r>
      <w:r w:rsidR="00557208">
        <w:rPr>
          <w:rFonts w:ascii="Times New Roman" w:hAnsi="Times New Roman"/>
          <w:szCs w:val="24"/>
        </w:rPr>
        <w:t xml:space="preserve">omissão </w:t>
      </w:r>
      <w:r w:rsidR="00ED36B3">
        <w:rPr>
          <w:rFonts w:ascii="Times New Roman" w:hAnsi="Times New Roman"/>
          <w:szCs w:val="24"/>
        </w:rPr>
        <w:t>propôs</w:t>
      </w:r>
      <w:r w:rsidR="00C442DB" w:rsidRPr="00C442DB">
        <w:rPr>
          <w:rFonts w:ascii="Times New Roman" w:hAnsi="Times New Roman"/>
          <w:szCs w:val="24"/>
        </w:rPr>
        <w:t xml:space="preserve"> a exclusão da exigência de cadastramento dos laboratórios de biodiesel</w:t>
      </w:r>
      <w:r w:rsidR="00C442DB">
        <w:rPr>
          <w:rFonts w:ascii="Times New Roman" w:hAnsi="Times New Roman"/>
          <w:szCs w:val="24"/>
        </w:rPr>
        <w:t xml:space="preserve">, mantendo-se a </w:t>
      </w:r>
      <w:r w:rsidR="00C442DB" w:rsidRPr="00C442DB">
        <w:rPr>
          <w:rFonts w:ascii="Times New Roman" w:hAnsi="Times New Roman"/>
          <w:szCs w:val="24"/>
        </w:rPr>
        <w:t>obrigatoriedade de acreditação nos ensaios</w:t>
      </w:r>
      <w:r w:rsidR="00ED36B3">
        <w:rPr>
          <w:rFonts w:ascii="Times New Roman" w:hAnsi="Times New Roman"/>
          <w:szCs w:val="24"/>
        </w:rPr>
        <w:t>,</w:t>
      </w:r>
      <w:r w:rsidR="00C442DB">
        <w:rPr>
          <w:rFonts w:ascii="Times New Roman" w:hAnsi="Times New Roman"/>
          <w:szCs w:val="24"/>
        </w:rPr>
        <w:t xml:space="preserve"> conforme a </w:t>
      </w:r>
      <w:r w:rsidR="00EE3AE8">
        <w:rPr>
          <w:rFonts w:ascii="Times New Roman" w:hAnsi="Times New Roman"/>
          <w:szCs w:val="24"/>
        </w:rPr>
        <w:t>NBR I</w:t>
      </w:r>
      <w:r w:rsidR="00C442DB" w:rsidRPr="00C442DB">
        <w:rPr>
          <w:rFonts w:ascii="Times New Roman" w:hAnsi="Times New Roman"/>
          <w:szCs w:val="24"/>
        </w:rPr>
        <w:t>SO IEC 17025</w:t>
      </w:r>
      <w:r w:rsidR="00C442DB">
        <w:rPr>
          <w:rFonts w:ascii="Times New Roman" w:hAnsi="Times New Roman"/>
          <w:szCs w:val="24"/>
        </w:rPr>
        <w:t>.</w:t>
      </w:r>
    </w:p>
    <w:p w:rsidR="00F94D00" w:rsidRPr="006600EE" w:rsidRDefault="0062610F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Existem custos </w:t>
      </w:r>
      <w:r w:rsidR="00F94D00" w:rsidRPr="00092872">
        <w:rPr>
          <w:rFonts w:ascii="Times New Roman" w:hAnsi="Times New Roman"/>
          <w:szCs w:val="24"/>
        </w:rPr>
        <w:t xml:space="preserve">da ANP com a </w:t>
      </w:r>
      <w:r w:rsidR="00F94D00">
        <w:rPr>
          <w:rFonts w:ascii="Times New Roman" w:hAnsi="Times New Roman"/>
          <w:szCs w:val="24"/>
        </w:rPr>
        <w:t xml:space="preserve">avaliação dos documentos e </w:t>
      </w:r>
      <w:r w:rsidR="00F94D00" w:rsidRPr="00092872">
        <w:rPr>
          <w:rFonts w:ascii="Times New Roman" w:hAnsi="Times New Roman"/>
          <w:szCs w:val="24"/>
        </w:rPr>
        <w:t xml:space="preserve">publicação no Diário Oficial da União </w:t>
      </w:r>
      <w:r w:rsidR="00ED36B3" w:rsidRPr="00092872">
        <w:rPr>
          <w:rFonts w:ascii="Times New Roman" w:hAnsi="Times New Roman"/>
          <w:szCs w:val="24"/>
        </w:rPr>
        <w:t>d</w:t>
      </w:r>
      <w:r w:rsidR="00ED36B3">
        <w:rPr>
          <w:rFonts w:ascii="Times New Roman" w:hAnsi="Times New Roman"/>
          <w:szCs w:val="24"/>
        </w:rPr>
        <w:t>a</w:t>
      </w:r>
      <w:r w:rsidR="00ED36B3" w:rsidRPr="00092872">
        <w:rPr>
          <w:rFonts w:ascii="Times New Roman" w:hAnsi="Times New Roman"/>
          <w:szCs w:val="24"/>
        </w:rPr>
        <w:t xml:space="preserve"> </w:t>
      </w:r>
      <w:r w:rsidR="00F94D00" w:rsidRPr="00092872">
        <w:rPr>
          <w:rFonts w:ascii="Times New Roman" w:hAnsi="Times New Roman"/>
          <w:szCs w:val="24"/>
        </w:rPr>
        <w:t xml:space="preserve">aprovação de novos laboratórios, </w:t>
      </w:r>
      <w:r w:rsidR="00F94D00">
        <w:rPr>
          <w:rFonts w:ascii="Times New Roman" w:hAnsi="Times New Roman"/>
          <w:szCs w:val="24"/>
        </w:rPr>
        <w:t xml:space="preserve">bem como para a </w:t>
      </w:r>
      <w:r w:rsidR="00F94D00" w:rsidRPr="00092872">
        <w:rPr>
          <w:rFonts w:ascii="Times New Roman" w:hAnsi="Times New Roman"/>
          <w:szCs w:val="24"/>
        </w:rPr>
        <w:t>modificaç</w:t>
      </w:r>
      <w:r w:rsidR="00F94D00">
        <w:rPr>
          <w:rFonts w:ascii="Times New Roman" w:hAnsi="Times New Roman"/>
          <w:szCs w:val="24"/>
        </w:rPr>
        <w:t>ão ou a</w:t>
      </w:r>
      <w:r w:rsidR="00F94D00" w:rsidRPr="00092872">
        <w:rPr>
          <w:rFonts w:ascii="Times New Roman" w:hAnsi="Times New Roman"/>
          <w:szCs w:val="24"/>
        </w:rPr>
        <w:t xml:space="preserve"> revogação do cadastro. Adicionalmente, há custos </w:t>
      </w:r>
      <w:r w:rsidR="00F94D00">
        <w:rPr>
          <w:rFonts w:ascii="Times New Roman" w:hAnsi="Times New Roman"/>
          <w:szCs w:val="24"/>
        </w:rPr>
        <w:t xml:space="preserve">de passagens e diárias </w:t>
      </w:r>
      <w:r w:rsidR="00F94D00" w:rsidRPr="00092872">
        <w:rPr>
          <w:rFonts w:ascii="Times New Roman" w:hAnsi="Times New Roman"/>
          <w:szCs w:val="24"/>
        </w:rPr>
        <w:t xml:space="preserve">nas vistorias necessárias para o processo de aprovação do </w:t>
      </w:r>
      <w:r w:rsidR="00F94D00">
        <w:rPr>
          <w:rFonts w:ascii="Times New Roman" w:hAnsi="Times New Roman"/>
          <w:szCs w:val="24"/>
        </w:rPr>
        <w:t>cadastro de laboratórios e</w:t>
      </w:r>
      <w:r w:rsidR="00F94D00" w:rsidRPr="00092872">
        <w:rPr>
          <w:rFonts w:ascii="Times New Roman" w:hAnsi="Times New Roman"/>
          <w:szCs w:val="24"/>
        </w:rPr>
        <w:t xml:space="preserve"> custos eventuais de vistorias técnicas realizadas com a finalidade de averiguar o cumprimento das dispo</w:t>
      </w:r>
      <w:r w:rsidR="00016127">
        <w:rPr>
          <w:rFonts w:ascii="Times New Roman" w:hAnsi="Times New Roman"/>
          <w:szCs w:val="24"/>
        </w:rPr>
        <w:t>sições contidas na r</w:t>
      </w:r>
      <w:r w:rsidR="00F94D00" w:rsidRPr="00092872">
        <w:rPr>
          <w:rFonts w:ascii="Times New Roman" w:hAnsi="Times New Roman"/>
          <w:szCs w:val="24"/>
        </w:rPr>
        <w:t>esolução.</w:t>
      </w:r>
      <w:r>
        <w:rPr>
          <w:rFonts w:ascii="Times New Roman" w:hAnsi="Times New Roman"/>
          <w:szCs w:val="24"/>
        </w:rPr>
        <w:t xml:space="preserve"> </w:t>
      </w:r>
      <w:r w:rsidR="00ED36B3">
        <w:rPr>
          <w:rFonts w:ascii="Times New Roman" w:hAnsi="Times New Roman"/>
          <w:szCs w:val="24"/>
        </w:rPr>
        <w:t>Por outro lado, o</w:t>
      </w:r>
      <w:r>
        <w:rPr>
          <w:rFonts w:ascii="Times New Roman" w:hAnsi="Times New Roman"/>
          <w:szCs w:val="24"/>
        </w:rPr>
        <w:t xml:space="preserve">s custos do laboratório </w:t>
      </w:r>
      <w:r w:rsidR="00ED36B3">
        <w:rPr>
          <w:rFonts w:ascii="Times New Roman" w:hAnsi="Times New Roman"/>
          <w:szCs w:val="24"/>
        </w:rPr>
        <w:t>relacionados ao</w:t>
      </w:r>
      <w:r>
        <w:rPr>
          <w:rFonts w:ascii="Times New Roman" w:hAnsi="Times New Roman"/>
          <w:szCs w:val="24"/>
        </w:rPr>
        <w:t xml:space="preserve"> cadastramento, em si, </w:t>
      </w:r>
      <w:r w:rsidR="00ED36B3">
        <w:rPr>
          <w:rFonts w:ascii="Times New Roman" w:hAnsi="Times New Roman"/>
          <w:szCs w:val="24"/>
        </w:rPr>
        <w:t xml:space="preserve">são </w:t>
      </w:r>
      <w:r>
        <w:rPr>
          <w:rFonts w:ascii="Times New Roman" w:hAnsi="Times New Roman"/>
          <w:szCs w:val="24"/>
        </w:rPr>
        <w:t>muito baixo</w:t>
      </w:r>
      <w:r w:rsidR="00ED36B3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, pois o gasto financeiro é </w:t>
      </w:r>
      <w:r w:rsidR="00ED36B3">
        <w:rPr>
          <w:rFonts w:ascii="Times New Roman" w:hAnsi="Times New Roman"/>
          <w:szCs w:val="24"/>
        </w:rPr>
        <w:t>prioritariamente voltado</w:t>
      </w:r>
      <w:r>
        <w:rPr>
          <w:rFonts w:ascii="Times New Roman" w:hAnsi="Times New Roman"/>
          <w:szCs w:val="24"/>
        </w:rPr>
        <w:t xml:space="preserve"> ao processo de acreditação do Inmetro.</w:t>
      </w:r>
    </w:p>
    <w:p w:rsidR="005E270A" w:rsidRDefault="006C2C36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Assim, </w:t>
      </w:r>
      <w:r w:rsidR="00874C4D">
        <w:rPr>
          <w:rFonts w:ascii="Times New Roman" w:hAnsi="Times New Roman"/>
          <w:szCs w:val="24"/>
        </w:rPr>
        <w:t xml:space="preserve">considerando </w:t>
      </w:r>
      <w:r w:rsidR="00156C88">
        <w:rPr>
          <w:rFonts w:ascii="Times New Roman" w:hAnsi="Times New Roman"/>
          <w:szCs w:val="24"/>
        </w:rPr>
        <w:t>o entendimento</w:t>
      </w:r>
      <w:r w:rsidR="00874C4D">
        <w:rPr>
          <w:rFonts w:ascii="Times New Roman" w:hAnsi="Times New Roman"/>
          <w:szCs w:val="24"/>
        </w:rPr>
        <w:t xml:space="preserve"> acima mencionad</w:t>
      </w:r>
      <w:r w:rsidR="006246E1">
        <w:rPr>
          <w:rFonts w:ascii="Times New Roman" w:hAnsi="Times New Roman"/>
          <w:szCs w:val="24"/>
        </w:rPr>
        <w:t>o</w:t>
      </w:r>
      <w:r w:rsidR="00874C4D">
        <w:rPr>
          <w:rFonts w:ascii="Times New Roman" w:hAnsi="Times New Roman"/>
          <w:szCs w:val="24"/>
        </w:rPr>
        <w:t xml:space="preserve">, </w:t>
      </w:r>
      <w:r w:rsidR="00B53883">
        <w:rPr>
          <w:rFonts w:ascii="Times New Roman" w:hAnsi="Times New Roman"/>
          <w:szCs w:val="24"/>
        </w:rPr>
        <w:t>a Resolução ANP n°</w:t>
      </w:r>
      <w:r w:rsidR="00016127">
        <w:rPr>
          <w:rFonts w:ascii="Times New Roman" w:hAnsi="Times New Roman"/>
          <w:szCs w:val="24"/>
        </w:rPr>
        <w:t xml:space="preserve"> </w:t>
      </w:r>
      <w:r w:rsidR="00B53883">
        <w:rPr>
          <w:rFonts w:ascii="Times New Roman" w:hAnsi="Times New Roman"/>
          <w:szCs w:val="24"/>
        </w:rPr>
        <w:t>6/2014</w:t>
      </w:r>
      <w:r w:rsidR="009B2616">
        <w:rPr>
          <w:rFonts w:ascii="Times New Roman" w:hAnsi="Times New Roman"/>
          <w:szCs w:val="24"/>
        </w:rPr>
        <w:t xml:space="preserve"> </w:t>
      </w:r>
      <w:r w:rsidR="001245AD">
        <w:rPr>
          <w:rFonts w:ascii="Times New Roman" w:hAnsi="Times New Roman"/>
          <w:szCs w:val="24"/>
        </w:rPr>
        <w:t>poderia ser revogada sem prejuízo do objetivo original</w:t>
      </w:r>
      <w:r w:rsidR="00373328">
        <w:rPr>
          <w:rFonts w:ascii="Times New Roman" w:hAnsi="Times New Roman"/>
          <w:szCs w:val="24"/>
        </w:rPr>
        <w:t>,</w:t>
      </w:r>
      <w:r w:rsidR="001245AD">
        <w:rPr>
          <w:rFonts w:ascii="Times New Roman" w:hAnsi="Times New Roman"/>
          <w:szCs w:val="24"/>
        </w:rPr>
        <w:t xml:space="preserve"> </w:t>
      </w:r>
      <w:r w:rsidR="00373328">
        <w:rPr>
          <w:rFonts w:ascii="Times New Roman" w:hAnsi="Times New Roman"/>
          <w:szCs w:val="24"/>
        </w:rPr>
        <w:t xml:space="preserve">de assegurar </w:t>
      </w:r>
      <w:r w:rsidR="001245AD">
        <w:rPr>
          <w:rFonts w:ascii="Times New Roman" w:hAnsi="Times New Roman"/>
          <w:szCs w:val="24"/>
        </w:rPr>
        <w:t>a confiabilidade dos dados reportados nos certificados d</w:t>
      </w:r>
      <w:r w:rsidR="004D7CD0">
        <w:rPr>
          <w:rFonts w:ascii="Times New Roman" w:hAnsi="Times New Roman"/>
          <w:szCs w:val="24"/>
        </w:rPr>
        <w:t>a</w:t>
      </w:r>
      <w:r w:rsidR="001245AD">
        <w:rPr>
          <w:rFonts w:ascii="Times New Roman" w:hAnsi="Times New Roman"/>
          <w:szCs w:val="24"/>
        </w:rPr>
        <w:t xml:space="preserve"> qualidade e boletins de conformidade</w:t>
      </w:r>
      <w:r w:rsidR="00E67F6A">
        <w:rPr>
          <w:rFonts w:ascii="Times New Roman" w:hAnsi="Times New Roman"/>
          <w:szCs w:val="24"/>
        </w:rPr>
        <w:t>.</w:t>
      </w:r>
      <w:r w:rsidR="005E270A">
        <w:rPr>
          <w:rFonts w:ascii="Times New Roman" w:hAnsi="Times New Roman"/>
          <w:szCs w:val="24"/>
        </w:rPr>
        <w:t xml:space="preserve"> </w:t>
      </w:r>
      <w:r w:rsidR="00E67F6A">
        <w:rPr>
          <w:rFonts w:ascii="Times New Roman" w:hAnsi="Times New Roman"/>
          <w:szCs w:val="24"/>
        </w:rPr>
        <w:t>Para tal, considera-se necessário manter</w:t>
      </w:r>
      <w:r w:rsidR="00016127">
        <w:rPr>
          <w:rFonts w:ascii="Times New Roman" w:hAnsi="Times New Roman"/>
          <w:szCs w:val="24"/>
        </w:rPr>
        <w:t>,</w:t>
      </w:r>
      <w:r w:rsidR="00E67F6A">
        <w:rPr>
          <w:rFonts w:ascii="Times New Roman" w:hAnsi="Times New Roman"/>
          <w:szCs w:val="24"/>
        </w:rPr>
        <w:t xml:space="preserve"> na Resolução ANP nº 45, de 25 de agosto de 2014, que trata da especificação do biodiesel, a</w:t>
      </w:r>
      <w:r w:rsidR="005E270A">
        <w:rPr>
          <w:rFonts w:ascii="Times New Roman" w:hAnsi="Times New Roman"/>
          <w:szCs w:val="24"/>
        </w:rPr>
        <w:t xml:space="preserve"> previsão de</w:t>
      </w:r>
      <w:r w:rsidR="00373328">
        <w:rPr>
          <w:rFonts w:ascii="Times New Roman" w:hAnsi="Times New Roman"/>
          <w:szCs w:val="24"/>
        </w:rPr>
        <w:t xml:space="preserve"> que e</w:t>
      </w:r>
      <w:r w:rsidR="005E270A">
        <w:rPr>
          <w:rFonts w:ascii="Times New Roman" w:hAnsi="Times New Roman"/>
          <w:szCs w:val="24"/>
        </w:rPr>
        <w:t xml:space="preserve">sses laboratórios </w:t>
      </w:r>
      <w:r w:rsidR="00373328">
        <w:rPr>
          <w:rFonts w:ascii="Times New Roman" w:hAnsi="Times New Roman"/>
          <w:szCs w:val="24"/>
        </w:rPr>
        <w:t xml:space="preserve">sejam </w:t>
      </w:r>
      <w:r w:rsidR="005E270A">
        <w:rPr>
          <w:rFonts w:ascii="Times New Roman" w:hAnsi="Times New Roman"/>
          <w:szCs w:val="24"/>
        </w:rPr>
        <w:t xml:space="preserve">acreditados no </w:t>
      </w:r>
      <w:r w:rsidR="00016127">
        <w:rPr>
          <w:rFonts w:ascii="Times New Roman" w:hAnsi="Times New Roman"/>
          <w:szCs w:val="24"/>
        </w:rPr>
        <w:t>Inmetro</w:t>
      </w:r>
      <w:r w:rsidR="00016127" w:rsidRPr="00EC4531">
        <w:rPr>
          <w:rFonts w:ascii="Times New Roman" w:hAnsi="Times New Roman"/>
          <w:szCs w:val="24"/>
        </w:rPr>
        <w:t>.</w:t>
      </w:r>
    </w:p>
    <w:p w:rsidR="00DA0041" w:rsidRDefault="00DA0041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</w:p>
    <w:p w:rsidR="005C0BE3" w:rsidRPr="00414DFC" w:rsidRDefault="005C0BE3" w:rsidP="000A54DC">
      <w:pPr>
        <w:numPr>
          <w:ilvl w:val="1"/>
          <w:numId w:val="2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  <w:r w:rsidRPr="00414DFC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>GENTES ENVOLVIDOS</w:t>
      </w:r>
      <w:r w:rsidR="00A468C7">
        <w:rPr>
          <w:rFonts w:ascii="Times New Roman" w:hAnsi="Times New Roman"/>
          <w:b/>
          <w:szCs w:val="24"/>
        </w:rPr>
        <w:t xml:space="preserve"> E </w:t>
      </w:r>
      <w:r>
        <w:rPr>
          <w:rFonts w:ascii="Times New Roman" w:hAnsi="Times New Roman"/>
          <w:b/>
          <w:szCs w:val="24"/>
        </w:rPr>
        <w:t>GRUPOS AFETADOS</w:t>
      </w:r>
    </w:p>
    <w:p w:rsidR="005C0BE3" w:rsidRDefault="005C0BE3" w:rsidP="00DA0041">
      <w:pPr>
        <w:pStyle w:val="PargrafodaLista"/>
        <w:spacing w:before="240"/>
        <w:ind w:left="0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414DFC">
        <w:rPr>
          <w:rFonts w:ascii="Times New Roman" w:hAnsi="Times New Roman"/>
          <w:szCs w:val="24"/>
        </w:rPr>
        <w:t>s grupos afetados pela ação proposta</w:t>
      </w:r>
      <w:r>
        <w:rPr>
          <w:rFonts w:ascii="Times New Roman" w:hAnsi="Times New Roman"/>
          <w:szCs w:val="24"/>
        </w:rPr>
        <w:t xml:space="preserve"> são os seguintes:</w:t>
      </w:r>
    </w:p>
    <w:p w:rsidR="005C0BE3" w:rsidRDefault="00016127" w:rsidP="00DA0041">
      <w:pPr>
        <w:pStyle w:val="PargrafodaLista"/>
        <w:numPr>
          <w:ilvl w:val="0"/>
          <w:numId w:val="3"/>
        </w:num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="005C0BE3">
        <w:rPr>
          <w:rFonts w:ascii="Times New Roman" w:hAnsi="Times New Roman"/>
          <w:szCs w:val="24"/>
        </w:rPr>
        <w:t>aboratórios que realizam ensaios para certificação de biodiesel</w:t>
      </w:r>
      <w:r w:rsidR="004244AE">
        <w:rPr>
          <w:rFonts w:ascii="Times New Roman" w:hAnsi="Times New Roman"/>
          <w:szCs w:val="24"/>
        </w:rPr>
        <w:t>;</w:t>
      </w:r>
    </w:p>
    <w:p w:rsidR="005C0BE3" w:rsidRPr="00414DFC" w:rsidRDefault="00016127" w:rsidP="00DA0041">
      <w:pPr>
        <w:pStyle w:val="PargrafodaLista"/>
        <w:numPr>
          <w:ilvl w:val="0"/>
          <w:numId w:val="3"/>
        </w:num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5C0BE3">
        <w:rPr>
          <w:rFonts w:ascii="Times New Roman" w:hAnsi="Times New Roman"/>
          <w:szCs w:val="24"/>
        </w:rPr>
        <w:t>rodutores de biodiesel</w:t>
      </w:r>
      <w:r w:rsidR="004244AE">
        <w:rPr>
          <w:rFonts w:ascii="Times New Roman" w:hAnsi="Times New Roman"/>
          <w:szCs w:val="24"/>
        </w:rPr>
        <w:t>;</w:t>
      </w:r>
    </w:p>
    <w:p w:rsidR="005C0BE3" w:rsidRDefault="00457559" w:rsidP="00DA0041">
      <w:pPr>
        <w:pStyle w:val="PargrafodaLista"/>
        <w:numPr>
          <w:ilvl w:val="0"/>
          <w:numId w:val="3"/>
        </w:num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Inmetro</w:t>
      </w:r>
      <w:r w:rsidR="004244AE">
        <w:rPr>
          <w:rFonts w:ascii="Times New Roman" w:hAnsi="Times New Roman"/>
          <w:szCs w:val="24"/>
        </w:rPr>
        <w:t>.</w:t>
      </w:r>
    </w:p>
    <w:p w:rsidR="005C0BE3" w:rsidRDefault="005C0BE3" w:rsidP="0011132F">
      <w:pPr>
        <w:pStyle w:val="PargrafodaLista"/>
        <w:spacing w:before="240" w:line="360" w:lineRule="auto"/>
        <w:ind w:left="0" w:firstLine="851"/>
        <w:jc w:val="both"/>
        <w:rPr>
          <w:rFonts w:ascii="Times New Roman" w:hAnsi="Times New Roman"/>
          <w:szCs w:val="24"/>
        </w:rPr>
      </w:pPr>
    </w:p>
    <w:p w:rsidR="00FA17E2" w:rsidRDefault="00FA17E2" w:rsidP="0011132F">
      <w:pPr>
        <w:pStyle w:val="PargrafodaLista"/>
        <w:spacing w:before="240" w:line="360" w:lineRule="auto"/>
        <w:ind w:left="0" w:firstLine="851"/>
        <w:jc w:val="both"/>
        <w:rPr>
          <w:rFonts w:ascii="Times New Roman" w:hAnsi="Times New Roman"/>
          <w:szCs w:val="24"/>
        </w:rPr>
      </w:pPr>
    </w:p>
    <w:p w:rsidR="00FA17E2" w:rsidRPr="0011132F" w:rsidRDefault="00FA17E2" w:rsidP="00FA17E2">
      <w:pPr>
        <w:pStyle w:val="PargrafodaLista"/>
        <w:tabs>
          <w:tab w:val="left" w:pos="284"/>
        </w:tabs>
        <w:spacing w:before="240" w:line="360" w:lineRule="auto"/>
        <w:ind w:left="0" w:firstLine="851"/>
        <w:jc w:val="both"/>
        <w:rPr>
          <w:rFonts w:ascii="Times New Roman" w:hAnsi="Times New Roman"/>
          <w:szCs w:val="24"/>
        </w:rPr>
      </w:pPr>
    </w:p>
    <w:p w:rsidR="005C0BE3" w:rsidRPr="00414DFC" w:rsidRDefault="005C0BE3" w:rsidP="000A54DC">
      <w:pPr>
        <w:numPr>
          <w:ilvl w:val="1"/>
          <w:numId w:val="2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/>
          <w:b/>
          <w:szCs w:val="24"/>
        </w:rPr>
      </w:pPr>
      <w:r w:rsidRPr="00414DFC">
        <w:rPr>
          <w:rFonts w:ascii="Times New Roman" w:hAnsi="Times New Roman"/>
          <w:b/>
          <w:szCs w:val="24"/>
        </w:rPr>
        <w:lastRenderedPageBreak/>
        <w:t>Á</w:t>
      </w:r>
      <w:r>
        <w:rPr>
          <w:rFonts w:ascii="Times New Roman" w:hAnsi="Times New Roman"/>
          <w:b/>
          <w:szCs w:val="24"/>
        </w:rPr>
        <w:t>REAS DE INTERFACE NA ANP</w:t>
      </w:r>
    </w:p>
    <w:p w:rsidR="005C0BE3" w:rsidRPr="00414DFC" w:rsidRDefault="005C0BE3" w:rsidP="00DA0041">
      <w:pPr>
        <w:pStyle w:val="PargrafodaLista"/>
        <w:spacing w:before="240"/>
        <w:ind w:left="0"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Resolução ANP n°</w:t>
      </w:r>
      <w:r w:rsidR="00316F7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6/2014 não possui interface com outras superintendências da ANP, sendo a Superintendência de Biocombustíveis e Qualidade de Produtos (SBQ)</w:t>
      </w:r>
      <w:r w:rsidR="00CF42D8">
        <w:rPr>
          <w:rFonts w:ascii="Times New Roman" w:hAnsi="Times New Roman"/>
          <w:szCs w:val="24"/>
        </w:rPr>
        <w:t xml:space="preserve"> e o </w:t>
      </w:r>
      <w:r w:rsidR="006724A2">
        <w:rPr>
          <w:rFonts w:ascii="Times New Roman" w:hAnsi="Times New Roman"/>
          <w:szCs w:val="24"/>
        </w:rPr>
        <w:t>Centro de Pesquisas e Análises Tecnológicas</w:t>
      </w:r>
      <w:r w:rsidR="00CF42D8">
        <w:rPr>
          <w:rFonts w:ascii="Times New Roman" w:hAnsi="Times New Roman"/>
          <w:szCs w:val="24"/>
        </w:rPr>
        <w:t xml:space="preserve"> (CPT) </w:t>
      </w:r>
      <w:r>
        <w:rPr>
          <w:rFonts w:ascii="Times New Roman" w:hAnsi="Times New Roman"/>
          <w:szCs w:val="24"/>
        </w:rPr>
        <w:t>a</w:t>
      </w:r>
      <w:r w:rsidR="00CF42D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única</w:t>
      </w:r>
      <w:r w:rsidR="00CF42D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área</w:t>
      </w:r>
      <w:r w:rsidR="00CF42D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afetada</w:t>
      </w:r>
      <w:r w:rsidR="00CF42D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.</w:t>
      </w:r>
    </w:p>
    <w:p w:rsidR="005C0BE3" w:rsidRDefault="005C0BE3" w:rsidP="00DA0041">
      <w:pPr>
        <w:tabs>
          <w:tab w:val="left" w:pos="851"/>
        </w:tabs>
        <w:spacing w:before="120" w:after="120"/>
        <w:ind w:left="567"/>
        <w:jc w:val="both"/>
        <w:rPr>
          <w:rFonts w:ascii="Times New Roman" w:hAnsi="Times New Roman"/>
          <w:szCs w:val="24"/>
        </w:rPr>
      </w:pPr>
    </w:p>
    <w:p w:rsidR="0011132F" w:rsidRPr="0011132F" w:rsidRDefault="0011132F" w:rsidP="000A54DC">
      <w:pPr>
        <w:numPr>
          <w:ilvl w:val="0"/>
          <w:numId w:val="2"/>
        </w:numPr>
        <w:tabs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1132F">
        <w:rPr>
          <w:rFonts w:ascii="Times New Roman" w:hAnsi="Times New Roman"/>
          <w:b/>
          <w:sz w:val="28"/>
          <w:szCs w:val="28"/>
        </w:rPr>
        <w:t>DOS OBJETIVOS DA INTERVENÇÃO REGULATÓRIA</w:t>
      </w:r>
    </w:p>
    <w:p w:rsidR="00FC4E04" w:rsidRDefault="00FC4E04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intervenção da Agência frente aos laboratórios que realizam ensaios para certificação de biodiesel possui os seguintes objetivos:</w:t>
      </w:r>
    </w:p>
    <w:p w:rsidR="00FC4E04" w:rsidRDefault="00FC4E04" w:rsidP="00DA0041">
      <w:pPr>
        <w:pStyle w:val="PargrafodaLista"/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 w:rsidRPr="00FC4E04">
        <w:rPr>
          <w:rFonts w:ascii="Times New Roman" w:hAnsi="Times New Roman"/>
          <w:szCs w:val="24"/>
        </w:rPr>
        <w:t>Aprimorar a rede de laboratórios instalada no país, para fins de certificação de b</w:t>
      </w:r>
      <w:r>
        <w:rPr>
          <w:rFonts w:ascii="Times New Roman" w:hAnsi="Times New Roman"/>
          <w:szCs w:val="24"/>
        </w:rPr>
        <w:t>iodiesel;</w:t>
      </w:r>
    </w:p>
    <w:p w:rsidR="00FC4E04" w:rsidRDefault="00FC4E04" w:rsidP="00DA0041">
      <w:pPr>
        <w:pStyle w:val="PargrafodaLista"/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 w:rsidRPr="00FC4E04">
        <w:rPr>
          <w:rFonts w:ascii="Times New Roman" w:hAnsi="Times New Roman"/>
          <w:szCs w:val="24"/>
        </w:rPr>
        <w:t>Possuir resultados confiáveis de ensaios físico-químicos das características constantes da especificação do biodiesel</w:t>
      </w:r>
      <w:r>
        <w:rPr>
          <w:rFonts w:ascii="Times New Roman" w:hAnsi="Times New Roman"/>
          <w:szCs w:val="24"/>
        </w:rPr>
        <w:t>; e</w:t>
      </w:r>
    </w:p>
    <w:p w:rsidR="0011132F" w:rsidRPr="00FC4E04" w:rsidRDefault="00FC4E04" w:rsidP="00DA0041">
      <w:pPr>
        <w:pStyle w:val="PargrafodaLista"/>
        <w:numPr>
          <w:ilvl w:val="0"/>
          <w:numId w:val="4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 w:rsidRPr="00FC4E04">
        <w:rPr>
          <w:rFonts w:ascii="Times New Roman" w:hAnsi="Times New Roman"/>
          <w:szCs w:val="24"/>
        </w:rPr>
        <w:t>Proteger o consumidor quanto à qualidade do biodiesel que é produzido no país.</w:t>
      </w:r>
    </w:p>
    <w:p w:rsidR="00215504" w:rsidRDefault="00215504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</w:p>
    <w:p w:rsidR="00202212" w:rsidRPr="00FC4E04" w:rsidRDefault="00202212" w:rsidP="00DA0041">
      <w:pPr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C4E04">
        <w:rPr>
          <w:rFonts w:ascii="Times New Roman" w:hAnsi="Times New Roman"/>
          <w:b/>
          <w:sz w:val="28"/>
          <w:szCs w:val="28"/>
        </w:rPr>
        <w:t xml:space="preserve">DA ANÁLISE DE IMPACTO REGULATÓRIO </w:t>
      </w:r>
    </w:p>
    <w:p w:rsidR="00202212" w:rsidRPr="00FC4E04" w:rsidRDefault="00202212" w:rsidP="00DA0041">
      <w:pPr>
        <w:numPr>
          <w:ilvl w:val="1"/>
          <w:numId w:val="2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 w:rsidRPr="00FC4E04">
        <w:rPr>
          <w:rFonts w:ascii="Times New Roman" w:hAnsi="Times New Roman"/>
          <w:b/>
          <w:szCs w:val="24"/>
        </w:rPr>
        <w:t xml:space="preserve">IDENTIFICAÇÃO DAS OPÇÕES REGULATÓRIAS </w:t>
      </w:r>
    </w:p>
    <w:p w:rsidR="00A01139" w:rsidRPr="00A01139" w:rsidRDefault="00A01139" w:rsidP="00A01139">
      <w:pPr>
        <w:tabs>
          <w:tab w:val="left" w:pos="851"/>
        </w:tabs>
        <w:spacing w:before="120" w:after="120" w:line="360" w:lineRule="auto"/>
        <w:ind w:firstLine="851"/>
        <w:jc w:val="both"/>
        <w:rPr>
          <w:rFonts w:ascii="Times New Roman" w:hAnsi="Times New Roman"/>
          <w:szCs w:val="24"/>
        </w:rPr>
      </w:pPr>
      <w:r w:rsidRPr="00A01139">
        <w:rPr>
          <w:rFonts w:ascii="Times New Roman" w:hAnsi="Times New Roman"/>
          <w:szCs w:val="24"/>
        </w:rPr>
        <w:tab/>
        <w:t>As seguintes opções foram identificadas e avaliadas quanto à viabilidade:</w:t>
      </w:r>
    </w:p>
    <w:p w:rsidR="00A01139" w:rsidRDefault="00A01139" w:rsidP="000A54DC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spacing w:before="120" w:after="120" w:line="276" w:lineRule="auto"/>
        <w:ind w:left="15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alterar a Resolução ANP n° 6/2014 (</w:t>
      </w:r>
      <w:r w:rsidR="00016127">
        <w:rPr>
          <w:rFonts w:ascii="Times New Roman" w:hAnsi="Times New Roman"/>
          <w:bCs/>
          <w:szCs w:val="24"/>
        </w:rPr>
        <w:t>manutenção da s</w:t>
      </w:r>
      <w:r>
        <w:rPr>
          <w:rFonts w:ascii="Times New Roman" w:hAnsi="Times New Roman"/>
          <w:bCs/>
          <w:szCs w:val="24"/>
        </w:rPr>
        <w:t xml:space="preserve">ituação </w:t>
      </w:r>
      <w:r w:rsidR="00016127"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>tual)</w:t>
      </w:r>
      <w:r w:rsidRPr="005B44E2">
        <w:rPr>
          <w:rFonts w:ascii="Times New Roman" w:hAnsi="Times New Roman"/>
          <w:bCs/>
          <w:szCs w:val="24"/>
        </w:rPr>
        <w:t>;</w:t>
      </w:r>
    </w:p>
    <w:p w:rsidR="00A01139" w:rsidRDefault="00A01139" w:rsidP="000A54DC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spacing w:before="120" w:after="120" w:line="276" w:lineRule="auto"/>
        <w:ind w:left="15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Simplificar a Resolução ANP n° 6/2014;</w:t>
      </w:r>
    </w:p>
    <w:p w:rsidR="00A01139" w:rsidRDefault="00A01139" w:rsidP="000A54DC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spacing w:before="120" w:after="120" w:line="276" w:lineRule="auto"/>
        <w:ind w:left="156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Revogar a Resolução ANP n° 6/2014</w:t>
      </w:r>
      <w:r w:rsidR="00046A46">
        <w:rPr>
          <w:rFonts w:ascii="Times New Roman" w:hAnsi="Times New Roman"/>
          <w:bCs/>
          <w:szCs w:val="24"/>
        </w:rPr>
        <w:t>, mantendo a obrigatoriedade de acreditação dos laboratórios na Resolução ANP nº 45/2014</w:t>
      </w:r>
      <w:r>
        <w:rPr>
          <w:rFonts w:ascii="Times New Roman" w:hAnsi="Times New Roman"/>
          <w:bCs/>
          <w:szCs w:val="24"/>
        </w:rPr>
        <w:t>.</w:t>
      </w:r>
    </w:p>
    <w:p w:rsidR="00DD2129" w:rsidRPr="005B44E2" w:rsidRDefault="00DD2129" w:rsidP="00DA0041">
      <w:pPr>
        <w:pStyle w:val="PargrafodaLista"/>
        <w:widowControl w:val="0"/>
        <w:tabs>
          <w:tab w:val="left" w:pos="1134"/>
        </w:tabs>
        <w:spacing w:before="120" w:after="120"/>
        <w:ind w:left="1560"/>
        <w:jc w:val="both"/>
        <w:rPr>
          <w:rFonts w:ascii="Times New Roman" w:hAnsi="Times New Roman"/>
          <w:bCs/>
          <w:szCs w:val="24"/>
        </w:rPr>
      </w:pPr>
    </w:p>
    <w:p w:rsidR="00202212" w:rsidRPr="00202212" w:rsidRDefault="00202212" w:rsidP="00DA0041">
      <w:pPr>
        <w:numPr>
          <w:ilvl w:val="1"/>
          <w:numId w:val="2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 w:rsidRPr="00202212">
        <w:rPr>
          <w:rFonts w:ascii="Times New Roman" w:hAnsi="Times New Roman"/>
          <w:b/>
          <w:szCs w:val="24"/>
        </w:rPr>
        <w:t>CONSULTA AOS GRUPOS AFETADOS</w:t>
      </w:r>
    </w:p>
    <w:p w:rsidR="00202212" w:rsidRDefault="00202212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DB7612">
        <w:rPr>
          <w:rFonts w:ascii="Times New Roman" w:hAnsi="Times New Roman"/>
          <w:szCs w:val="24"/>
        </w:rPr>
        <w:t xml:space="preserve"> seguir são elencadas as </w:t>
      </w:r>
      <w:r>
        <w:rPr>
          <w:rFonts w:ascii="Times New Roman" w:hAnsi="Times New Roman"/>
          <w:szCs w:val="24"/>
        </w:rPr>
        <w:t xml:space="preserve">iniciativas </w:t>
      </w:r>
      <w:r w:rsidR="00DB7612">
        <w:rPr>
          <w:rFonts w:ascii="Times New Roman" w:hAnsi="Times New Roman"/>
          <w:szCs w:val="24"/>
        </w:rPr>
        <w:t>que foram realizadas para consulta aos grupos afetados.</w:t>
      </w:r>
      <w:r w:rsidR="004A3C2B">
        <w:rPr>
          <w:rFonts w:ascii="Times New Roman" w:hAnsi="Times New Roman"/>
          <w:szCs w:val="24"/>
        </w:rPr>
        <w:t xml:space="preserve"> </w:t>
      </w:r>
    </w:p>
    <w:p w:rsidR="00DB7612" w:rsidRDefault="001160B4" w:rsidP="00DA0041">
      <w:pPr>
        <w:pStyle w:val="PargrafodaLista"/>
        <w:numPr>
          <w:ilvl w:val="0"/>
          <w:numId w:val="5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Reunião com o </w:t>
      </w:r>
      <w:r w:rsidR="00DD2129">
        <w:rPr>
          <w:rFonts w:ascii="Times New Roman" w:hAnsi="Times New Roman"/>
          <w:szCs w:val="24"/>
        </w:rPr>
        <w:t>Inmetro</w:t>
      </w:r>
      <w:r w:rsidR="00035BCE">
        <w:rPr>
          <w:rFonts w:ascii="Times New Roman" w:hAnsi="Times New Roman"/>
          <w:szCs w:val="24"/>
        </w:rPr>
        <w:t>.</w:t>
      </w:r>
    </w:p>
    <w:p w:rsidR="001160B4" w:rsidRDefault="00DB7612" w:rsidP="00DA0041">
      <w:pPr>
        <w:pStyle w:val="PargrafodaLista"/>
        <w:tabs>
          <w:tab w:val="left" w:pos="851"/>
        </w:tabs>
        <w:spacing w:before="120" w:after="120"/>
        <w:ind w:left="0" w:firstLine="851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Foi realizada reunião</w:t>
      </w:r>
      <w:r w:rsidR="005F72C0">
        <w:rPr>
          <w:rFonts w:ascii="Times New Roman" w:hAnsi="Times New Roman"/>
          <w:szCs w:val="24"/>
        </w:rPr>
        <w:t xml:space="preserve"> no dia 16 de junho de 2016</w:t>
      </w:r>
      <w:r>
        <w:rPr>
          <w:rFonts w:ascii="Times New Roman" w:hAnsi="Times New Roman"/>
          <w:szCs w:val="24"/>
        </w:rPr>
        <w:t>, cuja ata encontra-se anexa ao processo 48600.001716/2016-67</w:t>
      </w:r>
      <w:r w:rsidR="0001612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fls. 15 e 16, </w:t>
      </w:r>
      <w:r w:rsidR="001160B4">
        <w:rPr>
          <w:rFonts w:ascii="Times New Roman" w:hAnsi="Times New Roman"/>
          <w:szCs w:val="24"/>
        </w:rPr>
        <w:t>para verificação de pontos de integração/superposição</w:t>
      </w:r>
      <w:r>
        <w:rPr>
          <w:rFonts w:ascii="Times New Roman" w:hAnsi="Times New Roman"/>
          <w:szCs w:val="24"/>
        </w:rPr>
        <w:t xml:space="preserve"> da atuação ANP-</w:t>
      </w:r>
      <w:r w:rsidR="00DD2129">
        <w:rPr>
          <w:rFonts w:ascii="Times New Roman" w:hAnsi="Times New Roman"/>
          <w:szCs w:val="24"/>
        </w:rPr>
        <w:t>Inmetro</w:t>
      </w:r>
      <w:r>
        <w:rPr>
          <w:rFonts w:ascii="Times New Roman" w:hAnsi="Times New Roman"/>
          <w:szCs w:val="24"/>
        </w:rPr>
        <w:t>.</w:t>
      </w:r>
    </w:p>
    <w:p w:rsidR="00DB7612" w:rsidRDefault="00202212" w:rsidP="00DA0041">
      <w:pPr>
        <w:pStyle w:val="PargrafodaLista"/>
        <w:numPr>
          <w:ilvl w:val="0"/>
          <w:numId w:val="5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Pesquisa de percepção com </w:t>
      </w:r>
      <w:r w:rsidR="001160B4">
        <w:rPr>
          <w:rFonts w:ascii="Times New Roman" w:hAnsi="Times New Roman"/>
          <w:szCs w:val="24"/>
        </w:rPr>
        <w:t>os laboratórios certificadores de biodiesel</w:t>
      </w:r>
      <w:r w:rsidR="00035BCE">
        <w:rPr>
          <w:rFonts w:ascii="Times New Roman" w:hAnsi="Times New Roman"/>
          <w:szCs w:val="24"/>
        </w:rPr>
        <w:t>.</w:t>
      </w:r>
    </w:p>
    <w:p w:rsidR="00DB7612" w:rsidRDefault="00DB7612" w:rsidP="00DA0041">
      <w:pPr>
        <w:pStyle w:val="PargrafodaLista"/>
        <w:tabs>
          <w:tab w:val="left" w:pos="851"/>
        </w:tabs>
        <w:spacing w:before="120" w:after="120"/>
        <w:ind w:left="0" w:firstLine="851"/>
        <w:contextualSpacing w:val="0"/>
        <w:jc w:val="both"/>
        <w:rPr>
          <w:rFonts w:ascii="Times New Roman" w:hAnsi="Times New Roman"/>
          <w:szCs w:val="24"/>
        </w:rPr>
      </w:pPr>
      <w:r w:rsidRPr="00DB7612">
        <w:rPr>
          <w:rFonts w:ascii="Times New Roman" w:hAnsi="Times New Roman"/>
          <w:szCs w:val="24"/>
        </w:rPr>
        <w:t xml:space="preserve">Foram elaboradas 13 questões, sendo 12 </w:t>
      </w:r>
      <w:r w:rsidR="00944E71" w:rsidRPr="00DB7612">
        <w:rPr>
          <w:rFonts w:ascii="Times New Roman" w:hAnsi="Times New Roman"/>
          <w:szCs w:val="24"/>
        </w:rPr>
        <w:t>obrigatóri</w:t>
      </w:r>
      <w:r w:rsidR="00944E71">
        <w:rPr>
          <w:rFonts w:ascii="Times New Roman" w:hAnsi="Times New Roman"/>
          <w:szCs w:val="24"/>
        </w:rPr>
        <w:t>a</w:t>
      </w:r>
      <w:r w:rsidR="00944E71" w:rsidRPr="00DB7612">
        <w:rPr>
          <w:rFonts w:ascii="Times New Roman" w:hAnsi="Times New Roman"/>
          <w:szCs w:val="24"/>
        </w:rPr>
        <w:t xml:space="preserve">s </w:t>
      </w:r>
      <w:r w:rsidRPr="00DB7612">
        <w:rPr>
          <w:rFonts w:ascii="Times New Roman" w:hAnsi="Times New Roman"/>
          <w:szCs w:val="24"/>
        </w:rPr>
        <w:t>e 1 opcional. A pesquisa foi enviada para os 36 laboratórios cadastrados n</w:t>
      </w:r>
      <w:r w:rsidR="00016127">
        <w:rPr>
          <w:rFonts w:ascii="Times New Roman" w:hAnsi="Times New Roman"/>
          <w:szCs w:val="24"/>
        </w:rPr>
        <w:t>a</w:t>
      </w:r>
      <w:r w:rsidRPr="00DB7612">
        <w:rPr>
          <w:rFonts w:ascii="Times New Roman" w:hAnsi="Times New Roman"/>
          <w:szCs w:val="24"/>
        </w:rPr>
        <w:t xml:space="preserve"> ANP</w:t>
      </w:r>
      <w:r w:rsidR="00944E71">
        <w:rPr>
          <w:rFonts w:ascii="Times New Roman" w:hAnsi="Times New Roman"/>
          <w:szCs w:val="24"/>
        </w:rPr>
        <w:t>,</w:t>
      </w:r>
      <w:r w:rsidR="001258E9">
        <w:rPr>
          <w:rFonts w:ascii="Times New Roman" w:hAnsi="Times New Roman"/>
          <w:szCs w:val="24"/>
        </w:rPr>
        <w:t xml:space="preserve"> sendo dado prazo de 15 dias para participação</w:t>
      </w:r>
      <w:r w:rsidRPr="00DB7612">
        <w:rPr>
          <w:rFonts w:ascii="Times New Roman" w:hAnsi="Times New Roman"/>
          <w:szCs w:val="24"/>
        </w:rPr>
        <w:t>, resultando em taxa de retorno da pesquisa de 86%.</w:t>
      </w:r>
    </w:p>
    <w:p w:rsidR="00DB7612" w:rsidRPr="00DB7612" w:rsidRDefault="00DB7612" w:rsidP="00DA0041">
      <w:pPr>
        <w:pStyle w:val="PargrafodaLista"/>
        <w:tabs>
          <w:tab w:val="left" w:pos="851"/>
        </w:tabs>
        <w:spacing w:before="120" w:after="120"/>
        <w:ind w:left="0" w:firstLine="851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 perguntas e respostas, bem como a análise destas, encontram-se documentadas no Relatório nº 3/2016/SBQ/CPT-DF, sob número SID 00600.009628/2016-87, anexado ao processo 48600.001716/2016-67</w:t>
      </w:r>
      <w:r w:rsidR="0001612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fls. 17 a 35. </w:t>
      </w:r>
      <w:r w:rsidRPr="00DB7612">
        <w:rPr>
          <w:rFonts w:ascii="Times New Roman" w:hAnsi="Times New Roman"/>
          <w:szCs w:val="24"/>
        </w:rPr>
        <w:t>Os resultados principais são elencados a seguir:</w:t>
      </w:r>
    </w:p>
    <w:p w:rsidR="001160B4" w:rsidRPr="00DB7612" w:rsidRDefault="001160B4" w:rsidP="00DA0041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 w:rsidRPr="00DB7612">
        <w:rPr>
          <w:rFonts w:ascii="Times New Roman" w:hAnsi="Times New Roman"/>
          <w:szCs w:val="24"/>
        </w:rPr>
        <w:lastRenderedPageBreak/>
        <w:t xml:space="preserve">82% dos laboratórios não participaram ativamente dos processos de revisão da resolução </w:t>
      </w:r>
      <w:r w:rsidR="00944E71">
        <w:rPr>
          <w:rFonts w:ascii="Times New Roman" w:hAnsi="Times New Roman"/>
          <w:szCs w:val="24"/>
        </w:rPr>
        <w:t>que trata d</w:t>
      </w:r>
      <w:r w:rsidRPr="00DB7612">
        <w:rPr>
          <w:rFonts w:ascii="Times New Roman" w:hAnsi="Times New Roman"/>
          <w:szCs w:val="24"/>
        </w:rPr>
        <w:t>o cadastro;</w:t>
      </w:r>
    </w:p>
    <w:p w:rsidR="001160B4" w:rsidRPr="00DB7612" w:rsidRDefault="001160B4" w:rsidP="00DA0041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 w:rsidRPr="00DB7612">
        <w:rPr>
          <w:rFonts w:ascii="Times New Roman" w:hAnsi="Times New Roman"/>
          <w:szCs w:val="24"/>
        </w:rPr>
        <w:t>85% dos laboratórios entenderam ser necessária a realização de vistoria técnica da ANP para a concessão do cadastro</w:t>
      </w:r>
      <w:r w:rsidR="00DB7612" w:rsidRPr="00DB7612">
        <w:rPr>
          <w:rFonts w:ascii="Times New Roman" w:hAnsi="Times New Roman"/>
          <w:szCs w:val="24"/>
        </w:rPr>
        <w:t>;</w:t>
      </w:r>
    </w:p>
    <w:p w:rsidR="00DB7612" w:rsidRDefault="00016127" w:rsidP="00DA0041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944E71">
        <w:rPr>
          <w:rFonts w:ascii="Times New Roman" w:hAnsi="Times New Roman"/>
          <w:szCs w:val="24"/>
        </w:rPr>
        <w:t>o que diz respeito</w:t>
      </w:r>
      <w:r w:rsidR="00944E71" w:rsidRPr="00DB7612">
        <w:rPr>
          <w:rFonts w:ascii="Times New Roman" w:hAnsi="Times New Roman"/>
          <w:szCs w:val="24"/>
        </w:rPr>
        <w:t xml:space="preserve"> </w:t>
      </w:r>
      <w:r w:rsidR="00DB7612" w:rsidRPr="00DB7612">
        <w:rPr>
          <w:rFonts w:ascii="Times New Roman" w:hAnsi="Times New Roman"/>
          <w:szCs w:val="24"/>
        </w:rPr>
        <w:t xml:space="preserve">à percepção sobre melhorias quanto à celeridade do processo de cadastramento, o maior número de comentários girou em torno do prazo, da excessiva quantidade de documentação exigida e da apresentação do certificado de acreditação no </w:t>
      </w:r>
      <w:r w:rsidR="005A27A6">
        <w:rPr>
          <w:rFonts w:ascii="Times New Roman" w:hAnsi="Times New Roman"/>
          <w:szCs w:val="24"/>
        </w:rPr>
        <w:t>Inmetro</w:t>
      </w:r>
      <w:r w:rsidR="00DB7612" w:rsidRPr="00DB7612">
        <w:rPr>
          <w:rFonts w:ascii="Times New Roman" w:hAnsi="Times New Roman"/>
          <w:szCs w:val="24"/>
        </w:rPr>
        <w:t xml:space="preserve"> como único documento necessário para cadastramento </w:t>
      </w:r>
      <w:r>
        <w:rPr>
          <w:rFonts w:ascii="Times New Roman" w:hAnsi="Times New Roman"/>
          <w:szCs w:val="24"/>
        </w:rPr>
        <w:t>na</w:t>
      </w:r>
      <w:r w:rsidR="00DB7612" w:rsidRPr="00DB7612">
        <w:rPr>
          <w:rFonts w:ascii="Times New Roman" w:hAnsi="Times New Roman"/>
          <w:szCs w:val="24"/>
        </w:rPr>
        <w:t xml:space="preserve"> ANP</w:t>
      </w:r>
      <w:r w:rsidR="001258E9">
        <w:rPr>
          <w:rFonts w:ascii="Times New Roman" w:hAnsi="Times New Roman"/>
          <w:szCs w:val="24"/>
        </w:rPr>
        <w:t>;</w:t>
      </w:r>
    </w:p>
    <w:p w:rsidR="00DB7612" w:rsidRDefault="00DB7612" w:rsidP="00DA0041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88% dos laboratórios participantes julga</w:t>
      </w:r>
      <w:r w:rsidR="00016127">
        <w:rPr>
          <w:rFonts w:ascii="Times New Roman" w:hAnsi="Times New Roman"/>
          <w:szCs w:val="24"/>
        </w:rPr>
        <w:t>ram</w:t>
      </w:r>
      <w:r>
        <w:rPr>
          <w:rFonts w:ascii="Times New Roman" w:hAnsi="Times New Roman"/>
          <w:szCs w:val="24"/>
        </w:rPr>
        <w:t xml:space="preserve"> que a acreditação </w:t>
      </w:r>
      <w:r w:rsidR="00016127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o </w:t>
      </w:r>
      <w:r w:rsidR="005A27A6">
        <w:rPr>
          <w:rFonts w:ascii="Times New Roman" w:hAnsi="Times New Roman"/>
          <w:szCs w:val="24"/>
        </w:rPr>
        <w:t>Inmetro</w:t>
      </w:r>
      <w:r w:rsidR="005A27A6" w:rsidRPr="00DB76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foi benéfica tanto para o próprio laboratório</w:t>
      </w:r>
      <w:r w:rsidR="00944E7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quanto para o mercado de biodiesel, especialmente por fatores de confiabilidade, padronização e garantia da qualidade do produto</w:t>
      </w:r>
      <w:r w:rsidR="001258E9">
        <w:rPr>
          <w:rFonts w:ascii="Times New Roman" w:hAnsi="Times New Roman"/>
          <w:szCs w:val="24"/>
        </w:rPr>
        <w:t>;</w:t>
      </w:r>
    </w:p>
    <w:p w:rsidR="001258E9" w:rsidRDefault="001258E9" w:rsidP="00DA0041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42% dos laboratórios afirmaram já ter encontrado divergência de exigências entre a ANP e o </w:t>
      </w:r>
      <w:r w:rsidR="005A27A6">
        <w:rPr>
          <w:rFonts w:ascii="Times New Roman" w:hAnsi="Times New Roman"/>
          <w:szCs w:val="24"/>
        </w:rPr>
        <w:t>Inmetro</w:t>
      </w:r>
      <w:r w:rsidR="005A27A6" w:rsidRPr="00DB76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durante o processo de acreditação/cadastramento;</w:t>
      </w:r>
    </w:p>
    <w:p w:rsidR="001258E9" w:rsidRDefault="001258E9" w:rsidP="00DA0041">
      <w:pPr>
        <w:pStyle w:val="PargrafodaLista"/>
        <w:numPr>
          <w:ilvl w:val="0"/>
          <w:numId w:val="6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54,5% dos laboratórios entendem que as vistorias da ANP e do </w:t>
      </w:r>
      <w:r w:rsidR="005A27A6">
        <w:rPr>
          <w:rFonts w:ascii="Times New Roman" w:hAnsi="Times New Roman"/>
          <w:szCs w:val="24"/>
        </w:rPr>
        <w:t>Inmetro</w:t>
      </w:r>
      <w:r w:rsidR="005A27A6" w:rsidRPr="00DB761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possuem a mesma finalidade</w:t>
      </w:r>
      <w:r w:rsidR="000C69EB">
        <w:rPr>
          <w:rFonts w:ascii="Times New Roman" w:hAnsi="Times New Roman"/>
          <w:szCs w:val="24"/>
        </w:rPr>
        <w:t>.</w:t>
      </w:r>
    </w:p>
    <w:p w:rsidR="00202212" w:rsidRDefault="00FA17E2" w:rsidP="00FA17E2">
      <w:pPr>
        <w:pStyle w:val="PargrafodaLista"/>
        <w:spacing w:before="120" w:after="120"/>
        <w:ind w:left="284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iii.    </w:t>
      </w:r>
      <w:r w:rsidR="00202212">
        <w:rPr>
          <w:rFonts w:ascii="Times New Roman" w:hAnsi="Times New Roman"/>
          <w:szCs w:val="24"/>
        </w:rPr>
        <w:t xml:space="preserve">Reunião com o mercado para apresentação </w:t>
      </w:r>
      <w:r w:rsidR="00CA04CA">
        <w:rPr>
          <w:rFonts w:ascii="Times New Roman" w:hAnsi="Times New Roman"/>
          <w:szCs w:val="24"/>
        </w:rPr>
        <w:t>de</w:t>
      </w:r>
      <w:r w:rsidR="00202212">
        <w:rPr>
          <w:rFonts w:ascii="Times New Roman" w:hAnsi="Times New Roman"/>
          <w:szCs w:val="24"/>
        </w:rPr>
        <w:t xml:space="preserve"> minuta </w:t>
      </w:r>
      <w:r w:rsidR="00CA04CA">
        <w:rPr>
          <w:rFonts w:ascii="Times New Roman" w:hAnsi="Times New Roman"/>
          <w:szCs w:val="24"/>
        </w:rPr>
        <w:t xml:space="preserve">de simplificação da Resolução ANP n° </w:t>
      </w:r>
      <w:r w:rsidR="00C55A5A">
        <w:rPr>
          <w:rFonts w:ascii="Times New Roman" w:hAnsi="Times New Roman"/>
          <w:szCs w:val="24"/>
        </w:rPr>
        <w:t>6</w:t>
      </w:r>
      <w:r w:rsidR="00CA04CA">
        <w:rPr>
          <w:rFonts w:ascii="Times New Roman" w:hAnsi="Times New Roman"/>
          <w:szCs w:val="24"/>
        </w:rPr>
        <w:t xml:space="preserve">/2014 </w:t>
      </w:r>
      <w:r w:rsidR="00202212">
        <w:rPr>
          <w:rFonts w:ascii="Times New Roman" w:hAnsi="Times New Roman"/>
          <w:szCs w:val="24"/>
        </w:rPr>
        <w:t>pretendida pela SBQ e acolhim</w:t>
      </w:r>
      <w:r w:rsidR="00035BCE">
        <w:rPr>
          <w:rFonts w:ascii="Times New Roman" w:hAnsi="Times New Roman"/>
          <w:szCs w:val="24"/>
        </w:rPr>
        <w:t>ento de comentários e sugestões.</w:t>
      </w:r>
    </w:p>
    <w:p w:rsidR="00CA04CA" w:rsidRPr="00CA04CA" w:rsidRDefault="00CA04CA" w:rsidP="00DA0041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CA04CA">
        <w:rPr>
          <w:rFonts w:ascii="Times New Roman" w:hAnsi="Times New Roman"/>
          <w:szCs w:val="24"/>
        </w:rPr>
        <w:t xml:space="preserve">Foi realizada reunião no dia </w:t>
      </w:r>
      <w:r>
        <w:rPr>
          <w:rFonts w:ascii="Times New Roman" w:hAnsi="Times New Roman"/>
          <w:szCs w:val="24"/>
        </w:rPr>
        <w:t>01</w:t>
      </w:r>
      <w:r w:rsidRPr="00CA04CA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fevereiro</w:t>
      </w:r>
      <w:r w:rsidR="006003C8">
        <w:rPr>
          <w:rFonts w:ascii="Times New Roman" w:hAnsi="Times New Roman"/>
          <w:szCs w:val="24"/>
        </w:rPr>
        <w:t xml:space="preserve"> de 2017</w:t>
      </w:r>
      <w:r w:rsidRPr="00CA04CA">
        <w:rPr>
          <w:rFonts w:ascii="Times New Roman" w:hAnsi="Times New Roman"/>
          <w:szCs w:val="24"/>
        </w:rPr>
        <w:t>, cuja ata encontra-se anexa ao processo 48600.001716/2016-67</w:t>
      </w:r>
      <w:r w:rsidR="00016127">
        <w:rPr>
          <w:rFonts w:ascii="Times New Roman" w:hAnsi="Times New Roman"/>
          <w:szCs w:val="24"/>
        </w:rPr>
        <w:t>,</w:t>
      </w:r>
      <w:r w:rsidRPr="00CA04CA">
        <w:rPr>
          <w:rFonts w:ascii="Times New Roman" w:hAnsi="Times New Roman"/>
          <w:szCs w:val="24"/>
        </w:rPr>
        <w:t xml:space="preserve"> fls. </w:t>
      </w:r>
      <w:r w:rsidR="006003C8">
        <w:rPr>
          <w:rFonts w:ascii="Times New Roman" w:hAnsi="Times New Roman"/>
          <w:szCs w:val="24"/>
        </w:rPr>
        <w:t>91 e 92</w:t>
      </w:r>
      <w:r w:rsidRPr="00CA04CA">
        <w:rPr>
          <w:rFonts w:ascii="Times New Roman" w:hAnsi="Times New Roman"/>
          <w:szCs w:val="24"/>
        </w:rPr>
        <w:t xml:space="preserve">, para </w:t>
      </w:r>
      <w:r>
        <w:rPr>
          <w:rFonts w:ascii="Times New Roman" w:hAnsi="Times New Roman"/>
          <w:szCs w:val="24"/>
        </w:rPr>
        <w:t xml:space="preserve">apresentação de proposta de revisão </w:t>
      </w:r>
      <w:r w:rsidR="00C55A5A">
        <w:rPr>
          <w:rFonts w:ascii="Times New Roman" w:hAnsi="Times New Roman"/>
          <w:szCs w:val="24"/>
        </w:rPr>
        <w:t xml:space="preserve">para simplificação </w:t>
      </w:r>
      <w:r>
        <w:rPr>
          <w:rFonts w:ascii="Times New Roman" w:hAnsi="Times New Roman"/>
          <w:szCs w:val="24"/>
        </w:rPr>
        <w:t>da Resolução ANP n° 6/2014</w:t>
      </w:r>
      <w:r w:rsidRPr="00CA04CA">
        <w:rPr>
          <w:rFonts w:ascii="Times New Roman" w:hAnsi="Times New Roman"/>
          <w:szCs w:val="24"/>
        </w:rPr>
        <w:t>.</w:t>
      </w:r>
    </w:p>
    <w:p w:rsidR="00CA04CA" w:rsidRDefault="00CA04CA" w:rsidP="00CA04CA">
      <w:pPr>
        <w:tabs>
          <w:tab w:val="left" w:pos="851"/>
        </w:tabs>
        <w:spacing w:before="120" w:after="120" w:line="360" w:lineRule="auto"/>
        <w:ind w:left="792"/>
        <w:jc w:val="both"/>
        <w:rPr>
          <w:rFonts w:ascii="Times New Roman" w:hAnsi="Times New Roman"/>
          <w:b/>
          <w:szCs w:val="24"/>
        </w:rPr>
      </w:pPr>
    </w:p>
    <w:p w:rsidR="00202212" w:rsidRPr="00202212" w:rsidRDefault="00202212" w:rsidP="00DA0041">
      <w:pPr>
        <w:numPr>
          <w:ilvl w:val="1"/>
          <w:numId w:val="2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 w:rsidRPr="00202212">
        <w:rPr>
          <w:rFonts w:ascii="Times New Roman" w:hAnsi="Times New Roman"/>
          <w:b/>
          <w:szCs w:val="24"/>
        </w:rPr>
        <w:t>ANÁLISE DAS OPÇÕES REGULATÓRIAS</w:t>
      </w:r>
    </w:p>
    <w:p w:rsidR="009364BD" w:rsidRPr="009364BD" w:rsidRDefault="00A01139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seguir</w:t>
      </w:r>
      <w:r w:rsidR="00C045BF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será apresentada avaliação simplificada, não monetizada, do</w:t>
      </w:r>
      <w:r w:rsidR="000B2608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custos e benefícios de cada uma das opções identificadas no item 4.1. </w:t>
      </w:r>
      <w:r w:rsidR="009364BD" w:rsidRPr="009364BD">
        <w:rPr>
          <w:rFonts w:ascii="Times New Roman" w:hAnsi="Times New Roman"/>
          <w:bCs/>
          <w:szCs w:val="24"/>
        </w:rPr>
        <w:t xml:space="preserve">As seguintes </w:t>
      </w:r>
      <w:r w:rsidR="00665B56">
        <w:rPr>
          <w:rFonts w:ascii="Times New Roman" w:hAnsi="Times New Roman"/>
          <w:bCs/>
          <w:szCs w:val="24"/>
        </w:rPr>
        <w:t>variáveis</w:t>
      </w:r>
      <w:r w:rsidR="00665B56" w:rsidRPr="009364BD">
        <w:rPr>
          <w:rFonts w:ascii="Times New Roman" w:hAnsi="Times New Roman"/>
          <w:bCs/>
          <w:szCs w:val="24"/>
        </w:rPr>
        <w:t xml:space="preserve"> </w:t>
      </w:r>
      <w:r w:rsidR="009364BD" w:rsidRPr="009364BD">
        <w:rPr>
          <w:rFonts w:ascii="Times New Roman" w:hAnsi="Times New Roman"/>
          <w:bCs/>
          <w:szCs w:val="24"/>
        </w:rPr>
        <w:t>foram consideradas na avaliação das opções regulatórias:</w:t>
      </w:r>
    </w:p>
    <w:p w:rsidR="009364BD" w:rsidRPr="009364BD" w:rsidRDefault="00016127" w:rsidP="00DA0041">
      <w:pPr>
        <w:pStyle w:val="PargrafodaLista"/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</w:t>
      </w:r>
      <w:r w:rsidR="009364BD" w:rsidRPr="009364BD">
        <w:rPr>
          <w:rFonts w:ascii="Times New Roman" w:hAnsi="Times New Roman"/>
          <w:bCs/>
          <w:szCs w:val="24"/>
        </w:rPr>
        <w:t>s custos de conformidade, incluindo recursos, tempo e custos financeiros;</w:t>
      </w:r>
    </w:p>
    <w:p w:rsidR="009364BD" w:rsidRPr="009364BD" w:rsidRDefault="00016127" w:rsidP="00DA0041">
      <w:pPr>
        <w:pStyle w:val="PargrafodaLista"/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</w:t>
      </w:r>
      <w:r w:rsidR="009364BD" w:rsidRPr="009364BD">
        <w:rPr>
          <w:rFonts w:ascii="Times New Roman" w:hAnsi="Times New Roman"/>
          <w:bCs/>
          <w:szCs w:val="24"/>
        </w:rPr>
        <w:t>s custos administrativos, incluindo os custos potenciais e limitações de tempo da Administração Pública;</w:t>
      </w:r>
    </w:p>
    <w:p w:rsidR="009364BD" w:rsidRPr="009364BD" w:rsidRDefault="00016127" w:rsidP="00DA0041">
      <w:pPr>
        <w:pStyle w:val="PargrafodaLista"/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</w:t>
      </w:r>
      <w:r w:rsidR="009364BD" w:rsidRPr="009364BD">
        <w:rPr>
          <w:rFonts w:ascii="Times New Roman" w:hAnsi="Times New Roman"/>
          <w:bCs/>
          <w:szCs w:val="24"/>
        </w:rPr>
        <w:t xml:space="preserve">mpactos na concorrência; </w:t>
      </w:r>
    </w:p>
    <w:p w:rsidR="009364BD" w:rsidRPr="009364BD" w:rsidRDefault="00016127" w:rsidP="00DA0041">
      <w:pPr>
        <w:pStyle w:val="PargrafodaLista"/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</w:t>
      </w:r>
      <w:r w:rsidR="009364BD" w:rsidRPr="009364BD">
        <w:rPr>
          <w:rFonts w:ascii="Times New Roman" w:hAnsi="Times New Roman"/>
          <w:bCs/>
          <w:szCs w:val="24"/>
        </w:rPr>
        <w:t>s custos sociais ou impactos na sociedade;</w:t>
      </w:r>
    </w:p>
    <w:p w:rsidR="009364BD" w:rsidRPr="009364BD" w:rsidRDefault="00016127" w:rsidP="00DA0041">
      <w:pPr>
        <w:pStyle w:val="PargrafodaLista"/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q</w:t>
      </w:r>
      <w:r w:rsidR="009364BD" w:rsidRPr="009364BD">
        <w:rPr>
          <w:rFonts w:ascii="Times New Roman" w:hAnsi="Times New Roman"/>
          <w:bCs/>
          <w:szCs w:val="24"/>
        </w:rPr>
        <w:t>uaisquer impactos cumulativos das opções regulatórias;</w:t>
      </w:r>
    </w:p>
    <w:p w:rsidR="009364BD" w:rsidRPr="009364BD" w:rsidRDefault="00016127" w:rsidP="00DA0041">
      <w:pPr>
        <w:pStyle w:val="PargrafodaLista"/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</w:t>
      </w:r>
      <w:r w:rsidR="009364BD" w:rsidRPr="009364BD">
        <w:rPr>
          <w:rFonts w:ascii="Times New Roman" w:hAnsi="Times New Roman"/>
          <w:bCs/>
          <w:szCs w:val="24"/>
        </w:rPr>
        <w:t xml:space="preserve">utros custos, incluindo os custos diretos e indiretos; </w:t>
      </w:r>
      <w:r w:rsidR="005F3E37">
        <w:rPr>
          <w:rFonts w:ascii="Times New Roman" w:hAnsi="Times New Roman"/>
          <w:bCs/>
          <w:szCs w:val="24"/>
        </w:rPr>
        <w:t>e</w:t>
      </w:r>
    </w:p>
    <w:p w:rsidR="009364BD" w:rsidRPr="009364BD" w:rsidRDefault="00016127" w:rsidP="00DA0041">
      <w:pPr>
        <w:pStyle w:val="PargrafodaLista"/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</w:t>
      </w:r>
      <w:r w:rsidR="009364BD" w:rsidRPr="009364BD">
        <w:rPr>
          <w:rFonts w:ascii="Times New Roman" w:hAnsi="Times New Roman"/>
          <w:bCs/>
          <w:szCs w:val="24"/>
        </w:rPr>
        <w:t>enefícios associados com o regulamento</w:t>
      </w:r>
      <w:r w:rsidR="005F3E37">
        <w:rPr>
          <w:rFonts w:ascii="Times New Roman" w:hAnsi="Times New Roman"/>
          <w:bCs/>
          <w:szCs w:val="24"/>
        </w:rPr>
        <w:t>.</w:t>
      </w:r>
    </w:p>
    <w:p w:rsidR="00593AE1" w:rsidRDefault="00593AE1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Ressalta-se que</w:t>
      </w:r>
      <w:r w:rsidR="00016127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nas três opções analisadas</w:t>
      </w:r>
      <w:r w:rsidR="00016127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é considerada a acreditação dos laboratórios na </w:t>
      </w:r>
      <w:r>
        <w:rPr>
          <w:rFonts w:ascii="Times New Roman" w:hAnsi="Times New Roman"/>
          <w:szCs w:val="24"/>
        </w:rPr>
        <w:t>NBR I</w:t>
      </w:r>
      <w:r w:rsidRPr="00C442DB">
        <w:rPr>
          <w:rFonts w:ascii="Times New Roman" w:hAnsi="Times New Roman"/>
          <w:szCs w:val="24"/>
        </w:rPr>
        <w:t>SO IEC 17025</w:t>
      </w:r>
      <w:r>
        <w:rPr>
          <w:rFonts w:ascii="Times New Roman" w:hAnsi="Times New Roman"/>
          <w:szCs w:val="24"/>
        </w:rPr>
        <w:t xml:space="preserve"> (Requisitos Gerais para Competência de Ensaio e Calibração).</w:t>
      </w:r>
      <w:r w:rsidRPr="00593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Essa é uma norma para </w:t>
      </w:r>
      <w:r w:rsidR="00C045BF">
        <w:rPr>
          <w:rFonts w:ascii="Times New Roman" w:hAnsi="Times New Roman"/>
          <w:szCs w:val="24"/>
        </w:rPr>
        <w:t xml:space="preserve">o </w:t>
      </w:r>
      <w:r>
        <w:rPr>
          <w:rFonts w:ascii="Times New Roman" w:hAnsi="Times New Roman"/>
          <w:szCs w:val="24"/>
        </w:rPr>
        <w:t xml:space="preserve">sistema de gestão em laboratórios. Tal norma é, em geral, voluntária, tornando-se obrigatória com ato da ANP que exija que </w:t>
      </w:r>
      <w:r w:rsidR="00C045BF">
        <w:rPr>
          <w:rFonts w:ascii="Times New Roman" w:hAnsi="Times New Roman"/>
          <w:szCs w:val="24"/>
        </w:rPr>
        <w:t>a emissão de laudos</w:t>
      </w:r>
      <w:r>
        <w:rPr>
          <w:rFonts w:ascii="Times New Roman" w:hAnsi="Times New Roman"/>
          <w:szCs w:val="24"/>
        </w:rPr>
        <w:t xml:space="preserve"> para </w:t>
      </w:r>
      <w:r w:rsidR="00C045BF">
        <w:rPr>
          <w:rFonts w:ascii="Times New Roman" w:hAnsi="Times New Roman"/>
          <w:szCs w:val="24"/>
        </w:rPr>
        <w:t>compor</w:t>
      </w:r>
      <w:r>
        <w:rPr>
          <w:rFonts w:ascii="Times New Roman" w:hAnsi="Times New Roman"/>
          <w:szCs w:val="24"/>
        </w:rPr>
        <w:t xml:space="preserve"> certificado de qualidade e boletim de conformidade seja </w:t>
      </w:r>
      <w:r w:rsidR="00C045BF">
        <w:rPr>
          <w:rFonts w:ascii="Times New Roman" w:hAnsi="Times New Roman"/>
          <w:szCs w:val="24"/>
        </w:rPr>
        <w:t xml:space="preserve">realizada </w:t>
      </w:r>
      <w:r>
        <w:rPr>
          <w:rFonts w:ascii="Times New Roman" w:hAnsi="Times New Roman"/>
          <w:szCs w:val="24"/>
        </w:rPr>
        <w:t xml:space="preserve">por laboratório </w:t>
      </w:r>
      <w:r w:rsidR="00C045BF">
        <w:rPr>
          <w:rFonts w:ascii="Times New Roman" w:hAnsi="Times New Roman"/>
          <w:szCs w:val="24"/>
        </w:rPr>
        <w:t>cujos</w:t>
      </w:r>
      <w:r w:rsidR="003812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ensaios físico-químicos </w:t>
      </w:r>
      <w:r w:rsidR="00C045BF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 xml:space="preserve"> biodiesel </w:t>
      </w:r>
      <w:r w:rsidR="00C045BF">
        <w:rPr>
          <w:rFonts w:ascii="Times New Roman" w:hAnsi="Times New Roman"/>
          <w:szCs w:val="24"/>
        </w:rPr>
        <w:t xml:space="preserve">sejam </w:t>
      </w:r>
      <w:r>
        <w:rPr>
          <w:rFonts w:ascii="Times New Roman" w:hAnsi="Times New Roman"/>
          <w:szCs w:val="24"/>
        </w:rPr>
        <w:t xml:space="preserve">acreditados de acordo com a NBR ISO IEC 17025. </w:t>
      </w:r>
    </w:p>
    <w:p w:rsidR="00457559" w:rsidRDefault="00457559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 w:rsidRPr="00457559">
        <w:rPr>
          <w:rFonts w:ascii="Times New Roman" w:hAnsi="Times New Roman"/>
          <w:szCs w:val="24"/>
        </w:rPr>
        <w:t xml:space="preserve">A acreditação de um laboratório, segundo a norma NBR ISO IEC 17025, representa o reconhecimento formal de sua competência técnica, em equivalência com os de outros organismos </w:t>
      </w:r>
      <w:r w:rsidRPr="00457559">
        <w:rPr>
          <w:rFonts w:ascii="Times New Roman" w:hAnsi="Times New Roman"/>
          <w:szCs w:val="24"/>
        </w:rPr>
        <w:lastRenderedPageBreak/>
        <w:t>estrangeiros congêneres, além de ser uma maneira segura de identificar aqueles que oferecem a adequada confiança quanto aos serviços prestados ao mercado.</w:t>
      </w:r>
    </w:p>
    <w:p w:rsidR="00593AE1" w:rsidRDefault="00593AE1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maior parte da documentação encaminhada à ANP é também encaminhada ao </w:t>
      </w:r>
      <w:r w:rsidR="00215504">
        <w:rPr>
          <w:rFonts w:ascii="Times New Roman" w:hAnsi="Times New Roman"/>
          <w:szCs w:val="24"/>
        </w:rPr>
        <w:t>Inmetro</w:t>
      </w:r>
      <w:r>
        <w:rPr>
          <w:rFonts w:ascii="Times New Roman" w:hAnsi="Times New Roman"/>
          <w:szCs w:val="24"/>
        </w:rPr>
        <w:t xml:space="preserve"> durante o processo de acreditação. Adicionalmente, o laboratório precisa participar satisfatoriamente em atividades de ensaios de proficiência dos métodos de ensaio para o qual se pleiteia a acreditação. Por fim, é realizada vistoria de técnicos do </w:t>
      </w:r>
      <w:r w:rsidR="00215504">
        <w:rPr>
          <w:rFonts w:ascii="Times New Roman" w:hAnsi="Times New Roman"/>
          <w:szCs w:val="24"/>
        </w:rPr>
        <w:t>Inmetro</w:t>
      </w:r>
      <w:r>
        <w:rPr>
          <w:rFonts w:ascii="Times New Roman" w:hAnsi="Times New Roman"/>
          <w:szCs w:val="24"/>
        </w:rPr>
        <w:t xml:space="preserve"> antes da concessão da acreditação. Para manutenção da acreditação</w:t>
      </w:r>
      <w:r w:rsidR="00A949E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são realizadas reavaliações periódicas, sendo que a primeira ocorre em até 12 meses da data da acreditação e as demais em até 24 meses contados a partir da última reavaliação. </w:t>
      </w:r>
      <w:r w:rsidRPr="00EE7984">
        <w:rPr>
          <w:rFonts w:ascii="Times New Roman" w:hAnsi="Times New Roman"/>
          <w:szCs w:val="24"/>
        </w:rPr>
        <w:t xml:space="preserve">Além das realizações periódicas, é realizado monitoramento da acreditação por parte do </w:t>
      </w:r>
      <w:r w:rsidR="00215504">
        <w:rPr>
          <w:rFonts w:ascii="Times New Roman" w:hAnsi="Times New Roman"/>
          <w:szCs w:val="24"/>
        </w:rPr>
        <w:t>Inmetro</w:t>
      </w:r>
      <w:r w:rsidR="00A949EB">
        <w:rPr>
          <w:rFonts w:ascii="Times New Roman" w:hAnsi="Times New Roman"/>
          <w:szCs w:val="24"/>
        </w:rPr>
        <w:t>,</w:t>
      </w:r>
      <w:r w:rsidRPr="00EE7984">
        <w:rPr>
          <w:rFonts w:ascii="Times New Roman" w:hAnsi="Times New Roman"/>
          <w:szCs w:val="24"/>
        </w:rPr>
        <w:t xml:space="preserve"> por meio de análise de documentos como, por exemplo, relatórios de participação em atividades de ensaio de proficiência.</w:t>
      </w:r>
    </w:p>
    <w:p w:rsidR="00593AE1" w:rsidRDefault="00593AE1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custo com a acreditação é relativamente elevado para os laboratórios, </w:t>
      </w:r>
      <w:r w:rsidR="00A949EB">
        <w:rPr>
          <w:rFonts w:ascii="Times New Roman" w:hAnsi="Times New Roman"/>
          <w:szCs w:val="24"/>
        </w:rPr>
        <w:t>sendo esse</w:t>
      </w:r>
      <w:r>
        <w:rPr>
          <w:rFonts w:ascii="Times New Roman" w:hAnsi="Times New Roman"/>
          <w:szCs w:val="24"/>
        </w:rPr>
        <w:t xml:space="preserve"> custo constante idêntico em todas as opções analisadas.</w:t>
      </w:r>
    </w:p>
    <w:p w:rsidR="00202212" w:rsidRDefault="00202212" w:rsidP="00DA0041">
      <w:pPr>
        <w:pStyle w:val="PargrafodaLista"/>
        <w:tabs>
          <w:tab w:val="left" w:pos="851"/>
        </w:tabs>
        <w:spacing w:before="120" w:after="120"/>
        <w:ind w:left="0" w:firstLine="851"/>
        <w:contextualSpacing w:val="0"/>
        <w:jc w:val="both"/>
        <w:rPr>
          <w:rFonts w:cs="Calibri"/>
          <w:sz w:val="26"/>
          <w:szCs w:val="26"/>
        </w:rPr>
      </w:pPr>
    </w:p>
    <w:p w:rsidR="00A01139" w:rsidRPr="005B44E2" w:rsidRDefault="00A01139" w:rsidP="00DA0041">
      <w:pPr>
        <w:numPr>
          <w:ilvl w:val="2"/>
          <w:numId w:val="8"/>
        </w:numPr>
        <w:tabs>
          <w:tab w:val="left" w:pos="1134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 w:rsidRPr="005B44E2">
        <w:rPr>
          <w:rFonts w:ascii="Times New Roman" w:hAnsi="Times New Roman"/>
          <w:b/>
          <w:szCs w:val="24"/>
        </w:rPr>
        <w:t>ANÁLISE DA</w:t>
      </w:r>
      <w:r>
        <w:rPr>
          <w:rFonts w:ascii="Times New Roman" w:hAnsi="Times New Roman"/>
          <w:b/>
          <w:szCs w:val="24"/>
        </w:rPr>
        <w:t xml:space="preserve"> OPÇÃO (A)</w:t>
      </w:r>
    </w:p>
    <w:p w:rsidR="00A01139" w:rsidRDefault="00A01139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9C6D06">
        <w:rPr>
          <w:rFonts w:ascii="Times New Roman" w:hAnsi="Times New Roman"/>
          <w:bCs/>
          <w:szCs w:val="24"/>
        </w:rPr>
        <w:tab/>
      </w:r>
      <w:r w:rsidRPr="00B003A5">
        <w:rPr>
          <w:rFonts w:ascii="Times New Roman" w:hAnsi="Times New Roman"/>
          <w:bCs/>
          <w:szCs w:val="24"/>
        </w:rPr>
        <w:t xml:space="preserve">A primeira opção consiste em não alterar a Resolução ANP n° </w:t>
      </w:r>
      <w:r w:rsidR="00DA6652" w:rsidRPr="00B003A5">
        <w:rPr>
          <w:rFonts w:ascii="Times New Roman" w:hAnsi="Times New Roman"/>
          <w:bCs/>
          <w:szCs w:val="24"/>
        </w:rPr>
        <w:t>6</w:t>
      </w:r>
      <w:r w:rsidRPr="00B003A5">
        <w:rPr>
          <w:rFonts w:ascii="Times New Roman" w:hAnsi="Times New Roman"/>
          <w:bCs/>
          <w:szCs w:val="24"/>
        </w:rPr>
        <w:t>/201</w:t>
      </w:r>
      <w:r w:rsidR="00DA6652" w:rsidRPr="00B003A5">
        <w:rPr>
          <w:rFonts w:ascii="Times New Roman" w:hAnsi="Times New Roman"/>
          <w:bCs/>
          <w:szCs w:val="24"/>
        </w:rPr>
        <w:t>4</w:t>
      </w:r>
      <w:r w:rsidRPr="00B003A5">
        <w:rPr>
          <w:rFonts w:ascii="Times New Roman" w:hAnsi="Times New Roman"/>
          <w:bCs/>
          <w:szCs w:val="24"/>
        </w:rPr>
        <w:t>.</w:t>
      </w:r>
    </w:p>
    <w:p w:rsidR="009D1EEC" w:rsidRPr="00B003A5" w:rsidRDefault="009D1EEC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9364BD" w:rsidRPr="00B003A5" w:rsidRDefault="009364BD" w:rsidP="00DA0041">
      <w:pPr>
        <w:pStyle w:val="Ttulo4"/>
        <w:keepNext w:val="0"/>
        <w:keepLines w:val="0"/>
        <w:widowControl w:val="0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B003A5">
        <w:rPr>
          <w:rFonts w:ascii="Times New Roman" w:hAnsi="Times New Roman" w:cs="Times New Roman"/>
          <w:color w:val="auto"/>
        </w:rPr>
        <w:t>Custos de conformidade, incluindo recursos, tempo e custos financeiros.</w:t>
      </w:r>
    </w:p>
    <w:p w:rsidR="009364BD" w:rsidRPr="00B003A5" w:rsidRDefault="009364BD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B003A5">
        <w:rPr>
          <w:rFonts w:ascii="Times New Roman" w:hAnsi="Times New Roman"/>
          <w:bCs/>
          <w:szCs w:val="24"/>
        </w:rPr>
        <w:t>Os custos de conformidade incluem os custos diretos</w:t>
      </w:r>
      <w:r w:rsidR="00E10707">
        <w:rPr>
          <w:rFonts w:ascii="Times New Roman" w:hAnsi="Times New Roman"/>
          <w:bCs/>
          <w:szCs w:val="24"/>
        </w:rPr>
        <w:t>,</w:t>
      </w:r>
      <w:r w:rsidRPr="00B003A5">
        <w:rPr>
          <w:rFonts w:ascii="Times New Roman" w:hAnsi="Times New Roman"/>
          <w:bCs/>
          <w:szCs w:val="24"/>
        </w:rPr>
        <w:t xml:space="preserve"> impostos aos agentes de mercado como resultado das exigências regulatórias e incluem:</w:t>
      </w:r>
    </w:p>
    <w:p w:rsidR="009364BD" w:rsidRPr="00B003A5" w:rsidRDefault="009364BD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 w:rsidRPr="00B003A5">
        <w:rPr>
          <w:rFonts w:ascii="Times New Roman" w:hAnsi="Times New Roman"/>
          <w:bCs/>
          <w:szCs w:val="24"/>
        </w:rPr>
        <w:t>Emissão de procuração para nomeação de representante junto à ANP</w:t>
      </w:r>
    </w:p>
    <w:p w:rsidR="009364BD" w:rsidRPr="00B003A5" w:rsidRDefault="009364BD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 w:rsidRPr="00B003A5">
        <w:rPr>
          <w:rFonts w:ascii="Times New Roman" w:hAnsi="Times New Roman"/>
          <w:bCs/>
          <w:szCs w:val="24"/>
        </w:rPr>
        <w:t xml:space="preserve">Emissão de cópia de registro do laboratório </w:t>
      </w:r>
      <w:r w:rsidR="00016127">
        <w:rPr>
          <w:rFonts w:ascii="Times New Roman" w:hAnsi="Times New Roman"/>
          <w:bCs/>
          <w:szCs w:val="24"/>
        </w:rPr>
        <w:t>n</w:t>
      </w:r>
      <w:r w:rsidRPr="00B003A5">
        <w:rPr>
          <w:rFonts w:ascii="Times New Roman" w:hAnsi="Times New Roman"/>
          <w:bCs/>
          <w:szCs w:val="24"/>
        </w:rPr>
        <w:t>o Conselho Regional de Química;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 w:rsidRPr="00B003A5">
        <w:rPr>
          <w:rFonts w:ascii="Times New Roman" w:hAnsi="Times New Roman"/>
          <w:bCs/>
          <w:szCs w:val="24"/>
        </w:rPr>
        <w:t xml:space="preserve">Emissão de cópia </w:t>
      </w:r>
      <w:r>
        <w:rPr>
          <w:rFonts w:ascii="Times New Roman" w:hAnsi="Times New Roman"/>
          <w:bCs/>
          <w:szCs w:val="24"/>
        </w:rPr>
        <w:t>do registro no</w:t>
      </w:r>
      <w:r w:rsidRPr="00B003A5">
        <w:rPr>
          <w:rFonts w:ascii="Times New Roman" w:hAnsi="Times New Roman"/>
          <w:bCs/>
          <w:szCs w:val="24"/>
        </w:rPr>
        <w:t xml:space="preserve"> Conselho Regional de Química</w:t>
      </w:r>
      <w:r>
        <w:rPr>
          <w:rFonts w:ascii="Times New Roman" w:hAnsi="Times New Roman"/>
          <w:bCs/>
          <w:szCs w:val="24"/>
        </w:rPr>
        <w:t xml:space="preserve"> do responsável pelo laboratório</w:t>
      </w:r>
      <w:r w:rsidRPr="00B003A5">
        <w:rPr>
          <w:rFonts w:ascii="Times New Roman" w:hAnsi="Times New Roman"/>
          <w:bCs/>
          <w:szCs w:val="24"/>
        </w:rPr>
        <w:t>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Emissão de cópia dos registros de treinamentos realizados por todos os analistas responsáveis pelos ensaios pretendidos;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Emissão de cópia dos procedimentos internos do laboratório;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Emissão de cópia do procedimento de controle da rastreabilidade;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Emissão de documento comprobatório da existência de sistema de controle de revisão dos procedimentos internos de ensaio;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Emissão de cópia do procedimento de amostragem;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Emissão de cópia do certificado de acreditação </w:t>
      </w:r>
      <w:r w:rsidR="00016127">
        <w:rPr>
          <w:rFonts w:ascii="Times New Roman" w:hAnsi="Times New Roman"/>
          <w:bCs/>
          <w:szCs w:val="24"/>
        </w:rPr>
        <w:t>n</w:t>
      </w:r>
      <w:r>
        <w:rPr>
          <w:rFonts w:ascii="Times New Roman" w:hAnsi="Times New Roman"/>
          <w:bCs/>
          <w:szCs w:val="24"/>
        </w:rPr>
        <w:t xml:space="preserve">o </w:t>
      </w:r>
      <w:r w:rsidR="00736EF3">
        <w:rPr>
          <w:rFonts w:ascii="Times New Roman" w:hAnsi="Times New Roman"/>
          <w:bCs/>
          <w:szCs w:val="24"/>
        </w:rPr>
        <w:t>Inmetro</w:t>
      </w:r>
      <w:r>
        <w:rPr>
          <w:rFonts w:ascii="Times New Roman" w:hAnsi="Times New Roman"/>
          <w:bCs/>
          <w:szCs w:val="24"/>
        </w:rPr>
        <w:t>;</w:t>
      </w:r>
    </w:p>
    <w:p w:rsidR="00B003A5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Elaboração de declarações para a ANP;</w:t>
      </w:r>
    </w:p>
    <w:p w:rsidR="009364BD" w:rsidRDefault="00B003A5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Elaboração e envio anual de declaração de interesse na manutenção do cadastro </w:t>
      </w:r>
      <w:r w:rsidR="00016127">
        <w:rPr>
          <w:rFonts w:ascii="Times New Roman" w:hAnsi="Times New Roman"/>
          <w:bCs/>
          <w:szCs w:val="24"/>
        </w:rPr>
        <w:t>na</w:t>
      </w:r>
      <w:r>
        <w:rPr>
          <w:rFonts w:ascii="Times New Roman" w:hAnsi="Times New Roman"/>
          <w:bCs/>
          <w:szCs w:val="24"/>
        </w:rPr>
        <w:t xml:space="preserve"> ANP</w:t>
      </w:r>
      <w:r w:rsidR="009D1EEC">
        <w:rPr>
          <w:rFonts w:ascii="Times New Roman" w:hAnsi="Times New Roman"/>
          <w:bCs/>
          <w:szCs w:val="24"/>
        </w:rPr>
        <w:t>; e</w:t>
      </w:r>
    </w:p>
    <w:p w:rsidR="009D1EEC" w:rsidRPr="00B003A5" w:rsidRDefault="009D1EEC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Custos de acreditação </w:t>
      </w:r>
      <w:r w:rsidR="00016127">
        <w:rPr>
          <w:rFonts w:ascii="Times New Roman" w:hAnsi="Times New Roman"/>
          <w:bCs/>
          <w:szCs w:val="24"/>
        </w:rPr>
        <w:t>no</w:t>
      </w:r>
      <w:r>
        <w:rPr>
          <w:rFonts w:ascii="Times New Roman" w:hAnsi="Times New Roman"/>
          <w:bCs/>
          <w:szCs w:val="24"/>
        </w:rPr>
        <w:t xml:space="preserve"> </w:t>
      </w:r>
      <w:r w:rsidR="00736EF3">
        <w:rPr>
          <w:rFonts w:ascii="Times New Roman" w:hAnsi="Times New Roman"/>
          <w:bCs/>
          <w:szCs w:val="24"/>
        </w:rPr>
        <w:t>Inmetro</w:t>
      </w:r>
      <w:r>
        <w:rPr>
          <w:rFonts w:ascii="Times New Roman" w:hAnsi="Times New Roman"/>
          <w:bCs/>
          <w:szCs w:val="24"/>
        </w:rPr>
        <w:t>.</w:t>
      </w:r>
    </w:p>
    <w:p w:rsidR="002F4223" w:rsidRPr="00B003A5" w:rsidRDefault="002F4223" w:rsidP="008F571E">
      <w:pPr>
        <w:tabs>
          <w:tab w:val="left" w:pos="851"/>
        </w:tabs>
        <w:spacing w:before="120" w:after="120" w:line="360" w:lineRule="auto"/>
        <w:ind w:firstLine="851"/>
        <w:jc w:val="both"/>
        <w:rPr>
          <w:rFonts w:ascii="Times New Roman" w:hAnsi="Times New Roman"/>
          <w:bCs/>
          <w:szCs w:val="24"/>
        </w:rPr>
      </w:pPr>
    </w:p>
    <w:p w:rsidR="008309DB" w:rsidRPr="002F4223" w:rsidRDefault="008309DB" w:rsidP="000A54DC">
      <w:pPr>
        <w:pStyle w:val="Ttulo4"/>
        <w:keepNext w:val="0"/>
        <w:keepLines w:val="0"/>
        <w:widowControl w:val="0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F4223">
        <w:rPr>
          <w:rFonts w:ascii="Times New Roman" w:hAnsi="Times New Roman" w:cs="Times New Roman"/>
          <w:color w:val="auto"/>
        </w:rPr>
        <w:t>Custos administrativos, incluindo os custos potenciais e limitações de tempo do Estado.</w:t>
      </w:r>
    </w:p>
    <w:p w:rsidR="008309DB" w:rsidRPr="00B003A5" w:rsidRDefault="008309DB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B003A5">
        <w:rPr>
          <w:rFonts w:ascii="Times New Roman" w:hAnsi="Times New Roman"/>
          <w:bCs/>
          <w:szCs w:val="24"/>
        </w:rPr>
        <w:lastRenderedPageBreak/>
        <w:t>Os custos administrativos diretos para o Estado associado</w:t>
      </w:r>
      <w:r w:rsidR="00E10707">
        <w:rPr>
          <w:rFonts w:ascii="Times New Roman" w:hAnsi="Times New Roman"/>
          <w:bCs/>
          <w:szCs w:val="24"/>
        </w:rPr>
        <w:t>s</w:t>
      </w:r>
      <w:r w:rsidRPr="00B003A5">
        <w:rPr>
          <w:rFonts w:ascii="Times New Roman" w:hAnsi="Times New Roman"/>
          <w:bCs/>
          <w:szCs w:val="24"/>
        </w:rPr>
        <w:t xml:space="preserve"> </w:t>
      </w:r>
      <w:r w:rsidR="00E10707">
        <w:rPr>
          <w:rFonts w:ascii="Times New Roman" w:hAnsi="Times New Roman"/>
          <w:bCs/>
          <w:szCs w:val="24"/>
        </w:rPr>
        <w:t>a</w:t>
      </w:r>
      <w:r w:rsidR="00293F9B">
        <w:rPr>
          <w:rFonts w:ascii="Times New Roman" w:hAnsi="Times New Roman"/>
          <w:bCs/>
          <w:szCs w:val="24"/>
        </w:rPr>
        <w:t xml:space="preserve"> </w:t>
      </w:r>
      <w:r w:rsidR="00E10707">
        <w:rPr>
          <w:rFonts w:ascii="Times New Roman" w:hAnsi="Times New Roman"/>
          <w:bCs/>
          <w:szCs w:val="24"/>
        </w:rPr>
        <w:t xml:space="preserve">essa </w:t>
      </w:r>
      <w:r w:rsidR="00293F9B">
        <w:rPr>
          <w:rFonts w:ascii="Times New Roman" w:hAnsi="Times New Roman"/>
          <w:bCs/>
          <w:szCs w:val="24"/>
        </w:rPr>
        <w:t>opção</w:t>
      </w:r>
      <w:r w:rsidRPr="00B003A5">
        <w:rPr>
          <w:rFonts w:ascii="Times New Roman" w:hAnsi="Times New Roman"/>
          <w:bCs/>
          <w:szCs w:val="24"/>
        </w:rPr>
        <w:t xml:space="preserve"> incluem:</w:t>
      </w:r>
    </w:p>
    <w:p w:rsidR="002F4223" w:rsidRDefault="002F4223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Publicação no Diário Oficial da União da aprovação de novos laboratórios, modificações de cadastro de laboratórios e revogação do cadastro de laboratórios;</w:t>
      </w:r>
    </w:p>
    <w:p w:rsidR="002F4223" w:rsidRPr="00B003A5" w:rsidRDefault="002F4223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Atualização da lista de laboratórios cadastrados</w:t>
      </w:r>
      <w:r w:rsidR="00E10707">
        <w:rPr>
          <w:rFonts w:ascii="Times New Roman" w:hAnsi="Times New Roman"/>
          <w:bCs/>
          <w:szCs w:val="24"/>
        </w:rPr>
        <w:t xml:space="preserve"> no site da ANP</w:t>
      </w:r>
      <w:r>
        <w:rPr>
          <w:rFonts w:ascii="Times New Roman" w:hAnsi="Times New Roman"/>
          <w:bCs/>
          <w:szCs w:val="24"/>
        </w:rPr>
        <w:t>;</w:t>
      </w:r>
    </w:p>
    <w:p w:rsidR="008309DB" w:rsidRPr="00B003A5" w:rsidRDefault="002F4223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Diárias e passagens para v</w:t>
      </w:r>
      <w:r w:rsidR="008309DB" w:rsidRPr="00B003A5">
        <w:rPr>
          <w:rFonts w:ascii="Times New Roman" w:hAnsi="Times New Roman"/>
          <w:bCs/>
          <w:szCs w:val="24"/>
        </w:rPr>
        <w:t>istorias para</w:t>
      </w:r>
      <w:r w:rsidR="00736EF3">
        <w:rPr>
          <w:rFonts w:ascii="Times New Roman" w:hAnsi="Times New Roman"/>
          <w:bCs/>
          <w:szCs w:val="24"/>
        </w:rPr>
        <w:t xml:space="preserve"> </w:t>
      </w:r>
      <w:r w:rsidR="00DA3C9C">
        <w:rPr>
          <w:rFonts w:ascii="Times New Roman" w:hAnsi="Times New Roman"/>
          <w:bCs/>
          <w:szCs w:val="24"/>
        </w:rPr>
        <w:t>cadastramento</w:t>
      </w:r>
      <w:r w:rsidR="008309DB" w:rsidRPr="00B003A5">
        <w:rPr>
          <w:rFonts w:ascii="Times New Roman" w:hAnsi="Times New Roman"/>
          <w:bCs/>
          <w:szCs w:val="24"/>
        </w:rPr>
        <w:t>;</w:t>
      </w:r>
    </w:p>
    <w:p w:rsidR="008309DB" w:rsidRDefault="002F4223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Diárias e passagens para f</w:t>
      </w:r>
      <w:r w:rsidR="008309DB" w:rsidRPr="00B003A5">
        <w:rPr>
          <w:rFonts w:ascii="Times New Roman" w:hAnsi="Times New Roman"/>
          <w:bCs/>
          <w:szCs w:val="24"/>
        </w:rPr>
        <w:t>iscalizações eventuais nos laboratórios</w:t>
      </w:r>
      <w:r w:rsidR="000C69EB">
        <w:rPr>
          <w:rFonts w:ascii="Times New Roman" w:hAnsi="Times New Roman"/>
          <w:bCs/>
          <w:szCs w:val="24"/>
        </w:rPr>
        <w:t>.</w:t>
      </w:r>
    </w:p>
    <w:p w:rsidR="00293F9B" w:rsidRPr="00293F9B" w:rsidRDefault="00293F9B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Também existem custos </w:t>
      </w:r>
      <w:r w:rsidRPr="00293F9B">
        <w:rPr>
          <w:rFonts w:ascii="Times New Roman" w:hAnsi="Times New Roman"/>
          <w:bCs/>
          <w:szCs w:val="24"/>
        </w:rPr>
        <w:t xml:space="preserve">administrativos do Estado </w:t>
      </w:r>
      <w:r>
        <w:rPr>
          <w:rFonts w:ascii="Times New Roman" w:hAnsi="Times New Roman"/>
          <w:bCs/>
          <w:szCs w:val="24"/>
        </w:rPr>
        <w:t>r</w:t>
      </w:r>
      <w:r w:rsidRPr="00293F9B">
        <w:rPr>
          <w:rFonts w:ascii="Times New Roman" w:hAnsi="Times New Roman"/>
          <w:bCs/>
          <w:szCs w:val="24"/>
        </w:rPr>
        <w:t xml:space="preserve">elativos </w:t>
      </w:r>
      <w:r>
        <w:rPr>
          <w:rFonts w:ascii="Times New Roman" w:hAnsi="Times New Roman"/>
          <w:bCs/>
          <w:szCs w:val="24"/>
        </w:rPr>
        <w:t>ao pessoal e custos associados devido à análise da documentação e prestação de orientação/informação ao agente regulado.</w:t>
      </w:r>
    </w:p>
    <w:p w:rsidR="00293F9B" w:rsidRDefault="00293F9B" w:rsidP="00DA0041">
      <w:pPr>
        <w:pStyle w:val="PargrafodaLista"/>
        <w:tabs>
          <w:tab w:val="left" w:pos="851"/>
        </w:tabs>
        <w:spacing w:before="120" w:after="120"/>
        <w:ind w:left="1571"/>
        <w:jc w:val="both"/>
        <w:rPr>
          <w:rFonts w:ascii="Times New Roman" w:hAnsi="Times New Roman"/>
          <w:bCs/>
          <w:szCs w:val="24"/>
        </w:rPr>
      </w:pPr>
    </w:p>
    <w:p w:rsidR="0002590C" w:rsidRPr="00293F9B" w:rsidRDefault="0002590C" w:rsidP="00DA0041">
      <w:pPr>
        <w:pStyle w:val="Ttulo4"/>
        <w:keepNext w:val="0"/>
        <w:keepLines w:val="0"/>
        <w:widowControl w:val="0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93F9B">
        <w:rPr>
          <w:rFonts w:ascii="Times New Roman" w:hAnsi="Times New Roman" w:cs="Times New Roman"/>
          <w:color w:val="auto"/>
        </w:rPr>
        <w:t>Impacto sobre a concorrência</w:t>
      </w:r>
    </w:p>
    <w:p w:rsidR="0002590C" w:rsidRDefault="000949CC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foi identificado</w:t>
      </w:r>
      <w:r w:rsidR="0002590C" w:rsidRPr="00B003A5">
        <w:rPr>
          <w:rFonts w:ascii="Times New Roman" w:hAnsi="Times New Roman"/>
          <w:bCs/>
          <w:szCs w:val="24"/>
        </w:rPr>
        <w:t xml:space="preserve"> impacto sobre a concorrência inerente</w:t>
      </w:r>
      <w:r w:rsidR="00840028">
        <w:rPr>
          <w:rFonts w:ascii="Times New Roman" w:hAnsi="Times New Roman"/>
          <w:bCs/>
          <w:szCs w:val="24"/>
        </w:rPr>
        <w:t>,</w:t>
      </w:r>
      <w:r w:rsidR="0002590C" w:rsidRPr="00B003A5">
        <w:rPr>
          <w:rFonts w:ascii="Times New Roman" w:hAnsi="Times New Roman"/>
          <w:bCs/>
          <w:szCs w:val="24"/>
        </w:rPr>
        <w:t xml:space="preserve"> visto que todos os laboratórios podem solicitar cadastramento </w:t>
      </w:r>
      <w:r w:rsidR="00C62572">
        <w:rPr>
          <w:rFonts w:ascii="Times New Roman" w:hAnsi="Times New Roman"/>
          <w:bCs/>
          <w:szCs w:val="24"/>
        </w:rPr>
        <w:t>na</w:t>
      </w:r>
      <w:r w:rsidR="0002590C" w:rsidRPr="00B003A5">
        <w:rPr>
          <w:rFonts w:ascii="Times New Roman" w:hAnsi="Times New Roman"/>
          <w:bCs/>
          <w:szCs w:val="24"/>
        </w:rPr>
        <w:t xml:space="preserve"> ANP e todas as empresas produtoras de biodiesel podem contratar qualquer laboratório cadastrado</w:t>
      </w:r>
      <w:r w:rsidR="00293F9B">
        <w:rPr>
          <w:rFonts w:ascii="Times New Roman" w:hAnsi="Times New Roman"/>
          <w:bCs/>
          <w:szCs w:val="24"/>
        </w:rPr>
        <w:t>.</w:t>
      </w:r>
    </w:p>
    <w:p w:rsidR="001E065A" w:rsidRPr="00293F9B" w:rsidRDefault="001E065A" w:rsidP="000A54DC">
      <w:pPr>
        <w:pStyle w:val="Ttulo4"/>
        <w:keepNext w:val="0"/>
        <w:keepLines w:val="0"/>
        <w:widowControl w:val="0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93F9B">
        <w:rPr>
          <w:rFonts w:ascii="Times New Roman" w:hAnsi="Times New Roman" w:cs="Times New Roman"/>
          <w:color w:val="auto"/>
        </w:rPr>
        <w:t>Custos sociais ou impactos na sociedade</w:t>
      </w:r>
    </w:p>
    <w:p w:rsidR="001E065A" w:rsidRDefault="005149BA" w:rsidP="00736EF3">
      <w:pPr>
        <w:tabs>
          <w:tab w:val="left" w:pos="851"/>
        </w:tabs>
        <w:spacing w:before="120" w:after="120" w:line="360" w:lineRule="auto"/>
        <w:ind w:firstLine="851"/>
        <w:jc w:val="both"/>
        <w:rPr>
          <w:rFonts w:ascii="Times New Roman" w:hAnsi="Times New Roman"/>
          <w:bCs/>
          <w:szCs w:val="24"/>
        </w:rPr>
      </w:pPr>
      <w:r w:rsidRPr="005149BA">
        <w:rPr>
          <w:rFonts w:ascii="Times New Roman" w:hAnsi="Times New Roman"/>
          <w:bCs/>
          <w:szCs w:val="24"/>
        </w:rPr>
        <w:t>Não foram identificados custos sociais ou impactos diretos</w:t>
      </w:r>
      <w:r w:rsidR="00776B6E">
        <w:rPr>
          <w:rFonts w:ascii="Times New Roman" w:hAnsi="Times New Roman"/>
          <w:bCs/>
          <w:szCs w:val="24"/>
        </w:rPr>
        <w:t xml:space="preserve"> significativos</w:t>
      </w:r>
      <w:r w:rsidRPr="005149BA">
        <w:rPr>
          <w:rFonts w:ascii="Times New Roman" w:hAnsi="Times New Roman"/>
          <w:bCs/>
          <w:szCs w:val="24"/>
        </w:rPr>
        <w:t xml:space="preserve"> na sociedade com esta opção.</w:t>
      </w:r>
    </w:p>
    <w:p w:rsidR="001E065A" w:rsidRPr="008F571E" w:rsidRDefault="001E065A" w:rsidP="000A54DC">
      <w:pPr>
        <w:pStyle w:val="Ttulo4"/>
        <w:keepNext w:val="0"/>
        <w:keepLines w:val="0"/>
        <w:widowControl w:val="0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8F571E">
        <w:rPr>
          <w:rFonts w:ascii="Times New Roman" w:hAnsi="Times New Roman" w:cs="Times New Roman"/>
          <w:color w:val="auto"/>
        </w:rPr>
        <w:t>Impactos cumulativos das opções legislativas</w:t>
      </w:r>
    </w:p>
    <w:p w:rsidR="001E065A" w:rsidRDefault="00555D94" w:rsidP="00593AE1">
      <w:pPr>
        <w:tabs>
          <w:tab w:val="left" w:pos="851"/>
        </w:tabs>
        <w:spacing w:before="120" w:after="120"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Existe sobreposição de atividades em relação ao </w:t>
      </w:r>
      <w:r w:rsidR="00665B56">
        <w:rPr>
          <w:rFonts w:ascii="Times New Roman" w:hAnsi="Times New Roman"/>
          <w:bCs/>
          <w:szCs w:val="24"/>
        </w:rPr>
        <w:t>Inmetro</w:t>
      </w:r>
      <w:r w:rsidR="00840028">
        <w:rPr>
          <w:rFonts w:ascii="Times New Roman" w:hAnsi="Times New Roman"/>
          <w:bCs/>
          <w:szCs w:val="24"/>
        </w:rPr>
        <w:t>,</w:t>
      </w:r>
      <w:r w:rsidR="00665B5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quando </w:t>
      </w:r>
      <w:r w:rsidR="00840028">
        <w:rPr>
          <w:rFonts w:ascii="Times New Roman" w:hAnsi="Times New Roman"/>
          <w:bCs/>
          <w:szCs w:val="24"/>
        </w:rPr>
        <w:t xml:space="preserve">esse </w:t>
      </w:r>
      <w:r>
        <w:rPr>
          <w:rFonts w:ascii="Times New Roman" w:hAnsi="Times New Roman"/>
          <w:bCs/>
          <w:szCs w:val="24"/>
        </w:rPr>
        <w:t xml:space="preserve">realiza a acreditação na </w:t>
      </w:r>
      <w:r>
        <w:rPr>
          <w:rFonts w:ascii="Times New Roman" w:hAnsi="Times New Roman"/>
          <w:szCs w:val="24"/>
        </w:rPr>
        <w:t>NBR I</w:t>
      </w:r>
      <w:r w:rsidRPr="00C442DB">
        <w:rPr>
          <w:rFonts w:ascii="Times New Roman" w:hAnsi="Times New Roman"/>
          <w:szCs w:val="24"/>
        </w:rPr>
        <w:t>SO IEC 17025</w:t>
      </w:r>
      <w:r w:rsidR="00C16E5C">
        <w:rPr>
          <w:rFonts w:ascii="Times New Roman" w:hAnsi="Times New Roman"/>
          <w:szCs w:val="24"/>
        </w:rPr>
        <w:t xml:space="preserve"> (Requisitos Gerais para Competência de Ensaio e Calibração)</w:t>
      </w:r>
      <w:r>
        <w:rPr>
          <w:rFonts w:ascii="Times New Roman" w:hAnsi="Times New Roman"/>
          <w:szCs w:val="24"/>
        </w:rPr>
        <w:t xml:space="preserve">. </w:t>
      </w:r>
    </w:p>
    <w:p w:rsidR="001E065A" w:rsidRPr="008F571E" w:rsidRDefault="001E065A" w:rsidP="000A54DC">
      <w:pPr>
        <w:pStyle w:val="Ttulo4"/>
        <w:keepNext w:val="0"/>
        <w:keepLines w:val="0"/>
        <w:widowControl w:val="0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8F571E">
        <w:rPr>
          <w:rFonts w:ascii="Times New Roman" w:hAnsi="Times New Roman" w:cs="Times New Roman"/>
          <w:color w:val="auto"/>
        </w:rPr>
        <w:t>Outros custos, incluindo os custos diretos e indiretos</w:t>
      </w:r>
    </w:p>
    <w:p w:rsidR="001E065A" w:rsidRPr="001E065A" w:rsidRDefault="001E065A" w:rsidP="008F571E">
      <w:pPr>
        <w:tabs>
          <w:tab w:val="left" w:pos="851"/>
        </w:tabs>
        <w:spacing w:before="120" w:after="120" w:line="360" w:lineRule="auto"/>
        <w:ind w:firstLine="851"/>
        <w:jc w:val="both"/>
        <w:rPr>
          <w:rFonts w:ascii="Times New Roman" w:hAnsi="Times New Roman"/>
          <w:bCs/>
          <w:szCs w:val="24"/>
        </w:rPr>
      </w:pPr>
      <w:r w:rsidRPr="001E065A">
        <w:rPr>
          <w:rFonts w:ascii="Times New Roman" w:hAnsi="Times New Roman"/>
          <w:bCs/>
          <w:szCs w:val="24"/>
        </w:rPr>
        <w:t>Não foram identificados outros custos diretos e indiretos.</w:t>
      </w:r>
    </w:p>
    <w:p w:rsidR="004B32AE" w:rsidRPr="008F571E" w:rsidRDefault="004B32AE" w:rsidP="000949CC">
      <w:pPr>
        <w:pStyle w:val="Ttulo4"/>
        <w:keepNext w:val="0"/>
        <w:keepLines w:val="0"/>
        <w:widowControl w:val="0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Benefícios associados </w:t>
      </w:r>
      <w:r w:rsidR="00840028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o regulamento</w:t>
      </w:r>
    </w:p>
    <w:p w:rsidR="004B32AE" w:rsidRDefault="004B32AE" w:rsidP="004B32AE">
      <w:pPr>
        <w:tabs>
          <w:tab w:val="left" w:pos="851"/>
        </w:tabs>
        <w:spacing w:before="120" w:after="120" w:line="360" w:lineRule="auto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Os benefícios da Resolução ANP n° 6/2014 são elencados a seguir:</w:t>
      </w:r>
    </w:p>
    <w:p w:rsidR="004B32AE" w:rsidRPr="004B32AE" w:rsidRDefault="004B32AE" w:rsidP="000A54DC">
      <w:pPr>
        <w:pStyle w:val="PargrafodaLista"/>
        <w:numPr>
          <w:ilvl w:val="0"/>
          <w:numId w:val="13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/>
          <w:szCs w:val="24"/>
        </w:rPr>
      </w:pPr>
      <w:r w:rsidRPr="004B32AE">
        <w:rPr>
          <w:rFonts w:ascii="Times New Roman" w:hAnsi="Times New Roman"/>
          <w:bCs/>
          <w:szCs w:val="24"/>
        </w:rPr>
        <w:t xml:space="preserve">permite </w:t>
      </w:r>
      <w:r w:rsidR="00C62572">
        <w:rPr>
          <w:rFonts w:ascii="Times New Roman" w:hAnsi="Times New Roman"/>
          <w:bCs/>
          <w:szCs w:val="24"/>
        </w:rPr>
        <w:t>à</w:t>
      </w:r>
      <w:r w:rsidRPr="004B32AE">
        <w:rPr>
          <w:rFonts w:ascii="Times New Roman" w:hAnsi="Times New Roman"/>
          <w:bCs/>
          <w:szCs w:val="24"/>
        </w:rPr>
        <w:t xml:space="preserve"> ANP </w:t>
      </w:r>
      <w:r w:rsidR="00840028" w:rsidRPr="004B32AE">
        <w:rPr>
          <w:rFonts w:ascii="Times New Roman" w:hAnsi="Times New Roman"/>
          <w:bCs/>
          <w:szCs w:val="24"/>
        </w:rPr>
        <w:t>conhe</w:t>
      </w:r>
      <w:r w:rsidR="00840028">
        <w:rPr>
          <w:rFonts w:ascii="Times New Roman" w:hAnsi="Times New Roman"/>
          <w:bCs/>
          <w:szCs w:val="24"/>
        </w:rPr>
        <w:t>cer</w:t>
      </w:r>
      <w:r w:rsidR="00840028" w:rsidRPr="004B32AE">
        <w:rPr>
          <w:rFonts w:ascii="Times New Roman" w:hAnsi="Times New Roman"/>
          <w:bCs/>
          <w:szCs w:val="24"/>
        </w:rPr>
        <w:t xml:space="preserve"> </w:t>
      </w:r>
      <w:r w:rsidRPr="004B32AE">
        <w:rPr>
          <w:rFonts w:ascii="Times New Roman" w:hAnsi="Times New Roman"/>
          <w:bCs/>
          <w:szCs w:val="24"/>
        </w:rPr>
        <w:t xml:space="preserve">quais laboratórios no país estão aptos </w:t>
      </w:r>
      <w:r w:rsidR="00C62572">
        <w:rPr>
          <w:rFonts w:ascii="Times New Roman" w:hAnsi="Times New Roman"/>
          <w:bCs/>
          <w:szCs w:val="24"/>
        </w:rPr>
        <w:t>a</w:t>
      </w:r>
      <w:r w:rsidRPr="004B32AE">
        <w:rPr>
          <w:rFonts w:ascii="Times New Roman" w:hAnsi="Times New Roman"/>
          <w:bCs/>
          <w:szCs w:val="24"/>
        </w:rPr>
        <w:t xml:space="preserve"> realizar os ensaios para certificação de biodiesel, podendo estabelecer com eles mecanismos para identificação de problemas na realizaç</w:t>
      </w:r>
      <w:r>
        <w:rPr>
          <w:rFonts w:ascii="Times New Roman" w:hAnsi="Times New Roman"/>
          <w:bCs/>
          <w:szCs w:val="24"/>
        </w:rPr>
        <w:t>ão dos ensaios;</w:t>
      </w:r>
    </w:p>
    <w:p w:rsidR="00593AE1" w:rsidRPr="00593AE1" w:rsidRDefault="004B32AE" w:rsidP="000A54DC">
      <w:pPr>
        <w:pStyle w:val="PargrafodaLista"/>
        <w:numPr>
          <w:ilvl w:val="0"/>
          <w:numId w:val="13"/>
        </w:numPr>
        <w:tabs>
          <w:tab w:val="left" w:pos="851"/>
        </w:tabs>
        <w:spacing w:before="120"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garante que todos os laboratórios que realizam ensaios para certificação de biodiesel possuam sistema acreditado de gestão</w:t>
      </w:r>
      <w:r w:rsidR="00840028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com mecanismos de controle de amostras, revisão de procedimentos e atualização dos técnicos que realizam as análises. Dessa forma, </w:t>
      </w:r>
      <w:r w:rsidR="00840028">
        <w:rPr>
          <w:rFonts w:ascii="Times New Roman" w:hAnsi="Times New Roman"/>
          <w:bCs/>
          <w:szCs w:val="24"/>
        </w:rPr>
        <w:t>aumenta-se a confiabilidade d</w:t>
      </w:r>
      <w:r>
        <w:rPr>
          <w:rFonts w:ascii="Times New Roman" w:hAnsi="Times New Roman"/>
          <w:bCs/>
          <w:szCs w:val="24"/>
        </w:rPr>
        <w:t>os laudos emitidos pelos laboratórios</w:t>
      </w:r>
      <w:r w:rsidR="00593AE1">
        <w:rPr>
          <w:rFonts w:ascii="Times New Roman" w:hAnsi="Times New Roman"/>
          <w:bCs/>
          <w:szCs w:val="24"/>
        </w:rPr>
        <w:t>;</w:t>
      </w:r>
    </w:p>
    <w:p w:rsidR="004B32AE" w:rsidRPr="000949CC" w:rsidRDefault="00593AE1" w:rsidP="00DA0041">
      <w:pPr>
        <w:pStyle w:val="PargrafodaLista"/>
        <w:numPr>
          <w:ilvl w:val="0"/>
          <w:numId w:val="13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permite um controle rígido por parte da ANP em relação a quais laboratórios realizam ensaios para certificação de biodiesel e a qualidade dos procedimentos laboratoriais para a realização dos ensaios</w:t>
      </w:r>
      <w:r w:rsidR="004B32AE">
        <w:rPr>
          <w:rFonts w:ascii="Times New Roman" w:hAnsi="Times New Roman"/>
          <w:bCs/>
          <w:szCs w:val="24"/>
        </w:rPr>
        <w:t>.</w:t>
      </w:r>
    </w:p>
    <w:p w:rsidR="000949CC" w:rsidRPr="009708B4" w:rsidRDefault="000949CC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D0287E" w:rsidRPr="005B44E2" w:rsidRDefault="00D0287E" w:rsidP="00DA0041">
      <w:pPr>
        <w:numPr>
          <w:ilvl w:val="2"/>
          <w:numId w:val="8"/>
        </w:numPr>
        <w:tabs>
          <w:tab w:val="left" w:pos="1134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 w:rsidRPr="005B44E2">
        <w:rPr>
          <w:rFonts w:ascii="Times New Roman" w:hAnsi="Times New Roman"/>
          <w:b/>
          <w:szCs w:val="24"/>
        </w:rPr>
        <w:t>ANÁLISE DA</w:t>
      </w:r>
      <w:r>
        <w:rPr>
          <w:rFonts w:ascii="Times New Roman" w:hAnsi="Times New Roman"/>
          <w:b/>
          <w:szCs w:val="24"/>
        </w:rPr>
        <w:t xml:space="preserve"> OPÇÃO (B)</w:t>
      </w:r>
    </w:p>
    <w:p w:rsidR="00D0287E" w:rsidRDefault="00D0287E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9C6D06">
        <w:rPr>
          <w:rFonts w:ascii="Times New Roman" w:hAnsi="Times New Roman"/>
          <w:bCs/>
          <w:szCs w:val="24"/>
        </w:rPr>
        <w:tab/>
      </w:r>
      <w:r w:rsidRPr="00B003A5">
        <w:rPr>
          <w:rFonts w:ascii="Times New Roman" w:hAnsi="Times New Roman"/>
          <w:bCs/>
          <w:szCs w:val="24"/>
        </w:rPr>
        <w:t xml:space="preserve">A </w:t>
      </w:r>
      <w:r>
        <w:rPr>
          <w:rFonts w:ascii="Times New Roman" w:hAnsi="Times New Roman"/>
          <w:bCs/>
          <w:szCs w:val="24"/>
        </w:rPr>
        <w:t>segunda</w:t>
      </w:r>
      <w:r w:rsidRPr="00B003A5">
        <w:rPr>
          <w:rFonts w:ascii="Times New Roman" w:hAnsi="Times New Roman"/>
          <w:bCs/>
          <w:szCs w:val="24"/>
        </w:rPr>
        <w:t xml:space="preserve"> opção consiste em alterar a Resolução ANP n° 6/2014</w:t>
      </w:r>
      <w:r w:rsidR="00840028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de modo a torná-la mais simples, reduzindo o número de exigências</w:t>
      </w:r>
      <w:r w:rsidRPr="00B003A5">
        <w:rPr>
          <w:rFonts w:ascii="Times New Roman" w:hAnsi="Times New Roman"/>
          <w:bCs/>
          <w:szCs w:val="24"/>
        </w:rPr>
        <w:t>.</w:t>
      </w:r>
    </w:p>
    <w:p w:rsidR="00D0287E" w:rsidRPr="00B003A5" w:rsidRDefault="00D0287E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D0287E" w:rsidRPr="00B003A5" w:rsidRDefault="00D0287E" w:rsidP="00DA0041">
      <w:pPr>
        <w:pStyle w:val="Ttulo4"/>
        <w:keepNext w:val="0"/>
        <w:keepLines w:val="0"/>
        <w:widowControl w:val="0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B003A5">
        <w:rPr>
          <w:rFonts w:ascii="Times New Roman" w:hAnsi="Times New Roman" w:cs="Times New Roman"/>
          <w:color w:val="auto"/>
        </w:rPr>
        <w:t>Custos de conformidade, incluindo recursos, tempo e custos financeiros.</w:t>
      </w:r>
    </w:p>
    <w:p w:rsidR="00331216" w:rsidRPr="00B003A5" w:rsidRDefault="00331216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Nessa opção</w:t>
      </w:r>
      <w:r w:rsidR="00C6257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a seguinte simplificação seria efetuada</w:t>
      </w:r>
      <w:r w:rsidR="002A1EAF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com correspondente redução de custos e aumento da dinamização do processo:</w:t>
      </w:r>
    </w:p>
    <w:p w:rsidR="00331216" w:rsidRDefault="00C62572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</w:t>
      </w:r>
      <w:r w:rsidR="00331216">
        <w:rPr>
          <w:rFonts w:ascii="Times New Roman" w:hAnsi="Times New Roman"/>
          <w:bCs/>
          <w:szCs w:val="24"/>
        </w:rPr>
        <w:t>etirada da necessidade de envio de documentos meramente declaratórios, facilmente verificados durante a realização de vistoria;</w:t>
      </w:r>
    </w:p>
    <w:p w:rsidR="00331216" w:rsidRPr="00B003A5" w:rsidRDefault="00C62572" w:rsidP="00DA0041">
      <w:pPr>
        <w:pStyle w:val="PargrafodaLista"/>
        <w:numPr>
          <w:ilvl w:val="0"/>
          <w:numId w:val="1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</w:t>
      </w:r>
      <w:r w:rsidR="00331216">
        <w:rPr>
          <w:rFonts w:ascii="Times New Roman" w:hAnsi="Times New Roman"/>
          <w:bCs/>
          <w:szCs w:val="24"/>
        </w:rPr>
        <w:t xml:space="preserve">etirada da necessidade de envio de documentos já avaliados pelo </w:t>
      </w:r>
      <w:r w:rsidR="00215504">
        <w:rPr>
          <w:rFonts w:ascii="Times New Roman" w:hAnsi="Times New Roman"/>
          <w:bCs/>
          <w:szCs w:val="24"/>
        </w:rPr>
        <w:t>Inmetro</w:t>
      </w:r>
      <w:r w:rsidR="00331216">
        <w:rPr>
          <w:rFonts w:ascii="Times New Roman" w:hAnsi="Times New Roman"/>
          <w:bCs/>
          <w:szCs w:val="24"/>
        </w:rPr>
        <w:t>.</w:t>
      </w:r>
    </w:p>
    <w:p w:rsidR="00694B46" w:rsidRDefault="00331216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Dessa forma</w:t>
      </w:r>
      <w:r w:rsidR="002A1EAF">
        <w:rPr>
          <w:rFonts w:ascii="Times New Roman" w:hAnsi="Times New Roman"/>
          <w:bCs/>
          <w:szCs w:val="24"/>
        </w:rPr>
        <w:t>,</w:t>
      </w:r>
      <w:r w:rsidR="00694B46">
        <w:rPr>
          <w:rFonts w:ascii="Times New Roman" w:hAnsi="Times New Roman"/>
          <w:bCs/>
          <w:szCs w:val="24"/>
        </w:rPr>
        <w:t xml:space="preserve"> os custos de conformidade são reduzidos em relação à opção (A), visto que seriam exigidos menos documentos para a concessão do registro</w:t>
      </w:r>
      <w:r w:rsidR="00A900E0">
        <w:rPr>
          <w:rFonts w:ascii="Times New Roman" w:hAnsi="Times New Roman"/>
          <w:bCs/>
          <w:szCs w:val="24"/>
        </w:rPr>
        <w:t>, simplificando o processo</w:t>
      </w:r>
      <w:r w:rsidR="00694B46">
        <w:rPr>
          <w:rFonts w:ascii="Times New Roman" w:hAnsi="Times New Roman"/>
          <w:bCs/>
          <w:szCs w:val="24"/>
        </w:rPr>
        <w:t xml:space="preserve">. </w:t>
      </w:r>
    </w:p>
    <w:p w:rsidR="006843F8" w:rsidRDefault="006843F8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D0287E" w:rsidRPr="002F4223" w:rsidRDefault="00D0287E" w:rsidP="00DA0041">
      <w:pPr>
        <w:pStyle w:val="Ttulo4"/>
        <w:keepNext w:val="0"/>
        <w:keepLines w:val="0"/>
        <w:widowControl w:val="0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F4223">
        <w:rPr>
          <w:rFonts w:ascii="Times New Roman" w:hAnsi="Times New Roman" w:cs="Times New Roman"/>
          <w:color w:val="auto"/>
        </w:rPr>
        <w:t>Custos administrativos, incluindo os custos potenciais e limitações de tempo do Estado.</w:t>
      </w:r>
    </w:p>
    <w:p w:rsidR="00331216" w:rsidRDefault="00331216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Nesta opção</w:t>
      </w:r>
      <w:r w:rsidR="00C6257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seria reduzido o tempo com a prestação de informações e orientações ao agente regulado, visto que o texto da resolução seria simplificado e o processo dinamizado. Adicionalmente, devido à redução do número de documentos solicitados, haveria redução também no tempo de análise de cada pedido de cadastramento. Por fim, seriam reduzidos os custos com diárias e passagens para vistorias, pois se propõe a retirada da necessidade de vistoria técnica</w:t>
      </w:r>
      <w:r w:rsidR="00B773DF">
        <w:rPr>
          <w:rFonts w:ascii="Times New Roman" w:hAnsi="Times New Roman"/>
          <w:bCs/>
          <w:szCs w:val="24"/>
        </w:rPr>
        <w:t xml:space="preserve"> obrigatória</w:t>
      </w:r>
      <w:r>
        <w:rPr>
          <w:rFonts w:ascii="Times New Roman" w:hAnsi="Times New Roman"/>
          <w:bCs/>
          <w:szCs w:val="24"/>
        </w:rPr>
        <w:t xml:space="preserve"> considerando que, com a acreditação, já </w:t>
      </w:r>
      <w:r w:rsidR="002A1EAF">
        <w:rPr>
          <w:rFonts w:ascii="Times New Roman" w:hAnsi="Times New Roman"/>
          <w:bCs/>
          <w:szCs w:val="24"/>
        </w:rPr>
        <w:t xml:space="preserve">teria </w:t>
      </w:r>
      <w:r>
        <w:rPr>
          <w:rFonts w:ascii="Times New Roman" w:hAnsi="Times New Roman"/>
          <w:bCs/>
          <w:szCs w:val="24"/>
        </w:rPr>
        <w:t xml:space="preserve">sido realizada vistoria pelo </w:t>
      </w:r>
      <w:r w:rsidR="00665B56">
        <w:rPr>
          <w:rFonts w:ascii="Times New Roman" w:hAnsi="Times New Roman"/>
          <w:bCs/>
          <w:szCs w:val="24"/>
        </w:rPr>
        <w:t>Inmetro</w:t>
      </w:r>
      <w:r>
        <w:rPr>
          <w:rFonts w:ascii="Times New Roman" w:hAnsi="Times New Roman"/>
          <w:bCs/>
          <w:szCs w:val="24"/>
        </w:rPr>
        <w:t>.</w:t>
      </w:r>
    </w:p>
    <w:p w:rsidR="000B3666" w:rsidRDefault="000B3666" w:rsidP="00DA0041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D0287E" w:rsidRPr="00293F9B" w:rsidRDefault="00D0287E" w:rsidP="00DA0041">
      <w:pPr>
        <w:pStyle w:val="Ttulo4"/>
        <w:keepNext w:val="0"/>
        <w:keepLines w:val="0"/>
        <w:widowControl w:val="0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93F9B">
        <w:rPr>
          <w:rFonts w:ascii="Times New Roman" w:hAnsi="Times New Roman" w:cs="Times New Roman"/>
          <w:color w:val="auto"/>
        </w:rPr>
        <w:t>Impacto sobre a concorrência</w:t>
      </w:r>
    </w:p>
    <w:p w:rsidR="00D0287E" w:rsidRDefault="008E3ED0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 essa opção</w:t>
      </w:r>
      <w:r w:rsidR="00CB3AE9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não foi identificado </w:t>
      </w:r>
      <w:r w:rsidR="00D0287E" w:rsidRPr="00B003A5">
        <w:rPr>
          <w:rFonts w:ascii="Times New Roman" w:hAnsi="Times New Roman"/>
          <w:bCs/>
          <w:szCs w:val="24"/>
        </w:rPr>
        <w:t>impacto sobre a concorrência inerente</w:t>
      </w:r>
      <w:r w:rsidR="002A1EAF">
        <w:rPr>
          <w:rFonts w:ascii="Times New Roman" w:hAnsi="Times New Roman"/>
          <w:bCs/>
          <w:szCs w:val="24"/>
        </w:rPr>
        <w:t>,</w:t>
      </w:r>
      <w:r w:rsidR="00D0287E" w:rsidRPr="00B003A5">
        <w:rPr>
          <w:rFonts w:ascii="Times New Roman" w:hAnsi="Times New Roman"/>
          <w:bCs/>
          <w:szCs w:val="24"/>
        </w:rPr>
        <w:t xml:space="preserve"> visto que </w:t>
      </w:r>
      <w:r>
        <w:rPr>
          <w:rFonts w:ascii="Times New Roman" w:hAnsi="Times New Roman"/>
          <w:bCs/>
          <w:szCs w:val="24"/>
        </w:rPr>
        <w:t xml:space="preserve">as regras seriam simplificadas igualmente para </w:t>
      </w:r>
      <w:r w:rsidR="00D0287E" w:rsidRPr="00B003A5">
        <w:rPr>
          <w:rFonts w:ascii="Times New Roman" w:hAnsi="Times New Roman"/>
          <w:bCs/>
          <w:szCs w:val="24"/>
        </w:rPr>
        <w:t xml:space="preserve">todos os laboratórios </w:t>
      </w:r>
      <w:r>
        <w:rPr>
          <w:rFonts w:ascii="Times New Roman" w:hAnsi="Times New Roman"/>
          <w:bCs/>
          <w:szCs w:val="24"/>
        </w:rPr>
        <w:t xml:space="preserve">cadastrados </w:t>
      </w:r>
      <w:r w:rsidR="00CB3AE9">
        <w:rPr>
          <w:rFonts w:ascii="Times New Roman" w:hAnsi="Times New Roman"/>
          <w:bCs/>
          <w:szCs w:val="24"/>
        </w:rPr>
        <w:t>na</w:t>
      </w:r>
      <w:r w:rsidR="00D0287E" w:rsidRPr="00B003A5">
        <w:rPr>
          <w:rFonts w:ascii="Times New Roman" w:hAnsi="Times New Roman"/>
          <w:bCs/>
          <w:szCs w:val="24"/>
        </w:rPr>
        <w:t xml:space="preserve"> ANP</w:t>
      </w:r>
      <w:r w:rsidR="00D0287E">
        <w:rPr>
          <w:rFonts w:ascii="Times New Roman" w:hAnsi="Times New Roman"/>
          <w:bCs/>
          <w:szCs w:val="24"/>
        </w:rPr>
        <w:t>.</w:t>
      </w:r>
    </w:p>
    <w:p w:rsidR="000B3666" w:rsidRPr="00B003A5" w:rsidRDefault="000B3666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D0287E" w:rsidRPr="00293F9B" w:rsidRDefault="00D0287E" w:rsidP="000B3666">
      <w:pPr>
        <w:pStyle w:val="Ttulo4"/>
        <w:keepNext w:val="0"/>
        <w:keepLines w:val="0"/>
        <w:widowControl w:val="0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93F9B">
        <w:rPr>
          <w:rFonts w:ascii="Times New Roman" w:hAnsi="Times New Roman" w:cs="Times New Roman"/>
          <w:color w:val="auto"/>
        </w:rPr>
        <w:t>Custos sociais ou impactos na sociedade</w:t>
      </w:r>
    </w:p>
    <w:p w:rsidR="00D0287E" w:rsidRDefault="00053BA6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053BA6">
        <w:rPr>
          <w:rFonts w:ascii="Times New Roman" w:hAnsi="Times New Roman"/>
          <w:bCs/>
          <w:szCs w:val="24"/>
        </w:rPr>
        <w:t>Não foram identificados custos sociais ou impactos diretos na sociedade com esta opção.</w:t>
      </w:r>
    </w:p>
    <w:p w:rsidR="000B3666" w:rsidRDefault="000B3666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D0287E" w:rsidRDefault="00D0287E" w:rsidP="000B3666">
      <w:pPr>
        <w:pStyle w:val="Ttulo4"/>
        <w:keepNext w:val="0"/>
        <w:keepLines w:val="0"/>
        <w:widowControl w:val="0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8F571E">
        <w:rPr>
          <w:rFonts w:ascii="Times New Roman" w:hAnsi="Times New Roman" w:cs="Times New Roman"/>
          <w:color w:val="auto"/>
        </w:rPr>
        <w:t>Impactos cumulativos das opções legislativas</w:t>
      </w:r>
    </w:p>
    <w:p w:rsidR="000B3666" w:rsidRPr="000B3666" w:rsidRDefault="000B3666" w:rsidP="000B3666">
      <w:pPr>
        <w:pStyle w:val="Recuodecorpodetexto"/>
        <w:widowControl w:val="0"/>
        <w:spacing w:after="0"/>
        <w:ind w:firstLine="708"/>
        <w:rPr>
          <w:rFonts w:ascii="Times New Roman" w:hAnsi="Times New Roman"/>
          <w:sz w:val="8"/>
          <w:szCs w:val="8"/>
        </w:rPr>
      </w:pPr>
    </w:p>
    <w:p w:rsidR="00285479" w:rsidRDefault="00285479" w:rsidP="000B3666">
      <w:pPr>
        <w:pStyle w:val="Recuodecorpodetexto"/>
        <w:widowControl w:val="0"/>
        <w:spacing w:after="0"/>
        <w:ind w:firstLine="708"/>
        <w:rPr>
          <w:rFonts w:ascii="Times New Roman" w:hAnsi="Times New Roman"/>
          <w:szCs w:val="24"/>
        </w:rPr>
      </w:pPr>
      <w:r w:rsidRPr="00285479">
        <w:rPr>
          <w:rFonts w:ascii="Times New Roman" w:hAnsi="Times New Roman"/>
          <w:szCs w:val="24"/>
        </w:rPr>
        <w:t xml:space="preserve">Nenhum impacto cumulativo de opções legislativas foi identificado. </w:t>
      </w:r>
    </w:p>
    <w:p w:rsidR="000B3666" w:rsidRPr="00285479" w:rsidRDefault="000B3666" w:rsidP="000B3666">
      <w:pPr>
        <w:pStyle w:val="Recuodecorpodetexto"/>
        <w:widowControl w:val="0"/>
        <w:spacing w:after="0"/>
        <w:ind w:firstLine="708"/>
        <w:rPr>
          <w:rFonts w:ascii="Times New Roman" w:hAnsi="Times New Roman"/>
          <w:szCs w:val="24"/>
        </w:rPr>
      </w:pPr>
    </w:p>
    <w:p w:rsidR="00D0287E" w:rsidRPr="008F571E" w:rsidRDefault="00D0287E" w:rsidP="000B3666">
      <w:pPr>
        <w:pStyle w:val="Ttulo4"/>
        <w:keepNext w:val="0"/>
        <w:keepLines w:val="0"/>
        <w:widowControl w:val="0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8F571E">
        <w:rPr>
          <w:rFonts w:ascii="Times New Roman" w:hAnsi="Times New Roman" w:cs="Times New Roman"/>
          <w:color w:val="auto"/>
        </w:rPr>
        <w:t>Outros custos, incluindo os custos diretos e indiretos</w:t>
      </w:r>
    </w:p>
    <w:p w:rsidR="00D0287E" w:rsidRPr="001E065A" w:rsidRDefault="00D0287E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1E065A">
        <w:rPr>
          <w:rFonts w:ascii="Times New Roman" w:hAnsi="Times New Roman"/>
          <w:bCs/>
          <w:szCs w:val="24"/>
        </w:rPr>
        <w:lastRenderedPageBreak/>
        <w:t>Não foram identificados outros custos diretos e indiretos.</w:t>
      </w:r>
    </w:p>
    <w:p w:rsidR="00D0287E" w:rsidRDefault="00D0287E" w:rsidP="000B3666">
      <w:pPr>
        <w:pStyle w:val="PargrafodaLista"/>
        <w:tabs>
          <w:tab w:val="left" w:pos="851"/>
        </w:tabs>
        <w:spacing w:before="120" w:after="120"/>
        <w:ind w:left="0" w:firstLine="851"/>
        <w:contextualSpacing w:val="0"/>
        <w:jc w:val="both"/>
        <w:rPr>
          <w:rFonts w:cs="Calibri"/>
          <w:sz w:val="26"/>
          <w:szCs w:val="26"/>
        </w:rPr>
      </w:pPr>
    </w:p>
    <w:p w:rsidR="00D0287E" w:rsidRPr="008F571E" w:rsidRDefault="00D0287E" w:rsidP="000B3666">
      <w:pPr>
        <w:pStyle w:val="Ttulo4"/>
        <w:keepNext w:val="0"/>
        <w:keepLines w:val="0"/>
        <w:widowControl w:val="0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Benefícios associados com o regulamento</w:t>
      </w:r>
    </w:p>
    <w:p w:rsidR="009708B4" w:rsidRDefault="00D0287E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Os benefícios </w:t>
      </w:r>
      <w:r w:rsidR="00285479">
        <w:rPr>
          <w:rFonts w:ascii="Times New Roman" w:hAnsi="Times New Roman"/>
          <w:bCs/>
          <w:szCs w:val="24"/>
        </w:rPr>
        <w:t xml:space="preserve">dessa opção são a simplificação e dinamização do processo de cadastramento de laboratórios </w:t>
      </w:r>
      <w:r w:rsidR="00CB3AE9">
        <w:rPr>
          <w:rFonts w:ascii="Times New Roman" w:hAnsi="Times New Roman"/>
          <w:bCs/>
          <w:szCs w:val="24"/>
        </w:rPr>
        <w:t>na</w:t>
      </w:r>
      <w:r w:rsidR="00285479">
        <w:rPr>
          <w:rFonts w:ascii="Times New Roman" w:hAnsi="Times New Roman"/>
          <w:bCs/>
          <w:szCs w:val="24"/>
        </w:rPr>
        <w:t xml:space="preserve"> ANP</w:t>
      </w:r>
      <w:r w:rsidR="009708B4">
        <w:rPr>
          <w:rFonts w:ascii="Times New Roman" w:hAnsi="Times New Roman"/>
          <w:bCs/>
          <w:szCs w:val="24"/>
        </w:rPr>
        <w:t xml:space="preserve">, evitando envio de documentos que já foram exigidos e apresentados no processo de acreditação do </w:t>
      </w:r>
      <w:r w:rsidR="00665B56">
        <w:rPr>
          <w:rFonts w:ascii="Times New Roman" w:hAnsi="Times New Roman"/>
          <w:bCs/>
          <w:szCs w:val="24"/>
        </w:rPr>
        <w:t>Inmetro</w:t>
      </w:r>
      <w:r w:rsidR="00285479">
        <w:rPr>
          <w:rFonts w:ascii="Times New Roman" w:hAnsi="Times New Roman"/>
          <w:bCs/>
          <w:szCs w:val="24"/>
        </w:rPr>
        <w:t>. Assim, os benefícios dizem respeito à redução de custos impostos pela regulação e redução do tempo para cadastramento.</w:t>
      </w:r>
      <w:r w:rsidR="009708B4">
        <w:rPr>
          <w:rFonts w:ascii="Times New Roman" w:hAnsi="Times New Roman"/>
          <w:bCs/>
          <w:szCs w:val="24"/>
        </w:rPr>
        <w:t xml:space="preserve"> </w:t>
      </w:r>
    </w:p>
    <w:p w:rsidR="001A5AAA" w:rsidRDefault="009708B4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eastAsiaTheme="majorEastAsia" w:hAnsi="Times New Roman"/>
          <w:i/>
          <w:iCs/>
        </w:rPr>
      </w:pPr>
      <w:r>
        <w:rPr>
          <w:rFonts w:ascii="Times New Roman" w:hAnsi="Times New Roman"/>
          <w:bCs/>
          <w:szCs w:val="24"/>
        </w:rPr>
        <w:t>No entanto,</w:t>
      </w:r>
      <w:r w:rsidR="00CB3AE9">
        <w:rPr>
          <w:rFonts w:ascii="Times New Roman" w:hAnsi="Times New Roman"/>
          <w:bCs/>
          <w:szCs w:val="24"/>
        </w:rPr>
        <w:t xml:space="preserve"> vale destacar que mesmo com ess</w:t>
      </w:r>
      <w:r>
        <w:rPr>
          <w:rFonts w:ascii="Times New Roman" w:hAnsi="Times New Roman"/>
          <w:bCs/>
          <w:szCs w:val="24"/>
        </w:rPr>
        <w:t>a simplificação, esta opção mantém os</w:t>
      </w:r>
      <w:r w:rsidR="00A27563">
        <w:rPr>
          <w:rFonts w:ascii="Times New Roman" w:hAnsi="Times New Roman"/>
          <w:bCs/>
          <w:szCs w:val="24"/>
        </w:rPr>
        <w:t xml:space="preserve"> dois primeiros</w:t>
      </w:r>
      <w:r>
        <w:rPr>
          <w:rFonts w:ascii="Times New Roman" w:hAnsi="Times New Roman"/>
          <w:bCs/>
          <w:szCs w:val="24"/>
        </w:rPr>
        <w:t xml:space="preserve"> benefícios descritos no item </w:t>
      </w:r>
      <w:r w:rsidR="00A27563" w:rsidRPr="00A27563">
        <w:rPr>
          <w:rFonts w:ascii="Times New Roman" w:hAnsi="Times New Roman"/>
          <w:bCs/>
          <w:i/>
          <w:szCs w:val="24"/>
        </w:rPr>
        <w:t>vi</w:t>
      </w:r>
      <w:r>
        <w:rPr>
          <w:rFonts w:ascii="Times New Roman" w:hAnsi="Times New Roman"/>
          <w:bCs/>
          <w:i/>
          <w:szCs w:val="24"/>
        </w:rPr>
        <w:t>i</w:t>
      </w:r>
      <w:r>
        <w:rPr>
          <w:rFonts w:ascii="Times New Roman" w:hAnsi="Times New Roman"/>
          <w:bCs/>
          <w:szCs w:val="24"/>
        </w:rPr>
        <w:t xml:space="preserve"> da opção (A).</w:t>
      </w:r>
    </w:p>
    <w:p w:rsidR="00215504" w:rsidRDefault="00215504" w:rsidP="000B3666">
      <w:pPr>
        <w:pStyle w:val="PargrafodaLista"/>
        <w:tabs>
          <w:tab w:val="left" w:pos="851"/>
        </w:tabs>
        <w:spacing w:before="120" w:after="120"/>
        <w:ind w:left="0" w:firstLine="851"/>
        <w:contextualSpacing w:val="0"/>
        <w:jc w:val="both"/>
        <w:rPr>
          <w:rFonts w:cs="Calibri"/>
          <w:sz w:val="26"/>
          <w:szCs w:val="26"/>
        </w:rPr>
      </w:pPr>
    </w:p>
    <w:p w:rsidR="00A77B29" w:rsidRPr="005B44E2" w:rsidRDefault="00A77B29" w:rsidP="000B3666">
      <w:pPr>
        <w:numPr>
          <w:ilvl w:val="2"/>
          <w:numId w:val="8"/>
        </w:numPr>
        <w:tabs>
          <w:tab w:val="left" w:pos="1134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 w:rsidRPr="005B44E2">
        <w:rPr>
          <w:rFonts w:ascii="Times New Roman" w:hAnsi="Times New Roman"/>
          <w:b/>
          <w:szCs w:val="24"/>
        </w:rPr>
        <w:t>ANÁLISE DA</w:t>
      </w:r>
      <w:r>
        <w:rPr>
          <w:rFonts w:ascii="Times New Roman" w:hAnsi="Times New Roman"/>
          <w:b/>
          <w:szCs w:val="24"/>
        </w:rPr>
        <w:t xml:space="preserve"> OPÇÃO (C)</w:t>
      </w:r>
    </w:p>
    <w:p w:rsidR="00A77B29" w:rsidRDefault="00A77B29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9C6D06">
        <w:rPr>
          <w:rFonts w:ascii="Times New Roman" w:hAnsi="Times New Roman"/>
          <w:bCs/>
          <w:szCs w:val="24"/>
        </w:rPr>
        <w:tab/>
      </w:r>
      <w:r w:rsidRPr="00B003A5">
        <w:rPr>
          <w:rFonts w:ascii="Times New Roman" w:hAnsi="Times New Roman"/>
          <w:bCs/>
          <w:szCs w:val="24"/>
        </w:rPr>
        <w:t xml:space="preserve">A </w:t>
      </w:r>
      <w:r>
        <w:rPr>
          <w:rFonts w:ascii="Times New Roman" w:hAnsi="Times New Roman"/>
          <w:bCs/>
          <w:szCs w:val="24"/>
        </w:rPr>
        <w:t>terceira</w:t>
      </w:r>
      <w:r w:rsidRPr="00B003A5">
        <w:rPr>
          <w:rFonts w:ascii="Times New Roman" w:hAnsi="Times New Roman"/>
          <w:bCs/>
          <w:szCs w:val="24"/>
        </w:rPr>
        <w:t xml:space="preserve"> opção consiste em </w:t>
      </w:r>
      <w:r>
        <w:rPr>
          <w:rFonts w:ascii="Times New Roman" w:hAnsi="Times New Roman"/>
          <w:bCs/>
          <w:szCs w:val="24"/>
        </w:rPr>
        <w:t>revogar</w:t>
      </w:r>
      <w:r w:rsidRPr="00B003A5">
        <w:rPr>
          <w:rFonts w:ascii="Times New Roman" w:hAnsi="Times New Roman"/>
          <w:bCs/>
          <w:szCs w:val="24"/>
        </w:rPr>
        <w:t xml:space="preserve"> a Resolução ANP n° 6/2014</w:t>
      </w:r>
      <w:r w:rsidR="002A1EAF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mantendo a exigência de acreditação na NBR ISO 17025</w:t>
      </w:r>
      <w:r w:rsidRPr="00B003A5">
        <w:rPr>
          <w:rFonts w:ascii="Times New Roman" w:hAnsi="Times New Roman"/>
          <w:bCs/>
          <w:szCs w:val="24"/>
        </w:rPr>
        <w:t>.</w:t>
      </w:r>
    </w:p>
    <w:p w:rsidR="00215504" w:rsidRDefault="00215504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A77B29" w:rsidRPr="00B003A5" w:rsidRDefault="00A77B29" w:rsidP="000B3666">
      <w:pPr>
        <w:pStyle w:val="Ttulo4"/>
        <w:keepNext w:val="0"/>
        <w:keepLines w:val="0"/>
        <w:widowControl w:val="0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B003A5">
        <w:rPr>
          <w:rFonts w:ascii="Times New Roman" w:hAnsi="Times New Roman" w:cs="Times New Roman"/>
          <w:color w:val="auto"/>
        </w:rPr>
        <w:t>Custos de conformidade, incluindo recursos, tempo e custos financeiros.</w:t>
      </w:r>
    </w:p>
    <w:p w:rsidR="00A77B29" w:rsidRPr="00B003A5" w:rsidRDefault="00402A13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Nesta opção</w:t>
      </w:r>
      <w:r w:rsidR="00DA0041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todos os custos associados ao envio de documentação para a ANP seriam retirados, restando apenas os custos com a acreditação pelo </w:t>
      </w:r>
      <w:r w:rsidR="00665B56">
        <w:rPr>
          <w:rFonts w:ascii="Times New Roman" w:hAnsi="Times New Roman"/>
          <w:bCs/>
          <w:szCs w:val="24"/>
        </w:rPr>
        <w:t>Inmetro</w:t>
      </w:r>
      <w:r w:rsidR="009206A7">
        <w:rPr>
          <w:rFonts w:ascii="Times New Roman" w:hAnsi="Times New Roman"/>
          <w:bCs/>
          <w:szCs w:val="24"/>
        </w:rPr>
        <w:t xml:space="preserve">, </w:t>
      </w:r>
      <w:r w:rsidR="00665B56">
        <w:rPr>
          <w:rFonts w:ascii="Times New Roman" w:hAnsi="Times New Roman"/>
          <w:bCs/>
          <w:szCs w:val="24"/>
        </w:rPr>
        <w:t>existente</w:t>
      </w:r>
      <w:r w:rsidR="009206A7">
        <w:rPr>
          <w:rFonts w:ascii="Times New Roman" w:hAnsi="Times New Roman"/>
          <w:bCs/>
          <w:szCs w:val="24"/>
        </w:rPr>
        <w:t xml:space="preserve"> nas três opções</w:t>
      </w:r>
      <w:r w:rsidR="00665B56">
        <w:rPr>
          <w:rFonts w:ascii="Times New Roman" w:hAnsi="Times New Roman"/>
          <w:bCs/>
          <w:szCs w:val="24"/>
        </w:rPr>
        <w:t xml:space="preserve"> avaliadas</w:t>
      </w:r>
      <w:r>
        <w:rPr>
          <w:rFonts w:ascii="Times New Roman" w:hAnsi="Times New Roman"/>
          <w:bCs/>
          <w:szCs w:val="24"/>
        </w:rPr>
        <w:t>.</w:t>
      </w:r>
    </w:p>
    <w:p w:rsidR="00402A13" w:rsidRDefault="00402A13" w:rsidP="000B3666">
      <w:pPr>
        <w:pStyle w:val="Ttulo4"/>
        <w:keepNext w:val="0"/>
        <w:keepLines w:val="0"/>
        <w:widowControl w:val="0"/>
        <w:spacing w:before="120" w:after="120"/>
        <w:ind w:left="1800"/>
        <w:jc w:val="both"/>
        <w:rPr>
          <w:rFonts w:ascii="Times New Roman" w:hAnsi="Times New Roman" w:cs="Times New Roman"/>
          <w:color w:val="auto"/>
        </w:rPr>
      </w:pPr>
    </w:p>
    <w:p w:rsidR="00A77B29" w:rsidRPr="002F4223" w:rsidRDefault="00A77B29" w:rsidP="000B3666">
      <w:pPr>
        <w:pStyle w:val="Ttulo4"/>
        <w:keepNext w:val="0"/>
        <w:keepLines w:val="0"/>
        <w:widowControl w:val="0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F4223">
        <w:rPr>
          <w:rFonts w:ascii="Times New Roman" w:hAnsi="Times New Roman" w:cs="Times New Roman"/>
          <w:color w:val="auto"/>
        </w:rPr>
        <w:t>Custos administrativos, incluindo os custos potenciais e limitações de tempo do Estado.</w:t>
      </w:r>
    </w:p>
    <w:p w:rsidR="00A77B29" w:rsidRDefault="00672A27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672A27">
        <w:rPr>
          <w:rFonts w:ascii="Times New Roman" w:hAnsi="Times New Roman"/>
          <w:bCs/>
          <w:szCs w:val="24"/>
        </w:rPr>
        <w:t>Nesta opção</w:t>
      </w:r>
      <w:r w:rsidR="00DA0041">
        <w:rPr>
          <w:rFonts w:ascii="Times New Roman" w:hAnsi="Times New Roman"/>
          <w:bCs/>
          <w:szCs w:val="24"/>
        </w:rPr>
        <w:t>,</w:t>
      </w:r>
      <w:r w:rsidRPr="00672A27">
        <w:rPr>
          <w:rFonts w:ascii="Times New Roman" w:hAnsi="Times New Roman"/>
          <w:bCs/>
          <w:szCs w:val="24"/>
        </w:rPr>
        <w:t xml:space="preserve"> seriam eliminados os custos associados à análise d</w:t>
      </w:r>
      <w:r>
        <w:rPr>
          <w:rFonts w:ascii="Times New Roman" w:hAnsi="Times New Roman"/>
          <w:bCs/>
          <w:szCs w:val="24"/>
        </w:rPr>
        <w:t>e cada pedido de cadastramento,</w:t>
      </w:r>
      <w:r w:rsidRPr="00672A27">
        <w:rPr>
          <w:rFonts w:ascii="Times New Roman" w:hAnsi="Times New Roman"/>
          <w:bCs/>
          <w:szCs w:val="24"/>
        </w:rPr>
        <w:t xml:space="preserve"> os custos com diárias e passagens para vistorias dos laboratórios para fins de cadastramento</w:t>
      </w:r>
      <w:r>
        <w:rPr>
          <w:rFonts w:ascii="Times New Roman" w:hAnsi="Times New Roman"/>
          <w:bCs/>
          <w:szCs w:val="24"/>
        </w:rPr>
        <w:t xml:space="preserve"> e</w:t>
      </w:r>
      <w:r w:rsidRPr="00672A27">
        <w:rPr>
          <w:rFonts w:ascii="Times New Roman" w:hAnsi="Times New Roman"/>
          <w:bCs/>
          <w:szCs w:val="24"/>
        </w:rPr>
        <w:t xml:space="preserve"> à prestação de informações e orientações ao agente regulado apenas relativas ao cadastro de laboratório, sendo inalteradas toda</w:t>
      </w:r>
      <w:r>
        <w:rPr>
          <w:rFonts w:ascii="Times New Roman" w:hAnsi="Times New Roman"/>
          <w:bCs/>
          <w:szCs w:val="24"/>
        </w:rPr>
        <w:t>s as demais conduzidas pela ANP</w:t>
      </w:r>
      <w:r w:rsidRPr="00672A27">
        <w:rPr>
          <w:rFonts w:ascii="Times New Roman" w:hAnsi="Times New Roman"/>
          <w:bCs/>
          <w:szCs w:val="24"/>
        </w:rPr>
        <w:t>.</w:t>
      </w:r>
    </w:p>
    <w:p w:rsidR="00A77B29" w:rsidRPr="00B003A5" w:rsidRDefault="00A77B29" w:rsidP="000B3666">
      <w:pPr>
        <w:pStyle w:val="PargrafodaLista"/>
        <w:tabs>
          <w:tab w:val="left" w:pos="851"/>
        </w:tabs>
        <w:spacing w:before="120" w:after="120"/>
        <w:ind w:left="1571"/>
        <w:jc w:val="both"/>
        <w:rPr>
          <w:rFonts w:ascii="Times New Roman" w:hAnsi="Times New Roman"/>
          <w:bCs/>
          <w:szCs w:val="24"/>
        </w:rPr>
      </w:pPr>
    </w:p>
    <w:p w:rsidR="00A77B29" w:rsidRPr="00293F9B" w:rsidRDefault="00A77B29" w:rsidP="000B3666">
      <w:pPr>
        <w:pStyle w:val="Ttulo4"/>
        <w:keepNext w:val="0"/>
        <w:keepLines w:val="0"/>
        <w:widowControl w:val="0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93F9B">
        <w:rPr>
          <w:rFonts w:ascii="Times New Roman" w:hAnsi="Times New Roman" w:cs="Times New Roman"/>
          <w:color w:val="auto"/>
        </w:rPr>
        <w:t>Impacto sobre a concorrência</w:t>
      </w:r>
    </w:p>
    <w:p w:rsidR="00A77B29" w:rsidRDefault="00525716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foi identificado nenhum impacto sobre a concorrência.</w:t>
      </w:r>
    </w:p>
    <w:p w:rsidR="000B3666" w:rsidRPr="00B003A5" w:rsidRDefault="000B3666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A77B29" w:rsidRPr="00293F9B" w:rsidRDefault="00A77B29" w:rsidP="000B3666">
      <w:pPr>
        <w:pStyle w:val="Ttulo4"/>
        <w:keepNext w:val="0"/>
        <w:keepLines w:val="0"/>
        <w:widowControl w:val="0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293F9B">
        <w:rPr>
          <w:rFonts w:ascii="Times New Roman" w:hAnsi="Times New Roman" w:cs="Times New Roman"/>
          <w:color w:val="auto"/>
        </w:rPr>
        <w:t>Custos sociais ou impactos na sociedade</w:t>
      </w:r>
    </w:p>
    <w:p w:rsidR="00373014" w:rsidRDefault="004D5450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</w:t>
      </w:r>
      <w:r w:rsidRPr="004D5450">
        <w:rPr>
          <w:rFonts w:ascii="Times New Roman" w:hAnsi="Times New Roman"/>
          <w:bCs/>
          <w:szCs w:val="24"/>
        </w:rPr>
        <w:t xml:space="preserve">ão </w:t>
      </w:r>
      <w:r>
        <w:rPr>
          <w:rFonts w:ascii="Times New Roman" w:hAnsi="Times New Roman"/>
          <w:bCs/>
          <w:szCs w:val="24"/>
        </w:rPr>
        <w:t>foram</w:t>
      </w:r>
      <w:r w:rsidRPr="004D5450">
        <w:rPr>
          <w:rFonts w:ascii="Times New Roman" w:hAnsi="Times New Roman"/>
          <w:bCs/>
          <w:szCs w:val="24"/>
        </w:rPr>
        <w:t xml:space="preserve"> identificados custos sociais ou impactos diretos na sociedade com esta opção.</w:t>
      </w:r>
    </w:p>
    <w:p w:rsidR="004D5450" w:rsidRDefault="004D5450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A77B29" w:rsidRDefault="00A77B29" w:rsidP="000B3666">
      <w:pPr>
        <w:pStyle w:val="Ttulo4"/>
        <w:keepNext w:val="0"/>
        <w:keepLines w:val="0"/>
        <w:widowControl w:val="0"/>
        <w:numPr>
          <w:ilvl w:val="0"/>
          <w:numId w:val="15"/>
        </w:numPr>
        <w:spacing w:before="0"/>
        <w:jc w:val="both"/>
        <w:rPr>
          <w:rFonts w:ascii="Times New Roman" w:hAnsi="Times New Roman" w:cs="Times New Roman"/>
          <w:color w:val="auto"/>
        </w:rPr>
      </w:pPr>
      <w:r w:rsidRPr="008F571E">
        <w:rPr>
          <w:rFonts w:ascii="Times New Roman" w:hAnsi="Times New Roman" w:cs="Times New Roman"/>
          <w:color w:val="auto"/>
        </w:rPr>
        <w:t>Impactos cumulativos das opções legislativas</w:t>
      </w:r>
    </w:p>
    <w:p w:rsidR="000B3666" w:rsidRPr="000B3666" w:rsidRDefault="000B3666" w:rsidP="000B3666">
      <w:pPr>
        <w:rPr>
          <w:sz w:val="16"/>
          <w:szCs w:val="16"/>
        </w:rPr>
      </w:pPr>
    </w:p>
    <w:p w:rsidR="00A77B29" w:rsidRPr="00285479" w:rsidRDefault="00A77B29" w:rsidP="000B3666">
      <w:pPr>
        <w:pStyle w:val="Recuodecorpodetexto"/>
        <w:widowControl w:val="0"/>
        <w:spacing w:after="0"/>
        <w:ind w:firstLine="708"/>
        <w:rPr>
          <w:rFonts w:ascii="Times New Roman" w:hAnsi="Times New Roman"/>
          <w:szCs w:val="24"/>
        </w:rPr>
      </w:pPr>
      <w:r w:rsidRPr="000B3666">
        <w:rPr>
          <w:rFonts w:ascii="Times New Roman" w:hAnsi="Times New Roman"/>
          <w:szCs w:val="24"/>
        </w:rPr>
        <w:t>Nenhum impacto cumulativo de opções legislativas foi identifi</w:t>
      </w:r>
      <w:r w:rsidRPr="00285479">
        <w:rPr>
          <w:rFonts w:ascii="Times New Roman" w:hAnsi="Times New Roman"/>
          <w:szCs w:val="24"/>
        </w:rPr>
        <w:t xml:space="preserve">cado. </w:t>
      </w:r>
    </w:p>
    <w:p w:rsidR="000B3666" w:rsidRDefault="000B3666" w:rsidP="000B3666">
      <w:pPr>
        <w:pStyle w:val="Ttulo4"/>
        <w:keepNext w:val="0"/>
        <w:keepLines w:val="0"/>
        <w:widowControl w:val="0"/>
        <w:spacing w:before="120" w:after="120"/>
        <w:ind w:left="1800"/>
        <w:jc w:val="both"/>
        <w:rPr>
          <w:rFonts w:ascii="Times New Roman" w:hAnsi="Times New Roman" w:cs="Times New Roman"/>
          <w:color w:val="auto"/>
        </w:rPr>
      </w:pPr>
    </w:p>
    <w:p w:rsidR="00A77B29" w:rsidRPr="008F571E" w:rsidRDefault="00A77B29" w:rsidP="000B3666">
      <w:pPr>
        <w:pStyle w:val="Ttulo4"/>
        <w:keepNext w:val="0"/>
        <w:keepLines w:val="0"/>
        <w:widowControl w:val="0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8F571E">
        <w:rPr>
          <w:rFonts w:ascii="Times New Roman" w:hAnsi="Times New Roman" w:cs="Times New Roman"/>
          <w:color w:val="auto"/>
        </w:rPr>
        <w:lastRenderedPageBreak/>
        <w:t>Outros custos, incluindo os custos diretos e indiretos</w:t>
      </w:r>
    </w:p>
    <w:p w:rsidR="00A77B29" w:rsidRDefault="004D5450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 w:rsidRPr="004D5450">
        <w:rPr>
          <w:rFonts w:ascii="Times New Roman" w:hAnsi="Times New Roman"/>
          <w:bCs/>
          <w:szCs w:val="24"/>
        </w:rPr>
        <w:t>Com esta opção, uma vez que a acreditação será obrigatória</w:t>
      </w:r>
      <w:r w:rsidR="002A1EAF">
        <w:rPr>
          <w:rFonts w:ascii="Times New Roman" w:hAnsi="Times New Roman"/>
          <w:bCs/>
          <w:szCs w:val="24"/>
        </w:rPr>
        <w:t>,</w:t>
      </w:r>
      <w:r w:rsidR="008226FD">
        <w:rPr>
          <w:rFonts w:ascii="Times New Roman" w:hAnsi="Times New Roman"/>
          <w:bCs/>
          <w:szCs w:val="24"/>
        </w:rPr>
        <w:t xml:space="preserve"> o cadastro</w:t>
      </w:r>
      <w:r w:rsidR="002A1EAF">
        <w:rPr>
          <w:rFonts w:ascii="Times New Roman" w:hAnsi="Times New Roman"/>
          <w:bCs/>
          <w:szCs w:val="24"/>
        </w:rPr>
        <w:t xml:space="preserve"> dispensado</w:t>
      </w:r>
      <w:r w:rsidR="008226FD">
        <w:rPr>
          <w:rFonts w:ascii="Times New Roman" w:hAnsi="Times New Roman"/>
          <w:bCs/>
          <w:szCs w:val="24"/>
        </w:rPr>
        <w:t xml:space="preserve"> e</w:t>
      </w:r>
      <w:r w:rsidRPr="004D5450">
        <w:rPr>
          <w:rFonts w:ascii="Times New Roman" w:hAnsi="Times New Roman"/>
          <w:bCs/>
          <w:szCs w:val="24"/>
        </w:rPr>
        <w:t xml:space="preserve"> o envio do certificado de acreditação não ser</w:t>
      </w:r>
      <w:r w:rsidR="00DA0041">
        <w:rPr>
          <w:rFonts w:ascii="Times New Roman" w:hAnsi="Times New Roman"/>
          <w:bCs/>
          <w:szCs w:val="24"/>
        </w:rPr>
        <w:t>ão</w:t>
      </w:r>
      <w:r w:rsidRPr="004D5450">
        <w:rPr>
          <w:rFonts w:ascii="Times New Roman" w:hAnsi="Times New Roman"/>
          <w:bCs/>
          <w:szCs w:val="24"/>
        </w:rPr>
        <w:t xml:space="preserve"> mais exigido</w:t>
      </w:r>
      <w:r w:rsidR="00DA0041">
        <w:rPr>
          <w:rFonts w:ascii="Times New Roman" w:hAnsi="Times New Roman"/>
          <w:bCs/>
          <w:szCs w:val="24"/>
        </w:rPr>
        <w:t>s</w:t>
      </w:r>
      <w:r w:rsidRPr="004D5450">
        <w:rPr>
          <w:rFonts w:ascii="Times New Roman" w:hAnsi="Times New Roman"/>
          <w:bCs/>
          <w:szCs w:val="24"/>
        </w:rPr>
        <w:t xml:space="preserve"> pela ANP</w:t>
      </w:r>
      <w:r w:rsidR="00DA0041">
        <w:rPr>
          <w:rFonts w:ascii="Times New Roman" w:hAnsi="Times New Roman"/>
          <w:bCs/>
          <w:szCs w:val="24"/>
        </w:rPr>
        <w:t>;</w:t>
      </w:r>
      <w:r w:rsidRPr="004D5450">
        <w:rPr>
          <w:rFonts w:ascii="Times New Roman" w:hAnsi="Times New Roman"/>
          <w:bCs/>
          <w:szCs w:val="24"/>
        </w:rPr>
        <w:t xml:space="preserve"> </w:t>
      </w:r>
      <w:r w:rsidR="002A1EAF" w:rsidRPr="004D5450">
        <w:rPr>
          <w:rFonts w:ascii="Times New Roman" w:hAnsi="Times New Roman"/>
          <w:bCs/>
          <w:szCs w:val="24"/>
        </w:rPr>
        <w:t>poder</w:t>
      </w:r>
      <w:r w:rsidR="002A1EAF">
        <w:rPr>
          <w:rFonts w:ascii="Times New Roman" w:hAnsi="Times New Roman"/>
          <w:bCs/>
          <w:szCs w:val="24"/>
        </w:rPr>
        <w:t>ão</w:t>
      </w:r>
      <w:r w:rsidR="002A1EAF" w:rsidRPr="004D5450">
        <w:rPr>
          <w:rFonts w:ascii="Times New Roman" w:hAnsi="Times New Roman"/>
          <w:bCs/>
          <w:szCs w:val="24"/>
        </w:rPr>
        <w:t xml:space="preserve"> </w:t>
      </w:r>
      <w:r w:rsidRPr="004D5450">
        <w:rPr>
          <w:rFonts w:ascii="Times New Roman" w:hAnsi="Times New Roman"/>
          <w:bCs/>
          <w:szCs w:val="24"/>
        </w:rPr>
        <w:t xml:space="preserve">existir laboratórios </w:t>
      </w:r>
      <w:r w:rsidR="002A1EAF">
        <w:rPr>
          <w:rFonts w:ascii="Times New Roman" w:hAnsi="Times New Roman"/>
          <w:bCs/>
          <w:szCs w:val="24"/>
        </w:rPr>
        <w:t>atuando na</w:t>
      </w:r>
      <w:r w:rsidRPr="004D5450">
        <w:rPr>
          <w:rFonts w:ascii="Times New Roman" w:hAnsi="Times New Roman"/>
          <w:bCs/>
          <w:szCs w:val="24"/>
        </w:rPr>
        <w:t xml:space="preserve"> certificação de biodiesel</w:t>
      </w:r>
      <w:r w:rsidR="002A1EAF">
        <w:rPr>
          <w:rFonts w:ascii="Times New Roman" w:hAnsi="Times New Roman"/>
          <w:bCs/>
          <w:szCs w:val="24"/>
        </w:rPr>
        <w:t>,</w:t>
      </w:r>
      <w:r w:rsidRPr="004D5450">
        <w:rPr>
          <w:rFonts w:ascii="Times New Roman" w:hAnsi="Times New Roman"/>
          <w:bCs/>
          <w:szCs w:val="24"/>
        </w:rPr>
        <w:t xml:space="preserve"> </w:t>
      </w:r>
      <w:r w:rsidR="002A1EAF">
        <w:rPr>
          <w:rFonts w:ascii="Times New Roman" w:hAnsi="Times New Roman"/>
          <w:bCs/>
          <w:szCs w:val="24"/>
        </w:rPr>
        <w:t>sem estarem</w:t>
      </w:r>
      <w:r w:rsidRPr="004D5450">
        <w:rPr>
          <w:rFonts w:ascii="Times New Roman" w:hAnsi="Times New Roman"/>
          <w:bCs/>
          <w:szCs w:val="24"/>
        </w:rPr>
        <w:t xml:space="preserve"> realmente acreditados pelo </w:t>
      </w:r>
      <w:r w:rsidR="009F5C79">
        <w:rPr>
          <w:rFonts w:ascii="Times New Roman" w:hAnsi="Times New Roman"/>
          <w:bCs/>
          <w:szCs w:val="24"/>
        </w:rPr>
        <w:t>Inmetro</w:t>
      </w:r>
      <w:r w:rsidRPr="004D5450">
        <w:rPr>
          <w:rFonts w:ascii="Times New Roman" w:hAnsi="Times New Roman"/>
          <w:bCs/>
          <w:szCs w:val="24"/>
        </w:rPr>
        <w:t xml:space="preserve"> ou que </w:t>
      </w:r>
      <w:r w:rsidR="002A1EAF">
        <w:rPr>
          <w:rFonts w:ascii="Times New Roman" w:hAnsi="Times New Roman"/>
          <w:bCs/>
          <w:szCs w:val="24"/>
        </w:rPr>
        <w:t>estejam com</w:t>
      </w:r>
      <w:r w:rsidR="002A1EAF" w:rsidRPr="004D5450">
        <w:rPr>
          <w:rFonts w:ascii="Times New Roman" w:hAnsi="Times New Roman"/>
          <w:bCs/>
          <w:szCs w:val="24"/>
        </w:rPr>
        <w:t xml:space="preserve"> </w:t>
      </w:r>
      <w:r w:rsidRPr="004D5450">
        <w:rPr>
          <w:rFonts w:ascii="Times New Roman" w:hAnsi="Times New Roman"/>
          <w:bCs/>
          <w:szCs w:val="24"/>
        </w:rPr>
        <w:t>sua acreditação suspensa. Para minimizar es</w:t>
      </w:r>
      <w:r w:rsidR="00DA0041">
        <w:rPr>
          <w:rFonts w:ascii="Times New Roman" w:hAnsi="Times New Roman"/>
          <w:bCs/>
          <w:szCs w:val="24"/>
        </w:rPr>
        <w:t>s</w:t>
      </w:r>
      <w:r w:rsidRPr="004D5450">
        <w:rPr>
          <w:rFonts w:ascii="Times New Roman" w:hAnsi="Times New Roman"/>
          <w:bCs/>
          <w:szCs w:val="24"/>
        </w:rPr>
        <w:t>e imp</w:t>
      </w:r>
      <w:r w:rsidR="00215504">
        <w:rPr>
          <w:rFonts w:ascii="Times New Roman" w:hAnsi="Times New Roman"/>
          <w:bCs/>
          <w:szCs w:val="24"/>
        </w:rPr>
        <w:t>acto poderá ser previsto o acompanhamento junto ao Inmetro de quais laboratórios estão acreditados e os respectivos ensaios acreditados.</w:t>
      </w:r>
      <w:r w:rsidRPr="004D5450">
        <w:rPr>
          <w:rFonts w:ascii="Times New Roman" w:hAnsi="Times New Roman"/>
          <w:bCs/>
          <w:szCs w:val="24"/>
        </w:rPr>
        <w:t xml:space="preserve"> </w:t>
      </w:r>
    </w:p>
    <w:p w:rsidR="000B3666" w:rsidRPr="001E065A" w:rsidRDefault="000B3666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A77B29" w:rsidRPr="008F571E" w:rsidRDefault="00A77B29" w:rsidP="000B3666">
      <w:pPr>
        <w:pStyle w:val="Ttulo4"/>
        <w:keepNext w:val="0"/>
        <w:keepLines w:val="0"/>
        <w:widowControl w:val="0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Benefícios associados com o regulamento</w:t>
      </w:r>
    </w:p>
    <w:p w:rsidR="00373014" w:rsidRDefault="00A77B29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 benefício dessa opção </w:t>
      </w:r>
      <w:r w:rsidR="00E172A8">
        <w:rPr>
          <w:rFonts w:ascii="Times New Roman" w:hAnsi="Times New Roman"/>
          <w:bCs/>
          <w:szCs w:val="24"/>
        </w:rPr>
        <w:t>é a</w:t>
      </w:r>
      <w:r>
        <w:rPr>
          <w:rFonts w:ascii="Times New Roman" w:hAnsi="Times New Roman"/>
          <w:bCs/>
          <w:szCs w:val="24"/>
        </w:rPr>
        <w:t xml:space="preserve"> redução de custos impostos pela regulação</w:t>
      </w:r>
      <w:r w:rsidR="000709D5">
        <w:rPr>
          <w:rFonts w:ascii="Times New Roman" w:hAnsi="Times New Roman"/>
          <w:bCs/>
          <w:szCs w:val="24"/>
        </w:rPr>
        <w:t xml:space="preserve"> e a desburocratização total do processo de cadastro</w:t>
      </w:r>
      <w:r>
        <w:rPr>
          <w:rFonts w:ascii="Times New Roman" w:hAnsi="Times New Roman"/>
          <w:bCs/>
          <w:szCs w:val="24"/>
        </w:rPr>
        <w:t>.</w:t>
      </w:r>
      <w:r w:rsidR="00A91A14">
        <w:rPr>
          <w:rFonts w:ascii="Times New Roman" w:hAnsi="Times New Roman"/>
          <w:bCs/>
          <w:szCs w:val="24"/>
        </w:rPr>
        <w:t xml:space="preserve"> </w:t>
      </w:r>
      <w:r w:rsidR="006652F8">
        <w:rPr>
          <w:rFonts w:ascii="Times New Roman" w:hAnsi="Times New Roman"/>
          <w:bCs/>
          <w:szCs w:val="24"/>
        </w:rPr>
        <w:t>No entanto, vale destacar que</w:t>
      </w:r>
      <w:r w:rsidR="001A4694">
        <w:rPr>
          <w:rFonts w:ascii="Times New Roman" w:hAnsi="Times New Roman"/>
          <w:bCs/>
          <w:szCs w:val="24"/>
        </w:rPr>
        <w:t>,</w:t>
      </w:r>
      <w:r w:rsidR="006652F8">
        <w:rPr>
          <w:rFonts w:ascii="Times New Roman" w:hAnsi="Times New Roman"/>
          <w:bCs/>
          <w:szCs w:val="24"/>
        </w:rPr>
        <w:t xml:space="preserve"> mesmo com a retirada da obrigação do cadastro, </w:t>
      </w:r>
      <w:r w:rsidR="001A4694">
        <w:rPr>
          <w:rFonts w:ascii="Times New Roman" w:hAnsi="Times New Roman"/>
          <w:bCs/>
          <w:szCs w:val="24"/>
        </w:rPr>
        <w:t xml:space="preserve">será </w:t>
      </w:r>
      <w:r w:rsidR="000709D5">
        <w:rPr>
          <w:rFonts w:ascii="Times New Roman" w:hAnsi="Times New Roman"/>
          <w:bCs/>
          <w:szCs w:val="24"/>
        </w:rPr>
        <w:t>mantido</w:t>
      </w:r>
      <w:r w:rsidR="006652F8">
        <w:rPr>
          <w:rFonts w:ascii="Times New Roman" w:hAnsi="Times New Roman"/>
          <w:bCs/>
          <w:szCs w:val="24"/>
        </w:rPr>
        <w:t xml:space="preserve"> o segundo benefício descrito no item </w:t>
      </w:r>
      <w:r w:rsidR="006652F8" w:rsidRPr="00A27563">
        <w:rPr>
          <w:rFonts w:ascii="Times New Roman" w:hAnsi="Times New Roman"/>
          <w:bCs/>
          <w:i/>
          <w:szCs w:val="24"/>
        </w:rPr>
        <w:t>vi</w:t>
      </w:r>
      <w:r w:rsidR="006652F8">
        <w:rPr>
          <w:rFonts w:ascii="Times New Roman" w:hAnsi="Times New Roman"/>
          <w:bCs/>
          <w:i/>
          <w:szCs w:val="24"/>
        </w:rPr>
        <w:t>i</w:t>
      </w:r>
      <w:r w:rsidR="006652F8">
        <w:rPr>
          <w:rFonts w:ascii="Times New Roman" w:hAnsi="Times New Roman"/>
          <w:bCs/>
          <w:szCs w:val="24"/>
        </w:rPr>
        <w:t xml:space="preserve"> da opção (A)</w:t>
      </w:r>
      <w:r w:rsidR="000709D5">
        <w:rPr>
          <w:rFonts w:ascii="Times New Roman" w:hAnsi="Times New Roman"/>
          <w:bCs/>
          <w:szCs w:val="24"/>
        </w:rPr>
        <w:t>,  de garantir que os laboratórios sejam acreditados no Inmetro</w:t>
      </w:r>
      <w:r w:rsidR="006652F8">
        <w:rPr>
          <w:rFonts w:ascii="Times New Roman" w:hAnsi="Times New Roman"/>
          <w:bCs/>
          <w:szCs w:val="24"/>
        </w:rPr>
        <w:t>.</w:t>
      </w:r>
    </w:p>
    <w:p w:rsidR="006652F8" w:rsidRDefault="006652F8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202212" w:rsidRPr="00E933E9" w:rsidRDefault="00202212" w:rsidP="000B3666">
      <w:pPr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b/>
          <w:szCs w:val="24"/>
        </w:rPr>
      </w:pPr>
      <w:r w:rsidRPr="00E933E9">
        <w:rPr>
          <w:rFonts w:ascii="Times New Roman" w:hAnsi="Times New Roman"/>
          <w:b/>
          <w:szCs w:val="24"/>
        </w:rPr>
        <w:t>OPÇÃO RECOMENDADA</w:t>
      </w:r>
    </w:p>
    <w:p w:rsidR="000B5774" w:rsidRPr="004B32AE" w:rsidRDefault="001A5AA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szCs w:val="24"/>
        </w:rPr>
      </w:pPr>
      <w:r w:rsidRPr="001A5AAA">
        <w:rPr>
          <w:rFonts w:ascii="Times New Roman" w:hAnsi="Times New Roman"/>
          <w:bCs/>
          <w:szCs w:val="24"/>
        </w:rPr>
        <w:t xml:space="preserve">A análise de impacto </w:t>
      </w:r>
      <w:r>
        <w:rPr>
          <w:rFonts w:ascii="Times New Roman" w:hAnsi="Times New Roman"/>
          <w:bCs/>
          <w:szCs w:val="24"/>
        </w:rPr>
        <w:t xml:space="preserve">apresentada no item 4 </w:t>
      </w:r>
      <w:r w:rsidRPr="001A5AAA">
        <w:rPr>
          <w:rFonts w:ascii="Times New Roman" w:hAnsi="Times New Roman"/>
          <w:bCs/>
          <w:szCs w:val="24"/>
        </w:rPr>
        <w:t xml:space="preserve">indica que, </w:t>
      </w:r>
      <w:r>
        <w:rPr>
          <w:rFonts w:ascii="Times New Roman" w:hAnsi="Times New Roman"/>
          <w:bCs/>
          <w:szCs w:val="24"/>
        </w:rPr>
        <w:t>na primeira opção (manutenção da situação atual)</w:t>
      </w:r>
      <w:r w:rsidR="00DA0041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há custos regulatórios elevados</w:t>
      </w:r>
      <w:r w:rsidR="006731D6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tanto para o agente como para o regulador</w:t>
      </w:r>
      <w:r w:rsidR="006731D6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que serão mantidos. Além disso</w:t>
      </w:r>
      <w:r w:rsidR="006731D6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muitas exigências </w:t>
      </w:r>
      <w:r w:rsidRPr="009708B4">
        <w:rPr>
          <w:rFonts w:ascii="Times New Roman" w:hAnsi="Times New Roman"/>
          <w:bCs/>
          <w:szCs w:val="24"/>
        </w:rPr>
        <w:t>da atual Resolução ANP nº 6/2014</w:t>
      </w:r>
      <w:r>
        <w:rPr>
          <w:rFonts w:ascii="Times New Roman" w:hAnsi="Times New Roman"/>
          <w:bCs/>
          <w:szCs w:val="24"/>
        </w:rPr>
        <w:t xml:space="preserve"> são desnecessárias, </w:t>
      </w:r>
      <w:r w:rsidRPr="009708B4">
        <w:rPr>
          <w:rFonts w:ascii="Times New Roman" w:hAnsi="Times New Roman"/>
          <w:bCs/>
          <w:szCs w:val="24"/>
        </w:rPr>
        <w:t xml:space="preserve">uma vez que </w:t>
      </w:r>
      <w:r>
        <w:rPr>
          <w:rFonts w:ascii="Times New Roman" w:hAnsi="Times New Roman"/>
          <w:bCs/>
          <w:szCs w:val="24"/>
        </w:rPr>
        <w:t>são similares à</w:t>
      </w:r>
      <w:r w:rsidRPr="009708B4">
        <w:rPr>
          <w:rFonts w:ascii="Times New Roman" w:hAnsi="Times New Roman"/>
          <w:bCs/>
          <w:szCs w:val="24"/>
        </w:rPr>
        <w:t xml:space="preserve">s trazidas no processo de acreditação do </w:t>
      </w:r>
      <w:r w:rsidR="00215504">
        <w:rPr>
          <w:rFonts w:ascii="Times New Roman" w:hAnsi="Times New Roman"/>
          <w:bCs/>
          <w:szCs w:val="24"/>
        </w:rPr>
        <w:t>Inmetro</w:t>
      </w:r>
      <w:r w:rsidRPr="009708B4">
        <w:rPr>
          <w:rFonts w:ascii="Times New Roman" w:hAnsi="Times New Roman"/>
          <w:bCs/>
          <w:szCs w:val="24"/>
        </w:rPr>
        <w:t>.</w:t>
      </w:r>
      <w:r w:rsidR="000B5774">
        <w:rPr>
          <w:rFonts w:ascii="Times New Roman" w:hAnsi="Times New Roman"/>
          <w:bCs/>
          <w:szCs w:val="24"/>
        </w:rPr>
        <w:t xml:space="preserve"> </w:t>
      </w:r>
      <w:r w:rsidR="00DA0041">
        <w:rPr>
          <w:rFonts w:ascii="Times New Roman" w:hAnsi="Times New Roman"/>
          <w:bCs/>
          <w:szCs w:val="24"/>
        </w:rPr>
        <w:t>Manter ess</w:t>
      </w:r>
      <w:r w:rsidR="000709D5">
        <w:rPr>
          <w:rFonts w:ascii="Times New Roman" w:hAnsi="Times New Roman"/>
          <w:bCs/>
          <w:szCs w:val="24"/>
        </w:rPr>
        <w:t>a opção vai no sentido contrário a u</w:t>
      </w:r>
      <w:r w:rsidR="000709D5">
        <w:rPr>
          <w:rFonts w:ascii="Times New Roman" w:hAnsi="Times New Roman"/>
          <w:szCs w:val="24"/>
        </w:rPr>
        <w:t>m dos objetivos estratégicos da Agência que é “</w:t>
      </w:r>
      <w:r w:rsidR="000709D5" w:rsidRPr="006E5B6C">
        <w:rPr>
          <w:rFonts w:ascii="Times New Roman" w:hAnsi="Times New Roman"/>
          <w:i/>
          <w:szCs w:val="24"/>
        </w:rPr>
        <w:t>Atualizar a regulamentação da ANP, minimizando barreiras ao investimento e reduzindo os custos impostos pela regulação</w:t>
      </w:r>
      <w:r w:rsidR="000709D5">
        <w:rPr>
          <w:rFonts w:ascii="Times New Roman" w:hAnsi="Times New Roman"/>
          <w:szCs w:val="24"/>
        </w:rPr>
        <w:t xml:space="preserve">”. </w:t>
      </w:r>
      <w:r w:rsidR="000B5774">
        <w:rPr>
          <w:rFonts w:ascii="Times New Roman" w:hAnsi="Times New Roman"/>
          <w:bCs/>
          <w:szCs w:val="24"/>
        </w:rPr>
        <w:t xml:space="preserve">Os benefícios dessa opção incluem o conhecimento por parte da ANP de quais </w:t>
      </w:r>
      <w:r w:rsidR="000B5774" w:rsidRPr="004B32AE">
        <w:rPr>
          <w:rFonts w:ascii="Times New Roman" w:hAnsi="Times New Roman"/>
          <w:bCs/>
          <w:szCs w:val="24"/>
        </w:rPr>
        <w:t xml:space="preserve">laboratórios no país estão aptos </w:t>
      </w:r>
      <w:r w:rsidR="0061727F" w:rsidRPr="004B32AE">
        <w:rPr>
          <w:rFonts w:ascii="Times New Roman" w:hAnsi="Times New Roman"/>
          <w:bCs/>
          <w:szCs w:val="24"/>
        </w:rPr>
        <w:t>a</w:t>
      </w:r>
      <w:r w:rsidR="000B5774" w:rsidRPr="004B32AE">
        <w:rPr>
          <w:rFonts w:ascii="Times New Roman" w:hAnsi="Times New Roman"/>
          <w:bCs/>
          <w:szCs w:val="24"/>
        </w:rPr>
        <w:t xml:space="preserve"> realizar os ensaios para certificação de biodiesel, podendo estabelecer com eles mecanismos para identificação de problemas na realizaç</w:t>
      </w:r>
      <w:r w:rsidR="000B5774">
        <w:rPr>
          <w:rFonts w:ascii="Times New Roman" w:hAnsi="Times New Roman"/>
          <w:bCs/>
          <w:szCs w:val="24"/>
        </w:rPr>
        <w:t xml:space="preserve">ão dos ensaios; a garantia </w:t>
      </w:r>
      <w:r w:rsidR="006731D6">
        <w:rPr>
          <w:rFonts w:ascii="Times New Roman" w:hAnsi="Times New Roman"/>
          <w:bCs/>
          <w:szCs w:val="24"/>
        </w:rPr>
        <w:t xml:space="preserve">da </w:t>
      </w:r>
      <w:r w:rsidR="000B5774">
        <w:rPr>
          <w:rFonts w:ascii="Times New Roman" w:hAnsi="Times New Roman"/>
          <w:bCs/>
          <w:szCs w:val="24"/>
        </w:rPr>
        <w:t>qualidade das análises efetuadas pelos laboratórios que realizam os ensaios para certificação de biodiesel; e a confiabilidade dos laudos emitidos pelos laboratórios.</w:t>
      </w:r>
    </w:p>
    <w:p w:rsidR="001A5AAA" w:rsidRPr="009708B4" w:rsidRDefault="000B5774" w:rsidP="000B3666">
      <w:pPr>
        <w:tabs>
          <w:tab w:val="left" w:pos="1134"/>
        </w:tabs>
        <w:spacing w:before="120" w:after="120" w:line="276" w:lineRule="auto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 segunda opção, apesar de apresentar </w:t>
      </w:r>
      <w:r w:rsidR="001A5AAA">
        <w:rPr>
          <w:rFonts w:ascii="Times New Roman" w:hAnsi="Times New Roman"/>
          <w:bCs/>
          <w:szCs w:val="24"/>
        </w:rPr>
        <w:t>redução d</w:t>
      </w:r>
      <w:r w:rsidR="001A5AAA" w:rsidRPr="009708B4">
        <w:rPr>
          <w:rFonts w:ascii="Times New Roman" w:hAnsi="Times New Roman"/>
          <w:bCs/>
          <w:szCs w:val="24"/>
        </w:rPr>
        <w:t>o custo regulatório</w:t>
      </w:r>
      <w:r w:rsidR="001A5AAA">
        <w:rPr>
          <w:rFonts w:ascii="Times New Roman" w:hAnsi="Times New Roman"/>
          <w:bCs/>
          <w:szCs w:val="24"/>
        </w:rPr>
        <w:t xml:space="preserve"> para o agente e para o regulador</w:t>
      </w:r>
      <w:r w:rsidR="001A5AAA" w:rsidRPr="009708B4">
        <w:rPr>
          <w:rFonts w:ascii="Times New Roman" w:hAnsi="Times New Roman"/>
          <w:bCs/>
          <w:szCs w:val="24"/>
        </w:rPr>
        <w:t xml:space="preserve">, </w:t>
      </w:r>
      <w:r w:rsidR="001A5AAA">
        <w:rPr>
          <w:rFonts w:ascii="Times New Roman" w:hAnsi="Times New Roman"/>
          <w:bCs/>
          <w:szCs w:val="24"/>
        </w:rPr>
        <w:t>ainda impõe gasto</w:t>
      </w:r>
      <w:r w:rsidR="008226FD">
        <w:rPr>
          <w:rFonts w:ascii="Times New Roman" w:hAnsi="Times New Roman"/>
          <w:bCs/>
          <w:szCs w:val="24"/>
        </w:rPr>
        <w:t xml:space="preserve"> adicional</w:t>
      </w:r>
      <w:r w:rsidR="001A5AAA">
        <w:rPr>
          <w:rFonts w:ascii="Times New Roman" w:hAnsi="Times New Roman"/>
          <w:bCs/>
          <w:szCs w:val="24"/>
        </w:rPr>
        <w:t xml:space="preserve"> além da acreditação.</w:t>
      </w:r>
      <w:r w:rsidR="00DA0041">
        <w:rPr>
          <w:rFonts w:ascii="Times New Roman" w:hAnsi="Times New Roman"/>
          <w:bCs/>
          <w:szCs w:val="24"/>
        </w:rPr>
        <w:t xml:space="preserve"> Ness</w:t>
      </w:r>
      <w:r>
        <w:rPr>
          <w:rFonts w:ascii="Times New Roman" w:hAnsi="Times New Roman"/>
          <w:bCs/>
          <w:szCs w:val="24"/>
        </w:rPr>
        <w:t>a opção</w:t>
      </w:r>
      <w:r w:rsidR="006731D6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a ANP manteria cadastro dos laboratórios acreditados no </w:t>
      </w:r>
      <w:r w:rsidR="00215504">
        <w:rPr>
          <w:rFonts w:ascii="Times New Roman" w:hAnsi="Times New Roman"/>
          <w:bCs/>
          <w:szCs w:val="24"/>
        </w:rPr>
        <w:t>Inmetro</w:t>
      </w:r>
      <w:r>
        <w:rPr>
          <w:rFonts w:ascii="Times New Roman" w:hAnsi="Times New Roman"/>
          <w:bCs/>
          <w:szCs w:val="24"/>
        </w:rPr>
        <w:t xml:space="preserve">, mas simplificaria e dinamizaria o processo de cadastramento. A manutenção do cadastro dos laboratórios permitiria à ANP manter </w:t>
      </w:r>
      <w:r w:rsidR="006731D6">
        <w:rPr>
          <w:rFonts w:ascii="Times New Roman" w:hAnsi="Times New Roman"/>
          <w:bCs/>
          <w:szCs w:val="24"/>
        </w:rPr>
        <w:t xml:space="preserve">o </w:t>
      </w:r>
      <w:r>
        <w:rPr>
          <w:rFonts w:ascii="Times New Roman" w:hAnsi="Times New Roman"/>
          <w:bCs/>
          <w:szCs w:val="24"/>
        </w:rPr>
        <w:t>controle sobre quais laboratórios no país estão acreditados para a realização de ensaios para certificação de biodiesel</w:t>
      </w:r>
      <w:r w:rsidR="006731D6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com vistas </w:t>
      </w:r>
      <w:r w:rsidR="006731D6">
        <w:rPr>
          <w:rFonts w:ascii="Times New Roman" w:hAnsi="Times New Roman"/>
          <w:bCs/>
          <w:szCs w:val="24"/>
        </w:rPr>
        <w:t>a orientar os</w:t>
      </w:r>
      <w:r>
        <w:rPr>
          <w:rFonts w:ascii="Times New Roman" w:hAnsi="Times New Roman"/>
          <w:bCs/>
          <w:szCs w:val="24"/>
        </w:rPr>
        <w:t xml:space="preserve"> produtores, bem como para </w:t>
      </w:r>
      <w:r w:rsidR="006731D6">
        <w:rPr>
          <w:rFonts w:ascii="Times New Roman" w:hAnsi="Times New Roman"/>
          <w:bCs/>
          <w:szCs w:val="24"/>
        </w:rPr>
        <w:t xml:space="preserve">conhecer </w:t>
      </w:r>
      <w:r>
        <w:rPr>
          <w:rFonts w:ascii="Times New Roman" w:hAnsi="Times New Roman"/>
          <w:bCs/>
          <w:szCs w:val="24"/>
        </w:rPr>
        <w:t xml:space="preserve">a rede de laboratórios do país e </w:t>
      </w:r>
      <w:r w:rsidR="006731D6">
        <w:rPr>
          <w:rFonts w:ascii="Times New Roman" w:hAnsi="Times New Roman"/>
          <w:bCs/>
          <w:szCs w:val="24"/>
        </w:rPr>
        <w:t xml:space="preserve">a </w:t>
      </w:r>
      <w:r>
        <w:rPr>
          <w:rFonts w:ascii="Times New Roman" w:hAnsi="Times New Roman"/>
          <w:bCs/>
          <w:szCs w:val="24"/>
        </w:rPr>
        <w:t xml:space="preserve">abrangência da mesma. Dessa forma, seria mais fácil </w:t>
      </w:r>
      <w:r w:rsidR="00D92391">
        <w:rPr>
          <w:rFonts w:ascii="Times New Roman" w:hAnsi="Times New Roman"/>
          <w:bCs/>
          <w:szCs w:val="24"/>
        </w:rPr>
        <w:t>o monitoramento</w:t>
      </w:r>
      <w:r>
        <w:rPr>
          <w:rFonts w:ascii="Times New Roman" w:hAnsi="Times New Roman"/>
          <w:bCs/>
          <w:szCs w:val="24"/>
        </w:rPr>
        <w:t xml:space="preserve"> junto ao </w:t>
      </w:r>
      <w:r w:rsidR="00215504">
        <w:rPr>
          <w:rFonts w:ascii="Times New Roman" w:hAnsi="Times New Roman"/>
          <w:bCs/>
          <w:szCs w:val="24"/>
        </w:rPr>
        <w:t>Inmetro</w:t>
      </w:r>
      <w:r>
        <w:rPr>
          <w:rFonts w:ascii="Times New Roman" w:hAnsi="Times New Roman"/>
          <w:bCs/>
          <w:szCs w:val="24"/>
        </w:rPr>
        <w:t xml:space="preserve"> da suspensão da acreditação de determinado laboratório ou</w:t>
      </w:r>
      <w:r w:rsidR="0061727F">
        <w:rPr>
          <w:rFonts w:ascii="Times New Roman" w:hAnsi="Times New Roman"/>
          <w:bCs/>
          <w:szCs w:val="24"/>
        </w:rPr>
        <w:t xml:space="preserve"> o cancelamento da mesma.</w:t>
      </w:r>
    </w:p>
    <w:p w:rsidR="001A5AAA" w:rsidRDefault="00626AEC" w:rsidP="000B3666">
      <w:pPr>
        <w:tabs>
          <w:tab w:val="left" w:pos="851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Na terceira opção, o custo regulatório é o menor de todos. </w:t>
      </w:r>
      <w:r w:rsidR="001A5AAA">
        <w:rPr>
          <w:rFonts w:ascii="Times New Roman" w:hAnsi="Times New Roman"/>
          <w:bCs/>
          <w:szCs w:val="24"/>
        </w:rPr>
        <w:t>A desvantagem dessa opção é que não haverá mais o cadastro da ANP</w:t>
      </w:r>
      <w:r w:rsidR="00DA0041">
        <w:rPr>
          <w:rFonts w:ascii="Times New Roman" w:hAnsi="Times New Roman"/>
          <w:bCs/>
          <w:szCs w:val="24"/>
        </w:rPr>
        <w:t xml:space="preserve"> que</w:t>
      </w:r>
      <w:r w:rsidR="007B2497">
        <w:rPr>
          <w:rFonts w:ascii="Times New Roman" w:hAnsi="Times New Roman"/>
          <w:bCs/>
          <w:szCs w:val="24"/>
        </w:rPr>
        <w:t xml:space="preserve"> </w:t>
      </w:r>
      <w:r w:rsidR="001A5AAA" w:rsidRPr="00360EB7">
        <w:rPr>
          <w:rFonts w:ascii="Times New Roman" w:hAnsi="Times New Roman"/>
          <w:bCs/>
          <w:szCs w:val="24"/>
        </w:rPr>
        <w:t>permit</w:t>
      </w:r>
      <w:r w:rsidR="00DA0041">
        <w:rPr>
          <w:rFonts w:ascii="Times New Roman" w:hAnsi="Times New Roman"/>
          <w:bCs/>
          <w:szCs w:val="24"/>
        </w:rPr>
        <w:t>e</w:t>
      </w:r>
      <w:r w:rsidR="001A5AAA" w:rsidRPr="00360EB7">
        <w:rPr>
          <w:rFonts w:ascii="Times New Roman" w:hAnsi="Times New Roman"/>
          <w:bCs/>
          <w:szCs w:val="24"/>
        </w:rPr>
        <w:t xml:space="preserve"> que a A</w:t>
      </w:r>
      <w:r w:rsidR="001A5AAA">
        <w:rPr>
          <w:rFonts w:ascii="Times New Roman" w:hAnsi="Times New Roman"/>
          <w:bCs/>
          <w:szCs w:val="24"/>
        </w:rPr>
        <w:t>gência</w:t>
      </w:r>
      <w:r w:rsidR="001A5AAA" w:rsidRPr="00360EB7">
        <w:rPr>
          <w:rFonts w:ascii="Times New Roman" w:hAnsi="Times New Roman"/>
          <w:bCs/>
          <w:szCs w:val="24"/>
        </w:rPr>
        <w:t xml:space="preserve"> conheça quais </w:t>
      </w:r>
      <w:r w:rsidR="001A5AAA">
        <w:rPr>
          <w:rFonts w:ascii="Times New Roman" w:hAnsi="Times New Roman"/>
          <w:bCs/>
          <w:szCs w:val="24"/>
        </w:rPr>
        <w:t xml:space="preserve">os </w:t>
      </w:r>
      <w:r w:rsidR="001A5AAA" w:rsidRPr="00360EB7">
        <w:rPr>
          <w:rFonts w:ascii="Times New Roman" w:hAnsi="Times New Roman"/>
          <w:bCs/>
          <w:szCs w:val="24"/>
        </w:rPr>
        <w:t>laboratórios</w:t>
      </w:r>
      <w:r w:rsidR="001A5AAA">
        <w:rPr>
          <w:rFonts w:ascii="Times New Roman" w:hAnsi="Times New Roman"/>
          <w:bCs/>
          <w:szCs w:val="24"/>
        </w:rPr>
        <w:t xml:space="preserve"> (e os respectivos ensaios acreditados)</w:t>
      </w:r>
      <w:r w:rsidR="001A5AAA" w:rsidRPr="00360EB7">
        <w:rPr>
          <w:rFonts w:ascii="Times New Roman" w:hAnsi="Times New Roman"/>
          <w:bCs/>
          <w:szCs w:val="24"/>
        </w:rPr>
        <w:t xml:space="preserve"> no país estão aptos </w:t>
      </w:r>
      <w:r w:rsidR="00AB0D8A">
        <w:rPr>
          <w:rFonts w:ascii="Times New Roman" w:hAnsi="Times New Roman"/>
          <w:bCs/>
          <w:szCs w:val="24"/>
        </w:rPr>
        <w:t>a</w:t>
      </w:r>
      <w:r w:rsidR="001A5AAA" w:rsidRPr="00360EB7">
        <w:rPr>
          <w:rFonts w:ascii="Times New Roman" w:hAnsi="Times New Roman"/>
          <w:bCs/>
          <w:szCs w:val="24"/>
        </w:rPr>
        <w:t xml:space="preserve"> realizar os ensaios </w:t>
      </w:r>
      <w:r w:rsidR="001A5AAA">
        <w:rPr>
          <w:rFonts w:ascii="Times New Roman" w:hAnsi="Times New Roman"/>
          <w:bCs/>
          <w:szCs w:val="24"/>
        </w:rPr>
        <w:t xml:space="preserve">para certificação de biodiesel. Com isso, </w:t>
      </w:r>
      <w:r w:rsidR="000709D5">
        <w:rPr>
          <w:rFonts w:ascii="Times New Roman" w:hAnsi="Times New Roman"/>
          <w:bCs/>
          <w:szCs w:val="24"/>
        </w:rPr>
        <w:t>será</w:t>
      </w:r>
      <w:r w:rsidR="001A5AAA">
        <w:rPr>
          <w:rFonts w:ascii="Times New Roman" w:hAnsi="Times New Roman"/>
          <w:bCs/>
          <w:szCs w:val="24"/>
        </w:rPr>
        <w:t xml:space="preserve"> preciso </w:t>
      </w:r>
      <w:r w:rsidR="006731D6">
        <w:rPr>
          <w:rFonts w:ascii="Times New Roman" w:hAnsi="Times New Roman"/>
          <w:bCs/>
          <w:szCs w:val="24"/>
        </w:rPr>
        <w:t>desenvolver</w:t>
      </w:r>
      <w:r w:rsidR="001A5AAA">
        <w:rPr>
          <w:rFonts w:ascii="Times New Roman" w:hAnsi="Times New Roman"/>
          <w:bCs/>
          <w:szCs w:val="24"/>
        </w:rPr>
        <w:t xml:space="preserve"> mecanismo de atualização das acreditações concedidas pelo </w:t>
      </w:r>
      <w:r w:rsidR="00215504">
        <w:rPr>
          <w:rFonts w:ascii="Times New Roman" w:hAnsi="Times New Roman"/>
          <w:bCs/>
          <w:szCs w:val="24"/>
        </w:rPr>
        <w:t xml:space="preserve">Inmetro </w:t>
      </w:r>
      <w:r w:rsidR="001A5AAA">
        <w:rPr>
          <w:rFonts w:ascii="Times New Roman" w:hAnsi="Times New Roman"/>
          <w:bCs/>
          <w:szCs w:val="24"/>
        </w:rPr>
        <w:t xml:space="preserve">para análises de biodiesel. </w:t>
      </w:r>
    </w:p>
    <w:p w:rsidR="00062BE1" w:rsidRDefault="004A562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Com base no exposto, </w:t>
      </w:r>
      <w:r w:rsidR="00A64DEC">
        <w:rPr>
          <w:rFonts w:ascii="Times New Roman" w:hAnsi="Times New Roman"/>
          <w:bCs/>
          <w:szCs w:val="24"/>
        </w:rPr>
        <w:t xml:space="preserve">considerando a redução no custo regulatório e a manutenção do controle dos laboratórios que estão acreditados, a opção (b) seria </w:t>
      </w:r>
      <w:r w:rsidR="00940775">
        <w:rPr>
          <w:rFonts w:ascii="Times New Roman" w:hAnsi="Times New Roman"/>
          <w:bCs/>
          <w:szCs w:val="24"/>
        </w:rPr>
        <w:t>interessante</w:t>
      </w:r>
      <w:r w:rsidR="00A64DEC">
        <w:rPr>
          <w:rFonts w:ascii="Times New Roman" w:hAnsi="Times New Roman"/>
          <w:bCs/>
          <w:szCs w:val="24"/>
        </w:rPr>
        <w:t>. No entanto,</w:t>
      </w:r>
      <w:r w:rsidR="009224A3">
        <w:rPr>
          <w:rFonts w:ascii="Times New Roman" w:hAnsi="Times New Roman"/>
          <w:bCs/>
          <w:szCs w:val="24"/>
        </w:rPr>
        <w:t xml:space="preserve"> faz</w:t>
      </w:r>
      <w:r w:rsidR="00DA0041">
        <w:rPr>
          <w:rFonts w:ascii="Times New Roman" w:hAnsi="Times New Roman"/>
          <w:bCs/>
          <w:szCs w:val="24"/>
        </w:rPr>
        <w:t>-se</w:t>
      </w:r>
      <w:r w:rsidR="009224A3">
        <w:rPr>
          <w:rFonts w:ascii="Times New Roman" w:hAnsi="Times New Roman"/>
          <w:bCs/>
          <w:szCs w:val="24"/>
        </w:rPr>
        <w:t xml:space="preserve"> necessário</w:t>
      </w:r>
      <w:r w:rsidR="00A64DEC">
        <w:rPr>
          <w:rFonts w:ascii="Times New Roman" w:hAnsi="Times New Roman"/>
          <w:bCs/>
          <w:szCs w:val="24"/>
        </w:rPr>
        <w:t xml:space="preserve"> levar em conta todo o procedimento e adequação do laboratório para alcançar a acreditação pela norma ISO NBR 17025, </w:t>
      </w:r>
      <w:r w:rsidR="002C1357" w:rsidRPr="002C1357">
        <w:rPr>
          <w:rFonts w:ascii="Times New Roman" w:hAnsi="Times New Roman"/>
          <w:bCs/>
          <w:szCs w:val="24"/>
        </w:rPr>
        <w:t>buscando solucionar a redução de conhecimento sobre os laboratórios aptos,</w:t>
      </w:r>
      <w:r w:rsidR="002C1357">
        <w:rPr>
          <w:rFonts w:ascii="Times New Roman" w:hAnsi="Times New Roman"/>
          <w:bCs/>
          <w:szCs w:val="24"/>
        </w:rPr>
        <w:t xml:space="preserve"> </w:t>
      </w:r>
      <w:r w:rsidR="00A64DEC">
        <w:rPr>
          <w:rFonts w:ascii="Times New Roman" w:hAnsi="Times New Roman"/>
          <w:bCs/>
          <w:szCs w:val="24"/>
        </w:rPr>
        <w:t>bem como a sua manutenção.</w:t>
      </w:r>
      <w:r w:rsidR="00062BE1">
        <w:rPr>
          <w:rFonts w:ascii="Times New Roman" w:hAnsi="Times New Roman"/>
          <w:bCs/>
          <w:szCs w:val="24"/>
        </w:rPr>
        <w:t xml:space="preserve"> Os critérios exigidos pelo </w:t>
      </w:r>
      <w:r w:rsidR="00665B56">
        <w:rPr>
          <w:rFonts w:ascii="Times New Roman" w:hAnsi="Times New Roman"/>
          <w:bCs/>
          <w:szCs w:val="24"/>
        </w:rPr>
        <w:t>Inmetro</w:t>
      </w:r>
      <w:r w:rsidR="00062BE1">
        <w:rPr>
          <w:rFonts w:ascii="Times New Roman" w:hAnsi="Times New Roman"/>
          <w:bCs/>
          <w:szCs w:val="24"/>
        </w:rPr>
        <w:t xml:space="preserve"> são rigorosos</w:t>
      </w:r>
      <w:r w:rsidR="0010776C">
        <w:rPr>
          <w:rFonts w:ascii="Times New Roman" w:hAnsi="Times New Roman"/>
          <w:bCs/>
          <w:szCs w:val="24"/>
        </w:rPr>
        <w:t>,</w:t>
      </w:r>
      <w:r w:rsidR="00062BE1">
        <w:rPr>
          <w:rFonts w:ascii="Times New Roman" w:hAnsi="Times New Roman"/>
          <w:bCs/>
          <w:szCs w:val="24"/>
        </w:rPr>
        <w:t xml:space="preserve"> </w:t>
      </w:r>
      <w:r w:rsidR="00665B56">
        <w:rPr>
          <w:rFonts w:ascii="Times New Roman" w:hAnsi="Times New Roman"/>
          <w:bCs/>
          <w:szCs w:val="24"/>
        </w:rPr>
        <w:t>de modo que</w:t>
      </w:r>
      <w:r w:rsidR="00062BE1">
        <w:rPr>
          <w:rFonts w:ascii="Times New Roman" w:hAnsi="Times New Roman"/>
          <w:bCs/>
          <w:szCs w:val="24"/>
        </w:rPr>
        <w:t xml:space="preserve"> o laboratório </w:t>
      </w:r>
      <w:r w:rsidR="00665B56">
        <w:rPr>
          <w:rFonts w:ascii="Times New Roman" w:hAnsi="Times New Roman"/>
          <w:bCs/>
          <w:szCs w:val="24"/>
        </w:rPr>
        <w:t xml:space="preserve">deve manter </w:t>
      </w:r>
      <w:r w:rsidR="00062BE1">
        <w:rPr>
          <w:rFonts w:ascii="Times New Roman" w:hAnsi="Times New Roman"/>
          <w:bCs/>
          <w:szCs w:val="24"/>
        </w:rPr>
        <w:t>controle de documentação, procedimentos</w:t>
      </w:r>
      <w:r w:rsidR="00665B56">
        <w:rPr>
          <w:rFonts w:ascii="Times New Roman" w:hAnsi="Times New Roman"/>
          <w:bCs/>
          <w:szCs w:val="24"/>
        </w:rPr>
        <w:t xml:space="preserve"> atualizados</w:t>
      </w:r>
      <w:r w:rsidR="00062BE1">
        <w:rPr>
          <w:rFonts w:ascii="Times New Roman" w:hAnsi="Times New Roman"/>
          <w:bCs/>
          <w:szCs w:val="24"/>
        </w:rPr>
        <w:t xml:space="preserve">, consumíveis </w:t>
      </w:r>
      <w:r w:rsidR="007A3D89">
        <w:rPr>
          <w:rFonts w:ascii="Times New Roman" w:hAnsi="Times New Roman"/>
          <w:bCs/>
          <w:szCs w:val="24"/>
        </w:rPr>
        <w:t>dentro da validade (reagentes, solventes, material de referência – MRS, entre outros)</w:t>
      </w:r>
      <w:r w:rsidR="00062BE1">
        <w:rPr>
          <w:rFonts w:ascii="Times New Roman" w:hAnsi="Times New Roman"/>
          <w:bCs/>
          <w:szCs w:val="24"/>
        </w:rPr>
        <w:t xml:space="preserve"> e rastreáveis.</w:t>
      </w:r>
    </w:p>
    <w:p w:rsidR="00A64DEC" w:rsidRDefault="00426800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Diante disso,</w:t>
      </w:r>
      <w:r w:rsidR="00A64DEC">
        <w:rPr>
          <w:rFonts w:ascii="Times New Roman" w:hAnsi="Times New Roman"/>
          <w:bCs/>
          <w:szCs w:val="24"/>
        </w:rPr>
        <w:t xml:space="preserve"> </w:t>
      </w:r>
      <w:r w:rsidR="00062BE1">
        <w:rPr>
          <w:rFonts w:ascii="Times New Roman" w:hAnsi="Times New Roman"/>
          <w:bCs/>
          <w:szCs w:val="24"/>
        </w:rPr>
        <w:t xml:space="preserve">considerando que a obrigatoriedade da acreditação do </w:t>
      </w:r>
      <w:r w:rsidR="00851F2C">
        <w:rPr>
          <w:rFonts w:ascii="Times New Roman" w:hAnsi="Times New Roman"/>
          <w:bCs/>
          <w:szCs w:val="24"/>
        </w:rPr>
        <w:t>In</w:t>
      </w:r>
      <w:r w:rsidR="00665B56">
        <w:rPr>
          <w:rFonts w:ascii="Times New Roman" w:hAnsi="Times New Roman"/>
          <w:bCs/>
          <w:szCs w:val="24"/>
        </w:rPr>
        <w:t>metro</w:t>
      </w:r>
      <w:r w:rsidR="00BF313A">
        <w:rPr>
          <w:rFonts w:ascii="Times New Roman" w:hAnsi="Times New Roman"/>
          <w:bCs/>
          <w:szCs w:val="24"/>
        </w:rPr>
        <w:t xml:space="preserve"> </w:t>
      </w:r>
      <w:r w:rsidR="00665B56">
        <w:rPr>
          <w:rFonts w:ascii="Times New Roman" w:hAnsi="Times New Roman"/>
          <w:bCs/>
          <w:szCs w:val="24"/>
        </w:rPr>
        <w:t>pode ser</w:t>
      </w:r>
      <w:r w:rsidR="00BF313A">
        <w:rPr>
          <w:rFonts w:ascii="Times New Roman" w:hAnsi="Times New Roman"/>
          <w:bCs/>
          <w:szCs w:val="24"/>
        </w:rPr>
        <w:t xml:space="preserve"> prevista na regulação de especificação do biodiesel e que a</w:t>
      </w:r>
      <w:r w:rsidR="00062BE1">
        <w:rPr>
          <w:rFonts w:ascii="Times New Roman" w:hAnsi="Times New Roman"/>
          <w:bCs/>
          <w:szCs w:val="24"/>
        </w:rPr>
        <w:t xml:space="preserve"> Agência pode criar procedimentos internos para manter </w:t>
      </w:r>
      <w:r w:rsidR="00BF313A">
        <w:rPr>
          <w:rFonts w:ascii="Times New Roman" w:hAnsi="Times New Roman"/>
          <w:bCs/>
          <w:szCs w:val="24"/>
        </w:rPr>
        <w:t xml:space="preserve">a </w:t>
      </w:r>
      <w:r w:rsidR="00062BE1">
        <w:rPr>
          <w:rFonts w:ascii="Times New Roman" w:hAnsi="Times New Roman"/>
          <w:bCs/>
          <w:szCs w:val="24"/>
        </w:rPr>
        <w:t xml:space="preserve">atualização dos laboratórios acreditados </w:t>
      </w:r>
      <w:r w:rsidR="00BF313A">
        <w:rPr>
          <w:rFonts w:ascii="Times New Roman" w:hAnsi="Times New Roman"/>
          <w:bCs/>
          <w:szCs w:val="24"/>
        </w:rPr>
        <w:t>pela ISO NBR 17025</w:t>
      </w:r>
      <w:r w:rsidR="00062BE1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 opção</w:t>
      </w:r>
      <w:r w:rsidR="00062BE1">
        <w:rPr>
          <w:rFonts w:ascii="Times New Roman" w:hAnsi="Times New Roman"/>
          <w:bCs/>
          <w:szCs w:val="24"/>
        </w:rPr>
        <w:t xml:space="preserve"> (c) é a</w:t>
      </w:r>
      <w:r>
        <w:rPr>
          <w:rFonts w:ascii="Times New Roman" w:hAnsi="Times New Roman"/>
          <w:bCs/>
          <w:szCs w:val="24"/>
        </w:rPr>
        <w:t xml:space="preserve"> menos onerosa para o </w:t>
      </w:r>
      <w:r w:rsidR="00BF313A">
        <w:rPr>
          <w:rFonts w:ascii="Times New Roman" w:hAnsi="Times New Roman"/>
          <w:bCs/>
          <w:szCs w:val="24"/>
        </w:rPr>
        <w:t>mercado</w:t>
      </w:r>
      <w:r w:rsidR="000709D5">
        <w:rPr>
          <w:rFonts w:ascii="Times New Roman" w:hAnsi="Times New Roman"/>
          <w:bCs/>
          <w:szCs w:val="24"/>
        </w:rPr>
        <w:t xml:space="preserve">, indo </w:t>
      </w:r>
      <w:r w:rsidR="0010776C">
        <w:rPr>
          <w:rFonts w:ascii="Times New Roman" w:hAnsi="Times New Roman"/>
          <w:bCs/>
          <w:szCs w:val="24"/>
        </w:rPr>
        <w:t xml:space="preserve">ao </w:t>
      </w:r>
      <w:r w:rsidR="000709D5">
        <w:rPr>
          <w:rFonts w:ascii="Times New Roman" w:hAnsi="Times New Roman"/>
          <w:bCs/>
          <w:szCs w:val="24"/>
        </w:rPr>
        <w:t xml:space="preserve">encontro </w:t>
      </w:r>
      <w:r w:rsidR="0010776C">
        <w:rPr>
          <w:rFonts w:ascii="Times New Roman" w:hAnsi="Times New Roman"/>
          <w:bCs/>
          <w:szCs w:val="24"/>
        </w:rPr>
        <w:t>dos</w:t>
      </w:r>
      <w:r w:rsidR="000709D5">
        <w:rPr>
          <w:rFonts w:ascii="Times New Roman" w:hAnsi="Times New Roman"/>
          <w:bCs/>
          <w:szCs w:val="24"/>
        </w:rPr>
        <w:t xml:space="preserve"> objetivos estratégicos,</w:t>
      </w:r>
      <w:r>
        <w:rPr>
          <w:rFonts w:ascii="Times New Roman" w:hAnsi="Times New Roman"/>
          <w:bCs/>
          <w:szCs w:val="24"/>
        </w:rPr>
        <w:t xml:space="preserve"> e que não </w:t>
      </w:r>
      <w:r w:rsidR="00BF313A">
        <w:rPr>
          <w:rFonts w:ascii="Times New Roman" w:hAnsi="Times New Roman"/>
          <w:bCs/>
          <w:szCs w:val="24"/>
        </w:rPr>
        <w:t>afeta</w:t>
      </w:r>
      <w:r>
        <w:rPr>
          <w:rFonts w:ascii="Times New Roman" w:hAnsi="Times New Roman"/>
          <w:bCs/>
          <w:szCs w:val="24"/>
        </w:rPr>
        <w:t xml:space="preserve"> </w:t>
      </w:r>
      <w:r w:rsidR="00BF313A">
        <w:rPr>
          <w:rFonts w:ascii="Times New Roman" w:hAnsi="Times New Roman"/>
          <w:bCs/>
          <w:szCs w:val="24"/>
        </w:rPr>
        <w:t>à</w:t>
      </w:r>
      <w:r>
        <w:rPr>
          <w:rFonts w:ascii="Times New Roman" w:hAnsi="Times New Roman"/>
          <w:bCs/>
          <w:szCs w:val="24"/>
        </w:rPr>
        <w:t xml:space="preserve"> proteção ao consumidor quanto </w:t>
      </w:r>
      <w:r w:rsidR="000709D5">
        <w:rPr>
          <w:rFonts w:ascii="Times New Roman" w:hAnsi="Times New Roman"/>
          <w:bCs/>
          <w:szCs w:val="24"/>
        </w:rPr>
        <w:t>à</w:t>
      </w:r>
      <w:r>
        <w:rPr>
          <w:rFonts w:ascii="Times New Roman" w:hAnsi="Times New Roman"/>
          <w:bCs/>
          <w:szCs w:val="24"/>
        </w:rPr>
        <w:t xml:space="preserve"> qualidade do biodiesel</w:t>
      </w:r>
      <w:r w:rsidR="00BF313A">
        <w:rPr>
          <w:rFonts w:ascii="Times New Roman" w:hAnsi="Times New Roman"/>
          <w:bCs/>
          <w:szCs w:val="24"/>
        </w:rPr>
        <w:t xml:space="preserve"> ofertado</w:t>
      </w:r>
      <w:r w:rsidR="00062BE1">
        <w:rPr>
          <w:rFonts w:ascii="Times New Roman" w:hAnsi="Times New Roman"/>
          <w:bCs/>
          <w:szCs w:val="24"/>
        </w:rPr>
        <w:t xml:space="preserve">. </w:t>
      </w:r>
    </w:p>
    <w:p w:rsidR="004A562A" w:rsidRPr="004A562A" w:rsidRDefault="0010776C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</w:t>
      </w:r>
      <w:r w:rsidR="004A562A">
        <w:rPr>
          <w:rFonts w:ascii="Times New Roman" w:hAnsi="Times New Roman"/>
          <w:bCs/>
          <w:szCs w:val="24"/>
        </w:rPr>
        <w:t>ecomenda-se</w:t>
      </w:r>
      <w:r>
        <w:rPr>
          <w:rFonts w:ascii="Times New Roman" w:hAnsi="Times New Roman"/>
          <w:bCs/>
          <w:szCs w:val="24"/>
        </w:rPr>
        <w:t>, portanto,</w:t>
      </w:r>
      <w:r w:rsidR="004A562A">
        <w:rPr>
          <w:rFonts w:ascii="Times New Roman" w:hAnsi="Times New Roman"/>
          <w:bCs/>
          <w:szCs w:val="24"/>
        </w:rPr>
        <w:t xml:space="preserve"> a revogação da Resolução ANP n° 6, de 05 de fevereiro de 2014</w:t>
      </w:r>
      <w:r w:rsidR="00BA1A01">
        <w:rPr>
          <w:rFonts w:ascii="Times New Roman" w:hAnsi="Times New Roman"/>
          <w:bCs/>
          <w:szCs w:val="24"/>
        </w:rPr>
        <w:t>. Além disso, de</w:t>
      </w:r>
      <w:r w:rsidR="004A562A">
        <w:rPr>
          <w:rFonts w:ascii="Times New Roman" w:hAnsi="Times New Roman"/>
          <w:bCs/>
          <w:szCs w:val="24"/>
        </w:rPr>
        <w:t xml:space="preserve"> forma a manter a regra da obrigatoriedade de os laboratórios</w:t>
      </w:r>
      <w:r w:rsidR="00D13876">
        <w:rPr>
          <w:rFonts w:ascii="Times New Roman" w:hAnsi="Times New Roman"/>
          <w:bCs/>
          <w:szCs w:val="24"/>
        </w:rPr>
        <w:t xml:space="preserve"> serem acreditados no Inmetro</w:t>
      </w:r>
      <w:r w:rsidR="004A562A">
        <w:rPr>
          <w:rFonts w:ascii="Times New Roman" w:hAnsi="Times New Roman"/>
          <w:bCs/>
          <w:szCs w:val="24"/>
        </w:rPr>
        <w:t xml:space="preserve"> </w:t>
      </w:r>
      <w:r w:rsidR="00D13876">
        <w:rPr>
          <w:rFonts w:ascii="Times New Roman" w:hAnsi="Times New Roman"/>
          <w:bCs/>
          <w:szCs w:val="24"/>
        </w:rPr>
        <w:t>nos ensaios de</w:t>
      </w:r>
      <w:r w:rsidR="004A562A">
        <w:rPr>
          <w:rFonts w:ascii="Times New Roman" w:hAnsi="Times New Roman"/>
          <w:bCs/>
          <w:szCs w:val="24"/>
        </w:rPr>
        <w:t xml:space="preserve"> biodiesel, faz-se necessário alterar os seguintes dispositivos da Resolução ANP n° 45, de 25 de agosto de 2014.</w:t>
      </w:r>
    </w:p>
    <w:p w:rsidR="007447EC" w:rsidRPr="004A562A" w:rsidRDefault="004A562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4A562A">
        <w:rPr>
          <w:rFonts w:ascii="Times New Roman" w:hAnsi="Times New Roman"/>
          <w:bCs/>
          <w:i/>
          <w:szCs w:val="24"/>
        </w:rPr>
        <w:t xml:space="preserve"> </w:t>
      </w:r>
      <w:r w:rsidR="007447EC" w:rsidRPr="004A562A">
        <w:rPr>
          <w:rFonts w:ascii="Times New Roman" w:hAnsi="Times New Roman"/>
          <w:bCs/>
          <w:i/>
          <w:szCs w:val="24"/>
        </w:rPr>
        <w:t>“</w:t>
      </w:r>
      <w:r w:rsidR="00906DAB" w:rsidRPr="004A562A">
        <w:rPr>
          <w:rFonts w:ascii="Times New Roman" w:hAnsi="Times New Roman"/>
          <w:bCs/>
          <w:i/>
          <w:szCs w:val="24"/>
        </w:rPr>
        <w:t xml:space="preserve">Art. 2º </w:t>
      </w:r>
      <w:r w:rsidR="007447EC" w:rsidRPr="004A562A">
        <w:rPr>
          <w:rFonts w:ascii="Times New Roman" w:hAnsi="Times New Roman"/>
          <w:bCs/>
          <w:i/>
          <w:szCs w:val="24"/>
        </w:rPr>
        <w:t>(...)</w:t>
      </w:r>
    </w:p>
    <w:p w:rsidR="00AF5D4A" w:rsidRPr="009D66B2" w:rsidRDefault="00AF5D4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9D66B2">
        <w:rPr>
          <w:rFonts w:ascii="Times New Roman" w:hAnsi="Times New Roman"/>
          <w:bCs/>
          <w:i/>
          <w:szCs w:val="24"/>
        </w:rPr>
        <w:t xml:space="preserve">XIII - Boletim de Análise: documento da qualidade emitido por laboratório acreditado pelo </w:t>
      </w:r>
      <w:r>
        <w:rPr>
          <w:rFonts w:ascii="Times New Roman" w:hAnsi="Times New Roman"/>
          <w:bCs/>
          <w:i/>
          <w:szCs w:val="24"/>
        </w:rPr>
        <w:t>Inmetro</w:t>
      </w:r>
      <w:r w:rsidRPr="009D66B2">
        <w:rPr>
          <w:rFonts w:ascii="Times New Roman" w:hAnsi="Times New Roman"/>
          <w:bCs/>
          <w:i/>
          <w:szCs w:val="24"/>
        </w:rPr>
        <w:t xml:space="preserve"> de acordo com a norma NBR ISO IEC 17025, para os ensaios obrigatórios do Regulamento Técn</w:t>
      </w:r>
      <w:r>
        <w:rPr>
          <w:rFonts w:ascii="Times New Roman" w:hAnsi="Times New Roman"/>
          <w:bCs/>
          <w:i/>
          <w:szCs w:val="24"/>
        </w:rPr>
        <w:t>ico nº 03/2014 desta Resolução.</w:t>
      </w:r>
    </w:p>
    <w:p w:rsidR="007447EC" w:rsidRPr="004A562A" w:rsidRDefault="007447EC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4A562A">
        <w:rPr>
          <w:rFonts w:ascii="Times New Roman" w:hAnsi="Times New Roman"/>
          <w:bCs/>
          <w:i/>
          <w:szCs w:val="24"/>
        </w:rPr>
        <w:t>Art. 5º (...)</w:t>
      </w:r>
    </w:p>
    <w:p w:rsidR="00AF5D4A" w:rsidRDefault="00AF5D4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9D66B2">
        <w:rPr>
          <w:rFonts w:ascii="Times New Roman" w:hAnsi="Times New Roman"/>
          <w:bCs/>
          <w:i/>
          <w:szCs w:val="24"/>
        </w:rPr>
        <w:t>§ 2º As análises constantes do Certificado da Qualidade só poderão ser realizadas em laboratório próprio do Produtor, do Adquirente</w:t>
      </w:r>
      <w:r>
        <w:rPr>
          <w:rFonts w:ascii="Times New Roman" w:hAnsi="Times New Roman"/>
          <w:bCs/>
          <w:i/>
          <w:szCs w:val="24"/>
        </w:rPr>
        <w:t>,</w:t>
      </w:r>
      <w:r w:rsidRPr="009D66B2">
        <w:rPr>
          <w:rFonts w:ascii="Times New Roman" w:hAnsi="Times New Roman"/>
          <w:bCs/>
          <w:i/>
          <w:szCs w:val="24"/>
        </w:rPr>
        <w:t xml:space="preserve"> </w:t>
      </w:r>
      <w:r w:rsidRPr="002A7A84">
        <w:rPr>
          <w:rFonts w:ascii="Times New Roman" w:hAnsi="Times New Roman"/>
          <w:bCs/>
          <w:i/>
          <w:szCs w:val="24"/>
        </w:rPr>
        <w:t>da Firma Inspetora</w:t>
      </w:r>
      <w:r>
        <w:rPr>
          <w:rFonts w:ascii="Times New Roman" w:hAnsi="Times New Roman"/>
          <w:bCs/>
          <w:i/>
          <w:szCs w:val="24"/>
        </w:rPr>
        <w:t xml:space="preserve"> </w:t>
      </w:r>
      <w:r w:rsidRPr="002A7A84">
        <w:rPr>
          <w:rFonts w:ascii="Times New Roman" w:hAnsi="Times New Roman"/>
          <w:bCs/>
          <w:i/>
          <w:szCs w:val="24"/>
        </w:rPr>
        <w:t xml:space="preserve"> </w:t>
      </w:r>
      <w:r w:rsidRPr="009D66B2">
        <w:rPr>
          <w:rFonts w:ascii="Times New Roman" w:hAnsi="Times New Roman"/>
          <w:bCs/>
          <w:i/>
          <w:szCs w:val="24"/>
        </w:rPr>
        <w:t xml:space="preserve">ou outro(s) contratado(s) por estes, o(s) qual(is) deverá(ão) ser acreditado(s) pelo </w:t>
      </w:r>
      <w:r>
        <w:rPr>
          <w:rFonts w:ascii="Times New Roman" w:hAnsi="Times New Roman"/>
          <w:bCs/>
          <w:i/>
          <w:szCs w:val="24"/>
        </w:rPr>
        <w:t>Inmetro</w:t>
      </w:r>
      <w:r w:rsidRPr="009D66B2">
        <w:rPr>
          <w:rFonts w:ascii="Times New Roman" w:hAnsi="Times New Roman"/>
          <w:bCs/>
          <w:i/>
          <w:szCs w:val="24"/>
        </w:rPr>
        <w:t xml:space="preserve"> de acordo com a norma NBR ISO IEC 17025, para os ensaios obrigatórios do Regulamento Técnico nº 03/2014 desta Resolução.</w:t>
      </w:r>
    </w:p>
    <w:p w:rsidR="00AF5D4A" w:rsidRDefault="00AF5D4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1575D4">
        <w:rPr>
          <w:rFonts w:ascii="Times New Roman" w:hAnsi="Times New Roman"/>
          <w:bCs/>
          <w:i/>
          <w:szCs w:val="24"/>
        </w:rPr>
        <w:t xml:space="preserve">§ 3º No caso de certificação do biodiesel utilizando laboratório próprio e contratado, o Produtor, o Adquirente e a Firma Inspetora deverão emitir Certificado da Qualidade único, agrupando todos os resultados constantes dos Boletins de Análise que tenham recebido dos laboratórios. </w:t>
      </w:r>
    </w:p>
    <w:p w:rsidR="00AF5D4A" w:rsidRDefault="00AF5D4A" w:rsidP="000B3666">
      <w:pPr>
        <w:tabs>
          <w:tab w:val="left" w:pos="1134"/>
        </w:tabs>
        <w:spacing w:before="120" w:after="120"/>
        <w:jc w:val="both"/>
        <w:rPr>
          <w:rFonts w:ascii="Times New Roman" w:hAnsi="Times New Roman"/>
          <w:bCs/>
          <w:i/>
          <w:szCs w:val="24"/>
        </w:rPr>
      </w:pPr>
      <w:r w:rsidRPr="001575D4">
        <w:rPr>
          <w:rFonts w:ascii="Times New Roman" w:hAnsi="Times New Roman"/>
          <w:i/>
          <w:color w:val="333333"/>
          <w:szCs w:val="24"/>
          <w:shd w:val="clear" w:color="auto" w:fill="FFFFFF"/>
        </w:rPr>
        <w:tab/>
      </w:r>
      <w:r w:rsidRPr="001575D4">
        <w:rPr>
          <w:rFonts w:ascii="Times New Roman" w:hAnsi="Times New Roman"/>
          <w:bCs/>
          <w:i/>
          <w:szCs w:val="24"/>
        </w:rPr>
        <w:t xml:space="preserve">§ </w:t>
      </w:r>
      <w:r>
        <w:rPr>
          <w:rFonts w:ascii="Times New Roman" w:hAnsi="Times New Roman"/>
          <w:bCs/>
          <w:i/>
          <w:szCs w:val="24"/>
        </w:rPr>
        <w:t>6</w:t>
      </w:r>
      <w:r w:rsidRPr="001575D4">
        <w:rPr>
          <w:rFonts w:ascii="Times New Roman" w:hAnsi="Times New Roman"/>
          <w:bCs/>
          <w:i/>
          <w:szCs w:val="24"/>
        </w:rPr>
        <w:t xml:space="preserve">º </w:t>
      </w:r>
      <w:r>
        <w:rPr>
          <w:rFonts w:ascii="Times New Roman" w:hAnsi="Times New Roman"/>
          <w:bCs/>
          <w:i/>
          <w:szCs w:val="24"/>
        </w:rPr>
        <w:t>(...)</w:t>
      </w:r>
    </w:p>
    <w:p w:rsidR="00AF5D4A" w:rsidRPr="001575D4" w:rsidRDefault="00AF5D4A" w:rsidP="000B3666">
      <w:pPr>
        <w:tabs>
          <w:tab w:val="left" w:pos="1134"/>
        </w:tabs>
        <w:spacing w:before="120" w:after="120"/>
        <w:jc w:val="both"/>
        <w:rPr>
          <w:rFonts w:ascii="Times New Roman" w:hAnsi="Times New Roman"/>
          <w:i/>
          <w:color w:val="333333"/>
          <w:szCs w:val="24"/>
          <w:shd w:val="clear" w:color="auto" w:fill="FFFFFF"/>
        </w:rPr>
      </w:pPr>
      <w:r>
        <w:rPr>
          <w:rFonts w:ascii="Times New Roman" w:hAnsi="Times New Roman"/>
          <w:i/>
          <w:color w:val="333333"/>
          <w:szCs w:val="24"/>
          <w:shd w:val="clear" w:color="auto" w:fill="FFFFFF"/>
        </w:rPr>
        <w:tab/>
      </w:r>
      <w:r w:rsidRPr="001575D4">
        <w:rPr>
          <w:rFonts w:ascii="Times New Roman" w:hAnsi="Times New Roman"/>
          <w:i/>
          <w:color w:val="333333"/>
          <w:szCs w:val="24"/>
          <w:shd w:val="clear" w:color="auto" w:fill="FFFFFF"/>
        </w:rPr>
        <w:t>VIII - indicação do laboratório responsável por cada ensaio efetuado e da identificação de cada Boletim de Análise utilizado para compor o respectivo Certificado da Qualidade</w:t>
      </w:r>
    </w:p>
    <w:p w:rsidR="00AF5D4A" w:rsidRPr="001575D4" w:rsidRDefault="00AF5D4A" w:rsidP="000B3666">
      <w:pPr>
        <w:tabs>
          <w:tab w:val="left" w:pos="1134"/>
        </w:tabs>
        <w:spacing w:before="120" w:after="120"/>
        <w:jc w:val="both"/>
        <w:rPr>
          <w:rFonts w:ascii="Times New Roman" w:hAnsi="Times New Roman"/>
          <w:bCs/>
          <w:i/>
          <w:szCs w:val="24"/>
        </w:rPr>
      </w:pPr>
      <w:r w:rsidRPr="001575D4">
        <w:rPr>
          <w:rFonts w:ascii="Times New Roman" w:hAnsi="Times New Roman"/>
          <w:color w:val="333333"/>
          <w:szCs w:val="24"/>
          <w:shd w:val="clear" w:color="auto" w:fill="FFFFFF"/>
        </w:rPr>
        <w:tab/>
      </w:r>
      <w:r w:rsidRPr="001575D4">
        <w:rPr>
          <w:rFonts w:ascii="Times New Roman" w:hAnsi="Times New Roman"/>
          <w:i/>
          <w:color w:val="333333"/>
          <w:szCs w:val="24"/>
          <w:shd w:val="clear" w:color="auto" w:fill="FFFFFF"/>
        </w:rPr>
        <w:t>§ 10º O Produtor, o Adquirente e a Firma Inspetora somente poderão utilizar o Boletim da Análise como Certificado da Qualidade quando o mesmo for emitido por laboratório próprio, e contemplar todas as características necessárias à certificação do produto</w:t>
      </w:r>
    </w:p>
    <w:p w:rsidR="00AF5D4A" w:rsidRPr="00352ED6" w:rsidRDefault="00AF5D4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352ED6">
        <w:rPr>
          <w:rFonts w:ascii="Times New Roman" w:hAnsi="Times New Roman"/>
          <w:bCs/>
          <w:i/>
          <w:szCs w:val="24"/>
        </w:rPr>
        <w:t>Art. 5º-A No caso da importação de biodiesel, deverão ser seguidas as regras específicas estabelecidas pela regulação da ANP, o que não exclui a responsabilidade do Importador sobre a qualidade</w:t>
      </w:r>
      <w:r>
        <w:rPr>
          <w:rFonts w:ascii="Times New Roman" w:hAnsi="Times New Roman"/>
          <w:bCs/>
          <w:i/>
          <w:szCs w:val="24"/>
        </w:rPr>
        <w:t xml:space="preserve"> do produto.</w:t>
      </w:r>
    </w:p>
    <w:p w:rsidR="00AF5D4A" w:rsidRPr="00352ED6" w:rsidRDefault="00AF5D4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352ED6">
        <w:rPr>
          <w:rFonts w:ascii="Times New Roman" w:hAnsi="Times New Roman"/>
          <w:bCs/>
          <w:i/>
          <w:szCs w:val="24"/>
        </w:rPr>
        <w:t xml:space="preserve">Art. 9º-A. A ANP poderá, a qualquer tempo, submeter o produtor de Biodiesel, Adquirente ou </w:t>
      </w:r>
      <w:r>
        <w:rPr>
          <w:rFonts w:ascii="Times New Roman" w:hAnsi="Times New Roman"/>
          <w:bCs/>
          <w:i/>
          <w:szCs w:val="24"/>
        </w:rPr>
        <w:t xml:space="preserve">Firma Inspetora </w:t>
      </w:r>
      <w:r w:rsidRPr="00352ED6">
        <w:rPr>
          <w:rFonts w:ascii="Times New Roman" w:hAnsi="Times New Roman"/>
          <w:bCs/>
          <w:i/>
          <w:szCs w:val="24"/>
        </w:rPr>
        <w:t xml:space="preserve">à inspeção técnica da qualidade sobre os procedimentos e equipamentos de </w:t>
      </w:r>
      <w:r w:rsidRPr="00352ED6">
        <w:rPr>
          <w:rFonts w:ascii="Times New Roman" w:hAnsi="Times New Roman"/>
          <w:bCs/>
          <w:i/>
          <w:szCs w:val="24"/>
        </w:rPr>
        <w:lastRenderedPageBreak/>
        <w:t>medição que tenham impacto sobre a qualidade e a confiabilidade dos serviços de que trata esta Resolução.</w:t>
      </w:r>
    </w:p>
    <w:p w:rsidR="00AF5D4A" w:rsidRPr="00352ED6" w:rsidRDefault="00AF5D4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352ED6">
        <w:rPr>
          <w:rFonts w:ascii="Times New Roman" w:hAnsi="Times New Roman"/>
          <w:bCs/>
          <w:i/>
          <w:szCs w:val="24"/>
        </w:rPr>
        <w:t>§ 1º Esta inspeção técnica poderá ser executada diretamente pela ANP com apoio de entidade contratada ou órgão competente sobre os procedimentos e equipamentos de medição que tenham impacto na qualidade e confiabilidade das atividades de que trata esta Resolução.</w:t>
      </w:r>
    </w:p>
    <w:p w:rsidR="00AF5D4A" w:rsidRDefault="00AF5D4A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i/>
          <w:szCs w:val="24"/>
        </w:rPr>
      </w:pPr>
      <w:r w:rsidRPr="00352ED6">
        <w:rPr>
          <w:rFonts w:ascii="Times New Roman" w:hAnsi="Times New Roman"/>
          <w:bCs/>
          <w:i/>
          <w:szCs w:val="24"/>
        </w:rPr>
        <w:t>§ 2º Os agentes econômicos ficam obrigados a apresentar documentação comprobatória das atividades envolvidas no controle da qualidade do biodiesel, caso sejam solicitados.”</w:t>
      </w:r>
    </w:p>
    <w:p w:rsidR="00D424D0" w:rsidRDefault="00D424D0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</w:p>
    <w:p w:rsidR="00A021EA" w:rsidRPr="00F46585" w:rsidRDefault="00C33929" w:rsidP="000B3666">
      <w:pPr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b/>
          <w:szCs w:val="24"/>
        </w:rPr>
      </w:pPr>
      <w:r w:rsidRPr="00484214">
        <w:rPr>
          <w:rFonts w:ascii="Times New Roman" w:hAnsi="Times New Roman"/>
          <w:b/>
          <w:szCs w:val="24"/>
        </w:rPr>
        <w:t>CONCLUSÃ</w:t>
      </w:r>
      <w:r w:rsidR="00B3085C" w:rsidRPr="00484214">
        <w:rPr>
          <w:rFonts w:ascii="Times New Roman" w:hAnsi="Times New Roman"/>
          <w:b/>
          <w:szCs w:val="24"/>
        </w:rPr>
        <w:t>O</w:t>
      </w:r>
    </w:p>
    <w:p w:rsidR="00696022" w:rsidRDefault="00696022" w:rsidP="000B3666">
      <w:pPr>
        <w:tabs>
          <w:tab w:val="left" w:pos="1134"/>
        </w:tabs>
        <w:spacing w:before="120" w:after="120"/>
        <w:ind w:firstLine="8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 proposta de </w:t>
      </w:r>
      <w:r w:rsidR="00242700">
        <w:rPr>
          <w:rFonts w:ascii="Times New Roman" w:hAnsi="Times New Roman"/>
          <w:bCs/>
          <w:szCs w:val="24"/>
        </w:rPr>
        <w:t xml:space="preserve">revogação </w:t>
      </w:r>
      <w:r>
        <w:rPr>
          <w:rFonts w:ascii="Times New Roman" w:hAnsi="Times New Roman"/>
          <w:bCs/>
          <w:szCs w:val="24"/>
        </w:rPr>
        <w:t>da Resolução ANP nº 6/2014 está em consonância</w:t>
      </w:r>
      <w:r w:rsidR="00BA5EB0">
        <w:rPr>
          <w:rFonts w:ascii="Times New Roman" w:hAnsi="Times New Roman"/>
          <w:bCs/>
          <w:szCs w:val="24"/>
        </w:rPr>
        <w:t xml:space="preserve"> com </w:t>
      </w:r>
      <w:r w:rsidR="006E5B6C">
        <w:rPr>
          <w:rFonts w:ascii="Times New Roman" w:hAnsi="Times New Roman"/>
          <w:bCs/>
          <w:szCs w:val="24"/>
        </w:rPr>
        <w:t>os objetivos estratégicos da Agência para 2017</w:t>
      </w:r>
      <w:r w:rsidR="0010776C">
        <w:rPr>
          <w:rFonts w:ascii="Times New Roman" w:hAnsi="Times New Roman"/>
          <w:bCs/>
          <w:szCs w:val="24"/>
        </w:rPr>
        <w:t>,</w:t>
      </w:r>
      <w:r w:rsidR="006E5B6C">
        <w:rPr>
          <w:rFonts w:ascii="Times New Roman" w:hAnsi="Times New Roman"/>
          <w:bCs/>
          <w:szCs w:val="24"/>
        </w:rPr>
        <w:t xml:space="preserve"> pois busca reduzir os custos impostos pela regulação e reduzir sobreposições de exigências já realizadas pelo </w:t>
      </w:r>
      <w:r w:rsidR="009F5C79">
        <w:rPr>
          <w:rFonts w:ascii="Times New Roman" w:hAnsi="Times New Roman"/>
          <w:bCs/>
          <w:szCs w:val="24"/>
        </w:rPr>
        <w:t>Inmetro</w:t>
      </w:r>
      <w:r w:rsidR="006E5B6C">
        <w:rPr>
          <w:rFonts w:ascii="Times New Roman" w:hAnsi="Times New Roman"/>
          <w:bCs/>
          <w:szCs w:val="24"/>
        </w:rPr>
        <w:t xml:space="preserve">. </w:t>
      </w:r>
    </w:p>
    <w:p w:rsidR="000B3666" w:rsidRDefault="000B3666" w:rsidP="00E11A29">
      <w:pPr>
        <w:rPr>
          <w:rFonts w:ascii="Times New Roman" w:hAnsi="Times New Roman"/>
        </w:rPr>
      </w:pPr>
    </w:p>
    <w:p w:rsidR="00B01ED5" w:rsidRDefault="00B01ED5" w:rsidP="00E11A29">
      <w:pPr>
        <w:rPr>
          <w:rFonts w:ascii="Times New Roman" w:hAnsi="Times New Roman"/>
        </w:rPr>
      </w:pPr>
      <w:r w:rsidRPr="00C33929">
        <w:rPr>
          <w:rFonts w:ascii="Times New Roman" w:hAnsi="Times New Roman"/>
        </w:rPr>
        <w:t>Elaboração:</w:t>
      </w:r>
    </w:p>
    <w:p w:rsidR="005E50CA" w:rsidRPr="00E11A29" w:rsidRDefault="005E50CA" w:rsidP="00E11A29">
      <w:pPr>
        <w:rPr>
          <w:rFonts w:ascii="Times New Roman" w:hAnsi="Times New Roman"/>
        </w:rPr>
      </w:pPr>
    </w:p>
    <w:p w:rsidR="00E11A29" w:rsidRPr="00E11A29" w:rsidRDefault="00E11A29" w:rsidP="00E11A29">
      <w:pPr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3716"/>
      </w:tblGrid>
      <w:tr w:rsidR="005E50CA" w:rsidTr="00284D20">
        <w:trPr>
          <w:trHeight w:val="397"/>
        </w:trPr>
        <w:tc>
          <w:tcPr>
            <w:tcW w:w="4644" w:type="dxa"/>
            <w:vAlign w:val="center"/>
          </w:tcPr>
          <w:p w:rsidR="005E50CA" w:rsidRDefault="006E5B6C" w:rsidP="00284D20">
            <w:pPr>
              <w:spacing w:before="60" w:after="60"/>
              <w:jc w:val="center"/>
            </w:pPr>
            <w:r>
              <w:rPr>
                <w:rFonts w:ascii="Times New Roman" w:hAnsi="Times New Roman"/>
                <w:b/>
              </w:rPr>
              <w:t>Joana Borges da Rosa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E50CA" w:rsidRPr="00E11A29" w:rsidRDefault="005E50CA" w:rsidP="00284D20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vAlign w:val="center"/>
          </w:tcPr>
          <w:p w:rsidR="005E50CA" w:rsidRPr="00E11A29" w:rsidRDefault="000B3666" w:rsidP="000B366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Jacqueline Temistocles</w:t>
            </w:r>
          </w:p>
        </w:tc>
      </w:tr>
      <w:tr w:rsidR="005E50CA" w:rsidRPr="005E50CA" w:rsidTr="00284D20">
        <w:trPr>
          <w:trHeight w:val="397"/>
        </w:trPr>
        <w:tc>
          <w:tcPr>
            <w:tcW w:w="4644" w:type="dxa"/>
            <w:vAlign w:val="center"/>
          </w:tcPr>
          <w:p w:rsidR="005E50CA" w:rsidRPr="005E50CA" w:rsidRDefault="005E50CA" w:rsidP="00284D20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50CA">
              <w:rPr>
                <w:rFonts w:ascii="Times New Roman" w:hAnsi="Times New Roman"/>
              </w:rPr>
              <w:t>Especialista em Regulação</w:t>
            </w:r>
          </w:p>
        </w:tc>
        <w:tc>
          <w:tcPr>
            <w:tcW w:w="1418" w:type="dxa"/>
            <w:vAlign w:val="center"/>
          </w:tcPr>
          <w:p w:rsidR="005E50CA" w:rsidRPr="005E50CA" w:rsidRDefault="005E50CA" w:rsidP="00284D20">
            <w:pPr>
              <w:spacing w:before="60" w:after="60"/>
              <w:jc w:val="center"/>
            </w:pPr>
          </w:p>
        </w:tc>
        <w:tc>
          <w:tcPr>
            <w:tcW w:w="3716" w:type="dxa"/>
            <w:vAlign w:val="center"/>
          </w:tcPr>
          <w:p w:rsidR="005E50CA" w:rsidRPr="005E50CA" w:rsidRDefault="005E50CA" w:rsidP="00284D20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50CA">
              <w:rPr>
                <w:rFonts w:ascii="Times New Roman" w:hAnsi="Times New Roman"/>
              </w:rPr>
              <w:t>Especialista em Regulação</w:t>
            </w:r>
          </w:p>
        </w:tc>
      </w:tr>
    </w:tbl>
    <w:p w:rsidR="005E50CA" w:rsidRDefault="005E50CA" w:rsidP="00E11A29">
      <w:pPr>
        <w:rPr>
          <w:rFonts w:ascii="Times New Roman" w:hAnsi="Times New Roman"/>
        </w:rPr>
      </w:pPr>
    </w:p>
    <w:p w:rsidR="004F46A5" w:rsidRPr="00E11A29" w:rsidRDefault="004F46A5" w:rsidP="00E11A29">
      <w:pPr>
        <w:rPr>
          <w:rFonts w:ascii="Times New Roman" w:hAnsi="Times New Roman"/>
        </w:rPr>
      </w:pPr>
    </w:p>
    <w:tbl>
      <w:tblPr>
        <w:tblStyle w:val="Tabelacomgrade"/>
        <w:tblW w:w="1349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3716"/>
        <w:gridCol w:w="3716"/>
      </w:tblGrid>
      <w:tr w:rsidR="000B3666" w:rsidRPr="00E11A29" w:rsidTr="005A07EA">
        <w:trPr>
          <w:trHeight w:val="397"/>
        </w:trPr>
        <w:tc>
          <w:tcPr>
            <w:tcW w:w="4644" w:type="dxa"/>
            <w:vAlign w:val="center"/>
          </w:tcPr>
          <w:p w:rsidR="000B3666" w:rsidRDefault="000B3666" w:rsidP="00331216">
            <w:pPr>
              <w:spacing w:before="60" w:after="60"/>
              <w:jc w:val="center"/>
            </w:pPr>
            <w:r>
              <w:rPr>
                <w:rFonts w:ascii="Times New Roman" w:hAnsi="Times New Roman"/>
                <w:b/>
              </w:rPr>
              <w:t>Ingrid da Silva Martins Cunha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0B3666" w:rsidRPr="00E11A29" w:rsidRDefault="000B3666" w:rsidP="0033121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vAlign w:val="center"/>
          </w:tcPr>
          <w:p w:rsidR="000B3666" w:rsidRPr="00E11A29" w:rsidRDefault="000B3666" w:rsidP="00C7519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Leandro Trinta de Faria</w:t>
            </w:r>
          </w:p>
        </w:tc>
        <w:tc>
          <w:tcPr>
            <w:tcW w:w="3716" w:type="dxa"/>
            <w:vAlign w:val="center"/>
          </w:tcPr>
          <w:p w:rsidR="000B3666" w:rsidRPr="00E11A29" w:rsidRDefault="000B3666" w:rsidP="00331216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3666" w:rsidRPr="005E50CA" w:rsidTr="005A07EA">
        <w:trPr>
          <w:trHeight w:val="397"/>
        </w:trPr>
        <w:tc>
          <w:tcPr>
            <w:tcW w:w="4644" w:type="dxa"/>
            <w:vAlign w:val="center"/>
          </w:tcPr>
          <w:p w:rsidR="000B3666" w:rsidRPr="005E50CA" w:rsidRDefault="000B3666" w:rsidP="00C45CA1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Técnica</w:t>
            </w:r>
            <w:r w:rsidRPr="005E50CA">
              <w:rPr>
                <w:rFonts w:ascii="Times New Roman" w:hAnsi="Times New Roman"/>
              </w:rPr>
              <w:t xml:space="preserve"> em Regulação</w:t>
            </w:r>
          </w:p>
        </w:tc>
        <w:tc>
          <w:tcPr>
            <w:tcW w:w="1418" w:type="dxa"/>
            <w:vAlign w:val="center"/>
          </w:tcPr>
          <w:p w:rsidR="000B3666" w:rsidRPr="005E50CA" w:rsidRDefault="000B3666" w:rsidP="00331216">
            <w:pPr>
              <w:spacing w:before="60" w:after="60"/>
              <w:jc w:val="center"/>
            </w:pPr>
          </w:p>
        </w:tc>
        <w:tc>
          <w:tcPr>
            <w:tcW w:w="3716" w:type="dxa"/>
            <w:vAlign w:val="center"/>
          </w:tcPr>
          <w:p w:rsidR="000B3666" w:rsidRPr="005E50CA" w:rsidRDefault="000B3666" w:rsidP="00C7519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5E50CA">
              <w:rPr>
                <w:rFonts w:ascii="Times New Roman" w:hAnsi="Times New Roman"/>
              </w:rPr>
              <w:t>Especialista em Regulação</w:t>
            </w:r>
          </w:p>
        </w:tc>
        <w:tc>
          <w:tcPr>
            <w:tcW w:w="3716" w:type="dxa"/>
            <w:vAlign w:val="center"/>
          </w:tcPr>
          <w:p w:rsidR="000B3666" w:rsidRPr="005E50CA" w:rsidRDefault="000B3666" w:rsidP="00331216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7447EC" w:rsidRDefault="007447EC" w:rsidP="00E11A29">
      <w:pPr>
        <w:rPr>
          <w:rFonts w:ascii="Times New Roman" w:hAnsi="Times New Roman"/>
        </w:rPr>
      </w:pPr>
    </w:p>
    <w:p w:rsidR="00D0523E" w:rsidRDefault="00D0523E" w:rsidP="00E11A29">
      <w:pPr>
        <w:rPr>
          <w:rFonts w:ascii="Times New Roman" w:hAnsi="Times New Roman"/>
        </w:rPr>
      </w:pPr>
      <w:r>
        <w:rPr>
          <w:rFonts w:ascii="Times New Roman" w:hAnsi="Times New Roman"/>
        </w:rPr>
        <w:t>Revisão</w:t>
      </w:r>
      <w:r w:rsidRPr="00C33929">
        <w:rPr>
          <w:rFonts w:ascii="Times New Roman" w:hAnsi="Times New Roman"/>
        </w:rPr>
        <w:t>:</w:t>
      </w:r>
    </w:p>
    <w:p w:rsidR="00E11A29" w:rsidRDefault="00E11A29" w:rsidP="00E11A29">
      <w:pPr>
        <w:rPr>
          <w:rFonts w:ascii="Times New Roman" w:hAnsi="Times New Roman"/>
        </w:rPr>
      </w:pPr>
    </w:p>
    <w:p w:rsidR="00E11A29" w:rsidRPr="00C33929" w:rsidRDefault="00E11A29" w:rsidP="00E11A29">
      <w:pPr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708"/>
      </w:tblGrid>
      <w:tr w:rsidR="00E11A29" w:rsidTr="003F4009">
        <w:trPr>
          <w:trHeight w:val="340"/>
        </w:trPr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E11A29" w:rsidRDefault="00C45CA1" w:rsidP="00284D20">
            <w:pPr>
              <w:spacing w:before="60" w:after="60"/>
              <w:jc w:val="center"/>
            </w:pPr>
            <w:r>
              <w:rPr>
                <w:rFonts w:ascii="Times New Roman" w:hAnsi="Times New Roman"/>
                <w:b/>
              </w:rPr>
              <w:t>Jackson da Silva Albuquerque</w:t>
            </w:r>
          </w:p>
        </w:tc>
        <w:tc>
          <w:tcPr>
            <w:tcW w:w="426" w:type="dxa"/>
            <w:vAlign w:val="center"/>
          </w:tcPr>
          <w:p w:rsidR="00E11A29" w:rsidRPr="00E11A29" w:rsidRDefault="00E11A29" w:rsidP="00284D20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vAlign w:val="center"/>
          </w:tcPr>
          <w:p w:rsidR="00E11A29" w:rsidRPr="00E11A29" w:rsidRDefault="00E11A29" w:rsidP="00284D20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A29" w:rsidRPr="005E50CA" w:rsidTr="003F4009">
        <w:trPr>
          <w:trHeight w:val="340"/>
        </w:trPr>
        <w:tc>
          <w:tcPr>
            <w:tcW w:w="4644" w:type="dxa"/>
            <w:vAlign w:val="center"/>
          </w:tcPr>
          <w:p w:rsidR="00E11A29" w:rsidRPr="005E50CA" w:rsidRDefault="00C45CA1" w:rsidP="00284D20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Coordenador de Regulação de Produtos</w:t>
            </w:r>
          </w:p>
        </w:tc>
        <w:tc>
          <w:tcPr>
            <w:tcW w:w="426" w:type="dxa"/>
            <w:vAlign w:val="center"/>
          </w:tcPr>
          <w:p w:rsidR="00E11A29" w:rsidRPr="005E50CA" w:rsidRDefault="00E11A29" w:rsidP="00284D20">
            <w:pPr>
              <w:spacing w:before="60" w:after="60"/>
              <w:jc w:val="center"/>
            </w:pPr>
          </w:p>
        </w:tc>
        <w:tc>
          <w:tcPr>
            <w:tcW w:w="4708" w:type="dxa"/>
            <w:vAlign w:val="center"/>
          </w:tcPr>
          <w:p w:rsidR="00E11A29" w:rsidRPr="005E50CA" w:rsidRDefault="00E11A29" w:rsidP="00284D2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0B3666" w:rsidRDefault="000B3666" w:rsidP="00E11A29">
      <w:pPr>
        <w:rPr>
          <w:rFonts w:ascii="Times New Roman" w:hAnsi="Times New Roman"/>
        </w:rPr>
      </w:pPr>
    </w:p>
    <w:p w:rsidR="00AD1292" w:rsidRDefault="00AD1292" w:rsidP="00E11A29">
      <w:pPr>
        <w:rPr>
          <w:rFonts w:ascii="Times New Roman" w:hAnsi="Times New Roman"/>
        </w:rPr>
      </w:pPr>
      <w:r w:rsidRPr="00C33929">
        <w:rPr>
          <w:rFonts w:ascii="Times New Roman" w:hAnsi="Times New Roman"/>
        </w:rPr>
        <w:t>Aprovação:</w:t>
      </w:r>
    </w:p>
    <w:p w:rsidR="000B3666" w:rsidRDefault="000B3666" w:rsidP="000B3666">
      <w:pPr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B3666" w:rsidTr="00C75192">
        <w:trPr>
          <w:trHeight w:val="340"/>
        </w:trPr>
        <w:tc>
          <w:tcPr>
            <w:tcW w:w="9638" w:type="dxa"/>
            <w:tcBorders>
              <w:top w:val="single" w:sz="4" w:space="0" w:color="auto"/>
            </w:tcBorders>
            <w:vAlign w:val="center"/>
          </w:tcPr>
          <w:p w:rsidR="000B3666" w:rsidRPr="00E11A29" w:rsidRDefault="000B3666" w:rsidP="000B366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Carlos Orlando Enrique da Silva</w:t>
            </w:r>
          </w:p>
        </w:tc>
      </w:tr>
      <w:tr w:rsidR="000B3666" w:rsidRPr="005E50CA" w:rsidTr="00C75192">
        <w:trPr>
          <w:trHeight w:val="340"/>
        </w:trPr>
        <w:tc>
          <w:tcPr>
            <w:tcW w:w="9638" w:type="dxa"/>
            <w:vAlign w:val="center"/>
          </w:tcPr>
          <w:p w:rsidR="000B3666" w:rsidRPr="005E50CA" w:rsidRDefault="000B3666" w:rsidP="000B36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Superintendente de Biocombustíveis e Qualidade de Produtos</w:t>
            </w:r>
          </w:p>
        </w:tc>
      </w:tr>
    </w:tbl>
    <w:p w:rsidR="000B3666" w:rsidRPr="00C33929" w:rsidRDefault="000B3666" w:rsidP="000B3666">
      <w:pPr>
        <w:rPr>
          <w:rFonts w:ascii="Times New Roman" w:hAnsi="Times New Roman"/>
        </w:rPr>
      </w:pPr>
    </w:p>
    <w:p w:rsidR="000B3666" w:rsidRDefault="000B3666" w:rsidP="00E11A29">
      <w:pPr>
        <w:rPr>
          <w:rFonts w:ascii="Times New Roman" w:hAnsi="Times New Roman"/>
        </w:rPr>
      </w:pPr>
    </w:p>
    <w:sectPr w:rsidR="000B3666" w:rsidSect="00D424D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748" w:right="851" w:bottom="1134" w:left="1418" w:header="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12" w:rsidRDefault="00651D12">
      <w:r>
        <w:separator/>
      </w:r>
    </w:p>
  </w:endnote>
  <w:endnote w:type="continuationSeparator" w:id="0">
    <w:p w:rsidR="00651D12" w:rsidRDefault="0065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6640"/>
      <w:docPartObj>
        <w:docPartGallery w:val="Page Numbers (Bottom of Page)"/>
        <w:docPartUnique/>
      </w:docPartObj>
    </w:sdtPr>
    <w:sdtEndPr/>
    <w:sdtContent>
      <w:p w:rsidR="00316F79" w:rsidRDefault="00506C55" w:rsidP="00DF2102">
        <w:pPr>
          <w:pStyle w:val="Rodap"/>
          <w:jc w:val="right"/>
        </w:pPr>
        <w:r w:rsidRPr="004E1E95">
          <w:rPr>
            <w:rFonts w:ascii="Times New Roman" w:hAnsi="Times New Roman"/>
            <w:sz w:val="20"/>
          </w:rPr>
          <w:fldChar w:fldCharType="begin"/>
        </w:r>
        <w:r w:rsidR="00316F79" w:rsidRPr="004E1E95">
          <w:rPr>
            <w:rFonts w:ascii="Times New Roman" w:hAnsi="Times New Roman"/>
            <w:sz w:val="20"/>
          </w:rPr>
          <w:instrText xml:space="preserve"> PAGE   \* MERGEFORMAT </w:instrText>
        </w:r>
        <w:r w:rsidRPr="004E1E95">
          <w:rPr>
            <w:rFonts w:ascii="Times New Roman" w:hAnsi="Times New Roman"/>
            <w:sz w:val="20"/>
          </w:rPr>
          <w:fldChar w:fldCharType="separate"/>
        </w:r>
        <w:r w:rsidR="00141375">
          <w:rPr>
            <w:rFonts w:ascii="Times New Roman" w:hAnsi="Times New Roman"/>
            <w:noProof/>
            <w:sz w:val="20"/>
          </w:rPr>
          <w:t>1</w:t>
        </w:r>
        <w:r w:rsidRPr="004E1E95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79" w:rsidRPr="00DF2102" w:rsidRDefault="00506C55" w:rsidP="00DF2102">
    <w:pPr>
      <w:pStyle w:val="Rodap"/>
      <w:jc w:val="right"/>
      <w:rPr>
        <w:rFonts w:ascii="Times New Roman" w:hAnsi="Times New Roman"/>
        <w:sz w:val="20"/>
      </w:rPr>
    </w:pPr>
    <w:r w:rsidRPr="00DF2102">
      <w:rPr>
        <w:rFonts w:ascii="Times New Roman" w:hAnsi="Times New Roman"/>
        <w:sz w:val="20"/>
      </w:rPr>
      <w:fldChar w:fldCharType="begin"/>
    </w:r>
    <w:r w:rsidR="00316F79" w:rsidRPr="00DF2102">
      <w:rPr>
        <w:rFonts w:ascii="Times New Roman" w:hAnsi="Times New Roman"/>
        <w:sz w:val="20"/>
      </w:rPr>
      <w:instrText xml:space="preserve"> PAGE   \* MERGEFORMAT </w:instrText>
    </w:r>
    <w:r w:rsidRPr="00DF2102">
      <w:rPr>
        <w:rFonts w:ascii="Times New Roman" w:hAnsi="Times New Roman"/>
        <w:sz w:val="20"/>
      </w:rPr>
      <w:fldChar w:fldCharType="separate"/>
    </w:r>
    <w:r w:rsidR="00316F79">
      <w:rPr>
        <w:rFonts w:ascii="Times New Roman" w:hAnsi="Times New Roman"/>
        <w:noProof/>
        <w:sz w:val="20"/>
      </w:rPr>
      <w:t>1</w:t>
    </w:r>
    <w:r w:rsidRPr="00DF2102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12" w:rsidRDefault="00651D12">
      <w:r>
        <w:separator/>
      </w:r>
    </w:p>
  </w:footnote>
  <w:footnote w:type="continuationSeparator" w:id="0">
    <w:p w:rsidR="00651D12" w:rsidRDefault="0065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79" w:rsidRDefault="00316F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79" w:rsidRDefault="00316F79">
    <w:pPr>
      <w:pStyle w:val="Cabealho"/>
    </w:pPr>
  </w:p>
  <w:p w:rsidR="00316F79" w:rsidRDefault="00316F79">
    <w:pPr>
      <w:pStyle w:val="Cabealho"/>
    </w:pPr>
  </w:p>
  <w:p w:rsidR="00316F79" w:rsidRDefault="00141375" w:rsidP="00DF2102">
    <w:pPr>
      <w:pStyle w:val="Cabealho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1002030</wp:posOffset>
              </wp:positionH>
              <wp:positionV relativeFrom="paragraph">
                <wp:posOffset>196850</wp:posOffset>
              </wp:positionV>
              <wp:extent cx="5207635" cy="868680"/>
              <wp:effectExtent l="0" t="0" r="0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F79" w:rsidRPr="005F6E68" w:rsidRDefault="00316F79" w:rsidP="00EC773C">
                          <w:pP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 w:rsidRPr="005F6E68"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Agência Nacional do Petróleo, Gás Natural e Biocombustíveis</w:t>
                          </w:r>
                        </w:p>
                        <w:p w:rsidR="00316F79" w:rsidRPr="005F6E68" w:rsidRDefault="00316F79" w:rsidP="00EC773C">
                          <w:pP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 w:rsidRPr="005F6E68"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Superintendência de Biocombustíveis e de Qualidade de Produtos</w:t>
                          </w:r>
                        </w:p>
                        <w:p w:rsidR="00316F79" w:rsidRPr="005F6E68" w:rsidRDefault="00316F79" w:rsidP="00EC773C">
                          <w:pPr>
                            <w:pStyle w:val="Corpodetexto2"/>
                            <w:spacing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6E6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Coordenação de Regulação da Qualidade de Produtos</w:t>
                          </w:r>
                        </w:p>
                        <w:p w:rsidR="00316F79" w:rsidRPr="003927AE" w:rsidRDefault="00316F79" w:rsidP="00EC773C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8.9pt;margin-top:15.5pt;width:410.05pt;height:6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/SgQIAAA8FAAAOAAAAZHJzL2Uyb0RvYy54bWysVG1v2yAQ/j5p/wHxPfVLnRdbcaqmnadJ&#10;3YvU7gcQg2M0DAxI7K7af9+BkzTrNmma5kgE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" stroked="f">
              <v:textbox style="mso-fit-shape-to-text:t">
                <w:txbxContent>
                  <w:p w:rsidR="00316F79" w:rsidRPr="005F6E68" w:rsidRDefault="00316F79" w:rsidP="00EC773C">
                    <w:pPr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5F6E68">
                      <w:rPr>
                        <w:rFonts w:ascii="Times New Roman" w:hAnsi="Times New Roman"/>
                        <w:b/>
                        <w:szCs w:val="24"/>
                      </w:rPr>
                      <w:t>Agência Nacional do Petróleo, Gás Natural e Biocombustíveis</w:t>
                    </w:r>
                  </w:p>
                  <w:p w:rsidR="00316F79" w:rsidRPr="005F6E68" w:rsidRDefault="00316F79" w:rsidP="00EC773C">
                    <w:pPr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5F6E68">
                      <w:rPr>
                        <w:rFonts w:ascii="Times New Roman" w:hAnsi="Times New Roman"/>
                        <w:b/>
                        <w:szCs w:val="24"/>
                      </w:rPr>
                      <w:t>Superintendência de Biocombustíveis e de Qualidade de Produtos</w:t>
                    </w:r>
                  </w:p>
                  <w:p w:rsidR="00316F79" w:rsidRPr="005F6E68" w:rsidRDefault="00316F79" w:rsidP="00EC773C">
                    <w:pPr>
                      <w:pStyle w:val="Corpodetexto2"/>
                      <w:spacing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5F6E68">
                      <w:rPr>
                        <w:b/>
                        <w:bCs/>
                        <w:sz w:val="24"/>
                        <w:szCs w:val="24"/>
                      </w:rPr>
                      <w:t>Coordenação de Regulação da Qualidade de Produtos</w:t>
                    </w:r>
                  </w:p>
                  <w:p w:rsidR="00316F79" w:rsidRPr="003927AE" w:rsidRDefault="00316F79" w:rsidP="00EC773C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16F79">
      <w:rPr>
        <w:noProof/>
      </w:rPr>
      <w:drawing>
        <wp:inline distT="0" distB="0" distL="0" distR="0">
          <wp:extent cx="716280" cy="1302385"/>
          <wp:effectExtent l="19050" t="0" r="7620" b="0"/>
          <wp:docPr id="9" name="Imagem 1" descr="logo_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n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302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79" w:rsidRDefault="00316F79">
    <w:pPr>
      <w:pStyle w:val="Cabealho"/>
      <w:rPr>
        <w:noProof/>
      </w:rPr>
    </w:pPr>
  </w:p>
  <w:p w:rsidR="00316F79" w:rsidRDefault="00316F79">
    <w:pPr>
      <w:pStyle w:val="Cabealho"/>
      <w:rPr>
        <w:noProof/>
      </w:rPr>
    </w:pPr>
    <w:r>
      <w:rPr>
        <w:noProof/>
      </w:rPr>
      <w:t xml:space="preserve">          </w:t>
    </w:r>
  </w:p>
  <w:p w:rsidR="00316F79" w:rsidRDefault="00141375" w:rsidP="005F6E68">
    <w:pPr>
      <w:pStyle w:val="Cabealho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1002030</wp:posOffset>
              </wp:positionH>
              <wp:positionV relativeFrom="paragraph">
                <wp:posOffset>196850</wp:posOffset>
              </wp:positionV>
              <wp:extent cx="5207635" cy="868680"/>
              <wp:effectExtent l="0" t="0" r="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F79" w:rsidRPr="005F6E68" w:rsidRDefault="00316F79" w:rsidP="005F6E68">
                          <w:pP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 w:rsidRPr="005F6E68"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Agência Nacional do Petróleo, Gás Natural e Biocombustíveis</w:t>
                          </w:r>
                        </w:p>
                        <w:p w:rsidR="00316F79" w:rsidRPr="005F6E68" w:rsidRDefault="00316F79" w:rsidP="005F6E68">
                          <w:pPr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  <w:r w:rsidRPr="005F6E68"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  <w:t>Superintendência de Biocombustíveis e de Qualidade de Produtos</w:t>
                          </w:r>
                        </w:p>
                        <w:p w:rsidR="00316F79" w:rsidRPr="005F6E68" w:rsidRDefault="00316F79" w:rsidP="005F6E68">
                          <w:pPr>
                            <w:pStyle w:val="Corpodetexto2"/>
                            <w:spacing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6E6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Coordenação de Regulação da Qualidade de Produtos</w:t>
                          </w:r>
                        </w:p>
                        <w:p w:rsidR="00316F79" w:rsidRPr="003927AE" w:rsidRDefault="00316F79" w:rsidP="005F6E6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9pt;margin-top:15.5pt;width:410.05pt;height:68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" stroked="f">
              <v:textbox style="mso-fit-shape-to-text:t">
                <w:txbxContent>
                  <w:p w:rsidR="00316F79" w:rsidRPr="005F6E68" w:rsidRDefault="00316F79" w:rsidP="005F6E68">
                    <w:pPr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5F6E68">
                      <w:rPr>
                        <w:rFonts w:ascii="Times New Roman" w:hAnsi="Times New Roman"/>
                        <w:b/>
                        <w:szCs w:val="24"/>
                      </w:rPr>
                      <w:t>Agência Nacional do Petróleo, Gás Natural e Biocombustíveis</w:t>
                    </w:r>
                  </w:p>
                  <w:p w:rsidR="00316F79" w:rsidRPr="005F6E68" w:rsidRDefault="00316F79" w:rsidP="005F6E68">
                    <w:pPr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5F6E68">
                      <w:rPr>
                        <w:rFonts w:ascii="Times New Roman" w:hAnsi="Times New Roman"/>
                        <w:b/>
                        <w:szCs w:val="24"/>
                      </w:rPr>
                      <w:t>Superintendência de Biocombustíveis e de Qualidade de Produtos</w:t>
                    </w:r>
                  </w:p>
                  <w:p w:rsidR="00316F79" w:rsidRPr="005F6E68" w:rsidRDefault="00316F79" w:rsidP="005F6E68">
                    <w:pPr>
                      <w:pStyle w:val="Corpodetexto2"/>
                      <w:spacing w:line="240" w:lineRule="auto"/>
                      <w:rPr>
                        <w:b/>
                        <w:sz w:val="24"/>
                        <w:szCs w:val="24"/>
                      </w:rPr>
                    </w:pPr>
                    <w:r w:rsidRPr="005F6E68">
                      <w:rPr>
                        <w:b/>
                        <w:bCs/>
                        <w:sz w:val="24"/>
                        <w:szCs w:val="24"/>
                      </w:rPr>
                      <w:t>Coordenação de Regulação da Qualidade de Produtos</w:t>
                    </w:r>
                  </w:p>
                  <w:p w:rsidR="00316F79" w:rsidRPr="003927AE" w:rsidRDefault="00316F79" w:rsidP="005F6E68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16F79">
      <w:rPr>
        <w:noProof/>
      </w:rPr>
      <w:drawing>
        <wp:inline distT="0" distB="0" distL="0" distR="0">
          <wp:extent cx="716280" cy="1302385"/>
          <wp:effectExtent l="19050" t="0" r="7620" b="0"/>
          <wp:docPr id="10" name="Imagem 10" descr="logo_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n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302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9CD"/>
    <w:multiLevelType w:val="hybridMultilevel"/>
    <w:tmpl w:val="EECA3B64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81553"/>
    <w:multiLevelType w:val="hybridMultilevel"/>
    <w:tmpl w:val="8F44B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59E"/>
    <w:multiLevelType w:val="hybridMultilevel"/>
    <w:tmpl w:val="68F4C41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7D4E42"/>
    <w:multiLevelType w:val="hybridMultilevel"/>
    <w:tmpl w:val="307EBDB6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DD459C"/>
    <w:multiLevelType w:val="hybridMultilevel"/>
    <w:tmpl w:val="EECA3B64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B1126D"/>
    <w:multiLevelType w:val="hybridMultilevel"/>
    <w:tmpl w:val="966E8A1C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5B706D"/>
    <w:multiLevelType w:val="hybridMultilevel"/>
    <w:tmpl w:val="A4723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2615"/>
    <w:multiLevelType w:val="hybridMultilevel"/>
    <w:tmpl w:val="6AF25B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31175D"/>
    <w:multiLevelType w:val="hybridMultilevel"/>
    <w:tmpl w:val="03286554"/>
    <w:lvl w:ilvl="0" w:tplc="164008A8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7E2E2C1C">
      <w:start w:val="1"/>
      <w:numFmt w:val="decimal"/>
      <w:lvlText w:val="5.%2."/>
      <w:lvlJc w:val="righ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8791F18"/>
    <w:multiLevelType w:val="hybridMultilevel"/>
    <w:tmpl w:val="4394EA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35261"/>
    <w:multiLevelType w:val="hybridMultilevel"/>
    <w:tmpl w:val="1FD473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C463C"/>
    <w:multiLevelType w:val="hybridMultilevel"/>
    <w:tmpl w:val="307EBDB6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170350"/>
    <w:multiLevelType w:val="hybridMultilevel"/>
    <w:tmpl w:val="679C67C2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872B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FA39D4"/>
    <w:multiLevelType w:val="hybridMultilevel"/>
    <w:tmpl w:val="614AADA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4011570"/>
    <w:multiLevelType w:val="hybridMultilevel"/>
    <w:tmpl w:val="4C48CA2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46818A2"/>
    <w:multiLevelType w:val="hybridMultilevel"/>
    <w:tmpl w:val="8D9C38A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D40AD3"/>
    <w:multiLevelType w:val="hybridMultilevel"/>
    <w:tmpl w:val="CD829A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0"/>
  </w:num>
  <w:num w:numId="12">
    <w:abstractNumId w:val="5"/>
  </w:num>
  <w:num w:numId="13">
    <w:abstractNumId w:val="16"/>
  </w:num>
  <w:num w:numId="14">
    <w:abstractNumId w:val="3"/>
  </w:num>
  <w:num w:numId="15">
    <w:abstractNumId w:val="13"/>
  </w:num>
  <w:num w:numId="16">
    <w:abstractNumId w:val="2"/>
  </w:num>
  <w:num w:numId="17">
    <w:abstractNumId w:val="4"/>
  </w:num>
  <w:num w:numId="18">
    <w:abstractNumId w:val="12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A"/>
    <w:rsid w:val="00000DFD"/>
    <w:rsid w:val="000035A6"/>
    <w:rsid w:val="000041CB"/>
    <w:rsid w:val="00004E23"/>
    <w:rsid w:val="000059C6"/>
    <w:rsid w:val="000077CC"/>
    <w:rsid w:val="000078E7"/>
    <w:rsid w:val="00007A2D"/>
    <w:rsid w:val="00007C03"/>
    <w:rsid w:val="00010A9F"/>
    <w:rsid w:val="00010BD1"/>
    <w:rsid w:val="00011187"/>
    <w:rsid w:val="0001196C"/>
    <w:rsid w:val="0001232F"/>
    <w:rsid w:val="00012B91"/>
    <w:rsid w:val="00014625"/>
    <w:rsid w:val="00015EA9"/>
    <w:rsid w:val="00016127"/>
    <w:rsid w:val="000172A9"/>
    <w:rsid w:val="000200E8"/>
    <w:rsid w:val="00022DA1"/>
    <w:rsid w:val="00024F16"/>
    <w:rsid w:val="00025866"/>
    <w:rsid w:val="0002590C"/>
    <w:rsid w:val="000271E2"/>
    <w:rsid w:val="00030B79"/>
    <w:rsid w:val="00032492"/>
    <w:rsid w:val="000339C6"/>
    <w:rsid w:val="000342F9"/>
    <w:rsid w:val="000351DA"/>
    <w:rsid w:val="00035BA7"/>
    <w:rsid w:val="00035BCE"/>
    <w:rsid w:val="0004137E"/>
    <w:rsid w:val="00041727"/>
    <w:rsid w:val="00043CCE"/>
    <w:rsid w:val="00044456"/>
    <w:rsid w:val="0004493C"/>
    <w:rsid w:val="000455AC"/>
    <w:rsid w:val="00046A46"/>
    <w:rsid w:val="00046F45"/>
    <w:rsid w:val="0004759A"/>
    <w:rsid w:val="00047B6A"/>
    <w:rsid w:val="000517C4"/>
    <w:rsid w:val="000520DC"/>
    <w:rsid w:val="00052DDC"/>
    <w:rsid w:val="000532C0"/>
    <w:rsid w:val="0005357D"/>
    <w:rsid w:val="00053BA6"/>
    <w:rsid w:val="000545DC"/>
    <w:rsid w:val="000545E5"/>
    <w:rsid w:val="00054E20"/>
    <w:rsid w:val="000564CF"/>
    <w:rsid w:val="00060369"/>
    <w:rsid w:val="0006169F"/>
    <w:rsid w:val="00062BE1"/>
    <w:rsid w:val="0006465B"/>
    <w:rsid w:val="000670BF"/>
    <w:rsid w:val="00067423"/>
    <w:rsid w:val="00067EA8"/>
    <w:rsid w:val="000709D5"/>
    <w:rsid w:val="00070C59"/>
    <w:rsid w:val="000736B0"/>
    <w:rsid w:val="00074DFD"/>
    <w:rsid w:val="000759A5"/>
    <w:rsid w:val="00076D47"/>
    <w:rsid w:val="00077873"/>
    <w:rsid w:val="00077D0A"/>
    <w:rsid w:val="00081609"/>
    <w:rsid w:val="00083438"/>
    <w:rsid w:val="000834D7"/>
    <w:rsid w:val="000841C1"/>
    <w:rsid w:val="000844E8"/>
    <w:rsid w:val="00084E99"/>
    <w:rsid w:val="0008798D"/>
    <w:rsid w:val="00091140"/>
    <w:rsid w:val="00092872"/>
    <w:rsid w:val="0009454B"/>
    <w:rsid w:val="000949CC"/>
    <w:rsid w:val="000958E8"/>
    <w:rsid w:val="000973B4"/>
    <w:rsid w:val="00097E06"/>
    <w:rsid w:val="000A187B"/>
    <w:rsid w:val="000A20E5"/>
    <w:rsid w:val="000A2AA9"/>
    <w:rsid w:val="000A3093"/>
    <w:rsid w:val="000A37AA"/>
    <w:rsid w:val="000A3D1B"/>
    <w:rsid w:val="000A4605"/>
    <w:rsid w:val="000A47AD"/>
    <w:rsid w:val="000A54DC"/>
    <w:rsid w:val="000A585E"/>
    <w:rsid w:val="000A604F"/>
    <w:rsid w:val="000A63FD"/>
    <w:rsid w:val="000A73C3"/>
    <w:rsid w:val="000B11D7"/>
    <w:rsid w:val="000B1912"/>
    <w:rsid w:val="000B2170"/>
    <w:rsid w:val="000B2608"/>
    <w:rsid w:val="000B3666"/>
    <w:rsid w:val="000B421E"/>
    <w:rsid w:val="000B5774"/>
    <w:rsid w:val="000B6730"/>
    <w:rsid w:val="000B6791"/>
    <w:rsid w:val="000C1543"/>
    <w:rsid w:val="000C172A"/>
    <w:rsid w:val="000C43D4"/>
    <w:rsid w:val="000C4826"/>
    <w:rsid w:val="000C5A50"/>
    <w:rsid w:val="000C6054"/>
    <w:rsid w:val="000C69EB"/>
    <w:rsid w:val="000D0935"/>
    <w:rsid w:val="000D0B26"/>
    <w:rsid w:val="000D2565"/>
    <w:rsid w:val="000D25EC"/>
    <w:rsid w:val="000D268E"/>
    <w:rsid w:val="000D3BDC"/>
    <w:rsid w:val="000D636E"/>
    <w:rsid w:val="000D65D4"/>
    <w:rsid w:val="000E0BC9"/>
    <w:rsid w:val="000E12E0"/>
    <w:rsid w:val="000E1E8E"/>
    <w:rsid w:val="000E22C4"/>
    <w:rsid w:val="000E496D"/>
    <w:rsid w:val="000E4C24"/>
    <w:rsid w:val="000E575A"/>
    <w:rsid w:val="000E5CBF"/>
    <w:rsid w:val="000E6D81"/>
    <w:rsid w:val="000E736B"/>
    <w:rsid w:val="000F035C"/>
    <w:rsid w:val="000F1591"/>
    <w:rsid w:val="000F2761"/>
    <w:rsid w:val="000F4672"/>
    <w:rsid w:val="000F642E"/>
    <w:rsid w:val="000F6FC7"/>
    <w:rsid w:val="0010094F"/>
    <w:rsid w:val="00100986"/>
    <w:rsid w:val="0010303C"/>
    <w:rsid w:val="00103980"/>
    <w:rsid w:val="00103BA5"/>
    <w:rsid w:val="0010776C"/>
    <w:rsid w:val="00107FC9"/>
    <w:rsid w:val="001107FF"/>
    <w:rsid w:val="001110D2"/>
    <w:rsid w:val="0011132F"/>
    <w:rsid w:val="00111BDC"/>
    <w:rsid w:val="00111E06"/>
    <w:rsid w:val="00113CA2"/>
    <w:rsid w:val="00113F84"/>
    <w:rsid w:val="001141D8"/>
    <w:rsid w:val="001160B4"/>
    <w:rsid w:val="00116963"/>
    <w:rsid w:val="0012105F"/>
    <w:rsid w:val="001233C8"/>
    <w:rsid w:val="001245AD"/>
    <w:rsid w:val="00125693"/>
    <w:rsid w:val="00125892"/>
    <w:rsid w:val="001258E9"/>
    <w:rsid w:val="00125DFC"/>
    <w:rsid w:val="00125E0A"/>
    <w:rsid w:val="0012672D"/>
    <w:rsid w:val="00127756"/>
    <w:rsid w:val="001301EF"/>
    <w:rsid w:val="00131F7C"/>
    <w:rsid w:val="00132E03"/>
    <w:rsid w:val="001338C4"/>
    <w:rsid w:val="0013470F"/>
    <w:rsid w:val="00135BC4"/>
    <w:rsid w:val="00136D29"/>
    <w:rsid w:val="00137030"/>
    <w:rsid w:val="00140132"/>
    <w:rsid w:val="00141375"/>
    <w:rsid w:val="001428B0"/>
    <w:rsid w:val="00142C31"/>
    <w:rsid w:val="00143481"/>
    <w:rsid w:val="00143AD0"/>
    <w:rsid w:val="0014532C"/>
    <w:rsid w:val="00145E30"/>
    <w:rsid w:val="001504C2"/>
    <w:rsid w:val="00150AD2"/>
    <w:rsid w:val="00154FAC"/>
    <w:rsid w:val="0015558D"/>
    <w:rsid w:val="001557B2"/>
    <w:rsid w:val="00156C88"/>
    <w:rsid w:val="001574F1"/>
    <w:rsid w:val="00163258"/>
    <w:rsid w:val="00163C06"/>
    <w:rsid w:val="001657A8"/>
    <w:rsid w:val="0016780B"/>
    <w:rsid w:val="00170C33"/>
    <w:rsid w:val="0017417E"/>
    <w:rsid w:val="0017430A"/>
    <w:rsid w:val="00181CC2"/>
    <w:rsid w:val="001845E7"/>
    <w:rsid w:val="00187C07"/>
    <w:rsid w:val="00192247"/>
    <w:rsid w:val="0019238A"/>
    <w:rsid w:val="001923B1"/>
    <w:rsid w:val="00192C37"/>
    <w:rsid w:val="00193DEF"/>
    <w:rsid w:val="00195029"/>
    <w:rsid w:val="001971CB"/>
    <w:rsid w:val="001A27C0"/>
    <w:rsid w:val="001A2936"/>
    <w:rsid w:val="001A4694"/>
    <w:rsid w:val="001A4744"/>
    <w:rsid w:val="001A56F2"/>
    <w:rsid w:val="001A5901"/>
    <w:rsid w:val="001A5982"/>
    <w:rsid w:val="001A5AAA"/>
    <w:rsid w:val="001A63C4"/>
    <w:rsid w:val="001A700C"/>
    <w:rsid w:val="001A7F55"/>
    <w:rsid w:val="001B23B2"/>
    <w:rsid w:val="001B297D"/>
    <w:rsid w:val="001B395C"/>
    <w:rsid w:val="001B43DE"/>
    <w:rsid w:val="001B55F8"/>
    <w:rsid w:val="001B67B1"/>
    <w:rsid w:val="001B6846"/>
    <w:rsid w:val="001C2298"/>
    <w:rsid w:val="001D0245"/>
    <w:rsid w:val="001D137E"/>
    <w:rsid w:val="001D1501"/>
    <w:rsid w:val="001D1B02"/>
    <w:rsid w:val="001D1EDF"/>
    <w:rsid w:val="001D204B"/>
    <w:rsid w:val="001D2FE5"/>
    <w:rsid w:val="001D377D"/>
    <w:rsid w:val="001D4445"/>
    <w:rsid w:val="001D4469"/>
    <w:rsid w:val="001D5DCA"/>
    <w:rsid w:val="001E051C"/>
    <w:rsid w:val="001E065A"/>
    <w:rsid w:val="001E2081"/>
    <w:rsid w:val="001E21E7"/>
    <w:rsid w:val="001E2AA3"/>
    <w:rsid w:val="001E3A84"/>
    <w:rsid w:val="001E4DBA"/>
    <w:rsid w:val="001E51B7"/>
    <w:rsid w:val="001E7EA3"/>
    <w:rsid w:val="001E7FEA"/>
    <w:rsid w:val="001F5761"/>
    <w:rsid w:val="002009D3"/>
    <w:rsid w:val="00200BF8"/>
    <w:rsid w:val="00202212"/>
    <w:rsid w:val="00202D06"/>
    <w:rsid w:val="0020357F"/>
    <w:rsid w:val="002039FB"/>
    <w:rsid w:val="00204237"/>
    <w:rsid w:val="0020432D"/>
    <w:rsid w:val="002043D4"/>
    <w:rsid w:val="002044D1"/>
    <w:rsid w:val="00204785"/>
    <w:rsid w:val="002053FB"/>
    <w:rsid w:val="0020638B"/>
    <w:rsid w:val="00206D0B"/>
    <w:rsid w:val="00207D4F"/>
    <w:rsid w:val="002105CF"/>
    <w:rsid w:val="00214516"/>
    <w:rsid w:val="00215504"/>
    <w:rsid w:val="0021639D"/>
    <w:rsid w:val="002164A5"/>
    <w:rsid w:val="002164D0"/>
    <w:rsid w:val="00216EB0"/>
    <w:rsid w:val="002210AB"/>
    <w:rsid w:val="0022140B"/>
    <w:rsid w:val="00221478"/>
    <w:rsid w:val="00222CDE"/>
    <w:rsid w:val="00223BD2"/>
    <w:rsid w:val="00223FAD"/>
    <w:rsid w:val="002248EB"/>
    <w:rsid w:val="002251EC"/>
    <w:rsid w:val="0022564F"/>
    <w:rsid w:val="00227064"/>
    <w:rsid w:val="0023006D"/>
    <w:rsid w:val="00234652"/>
    <w:rsid w:val="00234FB0"/>
    <w:rsid w:val="00235B07"/>
    <w:rsid w:val="00240021"/>
    <w:rsid w:val="00240B41"/>
    <w:rsid w:val="00240D65"/>
    <w:rsid w:val="002417CA"/>
    <w:rsid w:val="00242700"/>
    <w:rsid w:val="00242A79"/>
    <w:rsid w:val="00243BEC"/>
    <w:rsid w:val="00244EF8"/>
    <w:rsid w:val="002461FE"/>
    <w:rsid w:val="0024745A"/>
    <w:rsid w:val="00247E79"/>
    <w:rsid w:val="00251D98"/>
    <w:rsid w:val="00252C76"/>
    <w:rsid w:val="002536D0"/>
    <w:rsid w:val="00253E2A"/>
    <w:rsid w:val="0025471F"/>
    <w:rsid w:val="0025767C"/>
    <w:rsid w:val="0025790D"/>
    <w:rsid w:val="00261F09"/>
    <w:rsid w:val="00262104"/>
    <w:rsid w:val="002629BB"/>
    <w:rsid w:val="00263667"/>
    <w:rsid w:val="002647E4"/>
    <w:rsid w:val="002658E8"/>
    <w:rsid w:val="00265DC1"/>
    <w:rsid w:val="002661D8"/>
    <w:rsid w:val="00266A49"/>
    <w:rsid w:val="0027102A"/>
    <w:rsid w:val="002718D0"/>
    <w:rsid w:val="002728C6"/>
    <w:rsid w:val="00273A32"/>
    <w:rsid w:val="0027552B"/>
    <w:rsid w:val="00277DB7"/>
    <w:rsid w:val="00281CC7"/>
    <w:rsid w:val="00282B26"/>
    <w:rsid w:val="0028332C"/>
    <w:rsid w:val="00284D20"/>
    <w:rsid w:val="00285479"/>
    <w:rsid w:val="002875BA"/>
    <w:rsid w:val="002876DE"/>
    <w:rsid w:val="00290AB5"/>
    <w:rsid w:val="002924BF"/>
    <w:rsid w:val="00292D94"/>
    <w:rsid w:val="00293F9B"/>
    <w:rsid w:val="00296DCF"/>
    <w:rsid w:val="002A013C"/>
    <w:rsid w:val="002A0381"/>
    <w:rsid w:val="002A0405"/>
    <w:rsid w:val="002A0EAE"/>
    <w:rsid w:val="002A162C"/>
    <w:rsid w:val="002A1EAF"/>
    <w:rsid w:val="002A57C7"/>
    <w:rsid w:val="002A6093"/>
    <w:rsid w:val="002A7778"/>
    <w:rsid w:val="002A7A4D"/>
    <w:rsid w:val="002B103C"/>
    <w:rsid w:val="002B14ED"/>
    <w:rsid w:val="002B1D95"/>
    <w:rsid w:val="002B20BB"/>
    <w:rsid w:val="002B48C5"/>
    <w:rsid w:val="002B655A"/>
    <w:rsid w:val="002B69E7"/>
    <w:rsid w:val="002B7325"/>
    <w:rsid w:val="002C1357"/>
    <w:rsid w:val="002C40F5"/>
    <w:rsid w:val="002C5143"/>
    <w:rsid w:val="002C5DDF"/>
    <w:rsid w:val="002C6FA7"/>
    <w:rsid w:val="002D06F3"/>
    <w:rsid w:val="002D0E4F"/>
    <w:rsid w:val="002D1657"/>
    <w:rsid w:val="002D1D28"/>
    <w:rsid w:val="002D25CE"/>
    <w:rsid w:val="002D2835"/>
    <w:rsid w:val="002D34DC"/>
    <w:rsid w:val="002D41B7"/>
    <w:rsid w:val="002D4F89"/>
    <w:rsid w:val="002D68DD"/>
    <w:rsid w:val="002D737E"/>
    <w:rsid w:val="002E11D4"/>
    <w:rsid w:val="002E1687"/>
    <w:rsid w:val="002E1D83"/>
    <w:rsid w:val="002E2BBF"/>
    <w:rsid w:val="002E3C69"/>
    <w:rsid w:val="002E45F9"/>
    <w:rsid w:val="002E557A"/>
    <w:rsid w:val="002E64F1"/>
    <w:rsid w:val="002E76F6"/>
    <w:rsid w:val="002F0D33"/>
    <w:rsid w:val="002F1366"/>
    <w:rsid w:val="002F14E1"/>
    <w:rsid w:val="002F4223"/>
    <w:rsid w:val="002F4731"/>
    <w:rsid w:val="002F7D39"/>
    <w:rsid w:val="00300803"/>
    <w:rsid w:val="00300936"/>
    <w:rsid w:val="00300CD8"/>
    <w:rsid w:val="00301235"/>
    <w:rsid w:val="00302C0F"/>
    <w:rsid w:val="00303403"/>
    <w:rsid w:val="003039C1"/>
    <w:rsid w:val="00304759"/>
    <w:rsid w:val="003055AF"/>
    <w:rsid w:val="003067FC"/>
    <w:rsid w:val="003074F5"/>
    <w:rsid w:val="00310633"/>
    <w:rsid w:val="0031150C"/>
    <w:rsid w:val="003115AF"/>
    <w:rsid w:val="0031243E"/>
    <w:rsid w:val="00312A28"/>
    <w:rsid w:val="00313E1A"/>
    <w:rsid w:val="00316F79"/>
    <w:rsid w:val="0031707C"/>
    <w:rsid w:val="00317F0F"/>
    <w:rsid w:val="0032290A"/>
    <w:rsid w:val="00322E42"/>
    <w:rsid w:val="00325C72"/>
    <w:rsid w:val="003276F0"/>
    <w:rsid w:val="00327BF8"/>
    <w:rsid w:val="00331216"/>
    <w:rsid w:val="0033191A"/>
    <w:rsid w:val="00332A7B"/>
    <w:rsid w:val="0033434D"/>
    <w:rsid w:val="0033474B"/>
    <w:rsid w:val="00334789"/>
    <w:rsid w:val="003358C4"/>
    <w:rsid w:val="00336FC3"/>
    <w:rsid w:val="00340F5F"/>
    <w:rsid w:val="00343017"/>
    <w:rsid w:val="003442A1"/>
    <w:rsid w:val="0034584A"/>
    <w:rsid w:val="003474FE"/>
    <w:rsid w:val="0034761C"/>
    <w:rsid w:val="00347CCF"/>
    <w:rsid w:val="00351BDB"/>
    <w:rsid w:val="0035285F"/>
    <w:rsid w:val="0035291B"/>
    <w:rsid w:val="00352B9E"/>
    <w:rsid w:val="00352BE8"/>
    <w:rsid w:val="00355430"/>
    <w:rsid w:val="003569C4"/>
    <w:rsid w:val="00356B43"/>
    <w:rsid w:val="0035740B"/>
    <w:rsid w:val="00357860"/>
    <w:rsid w:val="003603AC"/>
    <w:rsid w:val="00360EB7"/>
    <w:rsid w:val="00361006"/>
    <w:rsid w:val="00363031"/>
    <w:rsid w:val="003634F4"/>
    <w:rsid w:val="00363D96"/>
    <w:rsid w:val="00367326"/>
    <w:rsid w:val="003675AE"/>
    <w:rsid w:val="00367AB0"/>
    <w:rsid w:val="00367C23"/>
    <w:rsid w:val="003707B2"/>
    <w:rsid w:val="00371D2D"/>
    <w:rsid w:val="00373014"/>
    <w:rsid w:val="00373328"/>
    <w:rsid w:val="00374D43"/>
    <w:rsid w:val="00375663"/>
    <w:rsid w:val="003756A2"/>
    <w:rsid w:val="003767CD"/>
    <w:rsid w:val="00377C07"/>
    <w:rsid w:val="003810E0"/>
    <w:rsid w:val="003812E7"/>
    <w:rsid w:val="00382D7C"/>
    <w:rsid w:val="003840B4"/>
    <w:rsid w:val="00384258"/>
    <w:rsid w:val="00384EC6"/>
    <w:rsid w:val="00384FD5"/>
    <w:rsid w:val="00385D59"/>
    <w:rsid w:val="00386251"/>
    <w:rsid w:val="00387890"/>
    <w:rsid w:val="00390EBE"/>
    <w:rsid w:val="00391F3A"/>
    <w:rsid w:val="00397007"/>
    <w:rsid w:val="003A05D2"/>
    <w:rsid w:val="003A0FD1"/>
    <w:rsid w:val="003A16D0"/>
    <w:rsid w:val="003A32A2"/>
    <w:rsid w:val="003A52D1"/>
    <w:rsid w:val="003A6580"/>
    <w:rsid w:val="003A7A43"/>
    <w:rsid w:val="003B0543"/>
    <w:rsid w:val="003B35B2"/>
    <w:rsid w:val="003B3ADA"/>
    <w:rsid w:val="003B3D89"/>
    <w:rsid w:val="003B4BFA"/>
    <w:rsid w:val="003B5780"/>
    <w:rsid w:val="003B5DFB"/>
    <w:rsid w:val="003B741D"/>
    <w:rsid w:val="003B7624"/>
    <w:rsid w:val="003C0442"/>
    <w:rsid w:val="003C163D"/>
    <w:rsid w:val="003C22DB"/>
    <w:rsid w:val="003C3232"/>
    <w:rsid w:val="003C486E"/>
    <w:rsid w:val="003C4D3B"/>
    <w:rsid w:val="003C4D8A"/>
    <w:rsid w:val="003C4EBE"/>
    <w:rsid w:val="003C56EA"/>
    <w:rsid w:val="003C57BC"/>
    <w:rsid w:val="003C70E5"/>
    <w:rsid w:val="003C78CE"/>
    <w:rsid w:val="003D05F3"/>
    <w:rsid w:val="003D11A0"/>
    <w:rsid w:val="003D16AB"/>
    <w:rsid w:val="003D2E00"/>
    <w:rsid w:val="003D392E"/>
    <w:rsid w:val="003D3EE2"/>
    <w:rsid w:val="003D424F"/>
    <w:rsid w:val="003D519F"/>
    <w:rsid w:val="003D7A51"/>
    <w:rsid w:val="003E1037"/>
    <w:rsid w:val="003E187A"/>
    <w:rsid w:val="003E24C9"/>
    <w:rsid w:val="003E3B16"/>
    <w:rsid w:val="003E4627"/>
    <w:rsid w:val="003E5547"/>
    <w:rsid w:val="003E58EE"/>
    <w:rsid w:val="003F0DF9"/>
    <w:rsid w:val="003F2626"/>
    <w:rsid w:val="003F3539"/>
    <w:rsid w:val="003F3C50"/>
    <w:rsid w:val="003F4009"/>
    <w:rsid w:val="003F5A64"/>
    <w:rsid w:val="003F5FEE"/>
    <w:rsid w:val="003F6ED8"/>
    <w:rsid w:val="003F7B45"/>
    <w:rsid w:val="00401B07"/>
    <w:rsid w:val="0040203A"/>
    <w:rsid w:val="00402160"/>
    <w:rsid w:val="00402A13"/>
    <w:rsid w:val="00402ACA"/>
    <w:rsid w:val="004037FC"/>
    <w:rsid w:val="00404B8A"/>
    <w:rsid w:val="00404C7B"/>
    <w:rsid w:val="0040513F"/>
    <w:rsid w:val="00405D5B"/>
    <w:rsid w:val="0040614D"/>
    <w:rsid w:val="00406DFD"/>
    <w:rsid w:val="004118BE"/>
    <w:rsid w:val="0041243E"/>
    <w:rsid w:val="004129AB"/>
    <w:rsid w:val="00412F7B"/>
    <w:rsid w:val="0041346E"/>
    <w:rsid w:val="00413EF7"/>
    <w:rsid w:val="00414367"/>
    <w:rsid w:val="00414DFC"/>
    <w:rsid w:val="00415609"/>
    <w:rsid w:val="0041641A"/>
    <w:rsid w:val="00417322"/>
    <w:rsid w:val="00421862"/>
    <w:rsid w:val="004220D8"/>
    <w:rsid w:val="004223CE"/>
    <w:rsid w:val="0042255E"/>
    <w:rsid w:val="00423222"/>
    <w:rsid w:val="004244AE"/>
    <w:rsid w:val="0042577E"/>
    <w:rsid w:val="00426800"/>
    <w:rsid w:val="0042791C"/>
    <w:rsid w:val="00427C16"/>
    <w:rsid w:val="00430F0B"/>
    <w:rsid w:val="004310B4"/>
    <w:rsid w:val="004347A3"/>
    <w:rsid w:val="00436FE0"/>
    <w:rsid w:val="00441C26"/>
    <w:rsid w:val="00444F36"/>
    <w:rsid w:val="00445F64"/>
    <w:rsid w:val="004501F5"/>
    <w:rsid w:val="00450761"/>
    <w:rsid w:val="004514AE"/>
    <w:rsid w:val="00453ECB"/>
    <w:rsid w:val="00455831"/>
    <w:rsid w:val="00457559"/>
    <w:rsid w:val="004613AF"/>
    <w:rsid w:val="004635D7"/>
    <w:rsid w:val="004667D2"/>
    <w:rsid w:val="004670AD"/>
    <w:rsid w:val="00470C62"/>
    <w:rsid w:val="00472253"/>
    <w:rsid w:val="004735E0"/>
    <w:rsid w:val="00473B95"/>
    <w:rsid w:val="004747C9"/>
    <w:rsid w:val="00474C5D"/>
    <w:rsid w:val="00474DCA"/>
    <w:rsid w:val="0048053E"/>
    <w:rsid w:val="00480AEF"/>
    <w:rsid w:val="00480E15"/>
    <w:rsid w:val="00481C73"/>
    <w:rsid w:val="004838B7"/>
    <w:rsid w:val="00484214"/>
    <w:rsid w:val="0048441E"/>
    <w:rsid w:val="00487504"/>
    <w:rsid w:val="00491A79"/>
    <w:rsid w:val="00491CE0"/>
    <w:rsid w:val="00493751"/>
    <w:rsid w:val="00494EB8"/>
    <w:rsid w:val="00495501"/>
    <w:rsid w:val="004957FF"/>
    <w:rsid w:val="00496295"/>
    <w:rsid w:val="004976C8"/>
    <w:rsid w:val="004A0851"/>
    <w:rsid w:val="004A0C21"/>
    <w:rsid w:val="004A1761"/>
    <w:rsid w:val="004A1DA2"/>
    <w:rsid w:val="004A2662"/>
    <w:rsid w:val="004A28DD"/>
    <w:rsid w:val="004A2EC9"/>
    <w:rsid w:val="004A3C2B"/>
    <w:rsid w:val="004A475F"/>
    <w:rsid w:val="004A562A"/>
    <w:rsid w:val="004A5B38"/>
    <w:rsid w:val="004A78B6"/>
    <w:rsid w:val="004B0D60"/>
    <w:rsid w:val="004B32AE"/>
    <w:rsid w:val="004B656B"/>
    <w:rsid w:val="004B6628"/>
    <w:rsid w:val="004B7275"/>
    <w:rsid w:val="004B7A52"/>
    <w:rsid w:val="004B7F22"/>
    <w:rsid w:val="004C019A"/>
    <w:rsid w:val="004C083F"/>
    <w:rsid w:val="004C2182"/>
    <w:rsid w:val="004C26F3"/>
    <w:rsid w:val="004C3EEB"/>
    <w:rsid w:val="004C4D99"/>
    <w:rsid w:val="004C5DEB"/>
    <w:rsid w:val="004C78B1"/>
    <w:rsid w:val="004D0166"/>
    <w:rsid w:val="004D17BA"/>
    <w:rsid w:val="004D2125"/>
    <w:rsid w:val="004D2239"/>
    <w:rsid w:val="004D260A"/>
    <w:rsid w:val="004D2F75"/>
    <w:rsid w:val="004D3A65"/>
    <w:rsid w:val="004D43B1"/>
    <w:rsid w:val="004D463E"/>
    <w:rsid w:val="004D5450"/>
    <w:rsid w:val="004D56B2"/>
    <w:rsid w:val="004D5CF5"/>
    <w:rsid w:val="004D7271"/>
    <w:rsid w:val="004D7CD0"/>
    <w:rsid w:val="004E05BD"/>
    <w:rsid w:val="004E0C27"/>
    <w:rsid w:val="004E11AD"/>
    <w:rsid w:val="004E1E95"/>
    <w:rsid w:val="004E26D4"/>
    <w:rsid w:val="004E2B08"/>
    <w:rsid w:val="004E3090"/>
    <w:rsid w:val="004E4AF5"/>
    <w:rsid w:val="004E5033"/>
    <w:rsid w:val="004E5BAF"/>
    <w:rsid w:val="004E616F"/>
    <w:rsid w:val="004E6B8E"/>
    <w:rsid w:val="004E7A89"/>
    <w:rsid w:val="004F0C78"/>
    <w:rsid w:val="004F296C"/>
    <w:rsid w:val="004F2D25"/>
    <w:rsid w:val="004F46A5"/>
    <w:rsid w:val="004F5E88"/>
    <w:rsid w:val="004F6B4B"/>
    <w:rsid w:val="005000A8"/>
    <w:rsid w:val="00500418"/>
    <w:rsid w:val="005005AF"/>
    <w:rsid w:val="0050093E"/>
    <w:rsid w:val="005010C8"/>
    <w:rsid w:val="0050121F"/>
    <w:rsid w:val="00501421"/>
    <w:rsid w:val="00501C32"/>
    <w:rsid w:val="0050604F"/>
    <w:rsid w:val="00506BE3"/>
    <w:rsid w:val="00506C55"/>
    <w:rsid w:val="0051094D"/>
    <w:rsid w:val="00510A55"/>
    <w:rsid w:val="00510BB4"/>
    <w:rsid w:val="00513A5A"/>
    <w:rsid w:val="005149BA"/>
    <w:rsid w:val="00516346"/>
    <w:rsid w:val="00517285"/>
    <w:rsid w:val="00517C19"/>
    <w:rsid w:val="00520BA5"/>
    <w:rsid w:val="0052157F"/>
    <w:rsid w:val="00521CC6"/>
    <w:rsid w:val="00524068"/>
    <w:rsid w:val="00525716"/>
    <w:rsid w:val="00526A1E"/>
    <w:rsid w:val="00526B18"/>
    <w:rsid w:val="0052776C"/>
    <w:rsid w:val="00531CA6"/>
    <w:rsid w:val="005327AA"/>
    <w:rsid w:val="00533786"/>
    <w:rsid w:val="00533A4D"/>
    <w:rsid w:val="00533E51"/>
    <w:rsid w:val="005344D4"/>
    <w:rsid w:val="00536E23"/>
    <w:rsid w:val="00537622"/>
    <w:rsid w:val="005407DA"/>
    <w:rsid w:val="0054171F"/>
    <w:rsid w:val="0054280A"/>
    <w:rsid w:val="005428DE"/>
    <w:rsid w:val="005446F4"/>
    <w:rsid w:val="00545315"/>
    <w:rsid w:val="005453DF"/>
    <w:rsid w:val="0054602C"/>
    <w:rsid w:val="0054617B"/>
    <w:rsid w:val="00546290"/>
    <w:rsid w:val="00546BDD"/>
    <w:rsid w:val="00547EDB"/>
    <w:rsid w:val="00550F91"/>
    <w:rsid w:val="00551671"/>
    <w:rsid w:val="00551D22"/>
    <w:rsid w:val="005532F9"/>
    <w:rsid w:val="00553C84"/>
    <w:rsid w:val="00553C93"/>
    <w:rsid w:val="00554E68"/>
    <w:rsid w:val="00555D94"/>
    <w:rsid w:val="00555ECE"/>
    <w:rsid w:val="005566D3"/>
    <w:rsid w:val="00556DFE"/>
    <w:rsid w:val="00557208"/>
    <w:rsid w:val="00557609"/>
    <w:rsid w:val="005578FF"/>
    <w:rsid w:val="00562D06"/>
    <w:rsid w:val="00564AD2"/>
    <w:rsid w:val="00564C7E"/>
    <w:rsid w:val="0056540F"/>
    <w:rsid w:val="00567330"/>
    <w:rsid w:val="00570114"/>
    <w:rsid w:val="0057195D"/>
    <w:rsid w:val="00577912"/>
    <w:rsid w:val="0058087B"/>
    <w:rsid w:val="00581887"/>
    <w:rsid w:val="00582AC0"/>
    <w:rsid w:val="00582B5C"/>
    <w:rsid w:val="00584BCA"/>
    <w:rsid w:val="005854F7"/>
    <w:rsid w:val="00585FF2"/>
    <w:rsid w:val="00586537"/>
    <w:rsid w:val="005901B5"/>
    <w:rsid w:val="00590B2F"/>
    <w:rsid w:val="00590DEC"/>
    <w:rsid w:val="00591409"/>
    <w:rsid w:val="00591C2A"/>
    <w:rsid w:val="00591F31"/>
    <w:rsid w:val="005928C7"/>
    <w:rsid w:val="00592B9F"/>
    <w:rsid w:val="00592BDA"/>
    <w:rsid w:val="00593AE1"/>
    <w:rsid w:val="00595A8B"/>
    <w:rsid w:val="00595CFC"/>
    <w:rsid w:val="005968E9"/>
    <w:rsid w:val="00596970"/>
    <w:rsid w:val="005969D0"/>
    <w:rsid w:val="005A0DD0"/>
    <w:rsid w:val="005A27A6"/>
    <w:rsid w:val="005A482C"/>
    <w:rsid w:val="005A695E"/>
    <w:rsid w:val="005A6B3B"/>
    <w:rsid w:val="005A7292"/>
    <w:rsid w:val="005A7F3F"/>
    <w:rsid w:val="005B0791"/>
    <w:rsid w:val="005B1AC6"/>
    <w:rsid w:val="005B1D11"/>
    <w:rsid w:val="005B23F0"/>
    <w:rsid w:val="005B2488"/>
    <w:rsid w:val="005B2558"/>
    <w:rsid w:val="005B477B"/>
    <w:rsid w:val="005B5376"/>
    <w:rsid w:val="005B668E"/>
    <w:rsid w:val="005C09A0"/>
    <w:rsid w:val="005C0BE3"/>
    <w:rsid w:val="005C0C79"/>
    <w:rsid w:val="005C152D"/>
    <w:rsid w:val="005C4319"/>
    <w:rsid w:val="005C5617"/>
    <w:rsid w:val="005C6030"/>
    <w:rsid w:val="005D0DC8"/>
    <w:rsid w:val="005D4297"/>
    <w:rsid w:val="005D5933"/>
    <w:rsid w:val="005D5BB4"/>
    <w:rsid w:val="005E05D9"/>
    <w:rsid w:val="005E17CE"/>
    <w:rsid w:val="005E22BC"/>
    <w:rsid w:val="005E270A"/>
    <w:rsid w:val="005E2E35"/>
    <w:rsid w:val="005E31A4"/>
    <w:rsid w:val="005E3979"/>
    <w:rsid w:val="005E4C34"/>
    <w:rsid w:val="005E50CA"/>
    <w:rsid w:val="005E5549"/>
    <w:rsid w:val="005E5F38"/>
    <w:rsid w:val="005E76D5"/>
    <w:rsid w:val="005E7767"/>
    <w:rsid w:val="005F02A4"/>
    <w:rsid w:val="005F0F18"/>
    <w:rsid w:val="005F12DA"/>
    <w:rsid w:val="005F3292"/>
    <w:rsid w:val="005F3E37"/>
    <w:rsid w:val="005F6086"/>
    <w:rsid w:val="005F6E68"/>
    <w:rsid w:val="005F72C0"/>
    <w:rsid w:val="005F77BD"/>
    <w:rsid w:val="00600131"/>
    <w:rsid w:val="006003C8"/>
    <w:rsid w:val="006009E2"/>
    <w:rsid w:val="006024D9"/>
    <w:rsid w:val="00603362"/>
    <w:rsid w:val="006054D4"/>
    <w:rsid w:val="00606108"/>
    <w:rsid w:val="00606CCB"/>
    <w:rsid w:val="0061025E"/>
    <w:rsid w:val="00611E4C"/>
    <w:rsid w:val="0061440A"/>
    <w:rsid w:val="0061517C"/>
    <w:rsid w:val="00615821"/>
    <w:rsid w:val="0061727F"/>
    <w:rsid w:val="006178AD"/>
    <w:rsid w:val="006246E1"/>
    <w:rsid w:val="00624B08"/>
    <w:rsid w:val="0062610F"/>
    <w:rsid w:val="00626327"/>
    <w:rsid w:val="00626AEC"/>
    <w:rsid w:val="00627241"/>
    <w:rsid w:val="00627DED"/>
    <w:rsid w:val="006307E6"/>
    <w:rsid w:val="00630D1F"/>
    <w:rsid w:val="006310C2"/>
    <w:rsid w:val="00632D6D"/>
    <w:rsid w:val="00632E0F"/>
    <w:rsid w:val="00633ACE"/>
    <w:rsid w:val="00635510"/>
    <w:rsid w:val="00635BCC"/>
    <w:rsid w:val="006374D4"/>
    <w:rsid w:val="00641045"/>
    <w:rsid w:val="0064156D"/>
    <w:rsid w:val="00641AD9"/>
    <w:rsid w:val="00641FBA"/>
    <w:rsid w:val="006432C5"/>
    <w:rsid w:val="006436F9"/>
    <w:rsid w:val="00643B7A"/>
    <w:rsid w:val="00644661"/>
    <w:rsid w:val="006475D1"/>
    <w:rsid w:val="00651C41"/>
    <w:rsid w:val="00651D12"/>
    <w:rsid w:val="00657CA8"/>
    <w:rsid w:val="006600EE"/>
    <w:rsid w:val="00662767"/>
    <w:rsid w:val="00663FA7"/>
    <w:rsid w:val="006652F8"/>
    <w:rsid w:val="006654DF"/>
    <w:rsid w:val="00665B56"/>
    <w:rsid w:val="00667C97"/>
    <w:rsid w:val="00667D9D"/>
    <w:rsid w:val="006703CF"/>
    <w:rsid w:val="00670547"/>
    <w:rsid w:val="00672004"/>
    <w:rsid w:val="006724A2"/>
    <w:rsid w:val="00672A27"/>
    <w:rsid w:val="00672BBE"/>
    <w:rsid w:val="00672CB5"/>
    <w:rsid w:val="006731D6"/>
    <w:rsid w:val="00674560"/>
    <w:rsid w:val="00674AFD"/>
    <w:rsid w:val="00674DDC"/>
    <w:rsid w:val="00677612"/>
    <w:rsid w:val="00677D79"/>
    <w:rsid w:val="006805DC"/>
    <w:rsid w:val="00681DF7"/>
    <w:rsid w:val="006840F9"/>
    <w:rsid w:val="006843F8"/>
    <w:rsid w:val="0068485E"/>
    <w:rsid w:val="00684926"/>
    <w:rsid w:val="00685B7A"/>
    <w:rsid w:val="00685C5B"/>
    <w:rsid w:val="00686361"/>
    <w:rsid w:val="00686884"/>
    <w:rsid w:val="006877F9"/>
    <w:rsid w:val="00690934"/>
    <w:rsid w:val="006933EE"/>
    <w:rsid w:val="0069409D"/>
    <w:rsid w:val="00694B46"/>
    <w:rsid w:val="006958B8"/>
    <w:rsid w:val="00696022"/>
    <w:rsid w:val="00696391"/>
    <w:rsid w:val="00696725"/>
    <w:rsid w:val="00697CF2"/>
    <w:rsid w:val="006A34EE"/>
    <w:rsid w:val="006A426B"/>
    <w:rsid w:val="006A4B3C"/>
    <w:rsid w:val="006A7017"/>
    <w:rsid w:val="006A7375"/>
    <w:rsid w:val="006B0AA6"/>
    <w:rsid w:val="006B21A7"/>
    <w:rsid w:val="006B2AA1"/>
    <w:rsid w:val="006B2E6D"/>
    <w:rsid w:val="006B3244"/>
    <w:rsid w:val="006B42D9"/>
    <w:rsid w:val="006B49C2"/>
    <w:rsid w:val="006B5B91"/>
    <w:rsid w:val="006C0F0B"/>
    <w:rsid w:val="006C1898"/>
    <w:rsid w:val="006C2C36"/>
    <w:rsid w:val="006C3991"/>
    <w:rsid w:val="006C5034"/>
    <w:rsid w:val="006C59F6"/>
    <w:rsid w:val="006C6E28"/>
    <w:rsid w:val="006D029D"/>
    <w:rsid w:val="006D0545"/>
    <w:rsid w:val="006D49F4"/>
    <w:rsid w:val="006D4B90"/>
    <w:rsid w:val="006D5822"/>
    <w:rsid w:val="006D6DC1"/>
    <w:rsid w:val="006E0D56"/>
    <w:rsid w:val="006E1327"/>
    <w:rsid w:val="006E14F2"/>
    <w:rsid w:val="006E2D24"/>
    <w:rsid w:val="006E506D"/>
    <w:rsid w:val="006E5B6C"/>
    <w:rsid w:val="006E61A7"/>
    <w:rsid w:val="006E7CB5"/>
    <w:rsid w:val="006F1867"/>
    <w:rsid w:val="006F2809"/>
    <w:rsid w:val="006F53F7"/>
    <w:rsid w:val="006F666F"/>
    <w:rsid w:val="006F6805"/>
    <w:rsid w:val="006F6CBD"/>
    <w:rsid w:val="006F7620"/>
    <w:rsid w:val="00701650"/>
    <w:rsid w:val="007020C6"/>
    <w:rsid w:val="00702F76"/>
    <w:rsid w:val="00703392"/>
    <w:rsid w:val="00703444"/>
    <w:rsid w:val="0070366A"/>
    <w:rsid w:val="00703881"/>
    <w:rsid w:val="00704D8C"/>
    <w:rsid w:val="007057A2"/>
    <w:rsid w:val="00707DFD"/>
    <w:rsid w:val="007114A0"/>
    <w:rsid w:val="0071345A"/>
    <w:rsid w:val="00713531"/>
    <w:rsid w:val="0071385A"/>
    <w:rsid w:val="00716AD8"/>
    <w:rsid w:val="00720D2B"/>
    <w:rsid w:val="0072192D"/>
    <w:rsid w:val="007221FF"/>
    <w:rsid w:val="007238D5"/>
    <w:rsid w:val="007242AA"/>
    <w:rsid w:val="00725FAC"/>
    <w:rsid w:val="007262D5"/>
    <w:rsid w:val="00726FDC"/>
    <w:rsid w:val="00730B2C"/>
    <w:rsid w:val="0073152E"/>
    <w:rsid w:val="00734005"/>
    <w:rsid w:val="00734D0D"/>
    <w:rsid w:val="00736E20"/>
    <w:rsid w:val="00736EF3"/>
    <w:rsid w:val="00740E20"/>
    <w:rsid w:val="00741A9D"/>
    <w:rsid w:val="0074221A"/>
    <w:rsid w:val="00743042"/>
    <w:rsid w:val="00743982"/>
    <w:rsid w:val="007447EC"/>
    <w:rsid w:val="00746AC4"/>
    <w:rsid w:val="00747137"/>
    <w:rsid w:val="00747587"/>
    <w:rsid w:val="0075051F"/>
    <w:rsid w:val="00753DAE"/>
    <w:rsid w:val="007548D5"/>
    <w:rsid w:val="00754C18"/>
    <w:rsid w:val="00756E75"/>
    <w:rsid w:val="00757125"/>
    <w:rsid w:val="00757161"/>
    <w:rsid w:val="00757C0A"/>
    <w:rsid w:val="00761CFC"/>
    <w:rsid w:val="00762647"/>
    <w:rsid w:val="0076543C"/>
    <w:rsid w:val="00765703"/>
    <w:rsid w:val="00765BD1"/>
    <w:rsid w:val="007664BA"/>
    <w:rsid w:val="0076674E"/>
    <w:rsid w:val="0076758E"/>
    <w:rsid w:val="00767F7E"/>
    <w:rsid w:val="00770011"/>
    <w:rsid w:val="007712DE"/>
    <w:rsid w:val="007718BD"/>
    <w:rsid w:val="00771BDB"/>
    <w:rsid w:val="00772096"/>
    <w:rsid w:val="00772441"/>
    <w:rsid w:val="007747E0"/>
    <w:rsid w:val="007766C9"/>
    <w:rsid w:val="007766F7"/>
    <w:rsid w:val="00776B6E"/>
    <w:rsid w:val="00781011"/>
    <w:rsid w:val="00783467"/>
    <w:rsid w:val="00783D20"/>
    <w:rsid w:val="007875BE"/>
    <w:rsid w:val="0079017D"/>
    <w:rsid w:val="007912AB"/>
    <w:rsid w:val="00791AD6"/>
    <w:rsid w:val="00793973"/>
    <w:rsid w:val="00796036"/>
    <w:rsid w:val="00796F1B"/>
    <w:rsid w:val="00797BF6"/>
    <w:rsid w:val="007A148A"/>
    <w:rsid w:val="007A19DE"/>
    <w:rsid w:val="007A203C"/>
    <w:rsid w:val="007A379A"/>
    <w:rsid w:val="007A3A50"/>
    <w:rsid w:val="007A3D89"/>
    <w:rsid w:val="007A4320"/>
    <w:rsid w:val="007A5F2D"/>
    <w:rsid w:val="007A72FE"/>
    <w:rsid w:val="007A789B"/>
    <w:rsid w:val="007B0551"/>
    <w:rsid w:val="007B1531"/>
    <w:rsid w:val="007B16BE"/>
    <w:rsid w:val="007B1B38"/>
    <w:rsid w:val="007B2497"/>
    <w:rsid w:val="007B31B8"/>
    <w:rsid w:val="007B3CDA"/>
    <w:rsid w:val="007B3F73"/>
    <w:rsid w:val="007B4347"/>
    <w:rsid w:val="007B49E4"/>
    <w:rsid w:val="007B4A0E"/>
    <w:rsid w:val="007B4A1B"/>
    <w:rsid w:val="007B507D"/>
    <w:rsid w:val="007B6647"/>
    <w:rsid w:val="007C0A8F"/>
    <w:rsid w:val="007C27C1"/>
    <w:rsid w:val="007C3951"/>
    <w:rsid w:val="007C5977"/>
    <w:rsid w:val="007C7081"/>
    <w:rsid w:val="007C7DA0"/>
    <w:rsid w:val="007D008A"/>
    <w:rsid w:val="007D1E69"/>
    <w:rsid w:val="007D2CB4"/>
    <w:rsid w:val="007D3385"/>
    <w:rsid w:val="007D7481"/>
    <w:rsid w:val="007E0250"/>
    <w:rsid w:val="007E0393"/>
    <w:rsid w:val="007E2E1C"/>
    <w:rsid w:val="007E425A"/>
    <w:rsid w:val="007E4716"/>
    <w:rsid w:val="007E4B17"/>
    <w:rsid w:val="007E6CB1"/>
    <w:rsid w:val="007E78B1"/>
    <w:rsid w:val="007F046B"/>
    <w:rsid w:val="007F130E"/>
    <w:rsid w:val="007F14C6"/>
    <w:rsid w:val="007F173E"/>
    <w:rsid w:val="007F2C6F"/>
    <w:rsid w:val="007F2E89"/>
    <w:rsid w:val="00800341"/>
    <w:rsid w:val="00802394"/>
    <w:rsid w:val="0080283B"/>
    <w:rsid w:val="0080351A"/>
    <w:rsid w:val="00804682"/>
    <w:rsid w:val="00806EC3"/>
    <w:rsid w:val="00807956"/>
    <w:rsid w:val="00810C66"/>
    <w:rsid w:val="008128D6"/>
    <w:rsid w:val="00813DAC"/>
    <w:rsid w:val="00814E5D"/>
    <w:rsid w:val="00820966"/>
    <w:rsid w:val="00820AC7"/>
    <w:rsid w:val="008219E7"/>
    <w:rsid w:val="008226FD"/>
    <w:rsid w:val="00822EDF"/>
    <w:rsid w:val="00824179"/>
    <w:rsid w:val="008251C1"/>
    <w:rsid w:val="0082708C"/>
    <w:rsid w:val="00830177"/>
    <w:rsid w:val="0083081B"/>
    <w:rsid w:val="008309DB"/>
    <w:rsid w:val="0083373B"/>
    <w:rsid w:val="008339A8"/>
    <w:rsid w:val="00834204"/>
    <w:rsid w:val="0083478C"/>
    <w:rsid w:val="00834BCB"/>
    <w:rsid w:val="0083651D"/>
    <w:rsid w:val="00836B41"/>
    <w:rsid w:val="00837A60"/>
    <w:rsid w:val="00837F5F"/>
    <w:rsid w:val="00840028"/>
    <w:rsid w:val="00840198"/>
    <w:rsid w:val="00840A69"/>
    <w:rsid w:val="008415DE"/>
    <w:rsid w:val="00843B05"/>
    <w:rsid w:val="00845367"/>
    <w:rsid w:val="0084677A"/>
    <w:rsid w:val="00846888"/>
    <w:rsid w:val="008477D1"/>
    <w:rsid w:val="00847806"/>
    <w:rsid w:val="0085047C"/>
    <w:rsid w:val="00850B57"/>
    <w:rsid w:val="00851F2C"/>
    <w:rsid w:val="0085287E"/>
    <w:rsid w:val="008533E8"/>
    <w:rsid w:val="00854354"/>
    <w:rsid w:val="00854C65"/>
    <w:rsid w:val="0085660E"/>
    <w:rsid w:val="00861344"/>
    <w:rsid w:val="00862193"/>
    <w:rsid w:val="00862196"/>
    <w:rsid w:val="00865767"/>
    <w:rsid w:val="008659A1"/>
    <w:rsid w:val="008663F8"/>
    <w:rsid w:val="0086691C"/>
    <w:rsid w:val="00866F2D"/>
    <w:rsid w:val="00867805"/>
    <w:rsid w:val="00870639"/>
    <w:rsid w:val="008714CE"/>
    <w:rsid w:val="008726EF"/>
    <w:rsid w:val="008739E6"/>
    <w:rsid w:val="00873C2E"/>
    <w:rsid w:val="00873D6E"/>
    <w:rsid w:val="00874047"/>
    <w:rsid w:val="00874C0F"/>
    <w:rsid w:val="00874C4D"/>
    <w:rsid w:val="0087592A"/>
    <w:rsid w:val="00875C81"/>
    <w:rsid w:val="00876820"/>
    <w:rsid w:val="0087788E"/>
    <w:rsid w:val="0088173F"/>
    <w:rsid w:val="0088546B"/>
    <w:rsid w:val="00885501"/>
    <w:rsid w:val="008858D8"/>
    <w:rsid w:val="00885B0E"/>
    <w:rsid w:val="00885EBA"/>
    <w:rsid w:val="00886885"/>
    <w:rsid w:val="0089168E"/>
    <w:rsid w:val="00891720"/>
    <w:rsid w:val="0089205A"/>
    <w:rsid w:val="00892CAE"/>
    <w:rsid w:val="00894E5E"/>
    <w:rsid w:val="00894F0C"/>
    <w:rsid w:val="00897B0E"/>
    <w:rsid w:val="008A1BD5"/>
    <w:rsid w:val="008A29F4"/>
    <w:rsid w:val="008A4470"/>
    <w:rsid w:val="008A509D"/>
    <w:rsid w:val="008A5580"/>
    <w:rsid w:val="008A58E5"/>
    <w:rsid w:val="008A5A0E"/>
    <w:rsid w:val="008A5A71"/>
    <w:rsid w:val="008A5EB0"/>
    <w:rsid w:val="008A773B"/>
    <w:rsid w:val="008A7E13"/>
    <w:rsid w:val="008B0ADD"/>
    <w:rsid w:val="008B0BFB"/>
    <w:rsid w:val="008B1F95"/>
    <w:rsid w:val="008B24AD"/>
    <w:rsid w:val="008B45EF"/>
    <w:rsid w:val="008B527C"/>
    <w:rsid w:val="008B543A"/>
    <w:rsid w:val="008B5957"/>
    <w:rsid w:val="008B5A03"/>
    <w:rsid w:val="008C1186"/>
    <w:rsid w:val="008C442B"/>
    <w:rsid w:val="008C4F13"/>
    <w:rsid w:val="008C650A"/>
    <w:rsid w:val="008C6C2F"/>
    <w:rsid w:val="008C7DC3"/>
    <w:rsid w:val="008D17C4"/>
    <w:rsid w:val="008D1CA3"/>
    <w:rsid w:val="008D240B"/>
    <w:rsid w:val="008D2B50"/>
    <w:rsid w:val="008D2C10"/>
    <w:rsid w:val="008D3958"/>
    <w:rsid w:val="008D39F0"/>
    <w:rsid w:val="008D3E3B"/>
    <w:rsid w:val="008D3FEB"/>
    <w:rsid w:val="008D504A"/>
    <w:rsid w:val="008D557E"/>
    <w:rsid w:val="008D5790"/>
    <w:rsid w:val="008D5A3B"/>
    <w:rsid w:val="008D69E9"/>
    <w:rsid w:val="008E0066"/>
    <w:rsid w:val="008E0442"/>
    <w:rsid w:val="008E0749"/>
    <w:rsid w:val="008E0C20"/>
    <w:rsid w:val="008E175D"/>
    <w:rsid w:val="008E31C0"/>
    <w:rsid w:val="008E3ED0"/>
    <w:rsid w:val="008E692F"/>
    <w:rsid w:val="008F0074"/>
    <w:rsid w:val="008F0719"/>
    <w:rsid w:val="008F1CF5"/>
    <w:rsid w:val="008F2AF7"/>
    <w:rsid w:val="008F3129"/>
    <w:rsid w:val="008F571E"/>
    <w:rsid w:val="008F600B"/>
    <w:rsid w:val="008F743B"/>
    <w:rsid w:val="00902E6A"/>
    <w:rsid w:val="00903EB3"/>
    <w:rsid w:val="009047BF"/>
    <w:rsid w:val="009060ED"/>
    <w:rsid w:val="00906DAB"/>
    <w:rsid w:val="00906EFA"/>
    <w:rsid w:val="0090730A"/>
    <w:rsid w:val="009075CA"/>
    <w:rsid w:val="00907699"/>
    <w:rsid w:val="00910C11"/>
    <w:rsid w:val="009148A3"/>
    <w:rsid w:val="00917088"/>
    <w:rsid w:val="00917945"/>
    <w:rsid w:val="009206A7"/>
    <w:rsid w:val="009224A3"/>
    <w:rsid w:val="009226D6"/>
    <w:rsid w:val="00923DEF"/>
    <w:rsid w:val="00923EEC"/>
    <w:rsid w:val="009248B0"/>
    <w:rsid w:val="00926315"/>
    <w:rsid w:val="00932198"/>
    <w:rsid w:val="0093409A"/>
    <w:rsid w:val="009364BD"/>
    <w:rsid w:val="00936821"/>
    <w:rsid w:val="00940775"/>
    <w:rsid w:val="00940F69"/>
    <w:rsid w:val="0094234F"/>
    <w:rsid w:val="009427D1"/>
    <w:rsid w:val="00943706"/>
    <w:rsid w:val="00944218"/>
    <w:rsid w:val="00944E71"/>
    <w:rsid w:val="00945133"/>
    <w:rsid w:val="0094689F"/>
    <w:rsid w:val="00947398"/>
    <w:rsid w:val="009527C0"/>
    <w:rsid w:val="009538B6"/>
    <w:rsid w:val="00953E6C"/>
    <w:rsid w:val="009547C5"/>
    <w:rsid w:val="00955AED"/>
    <w:rsid w:val="0095693A"/>
    <w:rsid w:val="00961F3E"/>
    <w:rsid w:val="00962D3E"/>
    <w:rsid w:val="009645E2"/>
    <w:rsid w:val="00966BCB"/>
    <w:rsid w:val="00967C88"/>
    <w:rsid w:val="00967EC1"/>
    <w:rsid w:val="0097001D"/>
    <w:rsid w:val="009700FC"/>
    <w:rsid w:val="009708B4"/>
    <w:rsid w:val="00972B05"/>
    <w:rsid w:val="00972FAE"/>
    <w:rsid w:val="009733CF"/>
    <w:rsid w:val="00977628"/>
    <w:rsid w:val="00977FEE"/>
    <w:rsid w:val="0098428C"/>
    <w:rsid w:val="00984565"/>
    <w:rsid w:val="00986429"/>
    <w:rsid w:val="00987D83"/>
    <w:rsid w:val="00990463"/>
    <w:rsid w:val="009905C3"/>
    <w:rsid w:val="00994C38"/>
    <w:rsid w:val="009954AC"/>
    <w:rsid w:val="0099670E"/>
    <w:rsid w:val="00997CBA"/>
    <w:rsid w:val="00997CFE"/>
    <w:rsid w:val="009A0EFD"/>
    <w:rsid w:val="009A1C7E"/>
    <w:rsid w:val="009A1CAD"/>
    <w:rsid w:val="009A231A"/>
    <w:rsid w:val="009A26F0"/>
    <w:rsid w:val="009A4846"/>
    <w:rsid w:val="009A49B1"/>
    <w:rsid w:val="009A5770"/>
    <w:rsid w:val="009A5E97"/>
    <w:rsid w:val="009A667D"/>
    <w:rsid w:val="009A6882"/>
    <w:rsid w:val="009A6F2A"/>
    <w:rsid w:val="009A7790"/>
    <w:rsid w:val="009A7D8A"/>
    <w:rsid w:val="009B0C65"/>
    <w:rsid w:val="009B1FDE"/>
    <w:rsid w:val="009B2616"/>
    <w:rsid w:val="009B2ECC"/>
    <w:rsid w:val="009B41F1"/>
    <w:rsid w:val="009B7108"/>
    <w:rsid w:val="009B7C53"/>
    <w:rsid w:val="009C107C"/>
    <w:rsid w:val="009C19F3"/>
    <w:rsid w:val="009C2260"/>
    <w:rsid w:val="009C3249"/>
    <w:rsid w:val="009C523D"/>
    <w:rsid w:val="009D07C7"/>
    <w:rsid w:val="009D08F4"/>
    <w:rsid w:val="009D0AE8"/>
    <w:rsid w:val="009D1EEC"/>
    <w:rsid w:val="009D3038"/>
    <w:rsid w:val="009D4F4B"/>
    <w:rsid w:val="009D6CF3"/>
    <w:rsid w:val="009E05C5"/>
    <w:rsid w:val="009E5E3C"/>
    <w:rsid w:val="009E6FBC"/>
    <w:rsid w:val="009F1180"/>
    <w:rsid w:val="009F3596"/>
    <w:rsid w:val="009F42F6"/>
    <w:rsid w:val="009F5C79"/>
    <w:rsid w:val="009F69D2"/>
    <w:rsid w:val="009F754A"/>
    <w:rsid w:val="00A01139"/>
    <w:rsid w:val="00A021EA"/>
    <w:rsid w:val="00A02C2E"/>
    <w:rsid w:val="00A03D6F"/>
    <w:rsid w:val="00A04470"/>
    <w:rsid w:val="00A04CDD"/>
    <w:rsid w:val="00A04E0A"/>
    <w:rsid w:val="00A0779E"/>
    <w:rsid w:val="00A07949"/>
    <w:rsid w:val="00A10437"/>
    <w:rsid w:val="00A113A7"/>
    <w:rsid w:val="00A11FFF"/>
    <w:rsid w:val="00A12000"/>
    <w:rsid w:val="00A12C1C"/>
    <w:rsid w:val="00A1429F"/>
    <w:rsid w:val="00A14AD3"/>
    <w:rsid w:val="00A15321"/>
    <w:rsid w:val="00A15512"/>
    <w:rsid w:val="00A15CF5"/>
    <w:rsid w:val="00A15E7F"/>
    <w:rsid w:val="00A226CE"/>
    <w:rsid w:val="00A2356E"/>
    <w:rsid w:val="00A23E1C"/>
    <w:rsid w:val="00A248CC"/>
    <w:rsid w:val="00A24F73"/>
    <w:rsid w:val="00A26E0A"/>
    <w:rsid w:val="00A27563"/>
    <w:rsid w:val="00A27C57"/>
    <w:rsid w:val="00A30738"/>
    <w:rsid w:val="00A309A4"/>
    <w:rsid w:val="00A30ECD"/>
    <w:rsid w:val="00A3108F"/>
    <w:rsid w:val="00A34CFA"/>
    <w:rsid w:val="00A3713A"/>
    <w:rsid w:val="00A40A7C"/>
    <w:rsid w:val="00A40B22"/>
    <w:rsid w:val="00A416DE"/>
    <w:rsid w:val="00A41BA7"/>
    <w:rsid w:val="00A431C6"/>
    <w:rsid w:val="00A43312"/>
    <w:rsid w:val="00A4514A"/>
    <w:rsid w:val="00A45D88"/>
    <w:rsid w:val="00A461F5"/>
    <w:rsid w:val="00A465B2"/>
    <w:rsid w:val="00A468C7"/>
    <w:rsid w:val="00A4780D"/>
    <w:rsid w:val="00A4791F"/>
    <w:rsid w:val="00A47B63"/>
    <w:rsid w:val="00A47CF2"/>
    <w:rsid w:val="00A50C99"/>
    <w:rsid w:val="00A54520"/>
    <w:rsid w:val="00A54A47"/>
    <w:rsid w:val="00A5559D"/>
    <w:rsid w:val="00A56253"/>
    <w:rsid w:val="00A56E0D"/>
    <w:rsid w:val="00A56ECF"/>
    <w:rsid w:val="00A56F6B"/>
    <w:rsid w:val="00A57134"/>
    <w:rsid w:val="00A61E56"/>
    <w:rsid w:val="00A62501"/>
    <w:rsid w:val="00A62852"/>
    <w:rsid w:val="00A629F0"/>
    <w:rsid w:val="00A63365"/>
    <w:rsid w:val="00A63C36"/>
    <w:rsid w:val="00A63D12"/>
    <w:rsid w:val="00A64DEC"/>
    <w:rsid w:val="00A64F76"/>
    <w:rsid w:val="00A65F4B"/>
    <w:rsid w:val="00A671F0"/>
    <w:rsid w:val="00A67262"/>
    <w:rsid w:val="00A67B11"/>
    <w:rsid w:val="00A70736"/>
    <w:rsid w:val="00A72274"/>
    <w:rsid w:val="00A72422"/>
    <w:rsid w:val="00A75822"/>
    <w:rsid w:val="00A75E0A"/>
    <w:rsid w:val="00A77B29"/>
    <w:rsid w:val="00A8015D"/>
    <w:rsid w:val="00A806BA"/>
    <w:rsid w:val="00A8156C"/>
    <w:rsid w:val="00A82753"/>
    <w:rsid w:val="00A86DFE"/>
    <w:rsid w:val="00A9008C"/>
    <w:rsid w:val="00A900E0"/>
    <w:rsid w:val="00A909A9"/>
    <w:rsid w:val="00A90C04"/>
    <w:rsid w:val="00A9182C"/>
    <w:rsid w:val="00A91A14"/>
    <w:rsid w:val="00A936ED"/>
    <w:rsid w:val="00A93D0E"/>
    <w:rsid w:val="00A949EB"/>
    <w:rsid w:val="00A9516E"/>
    <w:rsid w:val="00A959A3"/>
    <w:rsid w:val="00AA0967"/>
    <w:rsid w:val="00AA0F17"/>
    <w:rsid w:val="00AA26B7"/>
    <w:rsid w:val="00AA2A05"/>
    <w:rsid w:val="00AA3140"/>
    <w:rsid w:val="00AA501E"/>
    <w:rsid w:val="00AA608B"/>
    <w:rsid w:val="00AA6981"/>
    <w:rsid w:val="00AB0D8A"/>
    <w:rsid w:val="00AB1037"/>
    <w:rsid w:val="00AB1322"/>
    <w:rsid w:val="00AB2C30"/>
    <w:rsid w:val="00AB3D1D"/>
    <w:rsid w:val="00AB4D01"/>
    <w:rsid w:val="00AB73BF"/>
    <w:rsid w:val="00AC08D1"/>
    <w:rsid w:val="00AC1AAC"/>
    <w:rsid w:val="00AC21BA"/>
    <w:rsid w:val="00AC285C"/>
    <w:rsid w:val="00AC3865"/>
    <w:rsid w:val="00AC4C1C"/>
    <w:rsid w:val="00AC5022"/>
    <w:rsid w:val="00AC53E1"/>
    <w:rsid w:val="00AC55F5"/>
    <w:rsid w:val="00AD1292"/>
    <w:rsid w:val="00AD1520"/>
    <w:rsid w:val="00AD2DDF"/>
    <w:rsid w:val="00AD33DA"/>
    <w:rsid w:val="00AD5DC3"/>
    <w:rsid w:val="00AD75A1"/>
    <w:rsid w:val="00AE01AC"/>
    <w:rsid w:val="00AE066E"/>
    <w:rsid w:val="00AE0887"/>
    <w:rsid w:val="00AE279C"/>
    <w:rsid w:val="00AE2CD4"/>
    <w:rsid w:val="00AE3F02"/>
    <w:rsid w:val="00AE7F1D"/>
    <w:rsid w:val="00AF496E"/>
    <w:rsid w:val="00AF4BC2"/>
    <w:rsid w:val="00AF5D4A"/>
    <w:rsid w:val="00AF76AC"/>
    <w:rsid w:val="00B003A5"/>
    <w:rsid w:val="00B00704"/>
    <w:rsid w:val="00B0106B"/>
    <w:rsid w:val="00B01ED5"/>
    <w:rsid w:val="00B01F20"/>
    <w:rsid w:val="00B033B6"/>
    <w:rsid w:val="00B05877"/>
    <w:rsid w:val="00B07534"/>
    <w:rsid w:val="00B123A9"/>
    <w:rsid w:val="00B1303B"/>
    <w:rsid w:val="00B161A0"/>
    <w:rsid w:val="00B17031"/>
    <w:rsid w:val="00B1733B"/>
    <w:rsid w:val="00B17800"/>
    <w:rsid w:val="00B221BE"/>
    <w:rsid w:val="00B2317F"/>
    <w:rsid w:val="00B232E3"/>
    <w:rsid w:val="00B238C7"/>
    <w:rsid w:val="00B25858"/>
    <w:rsid w:val="00B26371"/>
    <w:rsid w:val="00B277BE"/>
    <w:rsid w:val="00B3085C"/>
    <w:rsid w:val="00B30A67"/>
    <w:rsid w:val="00B30D37"/>
    <w:rsid w:val="00B311BB"/>
    <w:rsid w:val="00B31C8C"/>
    <w:rsid w:val="00B323F0"/>
    <w:rsid w:val="00B33B63"/>
    <w:rsid w:val="00B346A6"/>
    <w:rsid w:val="00B34842"/>
    <w:rsid w:val="00B3488A"/>
    <w:rsid w:val="00B36245"/>
    <w:rsid w:val="00B370AF"/>
    <w:rsid w:val="00B40E64"/>
    <w:rsid w:val="00B418EF"/>
    <w:rsid w:val="00B42C48"/>
    <w:rsid w:val="00B4392C"/>
    <w:rsid w:val="00B43A31"/>
    <w:rsid w:val="00B453C6"/>
    <w:rsid w:val="00B454C5"/>
    <w:rsid w:val="00B45E4D"/>
    <w:rsid w:val="00B4624F"/>
    <w:rsid w:val="00B50626"/>
    <w:rsid w:val="00B51D53"/>
    <w:rsid w:val="00B5260D"/>
    <w:rsid w:val="00B52DA4"/>
    <w:rsid w:val="00B537DB"/>
    <w:rsid w:val="00B53883"/>
    <w:rsid w:val="00B54A0B"/>
    <w:rsid w:val="00B57AA6"/>
    <w:rsid w:val="00B605F4"/>
    <w:rsid w:val="00B61BAB"/>
    <w:rsid w:val="00B63414"/>
    <w:rsid w:val="00B63A56"/>
    <w:rsid w:val="00B64C5E"/>
    <w:rsid w:val="00B64FE7"/>
    <w:rsid w:val="00B70EE3"/>
    <w:rsid w:val="00B72AFD"/>
    <w:rsid w:val="00B73D47"/>
    <w:rsid w:val="00B73F9F"/>
    <w:rsid w:val="00B74479"/>
    <w:rsid w:val="00B773DF"/>
    <w:rsid w:val="00B809F6"/>
    <w:rsid w:val="00B85C8C"/>
    <w:rsid w:val="00B8669D"/>
    <w:rsid w:val="00B87BC0"/>
    <w:rsid w:val="00B90221"/>
    <w:rsid w:val="00B915F6"/>
    <w:rsid w:val="00B91FC3"/>
    <w:rsid w:val="00B92103"/>
    <w:rsid w:val="00B92B39"/>
    <w:rsid w:val="00B93B43"/>
    <w:rsid w:val="00B9487D"/>
    <w:rsid w:val="00B95F34"/>
    <w:rsid w:val="00B9791E"/>
    <w:rsid w:val="00BA015F"/>
    <w:rsid w:val="00BA05BD"/>
    <w:rsid w:val="00BA05DF"/>
    <w:rsid w:val="00BA07ED"/>
    <w:rsid w:val="00BA0BF4"/>
    <w:rsid w:val="00BA1291"/>
    <w:rsid w:val="00BA1A01"/>
    <w:rsid w:val="00BA2E37"/>
    <w:rsid w:val="00BA4061"/>
    <w:rsid w:val="00BA4852"/>
    <w:rsid w:val="00BA5EB0"/>
    <w:rsid w:val="00BA70D2"/>
    <w:rsid w:val="00BB0FC7"/>
    <w:rsid w:val="00BB714F"/>
    <w:rsid w:val="00BB727A"/>
    <w:rsid w:val="00BB7960"/>
    <w:rsid w:val="00BB7F43"/>
    <w:rsid w:val="00BC0A50"/>
    <w:rsid w:val="00BC21BC"/>
    <w:rsid w:val="00BC26B8"/>
    <w:rsid w:val="00BC5DB7"/>
    <w:rsid w:val="00BC681F"/>
    <w:rsid w:val="00BC6944"/>
    <w:rsid w:val="00BD09E6"/>
    <w:rsid w:val="00BD0BBE"/>
    <w:rsid w:val="00BD0CBB"/>
    <w:rsid w:val="00BD394C"/>
    <w:rsid w:val="00BD3D8B"/>
    <w:rsid w:val="00BD49A6"/>
    <w:rsid w:val="00BD50E9"/>
    <w:rsid w:val="00BE0923"/>
    <w:rsid w:val="00BE25AD"/>
    <w:rsid w:val="00BE2CBF"/>
    <w:rsid w:val="00BE3B2F"/>
    <w:rsid w:val="00BE6D19"/>
    <w:rsid w:val="00BE7247"/>
    <w:rsid w:val="00BF1F72"/>
    <w:rsid w:val="00BF313A"/>
    <w:rsid w:val="00BF3757"/>
    <w:rsid w:val="00BF4054"/>
    <w:rsid w:val="00BF48A8"/>
    <w:rsid w:val="00BF51C7"/>
    <w:rsid w:val="00BF6016"/>
    <w:rsid w:val="00C009A2"/>
    <w:rsid w:val="00C02FE4"/>
    <w:rsid w:val="00C03F8C"/>
    <w:rsid w:val="00C045BF"/>
    <w:rsid w:val="00C0473E"/>
    <w:rsid w:val="00C051E5"/>
    <w:rsid w:val="00C10EB4"/>
    <w:rsid w:val="00C11FB0"/>
    <w:rsid w:val="00C127AE"/>
    <w:rsid w:val="00C1360B"/>
    <w:rsid w:val="00C13890"/>
    <w:rsid w:val="00C16E5C"/>
    <w:rsid w:val="00C213CF"/>
    <w:rsid w:val="00C21493"/>
    <w:rsid w:val="00C216D0"/>
    <w:rsid w:val="00C21B48"/>
    <w:rsid w:val="00C22EBF"/>
    <w:rsid w:val="00C2361A"/>
    <w:rsid w:val="00C24C71"/>
    <w:rsid w:val="00C25E27"/>
    <w:rsid w:val="00C26514"/>
    <w:rsid w:val="00C26ECE"/>
    <w:rsid w:val="00C27870"/>
    <w:rsid w:val="00C30A89"/>
    <w:rsid w:val="00C31695"/>
    <w:rsid w:val="00C3251A"/>
    <w:rsid w:val="00C33215"/>
    <w:rsid w:val="00C33454"/>
    <w:rsid w:val="00C33929"/>
    <w:rsid w:val="00C340D1"/>
    <w:rsid w:val="00C347B1"/>
    <w:rsid w:val="00C34A44"/>
    <w:rsid w:val="00C40862"/>
    <w:rsid w:val="00C40E61"/>
    <w:rsid w:val="00C41123"/>
    <w:rsid w:val="00C41864"/>
    <w:rsid w:val="00C41F96"/>
    <w:rsid w:val="00C423E4"/>
    <w:rsid w:val="00C439C3"/>
    <w:rsid w:val="00C442DB"/>
    <w:rsid w:val="00C44307"/>
    <w:rsid w:val="00C45CA1"/>
    <w:rsid w:val="00C46EFA"/>
    <w:rsid w:val="00C477DC"/>
    <w:rsid w:val="00C504F4"/>
    <w:rsid w:val="00C52A76"/>
    <w:rsid w:val="00C550D1"/>
    <w:rsid w:val="00C55201"/>
    <w:rsid w:val="00C5564A"/>
    <w:rsid w:val="00C55A5A"/>
    <w:rsid w:val="00C56062"/>
    <w:rsid w:val="00C57709"/>
    <w:rsid w:val="00C57D1F"/>
    <w:rsid w:val="00C614F7"/>
    <w:rsid w:val="00C617E0"/>
    <w:rsid w:val="00C61DB7"/>
    <w:rsid w:val="00C62572"/>
    <w:rsid w:val="00C62FC3"/>
    <w:rsid w:val="00C63003"/>
    <w:rsid w:val="00C64989"/>
    <w:rsid w:val="00C64E73"/>
    <w:rsid w:val="00C65FF9"/>
    <w:rsid w:val="00C66CF8"/>
    <w:rsid w:val="00C73003"/>
    <w:rsid w:val="00C779C7"/>
    <w:rsid w:val="00C83B82"/>
    <w:rsid w:val="00C87DD9"/>
    <w:rsid w:val="00C90548"/>
    <w:rsid w:val="00C90C01"/>
    <w:rsid w:val="00C90EE4"/>
    <w:rsid w:val="00C9402B"/>
    <w:rsid w:val="00C94AD2"/>
    <w:rsid w:val="00C96196"/>
    <w:rsid w:val="00C96339"/>
    <w:rsid w:val="00C96E2D"/>
    <w:rsid w:val="00CA04CA"/>
    <w:rsid w:val="00CA0730"/>
    <w:rsid w:val="00CA1F2E"/>
    <w:rsid w:val="00CA50F2"/>
    <w:rsid w:val="00CA59C4"/>
    <w:rsid w:val="00CA64A3"/>
    <w:rsid w:val="00CA66E6"/>
    <w:rsid w:val="00CA6D47"/>
    <w:rsid w:val="00CA72F7"/>
    <w:rsid w:val="00CB00CE"/>
    <w:rsid w:val="00CB1094"/>
    <w:rsid w:val="00CB23EE"/>
    <w:rsid w:val="00CB2DEF"/>
    <w:rsid w:val="00CB2E42"/>
    <w:rsid w:val="00CB2EE7"/>
    <w:rsid w:val="00CB36F2"/>
    <w:rsid w:val="00CB3ABF"/>
    <w:rsid w:val="00CB3AE9"/>
    <w:rsid w:val="00CB3B7F"/>
    <w:rsid w:val="00CB5B93"/>
    <w:rsid w:val="00CB7DDB"/>
    <w:rsid w:val="00CC1314"/>
    <w:rsid w:val="00CC138E"/>
    <w:rsid w:val="00CC2751"/>
    <w:rsid w:val="00CC3148"/>
    <w:rsid w:val="00CC476F"/>
    <w:rsid w:val="00CC6D32"/>
    <w:rsid w:val="00CD03A4"/>
    <w:rsid w:val="00CD08D8"/>
    <w:rsid w:val="00CD1297"/>
    <w:rsid w:val="00CD2729"/>
    <w:rsid w:val="00CD3879"/>
    <w:rsid w:val="00CD38BA"/>
    <w:rsid w:val="00CD3EA7"/>
    <w:rsid w:val="00CD63C3"/>
    <w:rsid w:val="00CD720D"/>
    <w:rsid w:val="00CE0BBD"/>
    <w:rsid w:val="00CE0C41"/>
    <w:rsid w:val="00CE2E42"/>
    <w:rsid w:val="00CE4EB9"/>
    <w:rsid w:val="00CE69AA"/>
    <w:rsid w:val="00CE720C"/>
    <w:rsid w:val="00CE7B2B"/>
    <w:rsid w:val="00CF11C9"/>
    <w:rsid w:val="00CF128F"/>
    <w:rsid w:val="00CF1513"/>
    <w:rsid w:val="00CF1C10"/>
    <w:rsid w:val="00CF3F74"/>
    <w:rsid w:val="00CF42D8"/>
    <w:rsid w:val="00CF4F03"/>
    <w:rsid w:val="00CF552B"/>
    <w:rsid w:val="00CF6E66"/>
    <w:rsid w:val="00CF6F21"/>
    <w:rsid w:val="00D00E7A"/>
    <w:rsid w:val="00D019C3"/>
    <w:rsid w:val="00D01DC9"/>
    <w:rsid w:val="00D023A4"/>
    <w:rsid w:val="00D0258E"/>
    <w:rsid w:val="00D0287E"/>
    <w:rsid w:val="00D041E9"/>
    <w:rsid w:val="00D046BB"/>
    <w:rsid w:val="00D04894"/>
    <w:rsid w:val="00D04DA6"/>
    <w:rsid w:val="00D0523E"/>
    <w:rsid w:val="00D06C8A"/>
    <w:rsid w:val="00D06C99"/>
    <w:rsid w:val="00D07421"/>
    <w:rsid w:val="00D10466"/>
    <w:rsid w:val="00D11174"/>
    <w:rsid w:val="00D11291"/>
    <w:rsid w:val="00D13876"/>
    <w:rsid w:val="00D14E22"/>
    <w:rsid w:val="00D15946"/>
    <w:rsid w:val="00D166E3"/>
    <w:rsid w:val="00D1719C"/>
    <w:rsid w:val="00D1748A"/>
    <w:rsid w:val="00D21B22"/>
    <w:rsid w:val="00D22464"/>
    <w:rsid w:val="00D22F1A"/>
    <w:rsid w:val="00D23A5E"/>
    <w:rsid w:val="00D23DAB"/>
    <w:rsid w:val="00D23DDB"/>
    <w:rsid w:val="00D24B1F"/>
    <w:rsid w:val="00D26AF6"/>
    <w:rsid w:val="00D26C97"/>
    <w:rsid w:val="00D27590"/>
    <w:rsid w:val="00D301DB"/>
    <w:rsid w:val="00D32114"/>
    <w:rsid w:val="00D35EE3"/>
    <w:rsid w:val="00D36583"/>
    <w:rsid w:val="00D3667D"/>
    <w:rsid w:val="00D37417"/>
    <w:rsid w:val="00D37817"/>
    <w:rsid w:val="00D419C6"/>
    <w:rsid w:val="00D424D0"/>
    <w:rsid w:val="00D42AD9"/>
    <w:rsid w:val="00D4519D"/>
    <w:rsid w:val="00D45AFB"/>
    <w:rsid w:val="00D472C5"/>
    <w:rsid w:val="00D479E9"/>
    <w:rsid w:val="00D5021E"/>
    <w:rsid w:val="00D50B57"/>
    <w:rsid w:val="00D53236"/>
    <w:rsid w:val="00D5372C"/>
    <w:rsid w:val="00D53E1A"/>
    <w:rsid w:val="00D54246"/>
    <w:rsid w:val="00D54F91"/>
    <w:rsid w:val="00D56098"/>
    <w:rsid w:val="00D5790D"/>
    <w:rsid w:val="00D60E13"/>
    <w:rsid w:val="00D614FE"/>
    <w:rsid w:val="00D62B4A"/>
    <w:rsid w:val="00D62FC2"/>
    <w:rsid w:val="00D64F45"/>
    <w:rsid w:val="00D67023"/>
    <w:rsid w:val="00D676B2"/>
    <w:rsid w:val="00D70CEA"/>
    <w:rsid w:val="00D71326"/>
    <w:rsid w:val="00D71676"/>
    <w:rsid w:val="00D732B8"/>
    <w:rsid w:val="00D7457A"/>
    <w:rsid w:val="00D76139"/>
    <w:rsid w:val="00D777E1"/>
    <w:rsid w:val="00D823C6"/>
    <w:rsid w:val="00D82D10"/>
    <w:rsid w:val="00D8337C"/>
    <w:rsid w:val="00D83C1F"/>
    <w:rsid w:val="00D8661C"/>
    <w:rsid w:val="00D8680F"/>
    <w:rsid w:val="00D86CAD"/>
    <w:rsid w:val="00D875B6"/>
    <w:rsid w:val="00D87614"/>
    <w:rsid w:val="00D87B82"/>
    <w:rsid w:val="00D9037D"/>
    <w:rsid w:val="00D91B95"/>
    <w:rsid w:val="00D92363"/>
    <w:rsid w:val="00D92391"/>
    <w:rsid w:val="00D93F8D"/>
    <w:rsid w:val="00D9463E"/>
    <w:rsid w:val="00D96411"/>
    <w:rsid w:val="00D97668"/>
    <w:rsid w:val="00DA0041"/>
    <w:rsid w:val="00DA0C5C"/>
    <w:rsid w:val="00DA247C"/>
    <w:rsid w:val="00DA33F3"/>
    <w:rsid w:val="00DA397C"/>
    <w:rsid w:val="00DA3C9C"/>
    <w:rsid w:val="00DA4268"/>
    <w:rsid w:val="00DA4FAB"/>
    <w:rsid w:val="00DA656F"/>
    <w:rsid w:val="00DA6652"/>
    <w:rsid w:val="00DB234F"/>
    <w:rsid w:val="00DB31BB"/>
    <w:rsid w:val="00DB3C16"/>
    <w:rsid w:val="00DB5904"/>
    <w:rsid w:val="00DB5A62"/>
    <w:rsid w:val="00DB61EC"/>
    <w:rsid w:val="00DB65B1"/>
    <w:rsid w:val="00DB667A"/>
    <w:rsid w:val="00DB6AC6"/>
    <w:rsid w:val="00DB70D3"/>
    <w:rsid w:val="00DB7612"/>
    <w:rsid w:val="00DC0C34"/>
    <w:rsid w:val="00DC0E14"/>
    <w:rsid w:val="00DC2030"/>
    <w:rsid w:val="00DC44DC"/>
    <w:rsid w:val="00DC7C37"/>
    <w:rsid w:val="00DD0265"/>
    <w:rsid w:val="00DD0EE0"/>
    <w:rsid w:val="00DD2129"/>
    <w:rsid w:val="00DD361D"/>
    <w:rsid w:val="00DD3800"/>
    <w:rsid w:val="00DD470E"/>
    <w:rsid w:val="00DD62C0"/>
    <w:rsid w:val="00DD7BFB"/>
    <w:rsid w:val="00DE03A7"/>
    <w:rsid w:val="00DE0941"/>
    <w:rsid w:val="00DE23E6"/>
    <w:rsid w:val="00DE371A"/>
    <w:rsid w:val="00DE3770"/>
    <w:rsid w:val="00DE4D33"/>
    <w:rsid w:val="00DE63CA"/>
    <w:rsid w:val="00DE677B"/>
    <w:rsid w:val="00DF18E7"/>
    <w:rsid w:val="00DF2102"/>
    <w:rsid w:val="00DF324F"/>
    <w:rsid w:val="00DF39CD"/>
    <w:rsid w:val="00DF4112"/>
    <w:rsid w:val="00DF484C"/>
    <w:rsid w:val="00DF504A"/>
    <w:rsid w:val="00DF6217"/>
    <w:rsid w:val="00DF62F1"/>
    <w:rsid w:val="00E006E4"/>
    <w:rsid w:val="00E0120C"/>
    <w:rsid w:val="00E023B1"/>
    <w:rsid w:val="00E02496"/>
    <w:rsid w:val="00E02758"/>
    <w:rsid w:val="00E02A4F"/>
    <w:rsid w:val="00E0567F"/>
    <w:rsid w:val="00E0762D"/>
    <w:rsid w:val="00E07EE4"/>
    <w:rsid w:val="00E10707"/>
    <w:rsid w:val="00E112A7"/>
    <w:rsid w:val="00E11A29"/>
    <w:rsid w:val="00E129AE"/>
    <w:rsid w:val="00E13C8B"/>
    <w:rsid w:val="00E14E51"/>
    <w:rsid w:val="00E151AE"/>
    <w:rsid w:val="00E15908"/>
    <w:rsid w:val="00E16059"/>
    <w:rsid w:val="00E172A8"/>
    <w:rsid w:val="00E220AB"/>
    <w:rsid w:val="00E2311B"/>
    <w:rsid w:val="00E23415"/>
    <w:rsid w:val="00E235F7"/>
    <w:rsid w:val="00E23C1C"/>
    <w:rsid w:val="00E24847"/>
    <w:rsid w:val="00E26478"/>
    <w:rsid w:val="00E320F0"/>
    <w:rsid w:val="00E34D6A"/>
    <w:rsid w:val="00E40E18"/>
    <w:rsid w:val="00E43803"/>
    <w:rsid w:val="00E448FD"/>
    <w:rsid w:val="00E44919"/>
    <w:rsid w:val="00E44C8B"/>
    <w:rsid w:val="00E45994"/>
    <w:rsid w:val="00E46BF3"/>
    <w:rsid w:val="00E53494"/>
    <w:rsid w:val="00E53A59"/>
    <w:rsid w:val="00E5517E"/>
    <w:rsid w:val="00E55E07"/>
    <w:rsid w:val="00E57109"/>
    <w:rsid w:val="00E57B32"/>
    <w:rsid w:val="00E60134"/>
    <w:rsid w:val="00E61E6E"/>
    <w:rsid w:val="00E6414A"/>
    <w:rsid w:val="00E64B08"/>
    <w:rsid w:val="00E65CCB"/>
    <w:rsid w:val="00E6634F"/>
    <w:rsid w:val="00E66A77"/>
    <w:rsid w:val="00E66E7C"/>
    <w:rsid w:val="00E67D0D"/>
    <w:rsid w:val="00E67F6A"/>
    <w:rsid w:val="00E715C4"/>
    <w:rsid w:val="00E724A9"/>
    <w:rsid w:val="00E74097"/>
    <w:rsid w:val="00E746F7"/>
    <w:rsid w:val="00E74D87"/>
    <w:rsid w:val="00E74F23"/>
    <w:rsid w:val="00E75843"/>
    <w:rsid w:val="00E75B91"/>
    <w:rsid w:val="00E76B67"/>
    <w:rsid w:val="00E77EA5"/>
    <w:rsid w:val="00E80327"/>
    <w:rsid w:val="00E8143C"/>
    <w:rsid w:val="00E87F98"/>
    <w:rsid w:val="00E903B1"/>
    <w:rsid w:val="00E926FB"/>
    <w:rsid w:val="00E933E9"/>
    <w:rsid w:val="00E9398F"/>
    <w:rsid w:val="00E94B99"/>
    <w:rsid w:val="00E97F3F"/>
    <w:rsid w:val="00EA0157"/>
    <w:rsid w:val="00EA02E2"/>
    <w:rsid w:val="00EA0686"/>
    <w:rsid w:val="00EA167C"/>
    <w:rsid w:val="00EA3ECC"/>
    <w:rsid w:val="00EA5688"/>
    <w:rsid w:val="00EA6615"/>
    <w:rsid w:val="00EA6BE7"/>
    <w:rsid w:val="00EA7921"/>
    <w:rsid w:val="00EA7DC9"/>
    <w:rsid w:val="00EB0E1D"/>
    <w:rsid w:val="00EB3924"/>
    <w:rsid w:val="00EB3F71"/>
    <w:rsid w:val="00EB442B"/>
    <w:rsid w:val="00EC038C"/>
    <w:rsid w:val="00EC1E3C"/>
    <w:rsid w:val="00EC3316"/>
    <w:rsid w:val="00EC4531"/>
    <w:rsid w:val="00EC482B"/>
    <w:rsid w:val="00EC5D28"/>
    <w:rsid w:val="00EC773C"/>
    <w:rsid w:val="00ED00DF"/>
    <w:rsid w:val="00ED36B3"/>
    <w:rsid w:val="00ED4503"/>
    <w:rsid w:val="00ED47F6"/>
    <w:rsid w:val="00ED596B"/>
    <w:rsid w:val="00ED5A4E"/>
    <w:rsid w:val="00ED68B1"/>
    <w:rsid w:val="00EE05AB"/>
    <w:rsid w:val="00EE1C49"/>
    <w:rsid w:val="00EE2A3F"/>
    <w:rsid w:val="00EE30DA"/>
    <w:rsid w:val="00EE3195"/>
    <w:rsid w:val="00EE3AE8"/>
    <w:rsid w:val="00EE4B37"/>
    <w:rsid w:val="00EE6533"/>
    <w:rsid w:val="00EE6D20"/>
    <w:rsid w:val="00EE78A1"/>
    <w:rsid w:val="00EE7984"/>
    <w:rsid w:val="00EE7B95"/>
    <w:rsid w:val="00EF21AE"/>
    <w:rsid w:val="00EF255C"/>
    <w:rsid w:val="00EF3FB1"/>
    <w:rsid w:val="00EF43AF"/>
    <w:rsid w:val="00EF4901"/>
    <w:rsid w:val="00EF6CD4"/>
    <w:rsid w:val="00EF6F19"/>
    <w:rsid w:val="00EF7302"/>
    <w:rsid w:val="00F018AC"/>
    <w:rsid w:val="00F026E6"/>
    <w:rsid w:val="00F03788"/>
    <w:rsid w:val="00F067EA"/>
    <w:rsid w:val="00F1015B"/>
    <w:rsid w:val="00F10793"/>
    <w:rsid w:val="00F10EDC"/>
    <w:rsid w:val="00F10F87"/>
    <w:rsid w:val="00F1422C"/>
    <w:rsid w:val="00F146CD"/>
    <w:rsid w:val="00F155E5"/>
    <w:rsid w:val="00F16150"/>
    <w:rsid w:val="00F16DA9"/>
    <w:rsid w:val="00F17A50"/>
    <w:rsid w:val="00F17C92"/>
    <w:rsid w:val="00F2045C"/>
    <w:rsid w:val="00F22D34"/>
    <w:rsid w:val="00F232C4"/>
    <w:rsid w:val="00F235C2"/>
    <w:rsid w:val="00F236A8"/>
    <w:rsid w:val="00F247D3"/>
    <w:rsid w:val="00F24B59"/>
    <w:rsid w:val="00F26C05"/>
    <w:rsid w:val="00F30531"/>
    <w:rsid w:val="00F31051"/>
    <w:rsid w:val="00F3115B"/>
    <w:rsid w:val="00F31E59"/>
    <w:rsid w:val="00F32421"/>
    <w:rsid w:val="00F3253C"/>
    <w:rsid w:val="00F33EDD"/>
    <w:rsid w:val="00F343DF"/>
    <w:rsid w:val="00F3549B"/>
    <w:rsid w:val="00F3712B"/>
    <w:rsid w:val="00F41F39"/>
    <w:rsid w:val="00F424F1"/>
    <w:rsid w:val="00F42548"/>
    <w:rsid w:val="00F44D37"/>
    <w:rsid w:val="00F45FAF"/>
    <w:rsid w:val="00F45FF4"/>
    <w:rsid w:val="00F46585"/>
    <w:rsid w:val="00F4757F"/>
    <w:rsid w:val="00F477DE"/>
    <w:rsid w:val="00F5387F"/>
    <w:rsid w:val="00F53938"/>
    <w:rsid w:val="00F53CBB"/>
    <w:rsid w:val="00F5414D"/>
    <w:rsid w:val="00F545D7"/>
    <w:rsid w:val="00F55725"/>
    <w:rsid w:val="00F5685A"/>
    <w:rsid w:val="00F573C5"/>
    <w:rsid w:val="00F577B7"/>
    <w:rsid w:val="00F636C2"/>
    <w:rsid w:val="00F64EDC"/>
    <w:rsid w:val="00F658E1"/>
    <w:rsid w:val="00F65F17"/>
    <w:rsid w:val="00F67704"/>
    <w:rsid w:val="00F718AB"/>
    <w:rsid w:val="00F71DB7"/>
    <w:rsid w:val="00F769F3"/>
    <w:rsid w:val="00F778B8"/>
    <w:rsid w:val="00F805E8"/>
    <w:rsid w:val="00F808B6"/>
    <w:rsid w:val="00F80F7F"/>
    <w:rsid w:val="00F82F09"/>
    <w:rsid w:val="00F85E84"/>
    <w:rsid w:val="00F8746C"/>
    <w:rsid w:val="00F9058D"/>
    <w:rsid w:val="00F905B9"/>
    <w:rsid w:val="00F907FE"/>
    <w:rsid w:val="00F924D6"/>
    <w:rsid w:val="00F9262E"/>
    <w:rsid w:val="00F93F35"/>
    <w:rsid w:val="00F94D00"/>
    <w:rsid w:val="00F955D0"/>
    <w:rsid w:val="00F959D5"/>
    <w:rsid w:val="00F95EF1"/>
    <w:rsid w:val="00F979B2"/>
    <w:rsid w:val="00FA10CB"/>
    <w:rsid w:val="00FA17E2"/>
    <w:rsid w:val="00FA1B36"/>
    <w:rsid w:val="00FA2508"/>
    <w:rsid w:val="00FA2E03"/>
    <w:rsid w:val="00FA400D"/>
    <w:rsid w:val="00FA4921"/>
    <w:rsid w:val="00FA5B0A"/>
    <w:rsid w:val="00FA6D55"/>
    <w:rsid w:val="00FB23AD"/>
    <w:rsid w:val="00FB6E9E"/>
    <w:rsid w:val="00FC005B"/>
    <w:rsid w:val="00FC1E10"/>
    <w:rsid w:val="00FC2A27"/>
    <w:rsid w:val="00FC36C5"/>
    <w:rsid w:val="00FC4057"/>
    <w:rsid w:val="00FC4E04"/>
    <w:rsid w:val="00FC52AE"/>
    <w:rsid w:val="00FC74B3"/>
    <w:rsid w:val="00FC7616"/>
    <w:rsid w:val="00FC793C"/>
    <w:rsid w:val="00FC7EFB"/>
    <w:rsid w:val="00FD071F"/>
    <w:rsid w:val="00FD07E6"/>
    <w:rsid w:val="00FD2270"/>
    <w:rsid w:val="00FD3962"/>
    <w:rsid w:val="00FD4817"/>
    <w:rsid w:val="00FD4DD8"/>
    <w:rsid w:val="00FD66AC"/>
    <w:rsid w:val="00FD7816"/>
    <w:rsid w:val="00FD7EB5"/>
    <w:rsid w:val="00FE1F10"/>
    <w:rsid w:val="00FE2DB8"/>
    <w:rsid w:val="00FE4C7D"/>
    <w:rsid w:val="00FE64CA"/>
    <w:rsid w:val="00FE6726"/>
    <w:rsid w:val="00FE68AC"/>
    <w:rsid w:val="00FE7132"/>
    <w:rsid w:val="00FF2519"/>
    <w:rsid w:val="00FF5525"/>
    <w:rsid w:val="00FF737B"/>
    <w:rsid w:val="00FF7D3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EE29AE7C-1119-4FAF-BAC3-F5D2D4A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67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5583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4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64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64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A0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A096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AA0967"/>
    <w:pPr>
      <w:spacing w:after="120"/>
      <w:ind w:firstLine="1701"/>
    </w:pPr>
  </w:style>
  <w:style w:type="paragraph" w:customStyle="1" w:styleId="Normalnumerado">
    <w:name w:val="Normal numerado"/>
    <w:basedOn w:val="Normal"/>
    <w:rsid w:val="00AA0967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rFonts w:ascii="Times New Roman" w:hAnsi="Times New Roman"/>
      <w:snapToGrid w:val="0"/>
      <w:sz w:val="20"/>
    </w:rPr>
  </w:style>
  <w:style w:type="paragraph" w:styleId="Corpodetexto">
    <w:name w:val="Body Text"/>
    <w:basedOn w:val="Normal"/>
    <w:semiHidden/>
    <w:rsid w:val="00AA0967"/>
    <w:pPr>
      <w:spacing w:after="80"/>
      <w:jc w:val="both"/>
    </w:pPr>
  </w:style>
  <w:style w:type="character" w:customStyle="1" w:styleId="Ttulo1Char">
    <w:name w:val="Título 1 Char"/>
    <w:basedOn w:val="Fontepargpadro"/>
    <w:link w:val="Ttulo1"/>
    <w:rsid w:val="00455831"/>
    <w:rPr>
      <w:rFonts w:ascii="Arial" w:hAnsi="Arial"/>
      <w:b/>
      <w:sz w:val="24"/>
    </w:rPr>
  </w:style>
  <w:style w:type="character" w:styleId="Hyperlink">
    <w:name w:val="Hyperlink"/>
    <w:basedOn w:val="Fontepargpadro"/>
    <w:uiPriority w:val="99"/>
    <w:unhideWhenUsed/>
    <w:rsid w:val="00A671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9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85E84"/>
    <w:pPr>
      <w:ind w:left="720"/>
      <w:contextualSpacing/>
    </w:pPr>
  </w:style>
  <w:style w:type="paragraph" w:customStyle="1" w:styleId="Texto">
    <w:name w:val="Texto"/>
    <w:basedOn w:val="Normal"/>
    <w:autoRedefine/>
    <w:rsid w:val="00FF7D31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76" w:lineRule="auto"/>
      <w:ind w:firstLine="567"/>
      <w:jc w:val="both"/>
    </w:pPr>
    <w:rPr>
      <w:color w:val="000080"/>
      <w:sz w:val="20"/>
    </w:rPr>
  </w:style>
  <w:style w:type="paragraph" w:styleId="Corpodetexto2">
    <w:name w:val="Body Text 2"/>
    <w:basedOn w:val="Normal"/>
    <w:link w:val="Corpodetexto2Char"/>
    <w:rsid w:val="005F6E68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rsid w:val="005F6E68"/>
  </w:style>
  <w:style w:type="character" w:customStyle="1" w:styleId="RodapChar">
    <w:name w:val="Rodapé Char"/>
    <w:basedOn w:val="Fontepargpadro"/>
    <w:link w:val="Rodap"/>
    <w:uiPriority w:val="99"/>
    <w:rsid w:val="0089205A"/>
    <w:rPr>
      <w:rFonts w:ascii="Arial" w:hAnsi="Arial"/>
      <w:sz w:val="24"/>
    </w:rPr>
  </w:style>
  <w:style w:type="paragraph" w:styleId="Textodenotaderodap">
    <w:name w:val="footnote text"/>
    <w:aliases w:val="fn"/>
    <w:basedOn w:val="Normal"/>
    <w:link w:val="TextodenotaderodapChar"/>
    <w:uiPriority w:val="99"/>
    <w:unhideWhenUsed/>
    <w:rsid w:val="004A0C21"/>
    <w:rPr>
      <w:sz w:val="20"/>
    </w:rPr>
  </w:style>
  <w:style w:type="character" w:customStyle="1" w:styleId="TextodenotaderodapChar">
    <w:name w:val="Texto de nota de rodapé Char"/>
    <w:aliases w:val="fn Char"/>
    <w:basedOn w:val="Fontepargpadro"/>
    <w:link w:val="Textodenotaderodap"/>
    <w:uiPriority w:val="99"/>
    <w:rsid w:val="004A0C21"/>
    <w:rPr>
      <w:rFonts w:ascii="Arial" w:hAnsi="Arial"/>
    </w:rPr>
  </w:style>
  <w:style w:type="character" w:styleId="Refdenotaderodap">
    <w:name w:val="footnote reference"/>
    <w:basedOn w:val="Fontepargpadro"/>
    <w:uiPriority w:val="99"/>
    <w:unhideWhenUsed/>
    <w:rsid w:val="004A0C21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015EA9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A47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902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02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0221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0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0221"/>
    <w:rPr>
      <w:rFonts w:ascii="Arial" w:hAnsi="Arial"/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7E6CB1"/>
    <w:pPr>
      <w:spacing w:after="200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5E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0">
    <w:name w:val="texto"/>
    <w:basedOn w:val="Normal"/>
    <w:rsid w:val="00FC36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FC36C5"/>
  </w:style>
  <w:style w:type="paragraph" w:customStyle="1" w:styleId="secao">
    <w:name w:val="secao"/>
    <w:basedOn w:val="Normal"/>
    <w:rsid w:val="00E4491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D60E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C7DA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64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9364B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conteudo2nivel">
    <w:name w:val="conteudo2nivel"/>
    <w:basedOn w:val="Normal"/>
    <w:rsid w:val="00555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o">
    <w:name w:val="Revision"/>
    <w:hidden/>
    <w:uiPriority w:val="99"/>
    <w:semiHidden/>
    <w:rsid w:val="006D49F4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CA04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26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933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23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3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6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2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46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17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CF6C-A007-4B83-B746-6077E007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5352</Words>
  <Characters>28904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01/SGI</vt:lpstr>
    </vt:vector>
  </TitlesOfParts>
  <Company>Anp</Company>
  <LinksUpToDate>false</LinksUpToDate>
  <CharactersWithSpaces>34188</CharactersWithSpaces>
  <SharedDoc>false</SharedDoc>
  <HLinks>
    <vt:vector size="18" baseType="variant"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01/SGI</dc:title>
  <dc:creator>Patricia Carvalho de Franca</dc:creator>
  <cp:lastModifiedBy>SIMONE DA CUNHA ESTEVES</cp:lastModifiedBy>
  <cp:revision>2</cp:revision>
  <cp:lastPrinted>2014-09-25T17:18:00Z</cp:lastPrinted>
  <dcterms:created xsi:type="dcterms:W3CDTF">2018-01-18T12:16:00Z</dcterms:created>
  <dcterms:modified xsi:type="dcterms:W3CDTF">2018-01-18T12:16:00Z</dcterms:modified>
</cp:coreProperties>
</file>