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17" w:rsidRDefault="00692017">
      <w:pPr>
        <w:pStyle w:val="Ttulo1"/>
        <w:pBdr>
          <w:bottom w:val="none" w:sz="0" w:space="0" w:color="auto"/>
        </w:pBdr>
        <w:autoSpaceDE/>
        <w:autoSpaceDN/>
        <w:adjustRightInd/>
        <w:spacing w:before="0" w:beforeAutospacing="0" w:after="0" w:afterAutospacing="0"/>
        <w:jc w:val="left"/>
        <w:rPr>
          <w:rFonts w:ascii="Times New Roman" w:eastAsia="Times New Roman" w:hAnsi="Times New Roman" w:cs="Times New Roman" w:hint="default"/>
          <w:bCs w:val="0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Cs w:val="0"/>
          <w:snapToGrid w:val="0"/>
          <w:sz w:val="24"/>
          <w:szCs w:val="20"/>
        </w:rPr>
        <w:t>AGÊNCIA NACIONAL DO PETRÓLEO</w:t>
      </w:r>
      <w:r>
        <w:rPr>
          <w:rFonts w:ascii="Times New Roman" w:eastAsia="Times New Roman" w:hAnsi="Times New Roman" w:cs="Times New Roman" w:hint="default"/>
          <w:bCs w:val="0"/>
          <w:snapToGrid w:val="0"/>
          <w:sz w:val="24"/>
          <w:szCs w:val="20"/>
        </w:rPr>
        <w:t>, GÁS NATURAL E BIOCOMBUSTÍVEIS</w:t>
      </w:r>
    </w:p>
    <w:p w:rsidR="00692017" w:rsidRDefault="00692017">
      <w:pPr>
        <w:pStyle w:val="Ttulo1"/>
        <w:pBdr>
          <w:bottom w:val="none" w:sz="0" w:space="0" w:color="auto"/>
        </w:pBdr>
        <w:autoSpaceDE/>
        <w:autoSpaceDN/>
        <w:adjustRightInd/>
        <w:spacing w:before="0" w:beforeAutospacing="0" w:after="0" w:afterAutospacing="0"/>
        <w:jc w:val="left"/>
        <w:rPr>
          <w:rFonts w:ascii="Times New Roman" w:eastAsia="Times New Roman" w:hAnsi="Times New Roman" w:cs="Times New Roman" w:hint="default"/>
          <w:bCs w:val="0"/>
          <w:snapToGrid w:val="0"/>
          <w:sz w:val="24"/>
          <w:szCs w:val="20"/>
        </w:rPr>
      </w:pPr>
    </w:p>
    <w:p w:rsidR="00692017" w:rsidRDefault="00692017">
      <w:pPr>
        <w:pStyle w:val="Ttulo1"/>
        <w:pBdr>
          <w:bottom w:val="none" w:sz="0" w:space="0" w:color="auto"/>
        </w:pBdr>
        <w:autoSpaceDE/>
        <w:autoSpaceDN/>
        <w:adjustRightInd/>
        <w:spacing w:before="0" w:beforeAutospacing="0" w:after="0" w:afterAutospacing="0"/>
        <w:rPr>
          <w:rFonts w:ascii="Times New Roman" w:eastAsia="Times New Roman" w:hAnsi="Times New Roman" w:cs="Times New Roman" w:hint="default"/>
          <w:bCs w:val="0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Cs w:val="0"/>
          <w:snapToGrid w:val="0"/>
          <w:sz w:val="24"/>
          <w:szCs w:val="20"/>
        </w:rPr>
        <w:t>RESOLUÇ</w:t>
      </w:r>
      <w:r w:rsidR="00D3032C">
        <w:rPr>
          <w:rFonts w:ascii="Times New Roman" w:eastAsia="Times New Roman" w:hAnsi="Times New Roman" w:cs="Times New Roman"/>
          <w:bCs w:val="0"/>
          <w:snapToGrid w:val="0"/>
          <w:sz w:val="24"/>
          <w:szCs w:val="20"/>
        </w:rPr>
        <w:t xml:space="preserve">ÃO Nº </w:t>
      </w:r>
      <w:r w:rsidR="00D3032C" w:rsidRPr="00E468E8">
        <w:rPr>
          <w:rFonts w:ascii="Times New Roman" w:eastAsia="Times New Roman" w:hAnsi="Times New Roman" w:cs="Times New Roman"/>
          <w:bCs w:val="0"/>
          <w:snapToGrid w:val="0"/>
          <w:sz w:val="24"/>
          <w:szCs w:val="20"/>
          <w:highlight w:val="yellow"/>
        </w:rPr>
        <w:t>XXX, DE XXX DE XXX</w:t>
      </w:r>
      <w:r w:rsidR="00D3032C">
        <w:rPr>
          <w:rFonts w:ascii="Times New Roman" w:eastAsia="Times New Roman" w:hAnsi="Times New Roman" w:cs="Times New Roman"/>
          <w:bCs w:val="0"/>
          <w:snapToGrid w:val="0"/>
          <w:sz w:val="24"/>
          <w:szCs w:val="20"/>
        </w:rPr>
        <w:t xml:space="preserve"> DE </w:t>
      </w:r>
      <w:r w:rsidR="00E40789">
        <w:rPr>
          <w:rFonts w:ascii="Times New Roman" w:eastAsia="Times New Roman" w:hAnsi="Times New Roman" w:cs="Times New Roman"/>
          <w:bCs w:val="0"/>
          <w:snapToGrid w:val="0"/>
          <w:sz w:val="24"/>
          <w:szCs w:val="20"/>
        </w:rPr>
        <w:t>20</w:t>
      </w:r>
      <w:r w:rsidR="00E40789">
        <w:rPr>
          <w:rFonts w:ascii="Times New Roman" w:eastAsia="Times New Roman" w:hAnsi="Times New Roman" w:cs="Times New Roman" w:hint="default"/>
          <w:bCs w:val="0"/>
          <w:snapToGrid w:val="0"/>
          <w:sz w:val="24"/>
          <w:szCs w:val="20"/>
        </w:rPr>
        <w:t>17</w:t>
      </w:r>
    </w:p>
    <w:p w:rsidR="00692017" w:rsidRDefault="00692017">
      <w:pPr>
        <w:tabs>
          <w:tab w:val="left" w:pos="5490"/>
        </w:tabs>
        <w:ind w:right="-142"/>
        <w:rPr>
          <w:b/>
          <w:sz w:val="24"/>
        </w:rPr>
      </w:pPr>
    </w:p>
    <w:p w:rsidR="00692017" w:rsidRDefault="00692017">
      <w:pPr>
        <w:ind w:right="-142"/>
        <w:jc w:val="center"/>
        <w:rPr>
          <w:b/>
          <w:sz w:val="24"/>
        </w:rPr>
      </w:pPr>
    </w:p>
    <w:p w:rsidR="00692017" w:rsidRDefault="00692017">
      <w:pPr>
        <w:pStyle w:val="Recuodecorpodetexto2"/>
        <w:ind w:left="2835" w:firstLine="0"/>
      </w:pPr>
      <w:r>
        <w:t>Estabelece a</w:t>
      </w:r>
      <w:r w:rsidR="00A92B17">
        <w:t xml:space="preserve">s regras para </w:t>
      </w:r>
      <w:r w:rsidR="00135F4D">
        <w:t>aprovação</w:t>
      </w:r>
      <w:r w:rsidR="00A92B17">
        <w:t xml:space="preserve"> </w:t>
      </w:r>
      <w:r w:rsidR="00135F4D">
        <w:t xml:space="preserve"> do controle da qualidade </w:t>
      </w:r>
      <w:r w:rsidR="00A92B17">
        <w:t>e a</w:t>
      </w:r>
      <w:r>
        <w:t xml:space="preserve"> especificação do </w:t>
      </w:r>
      <w:r w:rsidR="001E69CE">
        <w:t>biometano</w:t>
      </w:r>
      <w:r>
        <w:t xml:space="preserve"> </w:t>
      </w:r>
      <w:r w:rsidR="00CB1E89">
        <w:t xml:space="preserve">oriundo de </w:t>
      </w:r>
      <w:r w:rsidR="00F57387">
        <w:t>aterros sanitários e de estações de tratamento de esgoto</w:t>
      </w:r>
      <w:r w:rsidR="00CB1E89">
        <w:t xml:space="preserve"> </w:t>
      </w:r>
      <w:r w:rsidR="00CB1E89" w:rsidRPr="00A57572">
        <w:t>destina</w:t>
      </w:r>
      <w:r w:rsidR="00CB1E89">
        <w:t xml:space="preserve">do </w:t>
      </w:r>
      <w:r w:rsidR="00CB1E89" w:rsidRPr="00A57572">
        <w:t xml:space="preserve">ao uso </w:t>
      </w:r>
      <w:r w:rsidR="00CB1E89" w:rsidRPr="002545EA">
        <w:t>veicular e às</w:t>
      </w:r>
      <w:r w:rsidR="00CB1E89" w:rsidRPr="00A57572">
        <w:t xml:space="preserve"> instalações residenciais e comerciais</w:t>
      </w:r>
      <w:r>
        <w:t xml:space="preserve"> a ser comercializado em todo o território nacional.</w:t>
      </w:r>
    </w:p>
    <w:p w:rsidR="00692017" w:rsidRDefault="00692017">
      <w:pPr>
        <w:ind w:left="2835" w:right="-142"/>
        <w:jc w:val="both"/>
        <w:rPr>
          <w:sz w:val="24"/>
        </w:rPr>
      </w:pPr>
    </w:p>
    <w:p w:rsidR="00692017" w:rsidRDefault="00F57387">
      <w:pPr>
        <w:pStyle w:val="Recuodecorpodetexto2"/>
        <w:spacing w:before="120"/>
        <w:ind w:firstLine="567"/>
      </w:pPr>
      <w:r>
        <w:t>O</w:t>
      </w:r>
      <w:r w:rsidR="009923AB">
        <w:t xml:space="preserve"> </w:t>
      </w:r>
      <w:r w:rsidR="00692017">
        <w:t xml:space="preserve">DIRETOR-GERAL da AGÊNCIA NACIONAL DO PETRÓLEO GÁS NATURAL E BIOCOMBUSTÍVEIS – ANP, no uso de suas atribuições, tendo em vista o disposto nos incisos I e XVIII, do art.8°, da Lei nº 9.478, de 6 de agosto de 1997, alterada pela Lei nº </w:t>
      </w:r>
      <w:hyperlink r:id="rId9" w:history="1">
        <w:r w:rsidR="00692017">
          <w:rPr>
            <w:i/>
            <w:iCs/>
          </w:rPr>
          <w:t>11.097</w:t>
        </w:r>
      </w:hyperlink>
      <w:r w:rsidR="00692017">
        <w:t xml:space="preserve">, de 13 de janeiro 2005 e com base na Resolução de Diretoria nº </w:t>
      </w:r>
      <w:r w:rsidR="007660D7" w:rsidRPr="007660D7">
        <w:rPr>
          <w:highlight w:val="yellow"/>
        </w:rPr>
        <w:t>XX</w:t>
      </w:r>
      <w:r w:rsidR="00692017">
        <w:t xml:space="preserve">, de </w:t>
      </w:r>
      <w:r w:rsidR="007660D7" w:rsidRPr="007660D7">
        <w:rPr>
          <w:highlight w:val="yellow"/>
        </w:rPr>
        <w:t>X</w:t>
      </w:r>
      <w:r w:rsidR="00692017">
        <w:t xml:space="preserve"> de </w:t>
      </w:r>
      <w:r w:rsidR="007660D7" w:rsidRPr="007660D7">
        <w:rPr>
          <w:highlight w:val="yellow"/>
        </w:rPr>
        <w:t>XXX</w:t>
      </w:r>
      <w:r w:rsidR="00692017">
        <w:t xml:space="preserve"> de </w:t>
      </w:r>
      <w:r>
        <w:t>201</w:t>
      </w:r>
      <w:r w:rsidR="00F57209">
        <w:t>7</w:t>
      </w:r>
      <w:r w:rsidR="00692017">
        <w:t>,</w:t>
      </w:r>
    </w:p>
    <w:p w:rsidR="00692017" w:rsidRDefault="006F562F">
      <w:pPr>
        <w:pStyle w:val="Recuodecorpodetexto2"/>
        <w:spacing w:before="120"/>
        <w:ind w:firstLine="567"/>
      </w:pPr>
      <w:r>
        <w:t>c</w:t>
      </w:r>
      <w:r w:rsidR="00692017">
        <w:t xml:space="preserve">onsiderando </w:t>
      </w:r>
      <w:r w:rsidR="000E0404">
        <w:t xml:space="preserve">que </w:t>
      </w:r>
      <w:r w:rsidR="002F64AD">
        <w:t xml:space="preserve">compete </w:t>
      </w:r>
      <w:r w:rsidR="000E0404">
        <w:t>à</w:t>
      </w:r>
      <w:r w:rsidR="00692017">
        <w:t xml:space="preserve"> ANP </w:t>
      </w:r>
      <w:r w:rsidR="000E0404">
        <w:t>proteger os</w:t>
      </w:r>
      <w:r w:rsidR="00692017">
        <w:t xml:space="preserve"> interesses dos consumidores quanto a preço, qualidade e oferta de produtos;</w:t>
      </w:r>
    </w:p>
    <w:p w:rsidR="008B5987" w:rsidRDefault="006F562F">
      <w:pPr>
        <w:pStyle w:val="Recuodecorpodetexto2"/>
        <w:spacing w:before="120"/>
        <w:ind w:firstLine="567"/>
      </w:pPr>
      <w:r>
        <w:t>c</w:t>
      </w:r>
      <w:r w:rsidR="00692017">
        <w:t>onsiderando que cabe à ANP estabelecer as especificações dos derivados de petróleo, gás natural e seus derivados e biocombustíveis;</w:t>
      </w:r>
    </w:p>
    <w:p w:rsidR="00912F31" w:rsidRPr="00A57572" w:rsidRDefault="006F562F" w:rsidP="00912F31">
      <w:pPr>
        <w:pStyle w:val="Corpodetexto"/>
        <w:tabs>
          <w:tab w:val="left" w:pos="851"/>
        </w:tabs>
        <w:spacing w:after="120" w:line="240" w:lineRule="exact"/>
        <w:ind w:firstLine="567"/>
        <w:jc w:val="both"/>
      </w:pPr>
      <w:r>
        <w:t>c</w:t>
      </w:r>
      <w:r w:rsidR="00912F31" w:rsidRPr="00A57572">
        <w:t>onsiderando que</w:t>
      </w:r>
      <w:r w:rsidR="009925D3" w:rsidRPr="00A57572">
        <w:t xml:space="preserve"> a </w:t>
      </w:r>
      <w:r w:rsidR="00912F31" w:rsidRPr="00A57572">
        <w:t xml:space="preserve">Lei nº 12.490, de 16 de setembro de 2011, </w:t>
      </w:r>
      <w:r w:rsidR="009925D3" w:rsidRPr="00A57572">
        <w:t>atribuiu à ANP a regulação e a autorização das atividades relacionadas com a indústria d</w:t>
      </w:r>
      <w:r w:rsidR="00912F31" w:rsidRPr="00A57572">
        <w:t>os biocombustíveis;</w:t>
      </w:r>
      <w:r w:rsidR="00DB1DEF">
        <w:t xml:space="preserve"> </w:t>
      </w:r>
    </w:p>
    <w:p w:rsidR="00912F31" w:rsidRDefault="006F562F" w:rsidP="00912F31">
      <w:pPr>
        <w:pStyle w:val="Corpodetexto"/>
        <w:tabs>
          <w:tab w:val="left" w:pos="851"/>
        </w:tabs>
        <w:spacing w:after="120" w:line="240" w:lineRule="exact"/>
        <w:ind w:firstLine="567"/>
        <w:jc w:val="both"/>
      </w:pPr>
      <w:r>
        <w:t>c</w:t>
      </w:r>
      <w:r w:rsidR="00912F31" w:rsidRPr="00A57572">
        <w:t xml:space="preserve">onsiderando que o </w:t>
      </w:r>
      <w:r w:rsidR="001E69CE">
        <w:t>biometano</w:t>
      </w:r>
      <w:r w:rsidR="00912F31" w:rsidRPr="00A57572">
        <w:t xml:space="preserve"> atende </w:t>
      </w:r>
      <w:r w:rsidR="00B76C70" w:rsidRPr="00A57572">
        <w:t>à definição de</w:t>
      </w:r>
      <w:r w:rsidR="00912F31" w:rsidRPr="00A57572">
        <w:t xml:space="preserve"> </w:t>
      </w:r>
      <w:r w:rsidR="007012E3" w:rsidRPr="00A57572">
        <w:t>biocombustíve</w:t>
      </w:r>
      <w:r w:rsidR="007012E3">
        <w:t>l</w:t>
      </w:r>
      <w:r w:rsidR="007012E3" w:rsidRPr="00A57572">
        <w:t xml:space="preserve"> </w:t>
      </w:r>
      <w:r w:rsidR="00B76C70" w:rsidRPr="00A57572">
        <w:t>estabelecida na Lei nº 12.490/2011</w:t>
      </w:r>
      <w:r w:rsidR="00DB1DEF">
        <w:t>; e</w:t>
      </w:r>
    </w:p>
    <w:p w:rsidR="00DB1DEF" w:rsidRPr="008C1FC9" w:rsidRDefault="006F562F" w:rsidP="00DB1DEF">
      <w:pPr>
        <w:pStyle w:val="Corpodetexto"/>
        <w:tabs>
          <w:tab w:val="left" w:pos="851"/>
        </w:tabs>
        <w:spacing w:after="120" w:line="240" w:lineRule="exact"/>
        <w:ind w:firstLine="567"/>
        <w:jc w:val="both"/>
        <w:rPr>
          <w:color w:val="FF0000"/>
        </w:rPr>
      </w:pPr>
      <w:r>
        <w:t>c</w:t>
      </w:r>
      <w:r w:rsidR="00DB1DEF" w:rsidRPr="007968BF">
        <w:t>onsiderando que a Lei n° 12</w:t>
      </w:r>
      <w:r w:rsidR="008D4796" w:rsidRPr="007968BF">
        <w:t>.</w:t>
      </w:r>
      <w:r w:rsidR="00DB1DEF" w:rsidRPr="007968BF">
        <w:t>305, de 2 de agosto de 2010, dispõe em seu artigo 9° sobre tecnologias de recuperação energética a partir de re</w:t>
      </w:r>
      <w:r w:rsidR="007968BF" w:rsidRPr="007968BF">
        <w:t xml:space="preserve">síduos </w:t>
      </w:r>
      <w:r w:rsidR="00DB1DEF" w:rsidRPr="007968BF">
        <w:t xml:space="preserve">sólidos </w:t>
      </w:r>
      <w:r w:rsidR="007968BF" w:rsidRPr="00E468E8">
        <w:t>urbanos</w:t>
      </w:r>
      <w:r>
        <w:t>,</w:t>
      </w:r>
      <w:r w:rsidR="00DB1DEF" w:rsidRPr="008C1FC9">
        <w:rPr>
          <w:color w:val="FF0000"/>
        </w:rPr>
        <w:t xml:space="preserve"> </w:t>
      </w:r>
    </w:p>
    <w:p w:rsidR="00DB1DEF" w:rsidRPr="00A57572" w:rsidRDefault="00DB1DEF" w:rsidP="00912F31">
      <w:pPr>
        <w:pStyle w:val="Corpodetexto"/>
        <w:tabs>
          <w:tab w:val="left" w:pos="851"/>
        </w:tabs>
        <w:spacing w:after="120" w:line="240" w:lineRule="exact"/>
        <w:ind w:firstLine="567"/>
        <w:jc w:val="both"/>
      </w:pPr>
    </w:p>
    <w:p w:rsidR="00692017" w:rsidRPr="006F562F" w:rsidRDefault="00E56602">
      <w:pPr>
        <w:pStyle w:val="Recuodecorpodetexto2"/>
        <w:spacing w:before="120"/>
        <w:ind w:firstLine="567"/>
      </w:pPr>
      <w:r w:rsidRPr="006F562F">
        <w:rPr>
          <w:bCs/>
        </w:rPr>
        <w:t>Resolve</w:t>
      </w:r>
      <w:r w:rsidR="00692017" w:rsidRPr="006F562F">
        <w:t>:</w:t>
      </w:r>
    </w:p>
    <w:p w:rsidR="00492CF4" w:rsidRPr="00D0299D" w:rsidRDefault="006F562F">
      <w:pPr>
        <w:pStyle w:val="Recuodecorpodetexto2"/>
        <w:spacing w:before="120"/>
        <w:ind w:firstLine="567"/>
        <w:jc w:val="center"/>
        <w:rPr>
          <w:b/>
        </w:rPr>
      </w:pPr>
      <w:r>
        <w:rPr>
          <w:b/>
        </w:rPr>
        <w:t>CAPÍTULO</w:t>
      </w:r>
      <w:r w:rsidR="009D2C93" w:rsidRPr="009D2C93">
        <w:rPr>
          <w:b/>
        </w:rPr>
        <w:t xml:space="preserve"> I</w:t>
      </w:r>
    </w:p>
    <w:p w:rsidR="00492CF4" w:rsidRPr="00D0299D" w:rsidRDefault="009D2C93" w:rsidP="006E7476">
      <w:pPr>
        <w:pStyle w:val="Recuodecorpodetexto2"/>
        <w:spacing w:before="120" w:after="240"/>
        <w:ind w:firstLine="567"/>
        <w:jc w:val="center"/>
        <w:rPr>
          <w:b/>
        </w:rPr>
      </w:pPr>
      <w:r w:rsidRPr="009D2C93">
        <w:rPr>
          <w:b/>
        </w:rPr>
        <w:t xml:space="preserve">Das Disposições </w:t>
      </w:r>
      <w:r w:rsidR="00E56602">
        <w:rPr>
          <w:b/>
        </w:rPr>
        <w:t>Preliminares</w:t>
      </w:r>
    </w:p>
    <w:p w:rsidR="00703FEA" w:rsidRDefault="009D2C93" w:rsidP="00703FEA">
      <w:pPr>
        <w:spacing w:before="120"/>
        <w:ind w:firstLine="567"/>
        <w:jc w:val="both"/>
        <w:rPr>
          <w:snapToGrid w:val="0"/>
          <w:sz w:val="24"/>
        </w:rPr>
      </w:pPr>
      <w:r w:rsidRPr="009D2C93">
        <w:rPr>
          <w:b/>
          <w:sz w:val="24"/>
        </w:rPr>
        <w:t>Art. 1º</w:t>
      </w:r>
      <w:r w:rsidR="00692017">
        <w:rPr>
          <w:snapToGrid w:val="0"/>
          <w:sz w:val="24"/>
        </w:rPr>
        <w:t xml:space="preserve"> </w:t>
      </w:r>
      <w:r w:rsidR="006F562F">
        <w:rPr>
          <w:snapToGrid w:val="0"/>
          <w:sz w:val="24"/>
        </w:rPr>
        <w:t>Estabelecer</w:t>
      </w:r>
      <w:r w:rsidR="00703FEA">
        <w:rPr>
          <w:snapToGrid w:val="0"/>
          <w:sz w:val="24"/>
        </w:rPr>
        <w:t xml:space="preserve"> </w:t>
      </w:r>
      <w:r w:rsidR="00C869D1" w:rsidRPr="00C869D1">
        <w:rPr>
          <w:snapToGrid w:val="0"/>
          <w:sz w:val="24"/>
        </w:rPr>
        <w:t xml:space="preserve">as regras para </w:t>
      </w:r>
      <w:r w:rsidR="00135F4D">
        <w:rPr>
          <w:snapToGrid w:val="0"/>
          <w:sz w:val="24"/>
        </w:rPr>
        <w:t>aprovação do controle da qualidade</w:t>
      </w:r>
      <w:r w:rsidR="007B45CE">
        <w:rPr>
          <w:snapToGrid w:val="0"/>
          <w:sz w:val="24"/>
        </w:rPr>
        <w:t xml:space="preserve"> </w:t>
      </w:r>
      <w:r w:rsidR="00C869D1" w:rsidRPr="00C869D1">
        <w:rPr>
          <w:snapToGrid w:val="0"/>
          <w:sz w:val="24"/>
        </w:rPr>
        <w:t xml:space="preserve"> </w:t>
      </w:r>
      <w:r w:rsidR="00C869D1">
        <w:rPr>
          <w:snapToGrid w:val="0"/>
          <w:sz w:val="24"/>
        </w:rPr>
        <w:t xml:space="preserve">e </w:t>
      </w:r>
      <w:r w:rsidR="00E56602">
        <w:rPr>
          <w:snapToGrid w:val="0"/>
          <w:sz w:val="24"/>
        </w:rPr>
        <w:t>a especificação</w:t>
      </w:r>
      <w:r w:rsidR="00E56602" w:rsidRPr="00703FEA">
        <w:rPr>
          <w:snapToGrid w:val="0"/>
          <w:sz w:val="24"/>
        </w:rPr>
        <w:t xml:space="preserve"> do </w:t>
      </w:r>
      <w:r w:rsidR="002D24AD">
        <w:rPr>
          <w:snapToGrid w:val="0"/>
          <w:sz w:val="24"/>
        </w:rPr>
        <w:t xml:space="preserve">Biometano </w:t>
      </w:r>
      <w:r w:rsidR="00E909CE">
        <w:rPr>
          <w:snapToGrid w:val="0"/>
          <w:sz w:val="24"/>
        </w:rPr>
        <w:t xml:space="preserve">oriundo de aterros sanitários e estações de tratamento de esgoto </w:t>
      </w:r>
      <w:r w:rsidR="00E909CE" w:rsidRPr="00A57572">
        <w:rPr>
          <w:snapToGrid w:val="0"/>
          <w:sz w:val="24"/>
        </w:rPr>
        <w:t>destina</w:t>
      </w:r>
      <w:r w:rsidR="00E909CE">
        <w:rPr>
          <w:snapToGrid w:val="0"/>
          <w:sz w:val="24"/>
        </w:rPr>
        <w:t xml:space="preserve">do </w:t>
      </w:r>
      <w:r w:rsidR="00E909CE" w:rsidRPr="00A57572">
        <w:rPr>
          <w:snapToGrid w:val="0"/>
          <w:sz w:val="24"/>
        </w:rPr>
        <w:t xml:space="preserve">ao uso </w:t>
      </w:r>
      <w:r w:rsidR="00E909CE" w:rsidRPr="002545EA">
        <w:rPr>
          <w:snapToGrid w:val="0"/>
          <w:sz w:val="24"/>
        </w:rPr>
        <w:t>veicular e às</w:t>
      </w:r>
      <w:r w:rsidR="00E909CE" w:rsidRPr="00A57572">
        <w:rPr>
          <w:snapToGrid w:val="0"/>
          <w:sz w:val="24"/>
        </w:rPr>
        <w:t xml:space="preserve"> instalações residenciais e comerciais</w:t>
      </w:r>
      <w:r w:rsidR="008C2BB2">
        <w:rPr>
          <w:snapToGrid w:val="0"/>
          <w:sz w:val="24"/>
        </w:rPr>
        <w:t xml:space="preserve"> </w:t>
      </w:r>
      <w:r w:rsidR="005323FE">
        <w:rPr>
          <w:snapToGrid w:val="0"/>
          <w:sz w:val="24"/>
        </w:rPr>
        <w:t xml:space="preserve">contida </w:t>
      </w:r>
      <w:r w:rsidR="006B1972" w:rsidRPr="00703FEA">
        <w:rPr>
          <w:snapToGrid w:val="0"/>
          <w:sz w:val="24"/>
        </w:rPr>
        <w:t xml:space="preserve">no Regulamento Técnico ANP nº </w:t>
      </w:r>
      <w:r w:rsidR="00BF3383" w:rsidRPr="004E7326">
        <w:rPr>
          <w:snapToGrid w:val="0"/>
          <w:sz w:val="24"/>
          <w:highlight w:val="yellow"/>
        </w:rPr>
        <w:t>XX</w:t>
      </w:r>
      <w:r w:rsidR="006B1972">
        <w:rPr>
          <w:snapToGrid w:val="0"/>
          <w:sz w:val="24"/>
        </w:rPr>
        <w:t>/201</w:t>
      </w:r>
      <w:r w:rsidR="008C2BB2">
        <w:rPr>
          <w:snapToGrid w:val="0"/>
          <w:sz w:val="24"/>
        </w:rPr>
        <w:t>7</w:t>
      </w:r>
      <w:r w:rsidR="006B1972" w:rsidRPr="00703FEA">
        <w:rPr>
          <w:snapToGrid w:val="0"/>
          <w:sz w:val="24"/>
        </w:rPr>
        <w:t xml:space="preserve">, parte integrante desta Resolução, </w:t>
      </w:r>
      <w:r w:rsidR="00703FEA" w:rsidRPr="00703FEA">
        <w:rPr>
          <w:snapToGrid w:val="0"/>
          <w:sz w:val="24"/>
        </w:rPr>
        <w:t xml:space="preserve">e as obrigações quanto ao controle da qualidade a serem atendidas pelos diversos agentes econômicos que comercializam o produto </w:t>
      </w:r>
      <w:r w:rsidR="006F562F">
        <w:rPr>
          <w:snapToGrid w:val="0"/>
          <w:sz w:val="24"/>
        </w:rPr>
        <w:t>n</w:t>
      </w:r>
      <w:r w:rsidR="00703FEA" w:rsidRPr="00703FEA">
        <w:rPr>
          <w:snapToGrid w:val="0"/>
          <w:sz w:val="24"/>
        </w:rPr>
        <w:t>o território nacional.</w:t>
      </w:r>
    </w:p>
    <w:p w:rsidR="00E40789" w:rsidRDefault="00BB170D" w:rsidP="00E40789">
      <w:pPr>
        <w:spacing w:before="120"/>
        <w:ind w:firstLine="567"/>
        <w:jc w:val="both"/>
        <w:rPr>
          <w:snapToGrid w:val="0"/>
          <w:sz w:val="24"/>
        </w:rPr>
      </w:pPr>
      <w:r w:rsidRPr="00BB170D">
        <w:rPr>
          <w:snapToGrid w:val="0"/>
          <w:sz w:val="24"/>
        </w:rPr>
        <w:t>§1º A comercialização e o transporte de biometano oriundo de aterros sanitários e estações de tratamento de esgoto de especificações diversas daquela indicada pelo Regulamento Técnico ANP nº XX/2017, parte integrante desta Resolução, são permitidos, desde que respeitadas as condições de entrega acordadas entre todas as partes envolvidas e os limites de emissão de poluentes fixados pelo órgão ambiental ao qual caiba tal atribuição somente para consumidor industrial e para consumo próprio entregue por duto exclusivo.</w:t>
      </w:r>
      <w:r w:rsidR="00E40789" w:rsidRPr="00E40789">
        <w:rPr>
          <w:snapToGrid w:val="0"/>
          <w:sz w:val="24"/>
        </w:rPr>
        <w:t xml:space="preserve"> </w:t>
      </w:r>
      <w:r w:rsidR="00E40789" w:rsidRPr="00E40789">
        <w:rPr>
          <w:snapToGrid w:val="0"/>
          <w:sz w:val="24"/>
        </w:rPr>
        <w:cr/>
      </w:r>
    </w:p>
    <w:p w:rsidR="00E40789" w:rsidRDefault="00E40789" w:rsidP="00703FEA">
      <w:pPr>
        <w:spacing w:before="120"/>
        <w:ind w:firstLine="567"/>
        <w:jc w:val="both"/>
        <w:rPr>
          <w:snapToGrid w:val="0"/>
          <w:sz w:val="24"/>
        </w:rPr>
      </w:pPr>
    </w:p>
    <w:p w:rsidR="001A3518" w:rsidRPr="00A57572" w:rsidRDefault="001A3518" w:rsidP="00277F9D">
      <w:pPr>
        <w:spacing w:before="120" w:after="360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§</w:t>
      </w:r>
      <w:r w:rsidR="00E909CE">
        <w:rPr>
          <w:snapToGrid w:val="0"/>
          <w:sz w:val="24"/>
        </w:rPr>
        <w:t>2</w:t>
      </w:r>
      <w:r>
        <w:rPr>
          <w:snapToGrid w:val="0"/>
          <w:sz w:val="24"/>
        </w:rPr>
        <w:t xml:space="preserve">º Fica dispensado </w:t>
      </w:r>
      <w:r w:rsidR="00E40789">
        <w:rPr>
          <w:snapToGrid w:val="0"/>
          <w:sz w:val="24"/>
        </w:rPr>
        <w:t>do atendimento à</w:t>
      </w:r>
      <w:r>
        <w:rPr>
          <w:snapToGrid w:val="0"/>
          <w:sz w:val="24"/>
        </w:rPr>
        <w:t xml:space="preserve"> especificação e </w:t>
      </w:r>
      <w:r w:rsidR="00E40789">
        <w:rPr>
          <w:snapToGrid w:val="0"/>
          <w:sz w:val="24"/>
        </w:rPr>
        <w:t xml:space="preserve">às </w:t>
      </w:r>
      <w:r>
        <w:rPr>
          <w:snapToGrid w:val="0"/>
          <w:sz w:val="24"/>
        </w:rPr>
        <w:t>obrigações quanto ao controle d</w:t>
      </w:r>
      <w:r w:rsidR="001F37BD">
        <w:rPr>
          <w:snapToGrid w:val="0"/>
          <w:sz w:val="24"/>
        </w:rPr>
        <w:t>a</w:t>
      </w:r>
      <w:r>
        <w:rPr>
          <w:snapToGrid w:val="0"/>
          <w:sz w:val="24"/>
        </w:rPr>
        <w:t xml:space="preserve"> qualidade, o produtor de biometano de aterros sanitários e estações de tratamento de esgoto, </w:t>
      </w:r>
      <w:r w:rsidR="00277F9D">
        <w:rPr>
          <w:snapToGrid w:val="0"/>
          <w:sz w:val="24"/>
        </w:rPr>
        <w:t>que comercializar o produto</w:t>
      </w:r>
      <w:r w:rsidR="002D24AD">
        <w:rPr>
          <w:snapToGrid w:val="0"/>
          <w:sz w:val="24"/>
        </w:rPr>
        <w:t xml:space="preserve"> </w:t>
      </w:r>
      <w:r w:rsidR="00277F9D">
        <w:rPr>
          <w:snapToGrid w:val="0"/>
          <w:sz w:val="24"/>
        </w:rPr>
        <w:t xml:space="preserve"> exclusivamente</w:t>
      </w:r>
      <w:r w:rsidR="002D24AD">
        <w:rPr>
          <w:snapToGrid w:val="0"/>
          <w:sz w:val="24"/>
        </w:rPr>
        <w:t xml:space="preserve"> </w:t>
      </w:r>
      <w:r w:rsidR="00277F9D">
        <w:rPr>
          <w:snapToGrid w:val="0"/>
          <w:sz w:val="24"/>
        </w:rPr>
        <w:t xml:space="preserve"> para fins de</w:t>
      </w:r>
      <w:r>
        <w:rPr>
          <w:snapToGrid w:val="0"/>
          <w:sz w:val="24"/>
        </w:rPr>
        <w:t xml:space="preserve"> geração de energia elétrica.</w:t>
      </w:r>
    </w:p>
    <w:p w:rsidR="00492CF4" w:rsidRPr="00D0299D" w:rsidRDefault="001F37BD">
      <w:pPr>
        <w:spacing w:before="120"/>
        <w:ind w:firstLine="567"/>
        <w:jc w:val="center"/>
        <w:rPr>
          <w:b/>
          <w:sz w:val="24"/>
        </w:rPr>
      </w:pPr>
      <w:r>
        <w:rPr>
          <w:b/>
          <w:sz w:val="24"/>
        </w:rPr>
        <w:t>CAPÍTULO</w:t>
      </w:r>
      <w:r w:rsidRPr="009D2C93">
        <w:rPr>
          <w:b/>
          <w:sz w:val="24"/>
        </w:rPr>
        <w:t xml:space="preserve"> </w:t>
      </w:r>
      <w:r w:rsidR="009D2C93" w:rsidRPr="009D2C93">
        <w:rPr>
          <w:b/>
          <w:sz w:val="24"/>
        </w:rPr>
        <w:t>II</w:t>
      </w:r>
    </w:p>
    <w:p w:rsidR="00492CF4" w:rsidRPr="00D0299D" w:rsidRDefault="009D2C93" w:rsidP="006E7476">
      <w:pPr>
        <w:spacing w:before="120" w:after="240"/>
        <w:ind w:firstLine="567"/>
        <w:jc w:val="center"/>
        <w:rPr>
          <w:b/>
          <w:sz w:val="24"/>
        </w:rPr>
      </w:pPr>
      <w:r w:rsidRPr="009D2C93">
        <w:rPr>
          <w:b/>
          <w:sz w:val="24"/>
        </w:rPr>
        <w:t>Das Definições</w:t>
      </w:r>
    </w:p>
    <w:p w:rsidR="00692017" w:rsidRDefault="00E468E8">
      <w:pPr>
        <w:pStyle w:val="Recuodecorpodetexto2"/>
        <w:spacing w:before="120"/>
        <w:ind w:firstLine="567"/>
        <w:rPr>
          <w:snapToGrid/>
        </w:rPr>
      </w:pPr>
      <w:r>
        <w:rPr>
          <w:b/>
        </w:rPr>
        <w:t xml:space="preserve">Art. </w:t>
      </w:r>
      <w:r w:rsidR="00F57387">
        <w:rPr>
          <w:b/>
        </w:rPr>
        <w:t>2</w:t>
      </w:r>
      <w:r w:rsidR="009D2C93" w:rsidRPr="009D2C93">
        <w:rPr>
          <w:b/>
        </w:rPr>
        <w:t>º</w:t>
      </w:r>
      <w:r w:rsidR="00692017">
        <w:rPr>
          <w:snapToGrid/>
        </w:rPr>
        <w:t xml:space="preserve"> Para os fins desta Resolução ficam estabelecidas as seguintes definições:</w:t>
      </w:r>
    </w:p>
    <w:p w:rsidR="00C31AD1" w:rsidRDefault="005B03D5">
      <w:pPr>
        <w:pStyle w:val="Recuodecorpodetexto2"/>
        <w:spacing w:before="120"/>
        <w:ind w:firstLine="567"/>
        <w:rPr>
          <w:snapToGrid/>
        </w:rPr>
      </w:pPr>
      <w:r>
        <w:rPr>
          <w:snapToGrid/>
        </w:rPr>
        <w:t>I</w:t>
      </w:r>
      <w:r w:rsidR="00A7419A">
        <w:rPr>
          <w:snapToGrid/>
        </w:rPr>
        <w:t xml:space="preserve"> -</w:t>
      </w:r>
      <w:r>
        <w:rPr>
          <w:snapToGrid/>
        </w:rPr>
        <w:t xml:space="preserve"> </w:t>
      </w:r>
      <w:r w:rsidR="002D24AD">
        <w:rPr>
          <w:snapToGrid/>
        </w:rPr>
        <w:t>Biogás</w:t>
      </w:r>
      <w:r w:rsidR="008A48C4">
        <w:rPr>
          <w:snapToGrid/>
        </w:rPr>
        <w:t xml:space="preserve">: </w:t>
      </w:r>
      <w:r w:rsidR="00C31AD1">
        <w:rPr>
          <w:snapToGrid/>
        </w:rPr>
        <w:t>gás bruto o</w:t>
      </w:r>
      <w:r w:rsidR="00DB1DEF">
        <w:rPr>
          <w:snapToGrid/>
        </w:rPr>
        <w:t>btido</w:t>
      </w:r>
      <w:r w:rsidR="00C31AD1">
        <w:rPr>
          <w:snapToGrid/>
        </w:rPr>
        <w:t xml:space="preserve"> da decomposição biológica de resíduos orgânicos;</w:t>
      </w:r>
    </w:p>
    <w:p w:rsidR="0071538D" w:rsidRDefault="00C31AD1">
      <w:pPr>
        <w:pStyle w:val="Recuodecorpodetexto2"/>
        <w:spacing w:before="120"/>
        <w:ind w:firstLine="567"/>
        <w:rPr>
          <w:snapToGrid/>
        </w:rPr>
      </w:pPr>
      <w:r>
        <w:rPr>
          <w:snapToGrid/>
        </w:rPr>
        <w:t>II</w:t>
      </w:r>
      <w:r w:rsidR="00A7419A">
        <w:rPr>
          <w:snapToGrid/>
        </w:rPr>
        <w:t xml:space="preserve"> -</w:t>
      </w:r>
      <w:r>
        <w:rPr>
          <w:snapToGrid/>
        </w:rPr>
        <w:t xml:space="preserve"> </w:t>
      </w:r>
      <w:r w:rsidR="002D24AD">
        <w:rPr>
          <w:snapToGrid/>
        </w:rPr>
        <w:t>Biometano</w:t>
      </w:r>
      <w:r w:rsidR="004E3076">
        <w:rPr>
          <w:snapToGrid/>
        </w:rPr>
        <w:t xml:space="preserve">: </w:t>
      </w:r>
      <w:r w:rsidR="008A48C4">
        <w:rPr>
          <w:snapToGrid/>
        </w:rPr>
        <w:t>gás</w:t>
      </w:r>
      <w:r w:rsidR="004E3076">
        <w:rPr>
          <w:snapToGrid/>
        </w:rPr>
        <w:t xml:space="preserve"> c</w:t>
      </w:r>
      <w:r>
        <w:rPr>
          <w:snapToGrid/>
        </w:rPr>
        <w:t>onstituído essencialmente</w:t>
      </w:r>
      <w:r w:rsidR="004E3076">
        <w:rPr>
          <w:snapToGrid/>
        </w:rPr>
        <w:t xml:space="preserve"> </w:t>
      </w:r>
      <w:r>
        <w:rPr>
          <w:snapToGrid/>
        </w:rPr>
        <w:t>de</w:t>
      </w:r>
      <w:r w:rsidR="004E3076">
        <w:rPr>
          <w:snapToGrid/>
        </w:rPr>
        <w:t xml:space="preserve"> metano, derivado da purificação d</w:t>
      </w:r>
      <w:r>
        <w:rPr>
          <w:snapToGrid/>
        </w:rPr>
        <w:t>o</w:t>
      </w:r>
      <w:r w:rsidR="004E3076">
        <w:rPr>
          <w:snapToGrid/>
        </w:rPr>
        <w:t xml:space="preserve"> </w:t>
      </w:r>
      <w:r w:rsidR="001E590D">
        <w:rPr>
          <w:snapToGrid/>
        </w:rPr>
        <w:t>B</w:t>
      </w:r>
      <w:r w:rsidR="004E3076">
        <w:rPr>
          <w:snapToGrid/>
        </w:rPr>
        <w:t>iogás</w:t>
      </w:r>
      <w:r w:rsidR="0071538D">
        <w:rPr>
          <w:snapToGrid/>
        </w:rPr>
        <w:t>;</w:t>
      </w:r>
    </w:p>
    <w:p w:rsidR="00A92B17" w:rsidRDefault="0071538D" w:rsidP="00E40789">
      <w:pPr>
        <w:pStyle w:val="Recuodecorpodetexto2"/>
        <w:spacing w:before="120"/>
        <w:ind w:firstLine="567"/>
        <w:rPr>
          <w:snapToGrid/>
        </w:rPr>
      </w:pPr>
      <w:r>
        <w:rPr>
          <w:snapToGrid/>
        </w:rPr>
        <w:t xml:space="preserve">III – </w:t>
      </w:r>
      <w:r w:rsidR="001E69CE">
        <w:rPr>
          <w:snapToGrid/>
        </w:rPr>
        <w:t>d</w:t>
      </w:r>
      <w:r>
        <w:rPr>
          <w:snapToGrid/>
        </w:rPr>
        <w:t>uto dedicado:</w:t>
      </w:r>
      <w:r w:rsidR="00E40789">
        <w:rPr>
          <w:snapToGrid/>
        </w:rPr>
        <w:t xml:space="preserve"> Duto em que há apenas </w:t>
      </w:r>
      <w:r w:rsidR="00A92B17">
        <w:rPr>
          <w:snapToGrid/>
        </w:rPr>
        <w:t>entrega</w:t>
      </w:r>
      <w:r w:rsidR="00E40789">
        <w:rPr>
          <w:snapToGrid/>
        </w:rPr>
        <w:t xml:space="preserve"> do </w:t>
      </w:r>
      <w:r w:rsidR="001E69CE">
        <w:rPr>
          <w:snapToGrid/>
        </w:rPr>
        <w:t>biometano</w:t>
      </w:r>
      <w:r w:rsidR="00E40789">
        <w:rPr>
          <w:snapToGrid/>
        </w:rPr>
        <w:t xml:space="preserve"> oriundo de aterros sanitários e estações de tratamento de esgoto </w:t>
      </w:r>
      <w:r w:rsidR="00A92B17">
        <w:rPr>
          <w:snapToGrid/>
        </w:rPr>
        <w:t>para consumidores industriais;</w:t>
      </w:r>
    </w:p>
    <w:p w:rsidR="0030116E" w:rsidRDefault="00A92B17" w:rsidP="00277F9D">
      <w:pPr>
        <w:spacing w:before="120" w:after="360"/>
        <w:ind w:firstLine="567"/>
        <w:jc w:val="both"/>
        <w:rPr>
          <w:sz w:val="24"/>
        </w:rPr>
      </w:pPr>
      <w:r w:rsidRPr="00C869D1">
        <w:rPr>
          <w:sz w:val="24"/>
        </w:rPr>
        <w:t xml:space="preserve">IV – </w:t>
      </w:r>
      <w:r w:rsidR="001E69CE">
        <w:rPr>
          <w:sz w:val="24"/>
        </w:rPr>
        <w:t>p</w:t>
      </w:r>
      <w:r w:rsidR="001E69CE" w:rsidRPr="00C869D1">
        <w:rPr>
          <w:sz w:val="24"/>
        </w:rPr>
        <w:t xml:space="preserve">rodutor </w:t>
      </w:r>
      <w:r w:rsidRPr="00C869D1">
        <w:rPr>
          <w:sz w:val="24"/>
        </w:rPr>
        <w:t xml:space="preserve">de </w:t>
      </w:r>
      <w:r w:rsidR="001E69CE">
        <w:rPr>
          <w:sz w:val="24"/>
        </w:rPr>
        <w:t>biometano</w:t>
      </w:r>
      <w:r w:rsidRPr="00C869D1">
        <w:rPr>
          <w:sz w:val="24"/>
        </w:rPr>
        <w:t xml:space="preserve">: Pessoa Jurídica constituída sob as leis brasileiras que possui unidades de purificação de biogás para obtenção de </w:t>
      </w:r>
      <w:r w:rsidR="001E69CE">
        <w:rPr>
          <w:sz w:val="24"/>
        </w:rPr>
        <w:t>biometano</w:t>
      </w:r>
      <w:r w:rsidRPr="00C869D1">
        <w:rPr>
          <w:sz w:val="24"/>
        </w:rPr>
        <w:t xml:space="preserve"> oriundo de aterros sanitários e estações de tratamento de esgoto</w:t>
      </w:r>
      <w:r w:rsidR="0030116E">
        <w:rPr>
          <w:sz w:val="24"/>
        </w:rPr>
        <w:t>;</w:t>
      </w:r>
    </w:p>
    <w:p w:rsidR="00177D32" w:rsidRPr="00C869D1" w:rsidRDefault="0030116E" w:rsidP="00277F9D">
      <w:pPr>
        <w:spacing w:before="120" w:after="360"/>
        <w:ind w:firstLine="567"/>
        <w:jc w:val="both"/>
        <w:rPr>
          <w:sz w:val="24"/>
        </w:rPr>
      </w:pPr>
      <w:r>
        <w:rPr>
          <w:sz w:val="24"/>
        </w:rPr>
        <w:t>V - laboratório independente: qualquer laboratório que realiza testes ou análises e não se encontra sob controle gerencial direto da empresa que contrata seus serviços.</w:t>
      </w:r>
      <w:r w:rsidR="00A92B17" w:rsidRPr="00C869D1">
        <w:rPr>
          <w:sz w:val="24"/>
        </w:rPr>
        <w:t xml:space="preserve"> </w:t>
      </w:r>
    </w:p>
    <w:p w:rsidR="00492CF4" w:rsidRPr="0076738B" w:rsidRDefault="001F37BD" w:rsidP="00D34BFC">
      <w:pPr>
        <w:spacing w:before="120"/>
        <w:ind w:firstLine="567"/>
        <w:jc w:val="center"/>
        <w:rPr>
          <w:b/>
          <w:sz w:val="24"/>
        </w:rPr>
      </w:pPr>
      <w:r>
        <w:rPr>
          <w:b/>
          <w:sz w:val="24"/>
        </w:rPr>
        <w:t>CAPÍTULO</w:t>
      </w:r>
      <w:r w:rsidRPr="009D2C93">
        <w:rPr>
          <w:b/>
          <w:sz w:val="24"/>
        </w:rPr>
        <w:t xml:space="preserve"> </w:t>
      </w:r>
      <w:r w:rsidR="009D2C93" w:rsidRPr="009D2C93">
        <w:rPr>
          <w:b/>
          <w:sz w:val="24"/>
        </w:rPr>
        <w:t>III</w:t>
      </w:r>
    </w:p>
    <w:p w:rsidR="008B5987" w:rsidRDefault="007C53E8" w:rsidP="006E7476">
      <w:pPr>
        <w:pStyle w:val="Recuodecorpodetexto2"/>
        <w:spacing w:before="120" w:after="240"/>
        <w:ind w:firstLine="0"/>
        <w:jc w:val="center"/>
        <w:rPr>
          <w:b/>
        </w:rPr>
      </w:pPr>
      <w:r w:rsidRPr="00EB2F91">
        <w:rPr>
          <w:b/>
        </w:rPr>
        <w:t xml:space="preserve">         </w:t>
      </w:r>
      <w:r w:rsidR="00840919">
        <w:rPr>
          <w:b/>
        </w:rPr>
        <w:t xml:space="preserve">Das </w:t>
      </w:r>
      <w:r w:rsidR="00583B3E">
        <w:rPr>
          <w:b/>
        </w:rPr>
        <w:t>R</w:t>
      </w:r>
      <w:r w:rsidR="00840919">
        <w:rPr>
          <w:b/>
        </w:rPr>
        <w:t xml:space="preserve">egras de </w:t>
      </w:r>
      <w:r w:rsidR="00583B3E">
        <w:rPr>
          <w:b/>
        </w:rPr>
        <w:t>U</w:t>
      </w:r>
      <w:r w:rsidR="00840919">
        <w:rPr>
          <w:b/>
        </w:rPr>
        <w:t>tilização</w:t>
      </w:r>
    </w:p>
    <w:p w:rsidR="003C7969" w:rsidRDefault="00F57387" w:rsidP="007C1080">
      <w:pPr>
        <w:spacing w:before="120"/>
        <w:ind w:firstLine="567"/>
        <w:jc w:val="both"/>
        <w:rPr>
          <w:sz w:val="24"/>
        </w:rPr>
      </w:pPr>
      <w:r w:rsidRPr="00F57387">
        <w:rPr>
          <w:b/>
          <w:sz w:val="24"/>
        </w:rPr>
        <w:t xml:space="preserve">Art. </w:t>
      </w:r>
      <w:r w:rsidR="000D71E9">
        <w:rPr>
          <w:b/>
          <w:sz w:val="24"/>
        </w:rPr>
        <w:t>3</w:t>
      </w:r>
      <w:r w:rsidR="000D71E9" w:rsidRPr="00F57387">
        <w:rPr>
          <w:b/>
          <w:sz w:val="24"/>
        </w:rPr>
        <w:t>º</w:t>
      </w:r>
      <w:r w:rsidR="000D71E9">
        <w:rPr>
          <w:b/>
          <w:sz w:val="24"/>
        </w:rPr>
        <w:t xml:space="preserve"> </w:t>
      </w:r>
      <w:r>
        <w:rPr>
          <w:sz w:val="24"/>
        </w:rPr>
        <w:t xml:space="preserve">É vedada a </w:t>
      </w:r>
      <w:r w:rsidR="0071538D">
        <w:rPr>
          <w:sz w:val="24"/>
        </w:rPr>
        <w:t xml:space="preserve">comercialização </w:t>
      </w:r>
      <w:r>
        <w:rPr>
          <w:sz w:val="24"/>
        </w:rPr>
        <w:t xml:space="preserve">de </w:t>
      </w:r>
      <w:r w:rsidR="002D24AD">
        <w:rPr>
          <w:sz w:val="24"/>
        </w:rPr>
        <w:t xml:space="preserve">Biometano </w:t>
      </w:r>
      <w:r>
        <w:rPr>
          <w:sz w:val="24"/>
        </w:rPr>
        <w:t xml:space="preserve">oriundo de aterros sanitários e estações de tratamento de esgoto </w:t>
      </w:r>
      <w:r w:rsidR="003C7969">
        <w:rPr>
          <w:snapToGrid w:val="0"/>
          <w:sz w:val="24"/>
        </w:rPr>
        <w:t>para uso veicular</w:t>
      </w:r>
      <w:r w:rsidR="00A92B17">
        <w:rPr>
          <w:snapToGrid w:val="0"/>
          <w:sz w:val="24"/>
        </w:rPr>
        <w:t>,</w:t>
      </w:r>
      <w:r w:rsidR="003C7969">
        <w:rPr>
          <w:snapToGrid w:val="0"/>
          <w:sz w:val="24"/>
        </w:rPr>
        <w:t xml:space="preserve"> uso residencial</w:t>
      </w:r>
      <w:r w:rsidR="00704642">
        <w:rPr>
          <w:snapToGrid w:val="0"/>
          <w:sz w:val="24"/>
        </w:rPr>
        <w:t xml:space="preserve"> </w:t>
      </w:r>
      <w:r w:rsidR="00A92B17">
        <w:rPr>
          <w:snapToGrid w:val="0"/>
          <w:sz w:val="24"/>
        </w:rPr>
        <w:t>e comercial</w:t>
      </w:r>
      <w:r w:rsidR="00ED310F">
        <w:rPr>
          <w:snapToGrid w:val="0"/>
          <w:sz w:val="24"/>
        </w:rPr>
        <w:t>, bem como sua mistura com o gás natural,</w:t>
      </w:r>
      <w:r w:rsidR="003C7969" w:rsidRPr="00964AA5">
        <w:rPr>
          <w:sz w:val="24"/>
        </w:rPr>
        <w:t xml:space="preserve"> que não atenda a especificação estabelecida no Regulamento Técnico</w:t>
      </w:r>
      <w:r w:rsidR="006E7476">
        <w:rPr>
          <w:sz w:val="24"/>
        </w:rPr>
        <w:t xml:space="preserve"> nº </w:t>
      </w:r>
      <w:r w:rsidR="006E7476" w:rsidRPr="006E7476">
        <w:rPr>
          <w:sz w:val="24"/>
          <w:highlight w:val="yellow"/>
        </w:rPr>
        <w:t>XX</w:t>
      </w:r>
      <w:r w:rsidR="006E7476">
        <w:rPr>
          <w:sz w:val="24"/>
        </w:rPr>
        <w:t>/2017</w:t>
      </w:r>
      <w:r w:rsidR="003C7969" w:rsidRPr="00964AA5">
        <w:rPr>
          <w:sz w:val="24"/>
        </w:rPr>
        <w:t>, p</w:t>
      </w:r>
      <w:r w:rsidR="003C7969">
        <w:rPr>
          <w:sz w:val="24"/>
        </w:rPr>
        <w:t>arte integrante desta Resolução.</w:t>
      </w:r>
    </w:p>
    <w:p w:rsidR="00A75394" w:rsidRDefault="003C7969" w:rsidP="00C623D7">
      <w:pPr>
        <w:spacing w:before="120" w:after="360"/>
        <w:ind w:firstLine="567"/>
        <w:jc w:val="both"/>
        <w:rPr>
          <w:b/>
        </w:rPr>
      </w:pPr>
      <w:r>
        <w:rPr>
          <w:sz w:val="24"/>
        </w:rPr>
        <w:t xml:space="preserve">Parágrafo único. A comercialização de que trata o </w:t>
      </w:r>
      <w:r w:rsidR="006D3C8D" w:rsidRPr="00E5091C">
        <w:rPr>
          <w:i/>
          <w:sz w:val="24"/>
        </w:rPr>
        <w:t>caput</w:t>
      </w:r>
      <w:r>
        <w:rPr>
          <w:sz w:val="24"/>
        </w:rPr>
        <w:t xml:space="preserve"> somente </w:t>
      </w:r>
      <w:r w:rsidR="002D24AD">
        <w:rPr>
          <w:sz w:val="24"/>
        </w:rPr>
        <w:t xml:space="preserve">poderá </w:t>
      </w:r>
      <w:r>
        <w:rPr>
          <w:sz w:val="24"/>
        </w:rPr>
        <w:t xml:space="preserve">ser autorizada para plantas de purificação que </w:t>
      </w:r>
      <w:r w:rsidR="00F57387">
        <w:rPr>
          <w:sz w:val="24"/>
        </w:rPr>
        <w:t>tenha</w:t>
      </w:r>
      <w:r>
        <w:rPr>
          <w:sz w:val="24"/>
        </w:rPr>
        <w:t xml:space="preserve">m </w:t>
      </w:r>
      <w:r w:rsidR="00F57387">
        <w:rPr>
          <w:sz w:val="24"/>
        </w:rPr>
        <w:t>implementad</w:t>
      </w:r>
      <w:r>
        <w:rPr>
          <w:sz w:val="24"/>
        </w:rPr>
        <w:t xml:space="preserve">o </w:t>
      </w:r>
      <w:r w:rsidR="00F57387">
        <w:rPr>
          <w:sz w:val="24"/>
        </w:rPr>
        <w:t>as recomendações da análise de risco e o gerenciamento de barreiras</w:t>
      </w:r>
      <w:r w:rsidR="00ED310F">
        <w:rPr>
          <w:sz w:val="24"/>
        </w:rPr>
        <w:t xml:space="preserve"> constantes do Regulamento Técnico nº </w:t>
      </w:r>
      <w:r w:rsidR="00ED310F" w:rsidRPr="006E7476">
        <w:rPr>
          <w:sz w:val="24"/>
          <w:highlight w:val="yellow"/>
        </w:rPr>
        <w:t>X</w:t>
      </w:r>
      <w:r w:rsidR="006E7476" w:rsidRPr="006E7476">
        <w:rPr>
          <w:sz w:val="24"/>
          <w:highlight w:val="yellow"/>
        </w:rPr>
        <w:t>X</w:t>
      </w:r>
      <w:r w:rsidR="00ED310F">
        <w:rPr>
          <w:sz w:val="24"/>
        </w:rPr>
        <w:t>/2017, parte integrante desta Resolução</w:t>
      </w:r>
      <w:r w:rsidR="001A3518">
        <w:rPr>
          <w:snapToGrid w:val="0"/>
          <w:sz w:val="24"/>
        </w:rPr>
        <w:t>.</w:t>
      </w:r>
    </w:p>
    <w:p w:rsidR="00A70100" w:rsidRPr="003A2270" w:rsidRDefault="00A26695" w:rsidP="00680BFC">
      <w:pPr>
        <w:pStyle w:val="Recuodecorpodetexto2"/>
        <w:spacing w:before="120"/>
        <w:ind w:firstLine="567"/>
        <w:jc w:val="center"/>
        <w:rPr>
          <w:b/>
        </w:rPr>
      </w:pPr>
      <w:r>
        <w:rPr>
          <w:b/>
        </w:rPr>
        <w:t>CAPÍTULO</w:t>
      </w:r>
      <w:r w:rsidRPr="003A2270">
        <w:rPr>
          <w:b/>
        </w:rPr>
        <w:t xml:space="preserve"> </w:t>
      </w:r>
      <w:r w:rsidR="00680BFC" w:rsidRPr="003A2270">
        <w:rPr>
          <w:b/>
        </w:rPr>
        <w:t>IV</w:t>
      </w:r>
    </w:p>
    <w:p w:rsidR="00680BFC" w:rsidRPr="003A2270" w:rsidRDefault="00680BFC" w:rsidP="006E7476">
      <w:pPr>
        <w:pStyle w:val="Recuodecorpodetexto2"/>
        <w:spacing w:before="120" w:after="240"/>
        <w:ind w:firstLine="567"/>
        <w:jc w:val="center"/>
        <w:rPr>
          <w:b/>
        </w:rPr>
      </w:pPr>
      <w:r w:rsidRPr="003A2270">
        <w:rPr>
          <w:b/>
        </w:rPr>
        <w:t xml:space="preserve">Do Controle </w:t>
      </w:r>
      <w:r w:rsidR="0053776E" w:rsidRPr="003A2270">
        <w:rPr>
          <w:b/>
        </w:rPr>
        <w:t>d</w:t>
      </w:r>
      <w:r w:rsidR="0053776E">
        <w:rPr>
          <w:b/>
        </w:rPr>
        <w:t>a</w:t>
      </w:r>
      <w:r w:rsidR="0053776E" w:rsidRPr="003A2270">
        <w:rPr>
          <w:b/>
        </w:rPr>
        <w:t xml:space="preserve"> </w:t>
      </w:r>
      <w:r w:rsidRPr="003A2270">
        <w:rPr>
          <w:b/>
        </w:rPr>
        <w:t>Qualidade</w:t>
      </w:r>
    </w:p>
    <w:p w:rsidR="0003583B" w:rsidRPr="001C70E7" w:rsidRDefault="0003583B" w:rsidP="0003583B">
      <w:pPr>
        <w:pStyle w:val="Recuodecorpodetexto2"/>
        <w:spacing w:before="120"/>
        <w:ind w:firstLine="567"/>
        <w:rPr>
          <w:i/>
        </w:rPr>
      </w:pPr>
      <w:r w:rsidRPr="003A2270">
        <w:rPr>
          <w:b/>
        </w:rPr>
        <w:t xml:space="preserve">Art. </w:t>
      </w:r>
      <w:r w:rsidR="00E909CE">
        <w:rPr>
          <w:b/>
        </w:rPr>
        <w:t>4</w:t>
      </w:r>
      <w:r w:rsidR="00F5331F">
        <w:rPr>
          <w:b/>
        </w:rPr>
        <w:t xml:space="preserve">º </w:t>
      </w:r>
      <w:r>
        <w:t xml:space="preserve">O </w:t>
      </w:r>
      <w:r w:rsidR="0032742E">
        <w:t>produtor</w:t>
      </w:r>
      <w:r w:rsidR="00A92B17">
        <w:t xml:space="preserve"> de </w:t>
      </w:r>
      <w:r w:rsidR="001E69CE">
        <w:t>biometano</w:t>
      </w:r>
      <w:r w:rsidR="0032742E">
        <w:t xml:space="preserve"> </w:t>
      </w:r>
      <w:r>
        <w:t xml:space="preserve">fica obrigado a realizar as análises </w:t>
      </w:r>
      <w:r w:rsidR="00476EF2">
        <w:t>em</w:t>
      </w:r>
      <w:r w:rsidR="00725655">
        <w:t xml:space="preserve"> </w:t>
      </w:r>
      <w:r w:rsidR="0032742E">
        <w:t>linha</w:t>
      </w:r>
      <w:r w:rsidR="001C482B">
        <w:t xml:space="preserve"> </w:t>
      </w:r>
      <w:r w:rsidR="001A3518">
        <w:t>do teor de metano, oxigênio, dióxido de carbono, nitrogênio, enxofre total, gás sulfídrico</w:t>
      </w:r>
      <w:r w:rsidR="00941E5E">
        <w:t xml:space="preserve"> e</w:t>
      </w:r>
      <w:r w:rsidR="001A3518">
        <w:t xml:space="preserve"> ponto de orvalho de água,</w:t>
      </w:r>
      <w:r w:rsidR="0032742E">
        <w:t xml:space="preserve"> </w:t>
      </w:r>
      <w:r w:rsidR="002D24AD">
        <w:t>além d</w:t>
      </w:r>
      <w:r>
        <w:t xml:space="preserve">e emitir diariamente o </w:t>
      </w:r>
      <w:r w:rsidR="00A26695">
        <w:t xml:space="preserve">certificado </w:t>
      </w:r>
      <w:r>
        <w:t xml:space="preserve">da </w:t>
      </w:r>
      <w:r w:rsidR="00A26695">
        <w:t>qualidade</w:t>
      </w:r>
      <w:r w:rsidR="00E15AAA">
        <w:t>, considerando a média ponderada de todas as análises realizadas no período</w:t>
      </w:r>
      <w:r w:rsidR="00A26695">
        <w:t>.</w:t>
      </w:r>
    </w:p>
    <w:p w:rsidR="0032742E" w:rsidRDefault="0032742E" w:rsidP="0032742E">
      <w:pPr>
        <w:pStyle w:val="Recuodecorpodetexto2"/>
        <w:spacing w:before="120"/>
        <w:ind w:firstLine="567"/>
      </w:pPr>
      <w:r>
        <w:t xml:space="preserve">§ 1º O </w:t>
      </w:r>
      <w:r w:rsidR="00A26695">
        <w:t xml:space="preserve">certificado </w:t>
      </w:r>
      <w:r>
        <w:t xml:space="preserve">da </w:t>
      </w:r>
      <w:r w:rsidR="00A26695">
        <w:t xml:space="preserve">qualidade </w:t>
      </w:r>
      <w:r>
        <w:t xml:space="preserve">deverá </w:t>
      </w:r>
      <w:r w:rsidR="00A26695" w:rsidRPr="00D0299D">
        <w:t>conter o</w:t>
      </w:r>
      <w:r w:rsidR="00A26695">
        <w:t>s</w:t>
      </w:r>
      <w:r w:rsidR="00A26695" w:rsidRPr="00D0299D">
        <w:t xml:space="preserve"> resultado</w:t>
      </w:r>
      <w:r w:rsidR="00A26695">
        <w:t>s</w:t>
      </w:r>
      <w:r w:rsidR="00A26695" w:rsidRPr="007660D7">
        <w:t xml:space="preserve"> da</w:t>
      </w:r>
      <w:r w:rsidR="00A26695">
        <w:t>s</w:t>
      </w:r>
      <w:r w:rsidR="00A26695" w:rsidRPr="007660D7">
        <w:t xml:space="preserve"> análise</w:t>
      </w:r>
      <w:r w:rsidR="00A26695">
        <w:t>s</w:t>
      </w:r>
      <w:r w:rsidR="00A26695" w:rsidRPr="007660D7">
        <w:t xml:space="preserve"> </w:t>
      </w:r>
      <w:r w:rsidR="001C482B">
        <w:t>das</w:t>
      </w:r>
      <w:r w:rsidR="00A26695" w:rsidRPr="00D0299D">
        <w:t xml:space="preserve"> características</w:t>
      </w:r>
      <w:r w:rsidR="001C482B">
        <w:t xml:space="preserve"> previstas no </w:t>
      </w:r>
      <w:r w:rsidR="001C482B" w:rsidRPr="006E7476">
        <w:rPr>
          <w:i/>
        </w:rPr>
        <w:t>caput</w:t>
      </w:r>
      <w:r w:rsidR="00A26695" w:rsidRPr="00D0299D">
        <w:t>,</w:t>
      </w:r>
      <w:r w:rsidR="00A26695" w:rsidRPr="007660D7">
        <w:t xml:space="preserve"> os limites da especificação</w:t>
      </w:r>
      <w:r w:rsidR="00B175B3">
        <w:t>,</w:t>
      </w:r>
      <w:r w:rsidR="00A26695" w:rsidRPr="007660D7">
        <w:t xml:space="preserve"> </w:t>
      </w:r>
      <w:r w:rsidR="00A26695" w:rsidRPr="00D0299D">
        <w:t>os métodos empregados, comprovando que o produto atende à especificação constante do Regulamento Técnico</w:t>
      </w:r>
      <w:r w:rsidR="002B4F64">
        <w:t xml:space="preserve"> ANP nº </w:t>
      </w:r>
      <w:r w:rsidR="002B4F64" w:rsidRPr="006E7476">
        <w:rPr>
          <w:highlight w:val="yellow"/>
        </w:rPr>
        <w:t>XX</w:t>
      </w:r>
      <w:r w:rsidR="002B4F64">
        <w:t>/2017, parte integrante desta Resolução</w:t>
      </w:r>
      <w:r>
        <w:t>.</w:t>
      </w:r>
    </w:p>
    <w:p w:rsidR="0032742E" w:rsidRDefault="0032742E" w:rsidP="0032742E">
      <w:pPr>
        <w:pStyle w:val="Recuodecorpodetexto2"/>
        <w:spacing w:before="120"/>
        <w:ind w:firstLine="567"/>
      </w:pPr>
      <w:r>
        <w:lastRenderedPageBreak/>
        <w:t xml:space="preserve">§ 2º </w:t>
      </w:r>
      <w:r w:rsidR="00B175B3">
        <w:t xml:space="preserve">O certificado </w:t>
      </w:r>
      <w:r w:rsidR="002B4F64">
        <w:t>da qualidade</w:t>
      </w:r>
      <w:r w:rsidR="00B175B3">
        <w:t xml:space="preserve"> deverá ser firmado pelo profissional de química responsável pelas análises, </w:t>
      </w:r>
      <w:r w:rsidR="002B4F64">
        <w:t xml:space="preserve">inclusive nos casos das análises em linha, </w:t>
      </w:r>
      <w:r w:rsidR="00B175B3">
        <w:t>com indicação legível de seu nome e número de inscrição no respectivo órgão de classe</w:t>
      </w:r>
      <w:r w:rsidR="002D24AD">
        <w:t>. No</w:t>
      </w:r>
      <w:r>
        <w:t xml:space="preserve"> caso de </w:t>
      </w:r>
      <w:r w:rsidR="00492CF4">
        <w:t xml:space="preserve">emissão eletrônica do </w:t>
      </w:r>
      <w:r w:rsidR="00B175B3">
        <w:t>documento</w:t>
      </w:r>
      <w:r>
        <w:t xml:space="preserve">, </w:t>
      </w:r>
      <w:r w:rsidR="00B175B3">
        <w:t xml:space="preserve">estes dados </w:t>
      </w:r>
      <w:r>
        <w:t>deverão estar indicados</w:t>
      </w:r>
      <w:r w:rsidR="008770D1">
        <w:t>.</w:t>
      </w:r>
    </w:p>
    <w:p w:rsidR="0032742E" w:rsidRDefault="0032742E" w:rsidP="0032742E">
      <w:pPr>
        <w:pStyle w:val="Recuodecorpodetexto2"/>
        <w:spacing w:before="120"/>
        <w:ind w:firstLine="567"/>
      </w:pPr>
      <w:r>
        <w:t>§ 3º O produtor</w:t>
      </w:r>
      <w:r w:rsidR="002B4F64">
        <w:t xml:space="preserve"> de biometano</w:t>
      </w:r>
      <w:r>
        <w:t xml:space="preserve"> deverá enviar à ANP, até o 15º (décimo quinto) dia do mês subseq</w:t>
      </w:r>
      <w:r w:rsidR="002258DE">
        <w:t>u</w:t>
      </w:r>
      <w:r>
        <w:t xml:space="preserve">ente àquele a que se referirem os dados enviados, </w:t>
      </w:r>
      <w:r w:rsidR="00A26695">
        <w:t>o</w:t>
      </w:r>
      <w:r w:rsidR="002B4F64">
        <w:t>s</w:t>
      </w:r>
      <w:r w:rsidR="00A26695">
        <w:t xml:space="preserve"> resultado</w:t>
      </w:r>
      <w:r w:rsidR="002B4F64">
        <w:t>s</w:t>
      </w:r>
      <w:r w:rsidR="00A26695">
        <w:t xml:space="preserve"> de todos os</w:t>
      </w:r>
      <w:r>
        <w:t xml:space="preserve"> </w:t>
      </w:r>
      <w:r w:rsidR="00A26695">
        <w:t xml:space="preserve">certificados </w:t>
      </w:r>
      <w:r>
        <w:t xml:space="preserve">da </w:t>
      </w:r>
      <w:r w:rsidR="00A26695">
        <w:t>qualidade</w:t>
      </w:r>
      <w:r>
        <w:t xml:space="preserve">, em formato eletrônico, </w:t>
      </w:r>
      <w:r w:rsidR="00476EF2">
        <w:t>conforme</w:t>
      </w:r>
      <w:r>
        <w:t xml:space="preserve"> </w:t>
      </w:r>
      <w:r w:rsidR="00476EF2">
        <w:t xml:space="preserve">instruções </w:t>
      </w:r>
      <w:r>
        <w:t>disponíve</w:t>
      </w:r>
      <w:r w:rsidR="00476EF2">
        <w:t>is</w:t>
      </w:r>
      <w:r>
        <w:t xml:space="preserve"> no sítio da ANP</w:t>
      </w:r>
      <w:r w:rsidR="00B73B84">
        <w:t xml:space="preserve"> na internet</w:t>
      </w:r>
      <w:r>
        <w:t>.</w:t>
      </w:r>
    </w:p>
    <w:p w:rsidR="00346CF1" w:rsidRDefault="00346CF1" w:rsidP="0032742E">
      <w:pPr>
        <w:pStyle w:val="Recuodecorpodetexto2"/>
        <w:spacing w:before="120"/>
        <w:ind w:firstLine="567"/>
      </w:pPr>
      <w:r>
        <w:t>§ 4° O produtor</w:t>
      </w:r>
      <w:r w:rsidR="002B4F64">
        <w:t xml:space="preserve"> de biometano</w:t>
      </w:r>
      <w:r>
        <w:t xml:space="preserve"> deverá encaminhar juntamente com</w:t>
      </w:r>
      <w:r w:rsidR="00B73B84">
        <w:t xml:space="preserve"> os</w:t>
      </w:r>
      <w:r w:rsidR="00837D83">
        <w:t xml:space="preserve"> resultados dos certificados da qualidade</w:t>
      </w:r>
      <w:r w:rsidR="00EC00E8">
        <w:t>,</w:t>
      </w:r>
      <w:r>
        <w:t xml:space="preserve"> anotações relativas à interrupção d</w:t>
      </w:r>
      <w:r w:rsidR="00AD3E46">
        <w:t>a</w:t>
      </w:r>
      <w:r>
        <w:t xml:space="preserve"> produção</w:t>
      </w:r>
      <w:r w:rsidR="00B76C70">
        <w:t>,</w:t>
      </w:r>
      <w:r>
        <w:t xml:space="preserve"> informando</w:t>
      </w:r>
      <w:r w:rsidR="00B76C70">
        <w:t>,</w:t>
      </w:r>
      <w:r>
        <w:t xml:space="preserve"> a cada ocorrência</w:t>
      </w:r>
      <w:r w:rsidR="00B76C70">
        <w:t>,</w:t>
      </w:r>
      <w:r>
        <w:t xml:space="preserve"> a data </w:t>
      </w:r>
      <w:r w:rsidR="00AD3E46">
        <w:t>e</w:t>
      </w:r>
      <w:r>
        <w:t xml:space="preserve"> hora </w:t>
      </w:r>
      <w:r w:rsidR="00AD3E46">
        <w:t>do corte</w:t>
      </w:r>
      <w:r w:rsidR="00B76C70">
        <w:t>,</w:t>
      </w:r>
      <w:r w:rsidR="00AD3E46">
        <w:t xml:space="preserve"> bem como a data e hora da retomada do fornecimento.</w:t>
      </w:r>
    </w:p>
    <w:p w:rsidR="00AF27F9" w:rsidRDefault="00AF27F9" w:rsidP="0032742E">
      <w:pPr>
        <w:pStyle w:val="Recuodecorpodetexto2"/>
        <w:spacing w:before="120"/>
        <w:ind w:firstLine="567"/>
      </w:pPr>
      <w:r>
        <w:rPr>
          <w:b/>
        </w:rPr>
        <w:t xml:space="preserve">Art. </w:t>
      </w:r>
      <w:r w:rsidR="00E15AAA">
        <w:rPr>
          <w:b/>
        </w:rPr>
        <w:t xml:space="preserve">5º </w:t>
      </w:r>
      <w:r>
        <w:t xml:space="preserve">O produtor </w:t>
      </w:r>
      <w:r w:rsidR="002D24AD">
        <w:t xml:space="preserve">de </w:t>
      </w:r>
      <w:r w:rsidR="00BB170D" w:rsidRPr="00BB170D">
        <w:rPr>
          <w:highlight w:val="yellow"/>
        </w:rPr>
        <w:t>Biometa</w:t>
      </w:r>
      <w:r w:rsidR="002D24AD">
        <w:t xml:space="preserve">no </w:t>
      </w:r>
      <w:r w:rsidR="000B08E0">
        <w:t>deve</w:t>
      </w:r>
      <w:r>
        <w:t xml:space="preserve"> analisar o teor de siloxanos e de halogenados por meio de análises laboratoriais.</w:t>
      </w:r>
    </w:p>
    <w:p w:rsidR="00AF27F9" w:rsidRDefault="00AF27F9" w:rsidP="0032742E">
      <w:pPr>
        <w:pStyle w:val="Recuodecorpodetexto2"/>
        <w:spacing w:before="120"/>
        <w:ind w:firstLine="567"/>
      </w:pPr>
      <w:r>
        <w:t xml:space="preserve">§1º A coleta da amostra e a análise laboratorial devem ser realizadas por laboratório independente acreditado </w:t>
      </w:r>
      <w:r w:rsidR="00E15AAA">
        <w:t xml:space="preserve">segundo a norma </w:t>
      </w:r>
      <w:r>
        <w:t>ISO 17025 e com registro no órgão ambiental competente.</w:t>
      </w:r>
    </w:p>
    <w:p w:rsidR="00AF27F9" w:rsidRDefault="00AF27F9" w:rsidP="0032742E">
      <w:pPr>
        <w:pStyle w:val="Recuodecorpodetexto2"/>
        <w:spacing w:before="120"/>
        <w:ind w:firstLine="567"/>
      </w:pPr>
      <w:r>
        <w:t>§2º A frequência de análise deve ser semanal quando o valor da última determinação estiver entre 75% e 90% do valor limite.</w:t>
      </w:r>
    </w:p>
    <w:p w:rsidR="00AF27F9" w:rsidRDefault="00AF27F9" w:rsidP="0032742E">
      <w:pPr>
        <w:pStyle w:val="Recuodecorpodetexto2"/>
        <w:spacing w:before="120"/>
        <w:ind w:firstLine="567"/>
      </w:pPr>
      <w:r>
        <w:t>§3º A frequência de análise deve ser mensal quando o valor da última determinação do componente analisado estiver entre 0% e 75% do valor limite.</w:t>
      </w:r>
    </w:p>
    <w:p w:rsidR="00AF27F9" w:rsidRDefault="00AF27F9" w:rsidP="006E7476">
      <w:pPr>
        <w:pStyle w:val="Recuodecorpodetexto2"/>
        <w:spacing w:before="120" w:after="360"/>
        <w:ind w:firstLine="567"/>
      </w:pPr>
      <w:r>
        <w:t xml:space="preserve">§4º Quando houver a abertura de um novo poço de captação de </w:t>
      </w:r>
      <w:r w:rsidR="002D24AD">
        <w:t xml:space="preserve">Biogás </w:t>
      </w:r>
      <w:r>
        <w:t xml:space="preserve">no aterro sanitário, a comercialização do </w:t>
      </w:r>
      <w:r w:rsidR="002D24AD">
        <w:t xml:space="preserve">Biometano </w:t>
      </w:r>
      <w:r>
        <w:t>só pode ocorrer após a realização de análise do teor de siloxanos e halogenados</w:t>
      </w:r>
      <w:r w:rsidR="00E909CE">
        <w:t>,</w:t>
      </w:r>
      <w:r>
        <w:t xml:space="preserve"> que deve estar</w:t>
      </w:r>
      <w:r w:rsidR="00B65734">
        <w:t xml:space="preserve"> abaixo de </w:t>
      </w:r>
      <w:r w:rsidR="00C8441D">
        <w:t>90</w:t>
      </w:r>
      <w:r w:rsidR="00B65734">
        <w:t>% do valor limite.</w:t>
      </w:r>
    </w:p>
    <w:p w:rsidR="00B65734" w:rsidRPr="008623CD" w:rsidRDefault="000B08E0" w:rsidP="008623CD">
      <w:pPr>
        <w:pStyle w:val="Recuodecorpodetexto2"/>
        <w:spacing w:before="120"/>
        <w:ind w:firstLine="567"/>
        <w:jc w:val="center"/>
        <w:rPr>
          <w:b/>
        </w:rPr>
      </w:pPr>
      <w:r>
        <w:rPr>
          <w:b/>
        </w:rPr>
        <w:t>CAPÍTULO</w:t>
      </w:r>
      <w:r w:rsidRPr="008623CD">
        <w:rPr>
          <w:b/>
        </w:rPr>
        <w:t xml:space="preserve"> </w:t>
      </w:r>
      <w:r w:rsidR="00B65734" w:rsidRPr="008623CD">
        <w:rPr>
          <w:b/>
        </w:rPr>
        <w:t>V</w:t>
      </w:r>
    </w:p>
    <w:p w:rsidR="00B65734" w:rsidRDefault="006D097C" w:rsidP="006E7476">
      <w:pPr>
        <w:pStyle w:val="Recuodecorpodetexto2"/>
        <w:spacing w:before="120" w:after="240"/>
        <w:ind w:firstLine="567"/>
        <w:jc w:val="center"/>
        <w:rPr>
          <w:b/>
        </w:rPr>
      </w:pPr>
      <w:r>
        <w:rPr>
          <w:b/>
        </w:rPr>
        <w:t>Da</w:t>
      </w:r>
      <w:r w:rsidR="008623CD" w:rsidRPr="008623CD">
        <w:rPr>
          <w:b/>
        </w:rPr>
        <w:t xml:space="preserve"> </w:t>
      </w:r>
      <w:r w:rsidR="00927673">
        <w:rPr>
          <w:b/>
        </w:rPr>
        <w:t xml:space="preserve"> aprovação do controle da qualidade do p</w:t>
      </w:r>
      <w:r w:rsidR="00563D0C">
        <w:rPr>
          <w:b/>
        </w:rPr>
        <w:t xml:space="preserve"> Biometano</w:t>
      </w:r>
    </w:p>
    <w:p w:rsidR="00231CCC" w:rsidRPr="00E5091C" w:rsidRDefault="00A8040F" w:rsidP="00231CCC">
      <w:pPr>
        <w:pStyle w:val="Recuodecorpodetexto2"/>
        <w:spacing w:before="120"/>
        <w:ind w:firstLine="567"/>
      </w:pPr>
      <w:r>
        <w:rPr>
          <w:b/>
        </w:rPr>
        <w:t>Art. 6°</w:t>
      </w:r>
      <w:r w:rsidR="006D3C8D" w:rsidRPr="00E5091C">
        <w:t xml:space="preserve"> O produtor de </w:t>
      </w:r>
      <w:r w:rsidR="001E69CE">
        <w:t>biometano</w:t>
      </w:r>
      <w:r w:rsidR="006D3C8D" w:rsidRPr="00E5091C">
        <w:t xml:space="preserve"> oriundo de aterros sanitários e de estações de tratamento de esgoto dever</w:t>
      </w:r>
      <w:r w:rsidR="00AE6D39">
        <w:t>á</w:t>
      </w:r>
      <w:r w:rsidR="006D3C8D" w:rsidRPr="00E5091C">
        <w:t xml:space="preserve"> solicitar</w:t>
      </w:r>
      <w:r w:rsidR="00563D0C">
        <w:t xml:space="preserve"> à ANP</w:t>
      </w:r>
      <w:r w:rsidR="00927673">
        <w:t xml:space="preserve">aprovação </w:t>
      </w:r>
      <w:r w:rsidR="00927673" w:rsidRPr="00927673">
        <w:rPr>
          <w:b/>
        </w:rPr>
        <w:t xml:space="preserve"> </w:t>
      </w:r>
      <w:r w:rsidR="00927673">
        <w:rPr>
          <w:b/>
        </w:rPr>
        <w:t>do controle da qualidade do</w:t>
      </w:r>
      <w:r w:rsidR="00563D0C">
        <w:rPr>
          <w:b/>
        </w:rPr>
        <w:t xml:space="preserve"> produto </w:t>
      </w:r>
      <w:r w:rsidR="00563D0C">
        <w:t>para uso veicular, uso residencial e comercial, bem como sua mistura com o gás natural</w:t>
      </w:r>
    </w:p>
    <w:p w:rsidR="00927673" w:rsidRDefault="006D3C8D" w:rsidP="00231CCC">
      <w:pPr>
        <w:pStyle w:val="Recuodecorpodetexto2"/>
        <w:spacing w:before="120"/>
        <w:ind w:firstLine="567"/>
      </w:pPr>
      <w:r w:rsidRPr="00E5091C">
        <w:t xml:space="preserve">§ 1º </w:t>
      </w:r>
      <w:r w:rsidR="00927673">
        <w:t xml:space="preserve"> Compõe o controle da qualidade do </w:t>
      </w:r>
      <w:r w:rsidR="00563D0C">
        <w:t>Biometano</w:t>
      </w:r>
      <w:r w:rsidR="00927673">
        <w:t xml:space="preserve"> de que</w:t>
      </w:r>
      <w:r w:rsidRPr="00E5091C">
        <w:t xml:space="preserve"> trata o </w:t>
      </w:r>
      <w:r w:rsidRPr="00E5091C">
        <w:rPr>
          <w:i/>
        </w:rPr>
        <w:t>caput</w:t>
      </w:r>
      <w:r w:rsidRPr="00E5091C">
        <w:t xml:space="preserve"> </w:t>
      </w:r>
      <w:r w:rsidR="00927673">
        <w:t xml:space="preserve">análise de risco, comprovação do cumprimento das recomendações e o gerenciamento de barreiras implementado, conforme o Regulamento Técnico nº </w:t>
      </w:r>
      <w:r w:rsidR="00927673" w:rsidRPr="006E7476">
        <w:rPr>
          <w:highlight w:val="yellow"/>
        </w:rPr>
        <w:t>XX</w:t>
      </w:r>
      <w:r w:rsidR="00927673">
        <w:t>/2017, parte integrante da Resolução.</w:t>
      </w:r>
    </w:p>
    <w:p w:rsidR="00231CCC" w:rsidRPr="00E5091C" w:rsidRDefault="006D3C8D" w:rsidP="00231CCC">
      <w:pPr>
        <w:pStyle w:val="Recuodecorpodetexto2"/>
        <w:spacing w:before="120"/>
        <w:ind w:firstLine="567"/>
      </w:pPr>
      <w:r w:rsidRPr="00E5091C">
        <w:t>.</w:t>
      </w:r>
    </w:p>
    <w:p w:rsidR="00231CCC" w:rsidRPr="00E5091C" w:rsidRDefault="006D3C8D" w:rsidP="00231CCC">
      <w:pPr>
        <w:pStyle w:val="Recuodecorpodetexto2"/>
        <w:spacing w:before="120"/>
        <w:ind w:firstLine="567"/>
      </w:pPr>
      <w:r w:rsidRPr="00E5091C">
        <w:t xml:space="preserve">§ 2º </w:t>
      </w:r>
      <w:r w:rsidR="00927673">
        <w:t xml:space="preserve">O </w:t>
      </w:r>
      <w:r w:rsidR="00563D0C">
        <w:t xml:space="preserve">pedido de aprovação do </w:t>
      </w:r>
      <w:r w:rsidR="00927673">
        <w:t xml:space="preserve">controle da qualidade do </w:t>
      </w:r>
      <w:r w:rsidR="00563D0C">
        <w:t>Biometano</w:t>
      </w:r>
      <w:r w:rsidR="00927673">
        <w:t xml:space="preserve">  será submetido</w:t>
      </w:r>
      <w:r w:rsidR="00621067">
        <w:t xml:space="preserve"> </w:t>
      </w:r>
      <w:r w:rsidR="00563D0C">
        <w:t xml:space="preserve">à </w:t>
      </w:r>
      <w:r w:rsidRPr="00E5091C">
        <w:t>ANP por meio da protocolização de:</w:t>
      </w:r>
    </w:p>
    <w:p w:rsidR="00231CCC" w:rsidRPr="00E5091C" w:rsidRDefault="006D3C8D" w:rsidP="00231CCC">
      <w:pPr>
        <w:pStyle w:val="Recuodecorpodetexto2"/>
        <w:spacing w:before="120"/>
        <w:ind w:firstLine="567"/>
      </w:pPr>
      <w:r w:rsidRPr="00E5091C">
        <w:t xml:space="preserve">I – </w:t>
      </w:r>
      <w:r w:rsidR="00563D0C">
        <w:t>requerimento</w:t>
      </w:r>
      <w:r w:rsidR="00446439">
        <w:t xml:space="preserve"> firmado pelo representante legal do produtor</w:t>
      </w:r>
      <w:r w:rsidRPr="00E5091C">
        <w:t>;</w:t>
      </w:r>
    </w:p>
    <w:p w:rsidR="00231CCC" w:rsidRPr="00E5091C" w:rsidRDefault="006D3C8D" w:rsidP="00231CCC">
      <w:pPr>
        <w:pStyle w:val="Recuodecorpodetexto2"/>
        <w:spacing w:before="120"/>
        <w:ind w:firstLine="567"/>
      </w:pPr>
      <w:r w:rsidRPr="00E5091C">
        <w:t>II - procuração</w:t>
      </w:r>
      <w:r w:rsidR="00446439">
        <w:t xml:space="preserve"> com poderes para</w:t>
      </w:r>
      <w:r w:rsidR="0081378D">
        <w:t xml:space="preserve"> </w:t>
      </w:r>
      <w:r w:rsidRPr="00E5091C">
        <w:t>representa</w:t>
      </w:r>
      <w:r w:rsidR="00446439">
        <w:t>ção do</w:t>
      </w:r>
      <w:r w:rsidR="0030116E">
        <w:t xml:space="preserve"> Produtor de Biometano</w:t>
      </w:r>
      <w:r w:rsidR="00446439">
        <w:t xml:space="preserve"> perante</w:t>
      </w:r>
      <w:r w:rsidRPr="00E5091C">
        <w:t xml:space="preserve"> à ANP;</w:t>
      </w:r>
    </w:p>
    <w:p w:rsidR="00231CCC" w:rsidRPr="00E5091C" w:rsidRDefault="006D3C8D" w:rsidP="00231CCC">
      <w:pPr>
        <w:pStyle w:val="Recuodecorpodetexto2"/>
        <w:spacing w:before="120"/>
        <w:ind w:firstLine="567"/>
      </w:pPr>
      <w:r w:rsidRPr="001F1B3B">
        <w:t xml:space="preserve">III – licenciamento ambiental para atividade de produção, comercialização e distribuição de </w:t>
      </w:r>
      <w:r w:rsidR="00BB170D">
        <w:t>biometano;</w:t>
      </w:r>
      <w:r w:rsidR="00A8040F">
        <w:t xml:space="preserve"> </w:t>
      </w:r>
    </w:p>
    <w:p w:rsidR="003876B8" w:rsidRDefault="006D3C8D">
      <w:pPr>
        <w:pStyle w:val="Recuodecorpodetexto2"/>
        <w:spacing w:before="120"/>
        <w:ind w:firstLine="567"/>
      </w:pPr>
      <w:r w:rsidRPr="00E5091C">
        <w:lastRenderedPageBreak/>
        <w:t xml:space="preserve">IV – cópia </w:t>
      </w:r>
      <w:r w:rsidR="00165888">
        <w:t xml:space="preserve"> do Cadastro Nacional de Pessoas Jurídicas - CNPJ do Produtor de Biometano</w:t>
      </w:r>
      <w:r w:rsidR="00AE6D39">
        <w:t>;</w:t>
      </w:r>
    </w:p>
    <w:p w:rsidR="00AE6D39" w:rsidRDefault="00AE6D39" w:rsidP="00AE6D39">
      <w:pPr>
        <w:pStyle w:val="Recuodecorpodetexto2"/>
        <w:spacing w:before="120"/>
        <w:ind w:firstLine="567"/>
      </w:pPr>
      <w:r>
        <w:t xml:space="preserve">V -  análise de risco, </w:t>
      </w:r>
      <w:r w:rsidR="0030116E">
        <w:t>comprovação do</w:t>
      </w:r>
      <w:r>
        <w:t xml:space="preserve"> cumprimento das recomendações e o gerenciamento de barreiras implementado, conforme </w:t>
      </w:r>
      <w:r w:rsidR="0081378D">
        <w:t xml:space="preserve">o </w:t>
      </w:r>
      <w:r>
        <w:t xml:space="preserve">Regulamento Técnico </w:t>
      </w:r>
      <w:r w:rsidR="000B08E0">
        <w:t xml:space="preserve">nº </w:t>
      </w:r>
      <w:r w:rsidR="000B08E0" w:rsidRPr="006E7476">
        <w:rPr>
          <w:highlight w:val="yellow"/>
        </w:rPr>
        <w:t>XX</w:t>
      </w:r>
      <w:r>
        <w:t>/</w:t>
      </w:r>
      <w:r w:rsidR="000B08E0">
        <w:t>2017</w:t>
      </w:r>
      <w:r>
        <w:t>, parte integrante da Resolução.</w:t>
      </w:r>
    </w:p>
    <w:p w:rsidR="00AE6D39" w:rsidRDefault="00AE6D39" w:rsidP="00AE6D39">
      <w:pPr>
        <w:pStyle w:val="Recuodecorpodetexto2"/>
        <w:spacing w:before="120"/>
        <w:ind w:firstLine="567"/>
      </w:pPr>
      <w:r w:rsidRPr="00B279DF">
        <w:t xml:space="preserve">§ </w:t>
      </w:r>
      <w:r>
        <w:t>3</w:t>
      </w:r>
      <w:r w:rsidRPr="00B279DF">
        <w:t xml:space="preserve">º </w:t>
      </w:r>
      <w:r>
        <w:t xml:space="preserve">A </w:t>
      </w:r>
      <w:r w:rsidR="00165888">
        <w:t xml:space="preserve">aprovação </w:t>
      </w:r>
      <w:r w:rsidR="002B4F64">
        <w:t xml:space="preserve">de que trata o </w:t>
      </w:r>
      <w:r w:rsidR="002B4F64">
        <w:rPr>
          <w:i/>
        </w:rPr>
        <w:t>caput</w:t>
      </w:r>
      <w:r>
        <w:t xml:space="preserve"> não exclui exigências posteriores </w:t>
      </w:r>
      <w:r w:rsidR="00165888">
        <w:t xml:space="preserve">no que se refere a autorização de Produção de Biometano </w:t>
      </w:r>
      <w:r>
        <w:t>a serem feitas por outra</w:t>
      </w:r>
      <w:r w:rsidR="00165888">
        <w:t>(s)</w:t>
      </w:r>
      <w:r>
        <w:t xml:space="preserve"> </w:t>
      </w:r>
      <w:r w:rsidR="0030116E">
        <w:t>norma</w:t>
      </w:r>
      <w:r w:rsidR="00165888">
        <w:t>(s)</w:t>
      </w:r>
      <w:r w:rsidR="0030116E">
        <w:t xml:space="preserve"> </w:t>
      </w:r>
      <w:r>
        <w:t>da ANP.</w:t>
      </w:r>
    </w:p>
    <w:p w:rsidR="007C53E8" w:rsidRDefault="000B08E0" w:rsidP="006E7476">
      <w:pPr>
        <w:pStyle w:val="Recuodecorpodetexto2"/>
        <w:spacing w:before="120" w:after="360"/>
        <w:ind w:firstLine="567"/>
      </w:pPr>
      <w:r w:rsidRPr="00E5091C">
        <w:t>§</w:t>
      </w:r>
      <w:r>
        <w:t xml:space="preserve"> </w:t>
      </w:r>
      <w:r w:rsidR="0081378D">
        <w:t>4</w:t>
      </w:r>
      <w:r w:rsidRPr="00E5091C">
        <w:t>º</w:t>
      </w:r>
      <w:r>
        <w:t xml:space="preserve"> A comercialização </w:t>
      </w:r>
      <w:r w:rsidRPr="00E5091C">
        <w:t xml:space="preserve">de </w:t>
      </w:r>
      <w:r w:rsidR="00165888">
        <w:t>B</w:t>
      </w:r>
      <w:r w:rsidR="001E69CE">
        <w:t>iometano</w:t>
      </w:r>
      <w:r w:rsidRPr="00E5091C">
        <w:t xml:space="preserve"> oriundo de aterros sanitários e de estações de tratamento de esgoto</w:t>
      </w:r>
      <w:r>
        <w:t xml:space="preserve"> </w:t>
      </w:r>
      <w:r w:rsidR="00967C4A">
        <w:t>somente</w:t>
      </w:r>
      <w:r>
        <w:t xml:space="preserve"> poderá ocorrer a partir da publicação</w:t>
      </w:r>
      <w:r w:rsidR="00165888">
        <w:t xml:space="preserve"> da aprovação do controle de qualidade do </w:t>
      </w:r>
      <w:r w:rsidR="002435F6">
        <w:t>produto</w:t>
      </w:r>
      <w:r>
        <w:t xml:space="preserve"> </w:t>
      </w:r>
      <w:r w:rsidR="00007E41">
        <w:t xml:space="preserve">no Diário Oficial da União </w:t>
      </w:r>
      <w:r w:rsidR="009D0A5B">
        <w:t>, devendo manter as condições aprovadas durante a sua operação.</w:t>
      </w:r>
    </w:p>
    <w:p w:rsidR="007C53E8" w:rsidRPr="0076738B" w:rsidRDefault="00007E41" w:rsidP="007C53E8">
      <w:pPr>
        <w:spacing w:before="120"/>
        <w:ind w:firstLine="567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CAPÍTULO</w:t>
      </w:r>
      <w:r w:rsidRPr="0076738B">
        <w:rPr>
          <w:b/>
          <w:snapToGrid w:val="0"/>
          <w:sz w:val="24"/>
        </w:rPr>
        <w:t xml:space="preserve"> </w:t>
      </w:r>
      <w:r w:rsidR="007C53E8">
        <w:rPr>
          <w:b/>
          <w:snapToGrid w:val="0"/>
          <w:sz w:val="24"/>
        </w:rPr>
        <w:t>V</w:t>
      </w:r>
      <w:r w:rsidR="008623CD">
        <w:rPr>
          <w:b/>
          <w:snapToGrid w:val="0"/>
          <w:sz w:val="24"/>
        </w:rPr>
        <w:t>I</w:t>
      </w:r>
    </w:p>
    <w:p w:rsidR="007C53E8" w:rsidRPr="007C53E8" w:rsidRDefault="007C53E8" w:rsidP="006E7476">
      <w:pPr>
        <w:pStyle w:val="Recuodecorpodetexto2"/>
        <w:spacing w:before="120" w:after="240"/>
        <w:ind w:firstLine="0"/>
        <w:jc w:val="center"/>
        <w:rPr>
          <w:b/>
        </w:rPr>
      </w:pPr>
      <w:r>
        <w:rPr>
          <w:b/>
        </w:rPr>
        <w:t xml:space="preserve">        Das Disposições Gerais</w:t>
      </w:r>
    </w:p>
    <w:p w:rsidR="00022BD0" w:rsidRPr="0081378D" w:rsidRDefault="009D2C93" w:rsidP="00070E4B">
      <w:pPr>
        <w:pStyle w:val="Recuodecorpodetexto"/>
        <w:spacing w:before="120"/>
        <w:ind w:firstLine="567"/>
        <w:rPr>
          <w:rFonts w:ascii="Times New Roman" w:hAnsi="Times New Roman"/>
          <w:color w:val="auto"/>
          <w:sz w:val="24"/>
          <w:szCs w:val="24"/>
        </w:rPr>
      </w:pPr>
      <w:r w:rsidRPr="0081378D">
        <w:rPr>
          <w:rFonts w:ascii="Times New Roman" w:hAnsi="Times New Roman"/>
          <w:b/>
          <w:color w:val="auto"/>
          <w:sz w:val="24"/>
          <w:szCs w:val="24"/>
        </w:rPr>
        <w:t xml:space="preserve">Art. </w:t>
      </w:r>
      <w:r w:rsidR="00E909CE" w:rsidRPr="0081378D">
        <w:rPr>
          <w:rFonts w:ascii="Times New Roman" w:hAnsi="Times New Roman"/>
          <w:b/>
          <w:color w:val="auto"/>
          <w:sz w:val="24"/>
          <w:szCs w:val="24"/>
        </w:rPr>
        <w:t>7º</w:t>
      </w:r>
      <w:r w:rsidR="00E909CE" w:rsidRPr="0081378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70E4B" w:rsidRPr="0081378D">
        <w:rPr>
          <w:rFonts w:ascii="Times New Roman" w:hAnsi="Times New Roman"/>
          <w:color w:val="auto"/>
          <w:sz w:val="24"/>
          <w:szCs w:val="24"/>
        </w:rPr>
        <w:t xml:space="preserve">O </w:t>
      </w:r>
      <w:r w:rsidR="002D24AD">
        <w:rPr>
          <w:rFonts w:ascii="Times New Roman" w:hAnsi="Times New Roman"/>
          <w:color w:val="auto"/>
          <w:sz w:val="24"/>
          <w:szCs w:val="24"/>
        </w:rPr>
        <w:t>Biometano</w:t>
      </w:r>
      <w:r w:rsidR="002D24AD" w:rsidRPr="0081378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1378D" w:rsidRPr="0081378D">
        <w:rPr>
          <w:rFonts w:ascii="Times New Roman" w:hAnsi="Times New Roman"/>
          <w:sz w:val="24"/>
          <w:szCs w:val="24"/>
        </w:rPr>
        <w:t>oriundo de aterros sanitários e de estações de tratamento de esgoto</w:t>
      </w:r>
      <w:r w:rsidR="00641042" w:rsidRPr="0081378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2742E" w:rsidRPr="0081378D">
        <w:rPr>
          <w:rFonts w:ascii="Times New Roman" w:hAnsi="Times New Roman"/>
          <w:color w:val="auto"/>
          <w:sz w:val="24"/>
          <w:szCs w:val="24"/>
        </w:rPr>
        <w:t>deve ser odorado pelo produtor</w:t>
      </w:r>
      <w:r w:rsidR="00070E4B" w:rsidRPr="0081378D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30116E">
        <w:rPr>
          <w:rFonts w:ascii="Times New Roman" w:hAnsi="Times New Roman"/>
          <w:color w:val="auto"/>
          <w:sz w:val="24"/>
          <w:szCs w:val="24"/>
        </w:rPr>
        <w:t>de acordo com as</w:t>
      </w:r>
      <w:r w:rsidR="00070E4B" w:rsidRPr="0081378D">
        <w:rPr>
          <w:rFonts w:ascii="Times New Roman" w:hAnsi="Times New Roman"/>
          <w:color w:val="auto"/>
          <w:sz w:val="24"/>
          <w:szCs w:val="24"/>
        </w:rPr>
        <w:t xml:space="preserve"> exigências específicas d</w:t>
      </w:r>
      <w:r w:rsidR="00490EF3" w:rsidRPr="0081378D">
        <w:rPr>
          <w:rFonts w:ascii="Times New Roman" w:hAnsi="Times New Roman"/>
          <w:color w:val="auto"/>
          <w:sz w:val="24"/>
          <w:szCs w:val="24"/>
        </w:rPr>
        <w:t>a legislação estadual.</w:t>
      </w:r>
    </w:p>
    <w:p w:rsidR="007F2395" w:rsidRDefault="007F2395" w:rsidP="007F2395">
      <w:pPr>
        <w:pStyle w:val="Recuodecorpodetexto"/>
        <w:spacing w:before="120"/>
        <w:ind w:firstLine="567"/>
        <w:rPr>
          <w:rFonts w:ascii="Times New Roman" w:hAnsi="Times New Roman"/>
          <w:color w:val="auto"/>
          <w:sz w:val="24"/>
        </w:rPr>
      </w:pPr>
      <w:r w:rsidRPr="007F2395">
        <w:rPr>
          <w:rFonts w:ascii="Times New Roman" w:hAnsi="Times New Roman"/>
          <w:b/>
          <w:color w:val="auto"/>
          <w:sz w:val="24"/>
        </w:rPr>
        <w:t xml:space="preserve">Art. </w:t>
      </w:r>
      <w:r w:rsidR="00E909CE">
        <w:rPr>
          <w:rFonts w:ascii="Times New Roman" w:hAnsi="Times New Roman"/>
          <w:b/>
          <w:color w:val="auto"/>
          <w:sz w:val="24"/>
        </w:rPr>
        <w:t>8º</w:t>
      </w:r>
      <w:r w:rsidR="00E909CE" w:rsidRPr="007F2395">
        <w:rPr>
          <w:rFonts w:ascii="Times New Roman" w:hAnsi="Times New Roman"/>
          <w:color w:val="auto"/>
          <w:sz w:val="24"/>
        </w:rPr>
        <w:t xml:space="preserve"> </w:t>
      </w:r>
      <w:r w:rsidRPr="007F2395">
        <w:rPr>
          <w:rFonts w:ascii="Times New Roman" w:hAnsi="Times New Roman"/>
          <w:color w:val="auto"/>
          <w:sz w:val="24"/>
        </w:rPr>
        <w:t>A ANP poderá, a qualquer tempo, submeter o produtor</w:t>
      </w:r>
      <w:r w:rsidR="004C6946">
        <w:rPr>
          <w:rFonts w:ascii="Times New Roman" w:hAnsi="Times New Roman"/>
          <w:color w:val="auto"/>
          <w:sz w:val="24"/>
        </w:rPr>
        <w:t xml:space="preserve"> de biometano</w:t>
      </w:r>
      <w:r w:rsidRPr="007F2395">
        <w:rPr>
          <w:rFonts w:ascii="Times New Roman" w:hAnsi="Times New Roman"/>
          <w:color w:val="auto"/>
          <w:sz w:val="24"/>
        </w:rPr>
        <w:t xml:space="preserve"> </w:t>
      </w:r>
      <w:r w:rsidR="00B624E3">
        <w:rPr>
          <w:rFonts w:ascii="Times New Roman" w:hAnsi="Times New Roman"/>
          <w:color w:val="auto"/>
          <w:sz w:val="24"/>
        </w:rPr>
        <w:t>à</w:t>
      </w:r>
      <w:r w:rsidR="00B624E3" w:rsidRPr="007F2395">
        <w:rPr>
          <w:rFonts w:ascii="Times New Roman" w:hAnsi="Times New Roman"/>
          <w:color w:val="auto"/>
          <w:sz w:val="24"/>
        </w:rPr>
        <w:t xml:space="preserve"> </w:t>
      </w:r>
      <w:r w:rsidRPr="007F2395">
        <w:rPr>
          <w:rFonts w:ascii="Times New Roman" w:hAnsi="Times New Roman"/>
          <w:color w:val="auto"/>
          <w:sz w:val="24"/>
        </w:rPr>
        <w:t>auditoria de qualidade, a ser executada por</w:t>
      </w:r>
      <w:r w:rsidR="009C194C">
        <w:rPr>
          <w:rFonts w:ascii="Times New Roman" w:hAnsi="Times New Roman"/>
          <w:color w:val="auto"/>
          <w:sz w:val="24"/>
        </w:rPr>
        <w:t xml:space="preserve"> seu corpo técnico ou por</w:t>
      </w:r>
      <w:r w:rsidRPr="007F2395">
        <w:rPr>
          <w:rFonts w:ascii="Times New Roman" w:hAnsi="Times New Roman"/>
          <w:color w:val="auto"/>
          <w:sz w:val="24"/>
        </w:rPr>
        <w:t xml:space="preserve"> entidades credenciadas pelo </w:t>
      </w:r>
      <w:r w:rsidR="0030116E" w:rsidRPr="0030116E">
        <w:rPr>
          <w:rFonts w:ascii="Times New Roman" w:hAnsi="Times New Roman"/>
          <w:color w:val="auto"/>
          <w:sz w:val="24"/>
        </w:rPr>
        <w:t xml:space="preserve">Instituto Nacional de Metrologia, Qualidade e Tecnologia </w:t>
      </w:r>
      <w:r w:rsidR="0030116E">
        <w:rPr>
          <w:rFonts w:ascii="Times New Roman" w:hAnsi="Times New Roman"/>
          <w:color w:val="auto"/>
          <w:sz w:val="24"/>
        </w:rPr>
        <w:t xml:space="preserve"> (</w:t>
      </w:r>
      <w:r w:rsidR="0053776E" w:rsidRPr="007F2395">
        <w:rPr>
          <w:rFonts w:ascii="Times New Roman" w:hAnsi="Times New Roman"/>
          <w:color w:val="auto"/>
          <w:sz w:val="24"/>
        </w:rPr>
        <w:t>I</w:t>
      </w:r>
      <w:r w:rsidR="0053776E">
        <w:rPr>
          <w:rFonts w:ascii="Times New Roman" w:hAnsi="Times New Roman"/>
          <w:color w:val="auto"/>
          <w:sz w:val="24"/>
        </w:rPr>
        <w:t>nmetro</w:t>
      </w:r>
      <w:r w:rsidR="0030116E">
        <w:rPr>
          <w:rFonts w:ascii="Times New Roman" w:hAnsi="Times New Roman"/>
          <w:color w:val="auto"/>
          <w:sz w:val="24"/>
        </w:rPr>
        <w:t>) com relação a</w:t>
      </w:r>
      <w:r w:rsidR="00BA049B">
        <w:rPr>
          <w:rFonts w:ascii="Times New Roman" w:hAnsi="Times New Roman"/>
          <w:color w:val="auto"/>
          <w:sz w:val="24"/>
        </w:rPr>
        <w:t xml:space="preserve"> </w:t>
      </w:r>
      <w:r w:rsidRPr="007F2395">
        <w:rPr>
          <w:rFonts w:ascii="Times New Roman" w:hAnsi="Times New Roman"/>
          <w:color w:val="auto"/>
          <w:sz w:val="24"/>
        </w:rPr>
        <w:t>procedimentos e equipamentos de medição que tenham impacto sobre a qualidade e a confiabilidade dos serviços de que trata esta Resolução e seu Regulamento Técnico.</w:t>
      </w:r>
    </w:p>
    <w:p w:rsidR="00B433F1" w:rsidRPr="007F2395" w:rsidRDefault="00B433F1" w:rsidP="007F2395">
      <w:pPr>
        <w:pStyle w:val="Recuodecorpodetexto"/>
        <w:spacing w:before="120"/>
        <w:ind w:firstLine="567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Parágrafo único. O produtor</w:t>
      </w:r>
      <w:r w:rsidR="004C6946">
        <w:rPr>
          <w:rFonts w:ascii="Times New Roman" w:hAnsi="Times New Roman"/>
          <w:color w:val="auto"/>
          <w:sz w:val="24"/>
        </w:rPr>
        <w:t xml:space="preserve"> de biometano</w:t>
      </w:r>
      <w:r>
        <w:rPr>
          <w:rFonts w:ascii="Times New Roman" w:hAnsi="Times New Roman"/>
          <w:color w:val="auto"/>
          <w:sz w:val="24"/>
        </w:rPr>
        <w:t xml:space="preserve"> deverá dispor de padrões de refer</w:t>
      </w:r>
      <w:r w:rsidR="00F77207">
        <w:rPr>
          <w:rFonts w:ascii="Times New Roman" w:hAnsi="Times New Roman"/>
          <w:color w:val="auto"/>
          <w:sz w:val="24"/>
        </w:rPr>
        <w:t>ê</w:t>
      </w:r>
      <w:r>
        <w:rPr>
          <w:rFonts w:ascii="Times New Roman" w:hAnsi="Times New Roman"/>
          <w:color w:val="auto"/>
          <w:sz w:val="24"/>
        </w:rPr>
        <w:t xml:space="preserve">ncia, </w:t>
      </w:r>
      <w:r w:rsidR="00DB5CD1">
        <w:rPr>
          <w:rFonts w:ascii="Times New Roman" w:hAnsi="Times New Roman"/>
          <w:color w:val="auto"/>
          <w:sz w:val="24"/>
        </w:rPr>
        <w:t>acompanhado</w:t>
      </w:r>
      <w:r w:rsidR="00B76C70">
        <w:rPr>
          <w:rFonts w:ascii="Times New Roman" w:hAnsi="Times New Roman"/>
          <w:color w:val="auto"/>
          <w:sz w:val="24"/>
        </w:rPr>
        <w:t>s</w:t>
      </w:r>
      <w:r w:rsidR="00DB5CD1">
        <w:rPr>
          <w:rFonts w:ascii="Times New Roman" w:hAnsi="Times New Roman"/>
          <w:color w:val="auto"/>
          <w:sz w:val="24"/>
        </w:rPr>
        <w:t xml:space="preserve"> d</w:t>
      </w:r>
      <w:r>
        <w:rPr>
          <w:rFonts w:ascii="Times New Roman" w:hAnsi="Times New Roman"/>
          <w:color w:val="auto"/>
          <w:sz w:val="24"/>
        </w:rPr>
        <w:t>os respectivos certificados de composição emitido</w:t>
      </w:r>
      <w:r w:rsidR="00DB5CD1">
        <w:rPr>
          <w:rFonts w:ascii="Times New Roman" w:hAnsi="Times New Roman"/>
          <w:color w:val="auto"/>
          <w:sz w:val="24"/>
        </w:rPr>
        <w:t>s</w:t>
      </w:r>
      <w:r>
        <w:rPr>
          <w:rFonts w:ascii="Times New Roman" w:hAnsi="Times New Roman"/>
          <w:color w:val="auto"/>
          <w:sz w:val="24"/>
        </w:rPr>
        <w:t xml:space="preserve"> pelo</w:t>
      </w:r>
      <w:r w:rsidR="00DB5CD1">
        <w:rPr>
          <w:rFonts w:ascii="Times New Roman" w:hAnsi="Times New Roman"/>
          <w:color w:val="auto"/>
          <w:sz w:val="24"/>
        </w:rPr>
        <w:t>s</w:t>
      </w:r>
      <w:r>
        <w:rPr>
          <w:rFonts w:ascii="Times New Roman" w:hAnsi="Times New Roman"/>
          <w:color w:val="auto"/>
          <w:sz w:val="24"/>
        </w:rPr>
        <w:t xml:space="preserve"> fabricante</w:t>
      </w:r>
      <w:r w:rsidR="00DB5CD1">
        <w:rPr>
          <w:rFonts w:ascii="Times New Roman" w:hAnsi="Times New Roman"/>
          <w:color w:val="auto"/>
          <w:sz w:val="24"/>
        </w:rPr>
        <w:t>s</w:t>
      </w:r>
      <w:r>
        <w:rPr>
          <w:rFonts w:ascii="Times New Roman" w:hAnsi="Times New Roman"/>
          <w:color w:val="auto"/>
          <w:sz w:val="24"/>
        </w:rPr>
        <w:t xml:space="preserve">, para a aferição dos instrumentos utilizados na </w:t>
      </w:r>
      <w:r w:rsidR="00DB5CD1">
        <w:rPr>
          <w:rFonts w:ascii="Times New Roman" w:hAnsi="Times New Roman"/>
          <w:color w:val="auto"/>
          <w:sz w:val="24"/>
        </w:rPr>
        <w:t>análise</w:t>
      </w:r>
      <w:r>
        <w:rPr>
          <w:rFonts w:ascii="Times New Roman" w:hAnsi="Times New Roman"/>
          <w:color w:val="auto"/>
          <w:sz w:val="24"/>
        </w:rPr>
        <w:t xml:space="preserve"> do produto</w:t>
      </w:r>
      <w:r w:rsidR="00DB5CD1">
        <w:rPr>
          <w:rFonts w:ascii="Times New Roman" w:hAnsi="Times New Roman"/>
          <w:color w:val="auto"/>
          <w:sz w:val="24"/>
        </w:rPr>
        <w:t xml:space="preserve"> e proceder às verificações solicitadas na auditoria.</w:t>
      </w:r>
      <w:r>
        <w:rPr>
          <w:rFonts w:ascii="Times New Roman" w:hAnsi="Times New Roman"/>
          <w:color w:val="auto"/>
          <w:sz w:val="24"/>
        </w:rPr>
        <w:t xml:space="preserve">  </w:t>
      </w:r>
    </w:p>
    <w:p w:rsidR="007F2395" w:rsidRDefault="007F2395" w:rsidP="007F2395">
      <w:pPr>
        <w:pStyle w:val="Recuodecorpodetexto"/>
        <w:spacing w:before="120"/>
        <w:ind w:firstLine="567"/>
        <w:rPr>
          <w:rFonts w:ascii="Times New Roman" w:hAnsi="Times New Roman"/>
          <w:color w:val="auto"/>
          <w:sz w:val="24"/>
        </w:rPr>
      </w:pPr>
      <w:r w:rsidRPr="007F2395">
        <w:rPr>
          <w:rFonts w:ascii="Times New Roman" w:hAnsi="Times New Roman"/>
          <w:b/>
          <w:color w:val="auto"/>
          <w:sz w:val="24"/>
        </w:rPr>
        <w:t xml:space="preserve">Art. </w:t>
      </w:r>
      <w:r w:rsidR="00E909CE">
        <w:rPr>
          <w:rFonts w:ascii="Times New Roman" w:hAnsi="Times New Roman"/>
          <w:b/>
          <w:color w:val="auto"/>
          <w:sz w:val="24"/>
        </w:rPr>
        <w:t>9º</w:t>
      </w:r>
      <w:r w:rsidR="00F5331F" w:rsidRPr="007F2395">
        <w:rPr>
          <w:rFonts w:ascii="Times New Roman" w:hAnsi="Times New Roman"/>
          <w:color w:val="auto"/>
          <w:sz w:val="24"/>
        </w:rPr>
        <w:t xml:space="preserve"> </w:t>
      </w:r>
      <w:r w:rsidRPr="007F2395">
        <w:rPr>
          <w:rFonts w:ascii="Times New Roman" w:hAnsi="Times New Roman"/>
          <w:color w:val="auto"/>
          <w:sz w:val="24"/>
        </w:rPr>
        <w:t>O produtor</w:t>
      </w:r>
      <w:r w:rsidR="004C6946">
        <w:rPr>
          <w:rFonts w:ascii="Times New Roman" w:hAnsi="Times New Roman"/>
          <w:color w:val="auto"/>
          <w:sz w:val="24"/>
        </w:rPr>
        <w:t xml:space="preserve"> de biometano</w:t>
      </w:r>
      <w:r w:rsidRPr="007F2395">
        <w:rPr>
          <w:rFonts w:ascii="Times New Roman" w:hAnsi="Times New Roman"/>
          <w:color w:val="auto"/>
          <w:sz w:val="24"/>
        </w:rPr>
        <w:t xml:space="preserve"> deverá manter sob sua guarda os </w:t>
      </w:r>
      <w:r w:rsidR="00007E41">
        <w:rPr>
          <w:rFonts w:ascii="Times New Roman" w:hAnsi="Times New Roman"/>
          <w:color w:val="auto"/>
          <w:sz w:val="24"/>
        </w:rPr>
        <w:t>c</w:t>
      </w:r>
      <w:r w:rsidR="00007E41" w:rsidRPr="007F2395">
        <w:rPr>
          <w:rFonts w:ascii="Times New Roman" w:hAnsi="Times New Roman"/>
          <w:color w:val="auto"/>
          <w:sz w:val="24"/>
        </w:rPr>
        <w:t xml:space="preserve">ertificados </w:t>
      </w:r>
      <w:r w:rsidRPr="007F2395">
        <w:rPr>
          <w:rFonts w:ascii="Times New Roman" w:hAnsi="Times New Roman"/>
          <w:color w:val="auto"/>
          <w:sz w:val="24"/>
        </w:rPr>
        <w:t xml:space="preserve">da </w:t>
      </w:r>
      <w:r w:rsidR="00007E41">
        <w:rPr>
          <w:rFonts w:ascii="Times New Roman" w:hAnsi="Times New Roman"/>
          <w:color w:val="auto"/>
          <w:sz w:val="24"/>
        </w:rPr>
        <w:t>q</w:t>
      </w:r>
      <w:r w:rsidR="00007E41" w:rsidRPr="007F2395">
        <w:rPr>
          <w:rFonts w:ascii="Times New Roman" w:hAnsi="Times New Roman"/>
          <w:color w:val="auto"/>
          <w:sz w:val="24"/>
        </w:rPr>
        <w:t>ualidade</w:t>
      </w:r>
      <w:r w:rsidRPr="007F2395">
        <w:rPr>
          <w:rFonts w:ascii="Times New Roman" w:hAnsi="Times New Roman"/>
          <w:color w:val="auto"/>
          <w:sz w:val="24"/>
        </w:rPr>
        <w:t>, pelo prazo mínimo 12 (doze) meses a contar da data de emissão,</w:t>
      </w:r>
      <w:r w:rsidR="0030116E">
        <w:rPr>
          <w:rFonts w:ascii="Times New Roman" w:hAnsi="Times New Roman"/>
          <w:color w:val="auto"/>
          <w:sz w:val="24"/>
        </w:rPr>
        <w:t xml:space="preserve"> além d</w:t>
      </w:r>
      <w:r w:rsidRPr="007F2395">
        <w:rPr>
          <w:rFonts w:ascii="Times New Roman" w:hAnsi="Times New Roman"/>
          <w:color w:val="auto"/>
          <w:sz w:val="24"/>
        </w:rPr>
        <w:t xml:space="preserve">e </w:t>
      </w:r>
      <w:r w:rsidR="00B76C70">
        <w:rPr>
          <w:rFonts w:ascii="Times New Roman" w:hAnsi="Times New Roman"/>
          <w:color w:val="auto"/>
          <w:sz w:val="24"/>
        </w:rPr>
        <w:t>disponibilizá-los</w:t>
      </w:r>
      <w:r w:rsidRPr="007F2395">
        <w:rPr>
          <w:rFonts w:ascii="Times New Roman" w:hAnsi="Times New Roman"/>
          <w:color w:val="auto"/>
          <w:sz w:val="24"/>
        </w:rPr>
        <w:t xml:space="preserve"> à ANP sempre que solicitados</w:t>
      </w:r>
      <w:r w:rsidR="00B76C70">
        <w:rPr>
          <w:rFonts w:ascii="Times New Roman" w:hAnsi="Times New Roman"/>
          <w:color w:val="auto"/>
          <w:sz w:val="24"/>
        </w:rPr>
        <w:t>, no prazo máximo de 5 (cinco) dias, contados da data da solicitação</w:t>
      </w:r>
      <w:r w:rsidRPr="007F2395">
        <w:rPr>
          <w:rFonts w:ascii="Times New Roman" w:hAnsi="Times New Roman"/>
          <w:color w:val="auto"/>
          <w:sz w:val="24"/>
        </w:rPr>
        <w:t>.</w:t>
      </w:r>
    </w:p>
    <w:p w:rsidR="00B65734" w:rsidRDefault="00CC53A0" w:rsidP="006E7476">
      <w:pPr>
        <w:pStyle w:val="Recuodecorpodetexto"/>
        <w:spacing w:before="120" w:after="360"/>
        <w:ind w:firstLine="567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Art. </w:t>
      </w:r>
      <w:r w:rsidR="00B65734">
        <w:rPr>
          <w:rFonts w:ascii="Times New Roman" w:hAnsi="Times New Roman"/>
          <w:b/>
          <w:color w:val="auto"/>
          <w:sz w:val="24"/>
        </w:rPr>
        <w:t>1</w:t>
      </w:r>
      <w:r w:rsidR="00E909CE">
        <w:rPr>
          <w:rFonts w:ascii="Times New Roman" w:hAnsi="Times New Roman"/>
          <w:b/>
          <w:color w:val="auto"/>
          <w:sz w:val="24"/>
        </w:rPr>
        <w:t>0</w:t>
      </w:r>
      <w:r>
        <w:rPr>
          <w:rFonts w:ascii="Times New Roman" w:hAnsi="Times New Roman"/>
          <w:b/>
          <w:color w:val="auto"/>
          <w:sz w:val="24"/>
        </w:rPr>
        <w:t>.</w:t>
      </w:r>
      <w:r w:rsidR="00B65734">
        <w:rPr>
          <w:rFonts w:ascii="Times New Roman" w:hAnsi="Times New Roman"/>
          <w:b/>
          <w:color w:val="auto"/>
          <w:sz w:val="24"/>
        </w:rPr>
        <w:t xml:space="preserve"> </w:t>
      </w:r>
      <w:r w:rsidR="00B65734">
        <w:rPr>
          <w:rFonts w:ascii="Times New Roman" w:hAnsi="Times New Roman"/>
          <w:color w:val="auto"/>
          <w:sz w:val="24"/>
        </w:rPr>
        <w:t>O produtor</w:t>
      </w:r>
      <w:r w:rsidR="004C6946">
        <w:rPr>
          <w:rFonts w:ascii="Times New Roman" w:hAnsi="Times New Roman"/>
          <w:color w:val="auto"/>
          <w:sz w:val="24"/>
        </w:rPr>
        <w:t xml:space="preserve"> de biometano</w:t>
      </w:r>
      <w:r w:rsidR="00B65734">
        <w:rPr>
          <w:rFonts w:ascii="Times New Roman" w:hAnsi="Times New Roman"/>
          <w:color w:val="auto"/>
          <w:sz w:val="24"/>
        </w:rPr>
        <w:t xml:space="preserve"> deverá manter durante todo o período de funcionamento da unidade as evidências de que implementou as recomendações da análise de risco para fiscalização da ANP e dos órgãos ambientais competentes.</w:t>
      </w:r>
    </w:p>
    <w:p w:rsidR="00C647AE" w:rsidRPr="00D0299D" w:rsidRDefault="0081378D" w:rsidP="00C647AE">
      <w:pPr>
        <w:spacing w:before="120"/>
        <w:ind w:firstLine="567"/>
        <w:jc w:val="center"/>
        <w:rPr>
          <w:b/>
          <w:sz w:val="24"/>
        </w:rPr>
      </w:pPr>
      <w:r>
        <w:rPr>
          <w:b/>
          <w:sz w:val="24"/>
        </w:rPr>
        <w:t>CAPÍTULO VII</w:t>
      </w:r>
    </w:p>
    <w:p w:rsidR="008B5987" w:rsidRDefault="007C53E8" w:rsidP="006E7476">
      <w:pPr>
        <w:spacing w:before="120" w:after="240"/>
        <w:jc w:val="center"/>
        <w:rPr>
          <w:b/>
          <w:sz w:val="24"/>
        </w:rPr>
      </w:pPr>
      <w:r>
        <w:rPr>
          <w:b/>
          <w:snapToGrid w:val="0"/>
          <w:sz w:val="24"/>
        </w:rPr>
        <w:t xml:space="preserve">          </w:t>
      </w:r>
      <w:r w:rsidR="009D2C93" w:rsidRPr="009D2C93">
        <w:rPr>
          <w:b/>
          <w:sz w:val="24"/>
        </w:rPr>
        <w:t>Das Disposições Finais</w:t>
      </w:r>
    </w:p>
    <w:p w:rsidR="007D2660" w:rsidRDefault="00B420EC" w:rsidP="00B65734">
      <w:pPr>
        <w:spacing w:before="120"/>
        <w:jc w:val="both"/>
        <w:rPr>
          <w:sz w:val="24"/>
        </w:rPr>
      </w:pPr>
      <w:r>
        <w:rPr>
          <w:snapToGrid w:val="0"/>
          <w:sz w:val="24"/>
        </w:rPr>
        <w:t xml:space="preserve"> </w:t>
      </w:r>
      <w:r w:rsidR="00022BD0">
        <w:rPr>
          <w:snapToGrid w:val="0"/>
          <w:sz w:val="24"/>
        </w:rPr>
        <w:t xml:space="preserve"> </w:t>
      </w:r>
      <w:r w:rsidR="00A3564E">
        <w:rPr>
          <w:b/>
          <w:snapToGrid w:val="0"/>
          <w:sz w:val="24"/>
        </w:rPr>
        <w:tab/>
      </w:r>
      <w:r w:rsidR="009D2C93" w:rsidRPr="009D2C93">
        <w:rPr>
          <w:b/>
          <w:sz w:val="24"/>
        </w:rPr>
        <w:t xml:space="preserve">Art. </w:t>
      </w:r>
      <w:r w:rsidR="008623CD">
        <w:rPr>
          <w:b/>
          <w:sz w:val="24"/>
        </w:rPr>
        <w:t>1</w:t>
      </w:r>
      <w:r w:rsidR="00E909CE">
        <w:rPr>
          <w:b/>
          <w:sz w:val="24"/>
        </w:rPr>
        <w:t>1</w:t>
      </w:r>
      <w:r w:rsidR="00F5331F">
        <w:rPr>
          <w:b/>
          <w:sz w:val="24"/>
        </w:rPr>
        <w:t>.</w:t>
      </w:r>
      <w:r w:rsidR="00A30421">
        <w:rPr>
          <w:sz w:val="24"/>
        </w:rPr>
        <w:t xml:space="preserve"> Os casos omissos</w:t>
      </w:r>
      <w:r w:rsidR="00A6439B">
        <w:rPr>
          <w:sz w:val="24"/>
        </w:rPr>
        <w:t xml:space="preserve"> e as situações não previstas nesta Resolução, relacionados com o </w:t>
      </w:r>
      <w:r w:rsidR="0030116E">
        <w:rPr>
          <w:sz w:val="24"/>
        </w:rPr>
        <w:t xml:space="preserve">tema </w:t>
      </w:r>
      <w:r w:rsidR="00A6439B">
        <w:rPr>
          <w:sz w:val="24"/>
        </w:rPr>
        <w:t>ora regulamentado,</w:t>
      </w:r>
      <w:r w:rsidR="00A30421">
        <w:rPr>
          <w:sz w:val="24"/>
        </w:rPr>
        <w:t xml:space="preserve"> ser</w:t>
      </w:r>
      <w:r w:rsidR="00A6439B">
        <w:rPr>
          <w:sz w:val="24"/>
        </w:rPr>
        <w:t>ão</w:t>
      </w:r>
      <w:r w:rsidR="00A30421">
        <w:rPr>
          <w:sz w:val="24"/>
        </w:rPr>
        <w:t xml:space="preserve"> objeto de análise e deliberação da ANP</w:t>
      </w:r>
      <w:r w:rsidR="0081378D">
        <w:rPr>
          <w:sz w:val="24"/>
        </w:rPr>
        <w:t>.</w:t>
      </w:r>
    </w:p>
    <w:p w:rsidR="00692017" w:rsidRDefault="009D2C93">
      <w:pPr>
        <w:pStyle w:val="Recuodecorpodetexto"/>
        <w:spacing w:before="120"/>
        <w:ind w:firstLine="567"/>
        <w:rPr>
          <w:rFonts w:ascii="Times New Roman" w:hAnsi="Times New Roman"/>
          <w:color w:val="auto"/>
          <w:sz w:val="24"/>
        </w:rPr>
      </w:pPr>
      <w:r w:rsidRPr="009D2C93">
        <w:rPr>
          <w:rFonts w:ascii="Times New Roman" w:hAnsi="Times New Roman"/>
          <w:b/>
          <w:color w:val="auto"/>
          <w:sz w:val="24"/>
        </w:rPr>
        <w:t>Art.</w:t>
      </w:r>
      <w:r w:rsidR="004C6946">
        <w:rPr>
          <w:rFonts w:ascii="Times New Roman" w:hAnsi="Times New Roman"/>
          <w:b/>
          <w:color w:val="auto"/>
          <w:sz w:val="24"/>
        </w:rPr>
        <w:t xml:space="preserve"> </w:t>
      </w:r>
      <w:r w:rsidR="008623CD">
        <w:rPr>
          <w:rFonts w:ascii="Times New Roman" w:hAnsi="Times New Roman"/>
          <w:b/>
          <w:color w:val="auto"/>
          <w:sz w:val="24"/>
        </w:rPr>
        <w:t>1</w:t>
      </w:r>
      <w:r w:rsidR="00E909CE">
        <w:rPr>
          <w:rFonts w:ascii="Times New Roman" w:hAnsi="Times New Roman"/>
          <w:b/>
          <w:color w:val="auto"/>
          <w:sz w:val="24"/>
        </w:rPr>
        <w:t>2</w:t>
      </w:r>
      <w:r w:rsidR="00F5331F">
        <w:rPr>
          <w:rFonts w:ascii="Times New Roman" w:hAnsi="Times New Roman"/>
          <w:b/>
          <w:color w:val="auto"/>
          <w:sz w:val="24"/>
        </w:rPr>
        <w:t>.</w:t>
      </w:r>
      <w:r w:rsidR="003A47DE">
        <w:rPr>
          <w:rFonts w:ascii="Times New Roman" w:hAnsi="Times New Roman"/>
          <w:b/>
          <w:color w:val="auto"/>
          <w:sz w:val="24"/>
        </w:rPr>
        <w:t xml:space="preserve"> </w:t>
      </w:r>
      <w:r w:rsidR="00692017">
        <w:rPr>
          <w:rFonts w:ascii="Times New Roman" w:hAnsi="Times New Roman"/>
          <w:color w:val="auto"/>
          <w:sz w:val="24"/>
        </w:rPr>
        <w:t xml:space="preserve">O não atendimento ao disposto nesta Resolução sujeita o infrator às </w:t>
      </w:r>
      <w:r w:rsidR="00165888">
        <w:rPr>
          <w:rFonts w:ascii="Times New Roman" w:hAnsi="Times New Roman"/>
          <w:color w:val="auto"/>
          <w:sz w:val="24"/>
        </w:rPr>
        <w:t xml:space="preserve"> disposições </w:t>
      </w:r>
      <w:r w:rsidR="00692017">
        <w:rPr>
          <w:rFonts w:ascii="Times New Roman" w:hAnsi="Times New Roman"/>
          <w:color w:val="auto"/>
          <w:sz w:val="24"/>
        </w:rPr>
        <w:t xml:space="preserve">previstas na Lei nº </w:t>
      </w:r>
      <w:hyperlink r:id="rId10" w:history="1">
        <w:r w:rsidR="00692017">
          <w:rPr>
            <w:rFonts w:ascii="Times New Roman" w:hAnsi="Times New Roman"/>
            <w:color w:val="auto"/>
            <w:sz w:val="24"/>
          </w:rPr>
          <w:t>9.847</w:t>
        </w:r>
      </w:hyperlink>
      <w:r w:rsidR="00A6439B">
        <w:t>,</w:t>
      </w:r>
      <w:r w:rsidR="00692017">
        <w:rPr>
          <w:rFonts w:ascii="Times New Roman" w:hAnsi="Times New Roman"/>
          <w:color w:val="auto"/>
          <w:sz w:val="24"/>
        </w:rPr>
        <w:t xml:space="preserve"> de 26 de outubro de 1999, sem prejuízo das de natureza civil e penal</w:t>
      </w:r>
      <w:r w:rsidR="00A6439B">
        <w:rPr>
          <w:rFonts w:ascii="Times New Roman" w:hAnsi="Times New Roman"/>
          <w:color w:val="auto"/>
          <w:sz w:val="24"/>
        </w:rPr>
        <w:t xml:space="preserve"> cabíveis</w:t>
      </w:r>
      <w:r w:rsidR="00692017">
        <w:rPr>
          <w:rFonts w:ascii="Times New Roman" w:hAnsi="Times New Roman"/>
          <w:color w:val="auto"/>
          <w:sz w:val="24"/>
        </w:rPr>
        <w:t>.</w:t>
      </w:r>
    </w:p>
    <w:p w:rsidR="00A854E9" w:rsidRDefault="009D2C93">
      <w:pPr>
        <w:spacing w:before="120" w:after="480"/>
        <w:ind w:firstLine="567"/>
        <w:jc w:val="both"/>
        <w:rPr>
          <w:sz w:val="24"/>
        </w:rPr>
      </w:pPr>
      <w:r w:rsidRPr="009D2C93">
        <w:rPr>
          <w:b/>
          <w:sz w:val="24"/>
        </w:rPr>
        <w:t xml:space="preserve">Art. </w:t>
      </w:r>
      <w:r w:rsidR="008623CD">
        <w:rPr>
          <w:b/>
          <w:sz w:val="24"/>
        </w:rPr>
        <w:t>1</w:t>
      </w:r>
      <w:r w:rsidR="00E909CE">
        <w:rPr>
          <w:b/>
          <w:sz w:val="24"/>
        </w:rPr>
        <w:t>3</w:t>
      </w:r>
      <w:r w:rsidR="00F5331F">
        <w:rPr>
          <w:b/>
          <w:sz w:val="24"/>
        </w:rPr>
        <w:t>.</w:t>
      </w:r>
      <w:r w:rsidR="00692017">
        <w:rPr>
          <w:sz w:val="24"/>
        </w:rPr>
        <w:t xml:space="preserve"> Esta Resolução entra em vigor na data de sua publicação.</w:t>
      </w:r>
    </w:p>
    <w:p w:rsidR="00692017" w:rsidRDefault="00692017" w:rsidP="00B232C9">
      <w:pPr>
        <w:pStyle w:val="Texto"/>
      </w:pPr>
      <w:r>
        <w:lastRenderedPageBreak/>
        <w:t> </w:t>
      </w:r>
      <w:r w:rsidR="008E7D3C">
        <w:t xml:space="preserve">DÉCIO </w:t>
      </w:r>
      <w:r w:rsidR="00AB145D">
        <w:t xml:space="preserve">FABRICIO </w:t>
      </w:r>
      <w:r w:rsidR="008E7D3C">
        <w:t>OD</w:t>
      </w:r>
      <w:r w:rsidR="00AB145D">
        <w:t>DON</w:t>
      </w:r>
      <w:r w:rsidR="008E7D3C">
        <w:t>E DA COSTA</w:t>
      </w:r>
      <w:r>
        <w:t xml:space="preserve"> </w:t>
      </w:r>
    </w:p>
    <w:p w:rsidR="00692017" w:rsidRDefault="00692017" w:rsidP="00B232C9">
      <w:pPr>
        <w:pStyle w:val="Texto"/>
      </w:pPr>
      <w:r>
        <w:t>Diretor-Geral</w:t>
      </w:r>
      <w:r w:rsidR="008623CD">
        <w:t xml:space="preserve"> </w:t>
      </w:r>
    </w:p>
    <w:p w:rsidR="00692017" w:rsidRDefault="00692017">
      <w:pPr>
        <w:pStyle w:val="Ttulo4"/>
        <w:spacing w:before="120"/>
      </w:pPr>
      <w:r>
        <w:br w:type="page"/>
      </w:r>
      <w:r>
        <w:lastRenderedPageBreak/>
        <w:t>ANEXO</w:t>
      </w:r>
    </w:p>
    <w:p w:rsidR="00692017" w:rsidRDefault="00692017">
      <w:pPr>
        <w:jc w:val="center"/>
      </w:pPr>
    </w:p>
    <w:p w:rsidR="00692017" w:rsidRDefault="00D34BFC">
      <w:pPr>
        <w:jc w:val="center"/>
      </w:pPr>
      <w:r>
        <w:t xml:space="preserve">REGULAMENTO TÉCNICO </w:t>
      </w:r>
      <w:r w:rsidRPr="00BA35BE">
        <w:rPr>
          <w:highlight w:val="yellow"/>
        </w:rPr>
        <w:t>ANP Nº X/201</w:t>
      </w:r>
      <w:r w:rsidR="002179D7">
        <w:t>7</w:t>
      </w:r>
    </w:p>
    <w:p w:rsidR="00692017" w:rsidRDefault="00692017" w:rsidP="00B232C9">
      <w:pPr>
        <w:pStyle w:val="Texto"/>
      </w:pPr>
    </w:p>
    <w:p w:rsidR="00692017" w:rsidRPr="006E7476" w:rsidRDefault="00692017">
      <w:pPr>
        <w:spacing w:before="120"/>
        <w:jc w:val="both"/>
        <w:rPr>
          <w:b/>
          <w:sz w:val="24"/>
        </w:rPr>
      </w:pPr>
      <w:r w:rsidRPr="006E7476">
        <w:rPr>
          <w:b/>
          <w:sz w:val="24"/>
        </w:rPr>
        <w:t>1. Objetivo</w:t>
      </w:r>
    </w:p>
    <w:p w:rsidR="00692017" w:rsidRDefault="00692017">
      <w:pPr>
        <w:spacing w:before="120"/>
        <w:jc w:val="both"/>
        <w:rPr>
          <w:sz w:val="24"/>
        </w:rPr>
      </w:pPr>
      <w:r>
        <w:rPr>
          <w:sz w:val="24"/>
        </w:rPr>
        <w:t xml:space="preserve">Este Regulamento Técnico aplica-se ao </w:t>
      </w:r>
      <w:r w:rsidR="002D24AD">
        <w:rPr>
          <w:sz w:val="24"/>
        </w:rPr>
        <w:t>Biometano</w:t>
      </w:r>
      <w:r w:rsidR="002D24AD" w:rsidRPr="00D666DB">
        <w:rPr>
          <w:snapToGrid w:val="0"/>
          <w:sz w:val="24"/>
        </w:rPr>
        <w:t xml:space="preserve"> </w:t>
      </w:r>
      <w:r w:rsidR="00D666DB">
        <w:rPr>
          <w:snapToGrid w:val="0"/>
          <w:sz w:val="24"/>
        </w:rPr>
        <w:t xml:space="preserve">oriundo de </w:t>
      </w:r>
      <w:r w:rsidR="008623CD">
        <w:rPr>
          <w:snapToGrid w:val="0"/>
          <w:sz w:val="24"/>
        </w:rPr>
        <w:t>aterros sanitários e estações de tratamento de esgoto</w:t>
      </w:r>
      <w:r w:rsidR="00D666DB">
        <w:rPr>
          <w:snapToGrid w:val="0"/>
          <w:sz w:val="24"/>
        </w:rPr>
        <w:t xml:space="preserve"> </w:t>
      </w:r>
      <w:r w:rsidR="00D666DB" w:rsidRPr="00A57572">
        <w:rPr>
          <w:snapToGrid w:val="0"/>
          <w:sz w:val="24"/>
        </w:rPr>
        <w:t>destina</w:t>
      </w:r>
      <w:r w:rsidR="00D666DB">
        <w:rPr>
          <w:snapToGrid w:val="0"/>
          <w:sz w:val="24"/>
        </w:rPr>
        <w:t xml:space="preserve">do </w:t>
      </w:r>
      <w:r w:rsidR="00D666DB" w:rsidRPr="00A57572">
        <w:rPr>
          <w:snapToGrid w:val="0"/>
          <w:sz w:val="24"/>
        </w:rPr>
        <w:t xml:space="preserve">ao uso </w:t>
      </w:r>
      <w:r w:rsidR="00D666DB" w:rsidRPr="002545EA">
        <w:rPr>
          <w:snapToGrid w:val="0"/>
          <w:sz w:val="24"/>
        </w:rPr>
        <w:t>veicular  e às</w:t>
      </w:r>
      <w:r w:rsidR="00D666DB" w:rsidRPr="00A57572">
        <w:rPr>
          <w:snapToGrid w:val="0"/>
          <w:sz w:val="24"/>
        </w:rPr>
        <w:t xml:space="preserve"> instalações residenciais e comerciais</w:t>
      </w:r>
      <w:r>
        <w:rPr>
          <w:sz w:val="24"/>
        </w:rPr>
        <w:t>, de origem nacional, a ser comercializado em todo o território nacional.</w:t>
      </w:r>
    </w:p>
    <w:p w:rsidR="00692017" w:rsidRPr="006E7476" w:rsidRDefault="00692017">
      <w:pPr>
        <w:spacing w:before="120"/>
        <w:jc w:val="both"/>
        <w:rPr>
          <w:b/>
          <w:sz w:val="24"/>
        </w:rPr>
      </w:pPr>
      <w:r w:rsidRPr="006E7476">
        <w:rPr>
          <w:b/>
          <w:sz w:val="24"/>
        </w:rPr>
        <w:t>1.1 Nota explicativa</w:t>
      </w:r>
    </w:p>
    <w:p w:rsidR="00692017" w:rsidRDefault="00692017">
      <w:pPr>
        <w:spacing w:before="120"/>
        <w:jc w:val="both"/>
        <w:rPr>
          <w:sz w:val="24"/>
        </w:rPr>
      </w:pPr>
      <w:r w:rsidRPr="00CB1D2A">
        <w:rPr>
          <w:sz w:val="24"/>
        </w:rPr>
        <w:t xml:space="preserve">O </w:t>
      </w:r>
      <w:r w:rsidR="002D24AD">
        <w:rPr>
          <w:sz w:val="24"/>
        </w:rPr>
        <w:t xml:space="preserve">Biometano </w:t>
      </w:r>
      <w:r>
        <w:rPr>
          <w:sz w:val="24"/>
        </w:rPr>
        <w:t>objeto desta especificação permanece no estado gasoso sob condições de temperatura e pressão amb</w:t>
      </w:r>
      <w:r w:rsidR="00DE057D">
        <w:rPr>
          <w:sz w:val="24"/>
        </w:rPr>
        <w:t xml:space="preserve">ientes. É produzido a partir do </w:t>
      </w:r>
      <w:r w:rsidR="002D24AD">
        <w:rPr>
          <w:sz w:val="24"/>
        </w:rPr>
        <w:t xml:space="preserve">Biogás </w:t>
      </w:r>
      <w:r w:rsidR="00DE057D">
        <w:rPr>
          <w:sz w:val="24"/>
        </w:rPr>
        <w:t xml:space="preserve">oriundo da digestão anaeróbica de </w:t>
      </w:r>
      <w:r w:rsidR="008623CD">
        <w:rPr>
          <w:sz w:val="24"/>
        </w:rPr>
        <w:t xml:space="preserve">estações de tratamento de esgoto e da captação de </w:t>
      </w:r>
      <w:r w:rsidR="002D24AD">
        <w:rPr>
          <w:sz w:val="24"/>
        </w:rPr>
        <w:t xml:space="preserve">Biogás </w:t>
      </w:r>
      <w:r w:rsidR="008623CD">
        <w:rPr>
          <w:sz w:val="24"/>
        </w:rPr>
        <w:t>por meio da perfuração de poços em aterros sanitários</w:t>
      </w:r>
      <w:r w:rsidR="00DE057D">
        <w:rPr>
          <w:sz w:val="24"/>
        </w:rPr>
        <w:t xml:space="preserve">, </w:t>
      </w:r>
      <w:r>
        <w:rPr>
          <w:sz w:val="24"/>
        </w:rPr>
        <w:t>q</w:t>
      </w:r>
      <w:r w:rsidR="00DE057D">
        <w:rPr>
          <w:sz w:val="24"/>
        </w:rPr>
        <w:t>ue contém principalmente metano e dióxido de carbono</w:t>
      </w:r>
      <w:r>
        <w:rPr>
          <w:sz w:val="24"/>
        </w:rPr>
        <w:t>, podendo ainda apresentar componentes inertes do ponto de vista da aplicação, tais como nitrogênio</w:t>
      </w:r>
      <w:r w:rsidR="00DE057D">
        <w:rPr>
          <w:sz w:val="24"/>
        </w:rPr>
        <w:t>, oxigênio</w:t>
      </w:r>
      <w:r>
        <w:rPr>
          <w:sz w:val="24"/>
        </w:rPr>
        <w:t xml:space="preserve"> e dióxido de carbono, bem como</w:t>
      </w:r>
      <w:r w:rsidR="00DE057D">
        <w:rPr>
          <w:sz w:val="24"/>
        </w:rPr>
        <w:t xml:space="preserve"> traços de outros constituintes.</w:t>
      </w:r>
      <w:r w:rsidR="000F4E0D" w:rsidRPr="000F4E0D">
        <w:t xml:space="preserve"> </w:t>
      </w:r>
      <w:r w:rsidR="000F4E0D">
        <w:rPr>
          <w:sz w:val="24"/>
        </w:rPr>
        <w:t xml:space="preserve">É </w:t>
      </w:r>
      <w:r w:rsidR="000F4E0D" w:rsidRPr="000F4E0D">
        <w:rPr>
          <w:sz w:val="24"/>
        </w:rPr>
        <w:t>intercambiável com o gás natural entregue à distribuição</w:t>
      </w:r>
      <w:r w:rsidR="000F4E0D">
        <w:rPr>
          <w:sz w:val="24"/>
        </w:rPr>
        <w:t>.</w:t>
      </w:r>
      <w:r w:rsidR="000F4E0D" w:rsidRPr="000F4E0D">
        <w:t xml:space="preserve"> </w:t>
      </w:r>
      <w:r w:rsidR="005C7EB9">
        <w:rPr>
          <w:sz w:val="24"/>
        </w:rPr>
        <w:t>R</w:t>
      </w:r>
      <w:r w:rsidR="000F4E0D" w:rsidRPr="000F4E0D">
        <w:rPr>
          <w:sz w:val="24"/>
        </w:rPr>
        <w:t>equer os mesmos cuidados, na compressão, distribuição e revenda, dispensados ao gás natural.</w:t>
      </w:r>
    </w:p>
    <w:p w:rsidR="00692017" w:rsidRDefault="00692017">
      <w:pPr>
        <w:spacing w:before="120"/>
        <w:jc w:val="both"/>
        <w:rPr>
          <w:sz w:val="24"/>
        </w:rPr>
      </w:pPr>
      <w:r w:rsidRPr="00CB1D2A">
        <w:rPr>
          <w:sz w:val="24"/>
        </w:rPr>
        <w:t xml:space="preserve">O </w:t>
      </w:r>
      <w:r w:rsidR="002D24AD">
        <w:rPr>
          <w:sz w:val="24"/>
        </w:rPr>
        <w:t xml:space="preserve">Biometano </w:t>
      </w:r>
      <w:r>
        <w:rPr>
          <w:sz w:val="24"/>
        </w:rPr>
        <w:t>deve apresentar concentrações limitadas de componentes potencialmente corrosivos de modo que a segurança e a integridade dos equipamentos sejam preservadas</w:t>
      </w:r>
      <w:r w:rsidR="00485F55">
        <w:rPr>
          <w:sz w:val="24"/>
        </w:rPr>
        <w:t>,</w:t>
      </w:r>
      <w:r w:rsidR="00AC584B">
        <w:rPr>
          <w:sz w:val="24"/>
        </w:rPr>
        <w:t xml:space="preserve"> bem como de</w:t>
      </w:r>
      <w:r w:rsidR="008E7D3C">
        <w:rPr>
          <w:sz w:val="24"/>
        </w:rPr>
        <w:t xml:space="preserve"> </w:t>
      </w:r>
      <w:r w:rsidR="00AC584B">
        <w:rPr>
          <w:sz w:val="24"/>
        </w:rPr>
        <w:t xml:space="preserve">componentes objetáveis à saúde humana quanto aos </w:t>
      </w:r>
      <w:r w:rsidR="008E7D3C">
        <w:rPr>
          <w:sz w:val="24"/>
        </w:rPr>
        <w:t>requisitos de exposição ocupacional</w:t>
      </w:r>
      <w:r>
        <w:rPr>
          <w:sz w:val="24"/>
        </w:rPr>
        <w:t>. Esses componentes são sulfeto de hidrogênio,</w:t>
      </w:r>
      <w:r w:rsidR="008623CD">
        <w:rPr>
          <w:sz w:val="24"/>
        </w:rPr>
        <w:t xml:space="preserve"> halogenados,</w:t>
      </w:r>
      <w:r>
        <w:rPr>
          <w:sz w:val="24"/>
        </w:rPr>
        <w:t xml:space="preserve"> dióxido de carbono e água. </w:t>
      </w:r>
      <w:r w:rsidR="008623CD">
        <w:rPr>
          <w:sz w:val="24"/>
        </w:rPr>
        <w:t xml:space="preserve">Deve apresentar teor limitado de siloxanos, tendo em vista a formação de depósitos de óxidos de silício no catalisador de veículos e </w:t>
      </w:r>
      <w:r w:rsidR="0075383F">
        <w:rPr>
          <w:sz w:val="24"/>
        </w:rPr>
        <w:t>de um filme de sílica em queimadores.</w:t>
      </w:r>
    </w:p>
    <w:p w:rsidR="00692017" w:rsidRPr="006E7476" w:rsidRDefault="00692017">
      <w:pPr>
        <w:spacing w:before="120"/>
        <w:jc w:val="both"/>
        <w:rPr>
          <w:b/>
          <w:sz w:val="24"/>
        </w:rPr>
      </w:pPr>
      <w:r w:rsidRPr="006E7476">
        <w:rPr>
          <w:b/>
          <w:sz w:val="24"/>
        </w:rPr>
        <w:t>2. Sistema de Unidades</w:t>
      </w:r>
    </w:p>
    <w:p w:rsidR="00692017" w:rsidRDefault="00692017">
      <w:pPr>
        <w:spacing w:before="120"/>
        <w:jc w:val="both"/>
        <w:rPr>
          <w:sz w:val="24"/>
        </w:rPr>
      </w:pPr>
      <w:r>
        <w:rPr>
          <w:sz w:val="24"/>
        </w:rPr>
        <w:t>O sistema de unidades a ser empregado no Regulamento Técnico é o SI de acordo com a norma brasileira NBR/ISO 1000.</w:t>
      </w:r>
    </w:p>
    <w:p w:rsidR="00692017" w:rsidRDefault="00692017">
      <w:pPr>
        <w:spacing w:before="120"/>
        <w:jc w:val="both"/>
        <w:rPr>
          <w:sz w:val="24"/>
        </w:rPr>
      </w:pPr>
      <w:r>
        <w:rPr>
          <w:sz w:val="24"/>
        </w:rPr>
        <w:t>Desta forma, a unidade de pressão é o Pa e seus múltiplos e a unidade de temperatura o K (Kelvin) ou o °C (grau Celsius).</w:t>
      </w:r>
    </w:p>
    <w:p w:rsidR="00692017" w:rsidRPr="006E7476" w:rsidRDefault="00692017">
      <w:pPr>
        <w:spacing w:before="120"/>
        <w:jc w:val="both"/>
        <w:rPr>
          <w:b/>
          <w:sz w:val="24"/>
        </w:rPr>
      </w:pPr>
      <w:r w:rsidRPr="006E7476">
        <w:rPr>
          <w:b/>
          <w:sz w:val="24"/>
        </w:rPr>
        <w:t>3. Normas Aplicáveis</w:t>
      </w:r>
    </w:p>
    <w:p w:rsidR="00692017" w:rsidRDefault="00692017">
      <w:pPr>
        <w:spacing w:before="120"/>
        <w:jc w:val="both"/>
        <w:rPr>
          <w:sz w:val="24"/>
        </w:rPr>
      </w:pPr>
      <w:r>
        <w:rPr>
          <w:sz w:val="24"/>
        </w:rPr>
        <w:t xml:space="preserve">A determinação das características do produto far-se-á mediante o emprego de normas da </w:t>
      </w:r>
      <w:r w:rsidR="00F122BF" w:rsidRPr="00B1624C">
        <w:rPr>
          <w:i/>
          <w:sz w:val="24"/>
        </w:rPr>
        <w:t>American Society for Testing and Materials</w:t>
      </w:r>
      <w:r>
        <w:rPr>
          <w:sz w:val="24"/>
        </w:rPr>
        <w:t xml:space="preserve"> (ASTM), da </w:t>
      </w:r>
      <w:r w:rsidR="00F122BF" w:rsidRPr="00B1624C">
        <w:rPr>
          <w:i/>
          <w:sz w:val="24"/>
        </w:rPr>
        <w:t>International Organization for Standardization</w:t>
      </w:r>
      <w:r>
        <w:rPr>
          <w:sz w:val="24"/>
        </w:rPr>
        <w:t xml:space="preserve"> (ISO) e da Associação Brasileira de Normas Técnicas (ABNT).</w:t>
      </w:r>
    </w:p>
    <w:p w:rsidR="00692017" w:rsidRDefault="00692017">
      <w:pPr>
        <w:spacing w:before="120"/>
        <w:jc w:val="both"/>
        <w:rPr>
          <w:sz w:val="24"/>
        </w:rPr>
      </w:pPr>
      <w:r>
        <w:rPr>
          <w:sz w:val="24"/>
        </w:rPr>
        <w:t>Os dados de incerteza, repetitividade e reprodutibilidade, fornecidos nos métodos relacionados neste Regulamento, devem ser usados somente como guia para aceitação das determinações em duplicata de ensaio e não devem ser considerados como tolerância aplicada aos limites especificados.</w:t>
      </w:r>
    </w:p>
    <w:p w:rsidR="00692017" w:rsidRDefault="00692017">
      <w:pPr>
        <w:spacing w:before="120"/>
        <w:jc w:val="both"/>
        <w:rPr>
          <w:sz w:val="24"/>
        </w:rPr>
      </w:pPr>
      <w:r>
        <w:rPr>
          <w:sz w:val="24"/>
        </w:rPr>
        <w:t xml:space="preserve">A análise </w:t>
      </w:r>
      <w:r w:rsidR="00AB0144">
        <w:rPr>
          <w:sz w:val="24"/>
        </w:rPr>
        <w:t xml:space="preserve">em linha </w:t>
      </w:r>
      <w:r>
        <w:rPr>
          <w:sz w:val="24"/>
        </w:rPr>
        <w:t xml:space="preserve">do produto deverá ser realizada </w:t>
      </w:r>
      <w:r w:rsidR="00AB0144">
        <w:rPr>
          <w:sz w:val="24"/>
        </w:rPr>
        <w:t>de acordo com o</w:t>
      </w:r>
      <w:r>
        <w:rPr>
          <w:sz w:val="24"/>
        </w:rPr>
        <w:t xml:space="preserve"> método ISO 10715 – Natural Gas: Sampling Guidelines.</w:t>
      </w:r>
    </w:p>
    <w:p w:rsidR="00692017" w:rsidRDefault="00692017">
      <w:pPr>
        <w:spacing w:before="120"/>
        <w:jc w:val="both"/>
        <w:rPr>
          <w:sz w:val="24"/>
        </w:rPr>
      </w:pPr>
      <w:r>
        <w:rPr>
          <w:sz w:val="24"/>
        </w:rPr>
        <w:t xml:space="preserve">As características incluídas no Quadro I – Tabela de especificação do </w:t>
      </w:r>
      <w:r w:rsidR="002D24AD">
        <w:rPr>
          <w:sz w:val="24"/>
        </w:rPr>
        <w:t>Biometano</w:t>
      </w:r>
      <w:r w:rsidR="002D24AD" w:rsidRPr="00110B41">
        <w:rPr>
          <w:sz w:val="24"/>
        </w:rPr>
        <w:t xml:space="preserve"> </w:t>
      </w:r>
      <w:r w:rsidR="00110B41" w:rsidRPr="00110B41">
        <w:rPr>
          <w:sz w:val="24"/>
        </w:rPr>
        <w:t>dever</w:t>
      </w:r>
      <w:r w:rsidR="00AB0144">
        <w:rPr>
          <w:sz w:val="24"/>
        </w:rPr>
        <w:t>á</w:t>
      </w:r>
      <w:r>
        <w:rPr>
          <w:sz w:val="24"/>
        </w:rPr>
        <w:t xml:space="preserve"> ser determinada de acordo com a publicação mais recente dos métodos de ensaio</w:t>
      </w:r>
      <w:r w:rsidR="00007E41">
        <w:rPr>
          <w:sz w:val="24"/>
        </w:rPr>
        <w:t>.</w:t>
      </w:r>
    </w:p>
    <w:p w:rsidR="006C3F4A" w:rsidRPr="00110B41" w:rsidRDefault="006C3F4A" w:rsidP="00110B41">
      <w:pPr>
        <w:spacing w:before="120"/>
        <w:jc w:val="both"/>
        <w:rPr>
          <w:sz w:val="24"/>
        </w:rPr>
      </w:pPr>
    </w:p>
    <w:p w:rsidR="00110B41" w:rsidRPr="00B1624C" w:rsidRDefault="00110B41" w:rsidP="00110B41">
      <w:pPr>
        <w:spacing w:before="120"/>
        <w:jc w:val="both"/>
        <w:rPr>
          <w:sz w:val="24"/>
        </w:rPr>
      </w:pPr>
    </w:p>
    <w:p w:rsidR="003876B8" w:rsidRPr="00B1624C" w:rsidRDefault="003876B8" w:rsidP="006E7476">
      <w:pPr>
        <w:pStyle w:val="Texto"/>
        <w:sectPr w:rsidR="003876B8" w:rsidRPr="00B1624C" w:rsidSect="00231F04">
          <w:headerReference w:type="default" r:id="rId11"/>
          <w:footerReference w:type="even" r:id="rId12"/>
          <w:footerReference w:type="default" r:id="rId13"/>
          <w:pgSz w:w="11907" w:h="16840" w:code="9"/>
          <w:pgMar w:top="1418" w:right="1418" w:bottom="1718" w:left="1418" w:header="720" w:footer="720" w:gutter="0"/>
          <w:cols w:space="720"/>
          <w:docGrid w:linePitch="272"/>
        </w:sectPr>
      </w:pPr>
    </w:p>
    <w:p w:rsidR="00692017" w:rsidRDefault="00F5119A" w:rsidP="006E7476">
      <w:pPr>
        <w:pStyle w:val="Texto"/>
      </w:pPr>
      <w:r>
        <w:lastRenderedPageBreak/>
        <w:t xml:space="preserve">Tabela </w:t>
      </w:r>
      <w:r w:rsidR="00692017">
        <w:t xml:space="preserve">I: </w:t>
      </w:r>
      <w:r w:rsidR="00692017" w:rsidRPr="006E7476">
        <w:rPr>
          <w:b w:val="0"/>
        </w:rPr>
        <w:t xml:space="preserve">Tabela de especificação do </w:t>
      </w:r>
      <w:r w:rsidR="002D24AD">
        <w:rPr>
          <w:b w:val="0"/>
        </w:rPr>
        <w:t>B</w:t>
      </w:r>
      <w:r w:rsidR="002D24AD" w:rsidRPr="006E7476">
        <w:rPr>
          <w:b w:val="0"/>
        </w:rPr>
        <w:t xml:space="preserve">iometano </w:t>
      </w:r>
      <w:r w:rsidR="006A646B" w:rsidRPr="006E7476">
        <w:rPr>
          <w:b w:val="0"/>
        </w:rPr>
        <w:t>(</w:t>
      </w:r>
      <w:r w:rsidR="001A3518" w:rsidRPr="006E7476">
        <w:rPr>
          <w:b w:val="0"/>
        </w:rPr>
        <w:t>1</w:t>
      </w:r>
      <w:r w:rsidR="006A646B" w:rsidRPr="006E7476">
        <w:rPr>
          <w:b w:val="0"/>
        </w:rPr>
        <w:t>)</w:t>
      </w:r>
      <w:r w:rsidR="00B232C9">
        <w:rPr>
          <w:b w:val="0"/>
        </w:rPr>
        <w:t>.</w:t>
      </w:r>
    </w:p>
    <w:tbl>
      <w:tblPr>
        <w:tblW w:w="126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/>
      </w:tblPr>
      <w:tblGrid>
        <w:gridCol w:w="1977"/>
        <w:gridCol w:w="1134"/>
        <w:gridCol w:w="1627"/>
        <w:gridCol w:w="1560"/>
        <w:gridCol w:w="1984"/>
        <w:gridCol w:w="1066"/>
        <w:gridCol w:w="1134"/>
        <w:gridCol w:w="1134"/>
        <w:gridCol w:w="1060"/>
      </w:tblGrid>
      <w:tr w:rsidR="00007E41" w:rsidRPr="00007E41" w:rsidTr="00B1624C">
        <w:trPr>
          <w:cantSplit/>
          <w:trHeight w:hRule="exact" w:val="547"/>
          <w:jc w:val="center"/>
        </w:trPr>
        <w:tc>
          <w:tcPr>
            <w:tcW w:w="1977" w:type="dxa"/>
            <w:vMerge w:val="restart"/>
            <w:vAlign w:val="center"/>
          </w:tcPr>
          <w:p w:rsidR="002E6691" w:rsidRDefault="00B232C9" w:rsidP="00B1624C">
            <w:pPr>
              <w:pStyle w:val="Tabela-Texto"/>
              <w:ind w:left="-150"/>
              <w:jc w:val="center"/>
              <w:rPr>
                <w:rFonts w:ascii="Times New Roman" w:hAnsi="Times New Roman"/>
                <w:color w:val="auto"/>
              </w:rPr>
            </w:pPr>
            <w:r w:rsidRPr="00007E41">
              <w:rPr>
                <w:rFonts w:ascii="Times New Roman" w:hAnsi="Times New Roman"/>
                <w:color w:val="auto"/>
              </w:rPr>
              <w:t>Característica</w:t>
            </w:r>
          </w:p>
        </w:tc>
        <w:tc>
          <w:tcPr>
            <w:tcW w:w="1134" w:type="dxa"/>
            <w:vMerge w:val="restart"/>
            <w:vAlign w:val="center"/>
          </w:tcPr>
          <w:p w:rsidR="002E6691" w:rsidRDefault="00B232C9" w:rsidP="006E7476">
            <w:pPr>
              <w:pStyle w:val="Tabela-Texto"/>
              <w:ind w:left="-15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B232C9">
              <w:rPr>
                <w:rFonts w:ascii="Times New Roman" w:hAnsi="Times New Roman"/>
                <w:color w:val="auto"/>
              </w:rPr>
              <w:t>Unidade</w:t>
            </w:r>
          </w:p>
        </w:tc>
        <w:tc>
          <w:tcPr>
            <w:tcW w:w="5171" w:type="dxa"/>
            <w:gridSpan w:val="3"/>
            <w:tcBorders>
              <w:bottom w:val="single" w:sz="4" w:space="0" w:color="auto"/>
            </w:tcBorders>
            <w:vAlign w:val="center"/>
          </w:tcPr>
          <w:p w:rsidR="00007E41" w:rsidRPr="00007E41" w:rsidRDefault="00B232C9" w:rsidP="00007E41">
            <w:pPr>
              <w:pStyle w:val="Tabela-Texto"/>
              <w:jc w:val="center"/>
              <w:rPr>
                <w:rFonts w:ascii="Times New Roman" w:hAnsi="Times New Roman"/>
                <w:color w:val="auto"/>
              </w:rPr>
            </w:pPr>
            <w:r w:rsidRPr="00B1624C">
              <w:rPr>
                <w:rFonts w:ascii="Times New Roman" w:hAnsi="Times New Roman"/>
                <w:color w:val="auto"/>
              </w:rPr>
              <w:t>Limite</w:t>
            </w:r>
          </w:p>
        </w:tc>
        <w:tc>
          <w:tcPr>
            <w:tcW w:w="439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E41" w:rsidRPr="00007E41" w:rsidRDefault="00B232C9" w:rsidP="00007E41">
            <w:pPr>
              <w:pStyle w:val="Tabela-Texto"/>
              <w:jc w:val="center"/>
              <w:rPr>
                <w:rFonts w:ascii="Times New Roman" w:hAnsi="Times New Roman"/>
                <w:color w:val="auto"/>
              </w:rPr>
            </w:pPr>
            <w:r w:rsidRPr="00007E41">
              <w:rPr>
                <w:rFonts w:ascii="Times New Roman" w:hAnsi="Times New Roman"/>
                <w:color w:val="auto"/>
              </w:rPr>
              <w:t>Método</w:t>
            </w:r>
          </w:p>
        </w:tc>
      </w:tr>
      <w:tr w:rsidR="00007E41" w:rsidRPr="00007E41" w:rsidTr="00B1624C">
        <w:trPr>
          <w:cantSplit/>
          <w:trHeight w:hRule="exact" w:val="876"/>
          <w:jc w:val="center"/>
        </w:trPr>
        <w:tc>
          <w:tcPr>
            <w:tcW w:w="1977" w:type="dxa"/>
            <w:vMerge/>
            <w:vAlign w:val="center"/>
          </w:tcPr>
          <w:p w:rsidR="002E6691" w:rsidRDefault="002E6691" w:rsidP="00B1624C">
            <w:pPr>
              <w:pStyle w:val="Tabela-Tex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E6691" w:rsidRDefault="002E6691" w:rsidP="00B1624C">
            <w:pPr>
              <w:pStyle w:val="Tabela-Tex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:rsidR="002E6691" w:rsidRDefault="00F122BF" w:rsidP="00B1624C">
            <w:pPr>
              <w:spacing w:before="60" w:after="60" w:line="0" w:lineRule="atLeast"/>
              <w:jc w:val="center"/>
            </w:pPr>
            <w:r>
              <w:t>Norte</w:t>
            </w:r>
          </w:p>
        </w:tc>
        <w:tc>
          <w:tcPr>
            <w:tcW w:w="1560" w:type="dxa"/>
            <w:vAlign w:val="center"/>
          </w:tcPr>
          <w:p w:rsidR="00007E41" w:rsidRPr="00007E41" w:rsidRDefault="00F122BF" w:rsidP="00007E41">
            <w:pPr>
              <w:jc w:val="center"/>
            </w:pPr>
            <w:r>
              <w:t>Nordeste</w:t>
            </w:r>
          </w:p>
        </w:tc>
        <w:tc>
          <w:tcPr>
            <w:tcW w:w="1984" w:type="dxa"/>
            <w:vAlign w:val="center"/>
          </w:tcPr>
          <w:p w:rsidR="00007E41" w:rsidRPr="00007E41" w:rsidRDefault="00F122BF" w:rsidP="00007E41">
            <w:pPr>
              <w:jc w:val="center"/>
            </w:pPr>
            <w:r>
              <w:t>Centro-Oeste, Sudeste e Sul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E41" w:rsidRPr="00007E41" w:rsidRDefault="00F122BF" w:rsidP="00007E41">
            <w:pPr>
              <w:jc w:val="center"/>
            </w:pPr>
            <w:r>
              <w:t>NBR</w:t>
            </w:r>
          </w:p>
        </w:tc>
        <w:tc>
          <w:tcPr>
            <w:tcW w:w="1134" w:type="dxa"/>
            <w:vAlign w:val="center"/>
          </w:tcPr>
          <w:p w:rsidR="00007E41" w:rsidRPr="00007E41" w:rsidRDefault="00F122BF" w:rsidP="00007E41">
            <w:pPr>
              <w:pStyle w:val="Tabela-Texto"/>
              <w:tabs>
                <w:tab w:val="clear" w:pos="720"/>
                <w:tab w:val="clear" w:pos="1698"/>
                <w:tab w:val="clear" w:pos="2304"/>
                <w:tab w:val="clear" w:pos="2820"/>
                <w:tab w:val="clear" w:pos="2880"/>
                <w:tab w:val="clear" w:pos="3601"/>
                <w:tab w:val="clear" w:pos="4322"/>
                <w:tab w:val="clear" w:pos="5043"/>
                <w:tab w:val="clear" w:pos="5761"/>
                <w:tab w:val="clear" w:pos="6482"/>
                <w:tab w:val="clear" w:pos="7203"/>
                <w:tab w:val="clear" w:pos="7923"/>
                <w:tab w:val="clear" w:pos="8641"/>
                <w:tab w:val="clear" w:pos="9362"/>
                <w:tab w:val="clear" w:pos="10083"/>
                <w:tab w:val="clear" w:pos="10801"/>
                <w:tab w:val="clear" w:pos="11522"/>
                <w:tab w:val="clear" w:pos="12243"/>
                <w:tab w:val="clear" w:pos="12964"/>
                <w:tab w:val="clear" w:pos="13682"/>
                <w:tab w:val="clear" w:pos="14403"/>
                <w:tab w:val="clear" w:pos="15123"/>
                <w:tab w:val="clear" w:pos="15844"/>
                <w:tab w:val="clear" w:pos="16562"/>
                <w:tab w:val="clear" w:pos="17283"/>
                <w:tab w:val="clear" w:pos="18004"/>
                <w:tab w:val="clear" w:pos="18722"/>
                <w:tab w:val="clear" w:pos="19443"/>
                <w:tab w:val="clear" w:pos="20164"/>
                <w:tab w:val="clear" w:pos="20885"/>
              </w:tabs>
              <w:ind w:left="0" w:right="-107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ASTM D</w:t>
            </w:r>
          </w:p>
        </w:tc>
        <w:tc>
          <w:tcPr>
            <w:tcW w:w="1134" w:type="dxa"/>
            <w:vAlign w:val="center"/>
          </w:tcPr>
          <w:p w:rsidR="00007E41" w:rsidRPr="00007E41" w:rsidRDefault="00F122BF">
            <w:pPr>
              <w:pStyle w:val="Tabela-Tex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ISO</w:t>
            </w:r>
          </w:p>
        </w:tc>
        <w:tc>
          <w:tcPr>
            <w:tcW w:w="1060" w:type="dxa"/>
            <w:vAlign w:val="center"/>
          </w:tcPr>
          <w:p w:rsidR="00007E41" w:rsidRPr="00007E41" w:rsidRDefault="00F122BF" w:rsidP="00007E41">
            <w:pPr>
              <w:pStyle w:val="Tabela-Tex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NF</w:t>
            </w:r>
          </w:p>
        </w:tc>
      </w:tr>
      <w:tr w:rsidR="00B232C9" w:rsidRPr="00007E41" w:rsidTr="007012E3">
        <w:trPr>
          <w:cantSplit/>
          <w:jc w:val="center"/>
        </w:trPr>
        <w:tc>
          <w:tcPr>
            <w:tcW w:w="1977" w:type="dxa"/>
            <w:vMerge w:val="restart"/>
            <w:vAlign w:val="center"/>
          </w:tcPr>
          <w:p w:rsidR="00B232C9" w:rsidRDefault="00B232C9" w:rsidP="00B1624C">
            <w:pPr>
              <w:pStyle w:val="Tabela-Texto"/>
              <w:ind w:left="-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Poder Calorífico Superior</w:t>
            </w:r>
          </w:p>
        </w:tc>
        <w:tc>
          <w:tcPr>
            <w:tcW w:w="1134" w:type="dxa"/>
            <w:vAlign w:val="center"/>
          </w:tcPr>
          <w:p w:rsidR="00B232C9" w:rsidRPr="00007E41" w:rsidRDefault="00B232C9" w:rsidP="00007E41">
            <w:pPr>
              <w:pStyle w:val="Tabela-Tex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kJ/m</w:t>
            </w:r>
            <w:r w:rsidRPr="00007E41">
              <w:rPr>
                <w:rFonts w:ascii="Times New Roman" w:hAnsi="Times New Roman"/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27" w:type="dxa"/>
            <w:vAlign w:val="center"/>
          </w:tcPr>
          <w:p w:rsidR="00B232C9" w:rsidRPr="00007E41" w:rsidRDefault="00B232C9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34.000 a 38.400</w:t>
            </w:r>
          </w:p>
        </w:tc>
        <w:tc>
          <w:tcPr>
            <w:tcW w:w="3544" w:type="dxa"/>
            <w:gridSpan w:val="2"/>
            <w:vAlign w:val="center"/>
          </w:tcPr>
          <w:p w:rsidR="00B232C9" w:rsidRPr="00007E41" w:rsidRDefault="00B232C9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35.000 a 43.000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2C9" w:rsidRPr="00007E41" w:rsidRDefault="00B232C9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15213</w:t>
            </w:r>
          </w:p>
        </w:tc>
        <w:tc>
          <w:tcPr>
            <w:tcW w:w="1134" w:type="dxa"/>
            <w:vAlign w:val="center"/>
          </w:tcPr>
          <w:p w:rsidR="00B232C9" w:rsidRPr="00007E41" w:rsidRDefault="00B232C9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3588</w:t>
            </w:r>
          </w:p>
        </w:tc>
        <w:tc>
          <w:tcPr>
            <w:tcW w:w="1134" w:type="dxa"/>
            <w:vAlign w:val="center"/>
          </w:tcPr>
          <w:p w:rsidR="00B232C9" w:rsidRPr="00007E41" w:rsidRDefault="00B232C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6976</w:t>
            </w:r>
          </w:p>
        </w:tc>
        <w:tc>
          <w:tcPr>
            <w:tcW w:w="1060" w:type="dxa"/>
          </w:tcPr>
          <w:p w:rsidR="00B232C9" w:rsidRPr="00007E41" w:rsidRDefault="00B232C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232C9" w:rsidRPr="00007E41" w:rsidTr="007012E3">
        <w:trPr>
          <w:cantSplit/>
          <w:jc w:val="center"/>
        </w:trPr>
        <w:tc>
          <w:tcPr>
            <w:tcW w:w="1977" w:type="dxa"/>
            <w:vMerge/>
            <w:vAlign w:val="center"/>
          </w:tcPr>
          <w:p w:rsidR="00B232C9" w:rsidRDefault="00B232C9" w:rsidP="00B1624C">
            <w:pPr>
              <w:pStyle w:val="Tabela-Texto"/>
              <w:ind w:left="-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2C9" w:rsidRPr="00007E41" w:rsidRDefault="00B232C9" w:rsidP="00007E41">
            <w:pPr>
              <w:pStyle w:val="Tabela-Tex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kWh/m</w:t>
            </w:r>
            <w:r w:rsidRPr="00007E41">
              <w:rPr>
                <w:rFonts w:ascii="Times New Roman" w:hAnsi="Times New Roman"/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27" w:type="dxa"/>
            <w:vAlign w:val="center"/>
          </w:tcPr>
          <w:p w:rsidR="00B232C9" w:rsidRPr="00007E41" w:rsidRDefault="00B232C9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9,47 a 10,67</w:t>
            </w:r>
          </w:p>
        </w:tc>
        <w:tc>
          <w:tcPr>
            <w:tcW w:w="3544" w:type="dxa"/>
            <w:gridSpan w:val="2"/>
            <w:vAlign w:val="center"/>
          </w:tcPr>
          <w:p w:rsidR="00B232C9" w:rsidRPr="00007E41" w:rsidRDefault="00B232C9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9,72 a 11,94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2C9" w:rsidRPr="00007E41" w:rsidRDefault="00B232C9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2C9" w:rsidRPr="00007E41" w:rsidRDefault="00B232C9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32C9" w:rsidRPr="00007E41" w:rsidRDefault="00B232C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B232C9" w:rsidRPr="00007E41" w:rsidRDefault="00B232C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07E41" w:rsidRPr="00007E41" w:rsidTr="00B1624C">
        <w:trPr>
          <w:cantSplit/>
          <w:jc w:val="center"/>
        </w:trPr>
        <w:tc>
          <w:tcPr>
            <w:tcW w:w="1977" w:type="dxa"/>
            <w:vAlign w:val="center"/>
          </w:tcPr>
          <w:p w:rsidR="002E6691" w:rsidRDefault="00007E41" w:rsidP="00B1624C">
            <w:pPr>
              <w:pStyle w:val="Tabela-Texto"/>
              <w:ind w:left="-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Índice de Wobbe</w:t>
            </w:r>
          </w:p>
        </w:tc>
        <w:tc>
          <w:tcPr>
            <w:tcW w:w="1134" w:type="dxa"/>
            <w:vAlign w:val="center"/>
          </w:tcPr>
          <w:p w:rsidR="00007E41" w:rsidRPr="00007E41" w:rsidRDefault="00007E41" w:rsidP="00007E41">
            <w:pPr>
              <w:pStyle w:val="Tabela-Texto"/>
              <w:jc w:val="center"/>
              <w:rPr>
                <w:rFonts w:ascii="Times New Roman" w:hAnsi="Times New Roman"/>
                <w:color w:val="auto"/>
                <w:sz w:val="22"/>
                <w:szCs w:val="22"/>
                <w:vertAlign w:val="superscript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kJ/m</w:t>
            </w:r>
            <w:r w:rsidRPr="00007E41">
              <w:rPr>
                <w:rFonts w:ascii="Times New Roman" w:hAnsi="Times New Roman"/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27" w:type="dxa"/>
            <w:vAlign w:val="center"/>
          </w:tcPr>
          <w:p w:rsidR="00007E41" w:rsidRPr="00007E41" w:rsidRDefault="00007E41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40.500 a 45.000</w:t>
            </w:r>
          </w:p>
        </w:tc>
        <w:tc>
          <w:tcPr>
            <w:tcW w:w="3544" w:type="dxa"/>
            <w:gridSpan w:val="2"/>
            <w:vAlign w:val="center"/>
          </w:tcPr>
          <w:p w:rsidR="00007E41" w:rsidRPr="00007E41" w:rsidRDefault="00007E41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46.500 a 53.500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E41" w:rsidRPr="00007E41" w:rsidRDefault="00007E41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15213</w:t>
            </w:r>
          </w:p>
        </w:tc>
        <w:tc>
          <w:tcPr>
            <w:tcW w:w="1134" w:type="dxa"/>
            <w:vAlign w:val="center"/>
          </w:tcPr>
          <w:p w:rsidR="00007E41" w:rsidRPr="00007E41" w:rsidRDefault="00007E41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7E41" w:rsidRPr="00007E41" w:rsidRDefault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6976</w:t>
            </w:r>
          </w:p>
        </w:tc>
        <w:tc>
          <w:tcPr>
            <w:tcW w:w="1060" w:type="dxa"/>
          </w:tcPr>
          <w:p w:rsidR="00007E41" w:rsidRPr="00007E41" w:rsidRDefault="00007E4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07E41" w:rsidRPr="00007E41" w:rsidTr="00B1624C">
        <w:trPr>
          <w:cantSplit/>
          <w:jc w:val="center"/>
        </w:trPr>
        <w:tc>
          <w:tcPr>
            <w:tcW w:w="1977" w:type="dxa"/>
            <w:vAlign w:val="center"/>
          </w:tcPr>
          <w:p w:rsidR="002E6691" w:rsidRDefault="00007E41" w:rsidP="00B1624C">
            <w:pPr>
              <w:pStyle w:val="Tabela-Texto"/>
              <w:ind w:left="-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Metano, mín</w:t>
            </w:r>
          </w:p>
        </w:tc>
        <w:tc>
          <w:tcPr>
            <w:tcW w:w="1134" w:type="dxa"/>
            <w:vAlign w:val="center"/>
          </w:tcPr>
          <w:p w:rsidR="00007E41" w:rsidRPr="00007E41" w:rsidRDefault="00007E41" w:rsidP="00007E41">
            <w:pPr>
              <w:pStyle w:val="Tabela-Tex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% mol.</w:t>
            </w:r>
          </w:p>
        </w:tc>
        <w:tc>
          <w:tcPr>
            <w:tcW w:w="1627" w:type="dxa"/>
            <w:vAlign w:val="center"/>
          </w:tcPr>
          <w:p w:rsidR="00007E41" w:rsidRPr="00007E41" w:rsidRDefault="00007E41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90,0</w:t>
            </w:r>
          </w:p>
        </w:tc>
        <w:tc>
          <w:tcPr>
            <w:tcW w:w="3544" w:type="dxa"/>
            <w:gridSpan w:val="2"/>
            <w:vAlign w:val="center"/>
          </w:tcPr>
          <w:p w:rsidR="00007E41" w:rsidRPr="00007E41" w:rsidRDefault="00007E41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96,5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E41" w:rsidRPr="00007E41" w:rsidRDefault="00007E41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14903</w:t>
            </w:r>
          </w:p>
        </w:tc>
        <w:tc>
          <w:tcPr>
            <w:tcW w:w="1134" w:type="dxa"/>
            <w:vAlign w:val="center"/>
          </w:tcPr>
          <w:p w:rsidR="00007E41" w:rsidRPr="00007E41" w:rsidRDefault="00007E41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1945</w:t>
            </w:r>
          </w:p>
        </w:tc>
        <w:tc>
          <w:tcPr>
            <w:tcW w:w="1134" w:type="dxa"/>
            <w:vAlign w:val="center"/>
          </w:tcPr>
          <w:p w:rsidR="00007E41" w:rsidRPr="00007E41" w:rsidRDefault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6974</w:t>
            </w:r>
          </w:p>
        </w:tc>
        <w:tc>
          <w:tcPr>
            <w:tcW w:w="1060" w:type="dxa"/>
          </w:tcPr>
          <w:p w:rsidR="00007E41" w:rsidRPr="00007E41" w:rsidRDefault="00007E4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07E41" w:rsidRPr="00007E41" w:rsidTr="00B1624C">
        <w:trPr>
          <w:cantSplit/>
          <w:jc w:val="center"/>
        </w:trPr>
        <w:tc>
          <w:tcPr>
            <w:tcW w:w="1977" w:type="dxa"/>
            <w:vAlign w:val="center"/>
          </w:tcPr>
          <w:p w:rsidR="002E6691" w:rsidRDefault="00007E41" w:rsidP="00B1624C">
            <w:pPr>
              <w:pStyle w:val="Tabela-Texto"/>
              <w:ind w:left="-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Oxigênio, máx.</w:t>
            </w:r>
          </w:p>
        </w:tc>
        <w:tc>
          <w:tcPr>
            <w:tcW w:w="1134" w:type="dxa"/>
            <w:vAlign w:val="center"/>
          </w:tcPr>
          <w:p w:rsidR="00007E41" w:rsidRPr="00007E41" w:rsidRDefault="00007E41" w:rsidP="00007E41">
            <w:pPr>
              <w:pStyle w:val="Tabela-Tex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% mol.</w:t>
            </w:r>
          </w:p>
        </w:tc>
        <w:tc>
          <w:tcPr>
            <w:tcW w:w="1627" w:type="dxa"/>
            <w:vAlign w:val="center"/>
          </w:tcPr>
          <w:p w:rsidR="00007E41" w:rsidRPr="00007E41" w:rsidRDefault="00007E41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0,5</w:t>
            </w:r>
          </w:p>
        </w:tc>
        <w:tc>
          <w:tcPr>
            <w:tcW w:w="3544" w:type="dxa"/>
            <w:gridSpan w:val="2"/>
            <w:vAlign w:val="center"/>
          </w:tcPr>
          <w:p w:rsidR="00007E41" w:rsidRPr="00007E41" w:rsidRDefault="00007E41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0,5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E41" w:rsidRPr="00007E41" w:rsidRDefault="00007E41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14903</w:t>
            </w:r>
          </w:p>
        </w:tc>
        <w:tc>
          <w:tcPr>
            <w:tcW w:w="1134" w:type="dxa"/>
            <w:vAlign w:val="center"/>
          </w:tcPr>
          <w:p w:rsidR="00007E41" w:rsidRPr="00007E41" w:rsidRDefault="00007E41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1945</w:t>
            </w:r>
          </w:p>
        </w:tc>
        <w:tc>
          <w:tcPr>
            <w:tcW w:w="1134" w:type="dxa"/>
            <w:vAlign w:val="center"/>
          </w:tcPr>
          <w:p w:rsidR="00007E41" w:rsidRPr="00007E41" w:rsidRDefault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6974</w:t>
            </w:r>
          </w:p>
        </w:tc>
        <w:tc>
          <w:tcPr>
            <w:tcW w:w="1060" w:type="dxa"/>
          </w:tcPr>
          <w:p w:rsidR="00007E41" w:rsidRPr="00007E41" w:rsidRDefault="00007E4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07E41" w:rsidRPr="00007E41" w:rsidTr="00B1624C">
        <w:trPr>
          <w:cantSplit/>
          <w:jc w:val="center"/>
        </w:trPr>
        <w:tc>
          <w:tcPr>
            <w:tcW w:w="1977" w:type="dxa"/>
            <w:vAlign w:val="center"/>
          </w:tcPr>
          <w:p w:rsidR="002E6691" w:rsidRDefault="00007E41" w:rsidP="00B1624C">
            <w:pPr>
              <w:pStyle w:val="Tabela-Texto"/>
              <w:ind w:left="-8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es-ES_tradnl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  <w:lang w:val="es-ES_tradnl"/>
              </w:rPr>
              <w:t>CO</w:t>
            </w:r>
            <w:r w:rsidRPr="00007E41">
              <w:rPr>
                <w:rFonts w:ascii="Times New Roman" w:hAnsi="Times New Roman"/>
                <w:color w:val="auto"/>
                <w:sz w:val="22"/>
                <w:szCs w:val="22"/>
                <w:vertAlign w:val="subscript"/>
                <w:lang w:val="es-ES_tradnl"/>
              </w:rPr>
              <w:t>2</w:t>
            </w:r>
            <w:r w:rsidRPr="00007E41">
              <w:rPr>
                <w:rFonts w:ascii="Times New Roman" w:hAnsi="Times New Roman"/>
                <w:color w:val="auto"/>
                <w:sz w:val="22"/>
                <w:szCs w:val="22"/>
                <w:lang w:val="es-ES_tradnl"/>
              </w:rPr>
              <w:t>, máx.</w:t>
            </w:r>
          </w:p>
        </w:tc>
        <w:tc>
          <w:tcPr>
            <w:tcW w:w="1134" w:type="dxa"/>
            <w:vAlign w:val="center"/>
          </w:tcPr>
          <w:p w:rsidR="00007E41" w:rsidRPr="00007E41" w:rsidRDefault="00007E41" w:rsidP="00007E41">
            <w:pPr>
              <w:pStyle w:val="Tabela-Tex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% mol.</w:t>
            </w:r>
          </w:p>
        </w:tc>
        <w:tc>
          <w:tcPr>
            <w:tcW w:w="1627" w:type="dxa"/>
            <w:vAlign w:val="center"/>
          </w:tcPr>
          <w:p w:rsidR="00007E41" w:rsidRPr="00007E41" w:rsidRDefault="00007E41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3,0</w:t>
            </w:r>
          </w:p>
        </w:tc>
        <w:tc>
          <w:tcPr>
            <w:tcW w:w="3544" w:type="dxa"/>
            <w:gridSpan w:val="2"/>
            <w:vAlign w:val="center"/>
          </w:tcPr>
          <w:p w:rsidR="00007E41" w:rsidRPr="00007E41" w:rsidRDefault="00007E41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3,0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E41" w:rsidRPr="00007E41" w:rsidRDefault="00007E41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14903</w:t>
            </w:r>
          </w:p>
        </w:tc>
        <w:tc>
          <w:tcPr>
            <w:tcW w:w="1134" w:type="dxa"/>
            <w:vAlign w:val="center"/>
          </w:tcPr>
          <w:p w:rsidR="00007E41" w:rsidRPr="00007E41" w:rsidRDefault="00007E41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1945</w:t>
            </w:r>
          </w:p>
        </w:tc>
        <w:tc>
          <w:tcPr>
            <w:tcW w:w="1134" w:type="dxa"/>
            <w:vAlign w:val="center"/>
          </w:tcPr>
          <w:p w:rsidR="00007E41" w:rsidRPr="00007E41" w:rsidRDefault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6974</w:t>
            </w:r>
          </w:p>
        </w:tc>
        <w:tc>
          <w:tcPr>
            <w:tcW w:w="1060" w:type="dxa"/>
          </w:tcPr>
          <w:p w:rsidR="00007E41" w:rsidRPr="00FC3E56" w:rsidRDefault="00007E4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07E41" w:rsidRPr="00007E41" w:rsidTr="00B1624C">
        <w:trPr>
          <w:cantSplit/>
          <w:jc w:val="center"/>
        </w:trPr>
        <w:tc>
          <w:tcPr>
            <w:tcW w:w="1977" w:type="dxa"/>
            <w:vAlign w:val="center"/>
          </w:tcPr>
          <w:p w:rsidR="002E6691" w:rsidRDefault="00007E41" w:rsidP="00B1624C">
            <w:pPr>
              <w:pStyle w:val="Tabela-Texto"/>
              <w:ind w:left="-8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es-ES_tradnl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  <w:lang w:val="es-ES_tradnl"/>
              </w:rPr>
              <w:t>CO</w:t>
            </w:r>
            <w:r w:rsidRPr="00007E41">
              <w:rPr>
                <w:rFonts w:ascii="Times New Roman" w:hAnsi="Times New Roman"/>
                <w:color w:val="auto"/>
                <w:sz w:val="22"/>
                <w:szCs w:val="22"/>
                <w:vertAlign w:val="subscript"/>
                <w:lang w:val="es-ES_tradnl"/>
              </w:rPr>
              <w:t>2</w:t>
            </w:r>
            <w:r w:rsidRPr="00007E41">
              <w:rPr>
                <w:rFonts w:ascii="Times New Roman" w:hAnsi="Times New Roman"/>
                <w:color w:val="auto"/>
                <w:sz w:val="22"/>
                <w:szCs w:val="22"/>
                <w:lang w:val="es-ES_tradnl"/>
              </w:rPr>
              <w:t>+O</w:t>
            </w:r>
            <w:r w:rsidRPr="00007E41">
              <w:rPr>
                <w:rFonts w:ascii="Times New Roman" w:hAnsi="Times New Roman"/>
                <w:color w:val="auto"/>
                <w:sz w:val="22"/>
                <w:szCs w:val="22"/>
                <w:vertAlign w:val="subscript"/>
                <w:lang w:val="es-ES_tradnl"/>
              </w:rPr>
              <w:t>2</w:t>
            </w:r>
            <w:r w:rsidRPr="00007E41">
              <w:rPr>
                <w:rFonts w:ascii="Times New Roman" w:hAnsi="Times New Roman"/>
                <w:color w:val="auto"/>
                <w:sz w:val="22"/>
                <w:szCs w:val="22"/>
                <w:lang w:val="es-ES_tradnl"/>
              </w:rPr>
              <w:t>+N</w:t>
            </w:r>
            <w:r w:rsidRPr="00007E41">
              <w:rPr>
                <w:rFonts w:ascii="Times New Roman" w:hAnsi="Times New Roman"/>
                <w:color w:val="auto"/>
                <w:sz w:val="22"/>
                <w:szCs w:val="22"/>
                <w:vertAlign w:val="subscript"/>
                <w:lang w:val="es-ES_tradnl"/>
              </w:rPr>
              <w:t>2</w:t>
            </w:r>
            <w:r w:rsidRPr="00007E41">
              <w:rPr>
                <w:rFonts w:ascii="Times New Roman" w:hAnsi="Times New Roman"/>
                <w:color w:val="auto"/>
                <w:sz w:val="22"/>
                <w:szCs w:val="22"/>
                <w:lang w:val="es-ES_tradnl"/>
              </w:rPr>
              <w:t>, máx.</w:t>
            </w:r>
          </w:p>
        </w:tc>
        <w:tc>
          <w:tcPr>
            <w:tcW w:w="1134" w:type="dxa"/>
            <w:vAlign w:val="center"/>
          </w:tcPr>
          <w:p w:rsidR="00007E41" w:rsidRPr="00007E41" w:rsidRDefault="00007E41" w:rsidP="00007E41">
            <w:pPr>
              <w:pStyle w:val="Tabela-Tex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:rsidR="00007E41" w:rsidRPr="00007E41" w:rsidRDefault="00007E41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10,0</w:t>
            </w:r>
          </w:p>
        </w:tc>
        <w:tc>
          <w:tcPr>
            <w:tcW w:w="3544" w:type="dxa"/>
            <w:gridSpan w:val="2"/>
            <w:vAlign w:val="center"/>
          </w:tcPr>
          <w:p w:rsidR="00007E41" w:rsidRPr="00007E41" w:rsidRDefault="00007E41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3,5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E41" w:rsidRPr="00007E41" w:rsidRDefault="00007E41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14903</w:t>
            </w:r>
          </w:p>
        </w:tc>
        <w:tc>
          <w:tcPr>
            <w:tcW w:w="1134" w:type="dxa"/>
            <w:vAlign w:val="center"/>
          </w:tcPr>
          <w:p w:rsidR="00007E41" w:rsidRPr="00007E41" w:rsidRDefault="00007E41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1945</w:t>
            </w:r>
          </w:p>
        </w:tc>
        <w:tc>
          <w:tcPr>
            <w:tcW w:w="1134" w:type="dxa"/>
            <w:vAlign w:val="center"/>
          </w:tcPr>
          <w:p w:rsidR="00007E41" w:rsidRPr="00007E41" w:rsidRDefault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6974</w:t>
            </w:r>
          </w:p>
        </w:tc>
        <w:tc>
          <w:tcPr>
            <w:tcW w:w="1060" w:type="dxa"/>
          </w:tcPr>
          <w:p w:rsidR="00007E41" w:rsidRPr="00FC3E56" w:rsidRDefault="00007E4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232C9" w:rsidRPr="00007E41" w:rsidTr="007012E3">
        <w:trPr>
          <w:cantSplit/>
          <w:jc w:val="center"/>
        </w:trPr>
        <w:tc>
          <w:tcPr>
            <w:tcW w:w="1977" w:type="dxa"/>
            <w:vAlign w:val="center"/>
          </w:tcPr>
          <w:p w:rsidR="00B232C9" w:rsidRDefault="00B232C9" w:rsidP="00B1624C">
            <w:pPr>
              <w:pStyle w:val="Tabela-Texto"/>
              <w:ind w:left="-8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es-ES_tradnl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  <w:lang w:val="es-ES_tradnl"/>
              </w:rPr>
              <w:t>Enxofre Total, máx.(3)</w:t>
            </w:r>
          </w:p>
        </w:tc>
        <w:tc>
          <w:tcPr>
            <w:tcW w:w="1134" w:type="dxa"/>
            <w:vAlign w:val="center"/>
          </w:tcPr>
          <w:p w:rsidR="00B232C9" w:rsidRPr="00007E41" w:rsidRDefault="00B232C9" w:rsidP="00007E41">
            <w:pPr>
              <w:pStyle w:val="Tabela-Tex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mg/m</w:t>
            </w:r>
            <w:r w:rsidRPr="00007E41">
              <w:rPr>
                <w:rFonts w:ascii="Times New Roman" w:hAnsi="Times New Roman"/>
                <w:color w:val="auto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5171" w:type="dxa"/>
            <w:gridSpan w:val="3"/>
            <w:vAlign w:val="center"/>
          </w:tcPr>
          <w:p w:rsidR="00B232C9" w:rsidRPr="00007E41" w:rsidRDefault="00B232C9" w:rsidP="006E7476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70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2C9" w:rsidRPr="00007E41" w:rsidRDefault="00B232C9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15631</w:t>
            </w:r>
          </w:p>
        </w:tc>
        <w:tc>
          <w:tcPr>
            <w:tcW w:w="1134" w:type="dxa"/>
            <w:vAlign w:val="center"/>
          </w:tcPr>
          <w:p w:rsidR="00B232C9" w:rsidRPr="00007E41" w:rsidRDefault="00B232C9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5504</w:t>
            </w:r>
          </w:p>
        </w:tc>
        <w:tc>
          <w:tcPr>
            <w:tcW w:w="1134" w:type="dxa"/>
          </w:tcPr>
          <w:p w:rsidR="00B232C9" w:rsidRPr="00007E41" w:rsidRDefault="00B232C9">
            <w:pPr>
              <w:pStyle w:val="Corpodetexto3"/>
              <w:spacing w:after="0"/>
            </w:pPr>
            <w:r w:rsidRPr="00007E41">
              <w:t>6326-3</w:t>
            </w:r>
          </w:p>
          <w:p w:rsidR="00B232C9" w:rsidRPr="00007E41" w:rsidRDefault="00B232C9">
            <w:pPr>
              <w:pStyle w:val="Corpodetexto3"/>
              <w:spacing w:after="0"/>
            </w:pPr>
            <w:r w:rsidRPr="00007E41">
              <w:t>6326-5</w:t>
            </w:r>
          </w:p>
          <w:p w:rsidR="00B232C9" w:rsidRPr="00FC3E56" w:rsidRDefault="00B232C9">
            <w:pPr>
              <w:pStyle w:val="Corpodetexto3"/>
              <w:spacing w:after="0"/>
            </w:pPr>
            <w:r w:rsidRPr="00FC3E56">
              <w:t>19739</w:t>
            </w:r>
          </w:p>
        </w:tc>
        <w:tc>
          <w:tcPr>
            <w:tcW w:w="1060" w:type="dxa"/>
          </w:tcPr>
          <w:p w:rsidR="00B232C9" w:rsidRPr="00007E41" w:rsidRDefault="00B232C9">
            <w:pPr>
              <w:pStyle w:val="Corpodetexto3"/>
              <w:spacing w:after="0"/>
            </w:pPr>
          </w:p>
        </w:tc>
      </w:tr>
      <w:tr w:rsidR="00166A5C" w:rsidRPr="00007E41" w:rsidTr="00BE0560">
        <w:trPr>
          <w:cantSplit/>
          <w:jc w:val="center"/>
        </w:trPr>
        <w:tc>
          <w:tcPr>
            <w:tcW w:w="1977" w:type="dxa"/>
            <w:vAlign w:val="center"/>
          </w:tcPr>
          <w:p w:rsidR="00166A5C" w:rsidRDefault="00166A5C" w:rsidP="00B1624C">
            <w:pPr>
              <w:pStyle w:val="Tabela-Texto"/>
              <w:ind w:left="-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Gás Sulfídrico (H</w:t>
            </w:r>
            <w:r w:rsidRPr="00007E41">
              <w:rPr>
                <w:rFonts w:ascii="Times New Roman" w:hAnsi="Times New Roman"/>
                <w:color w:val="auto"/>
                <w:sz w:val="22"/>
                <w:szCs w:val="22"/>
                <w:vertAlign w:val="subscript"/>
              </w:rPr>
              <w:t>2</w:t>
            </w: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S), máx.</w:t>
            </w:r>
          </w:p>
        </w:tc>
        <w:tc>
          <w:tcPr>
            <w:tcW w:w="1134" w:type="dxa"/>
            <w:vAlign w:val="center"/>
          </w:tcPr>
          <w:p w:rsidR="00166A5C" w:rsidRPr="00007E41" w:rsidRDefault="00166A5C" w:rsidP="00007E41">
            <w:pPr>
              <w:pStyle w:val="Tabela-Tex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mg/m</w:t>
            </w:r>
            <w:r w:rsidRPr="00007E41">
              <w:rPr>
                <w:rFonts w:ascii="Times New Roman" w:hAnsi="Times New Roman"/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171" w:type="dxa"/>
            <w:gridSpan w:val="3"/>
            <w:vAlign w:val="center"/>
          </w:tcPr>
          <w:p w:rsidR="00166A5C" w:rsidRPr="00007E41" w:rsidRDefault="00166A5C" w:rsidP="00166A5C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10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A5C" w:rsidRPr="00007E41" w:rsidRDefault="00166A5C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15631</w:t>
            </w:r>
          </w:p>
        </w:tc>
        <w:tc>
          <w:tcPr>
            <w:tcW w:w="1134" w:type="dxa"/>
            <w:vAlign w:val="center"/>
          </w:tcPr>
          <w:p w:rsidR="00166A5C" w:rsidRPr="00007E41" w:rsidRDefault="00166A5C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5504</w:t>
            </w:r>
          </w:p>
          <w:p w:rsidR="00166A5C" w:rsidRPr="00FC3E56" w:rsidRDefault="00166A5C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C3E56">
              <w:rPr>
                <w:sz w:val="22"/>
                <w:szCs w:val="22"/>
                <w:lang w:val="en-US"/>
              </w:rPr>
              <w:t>6228</w:t>
            </w:r>
          </w:p>
        </w:tc>
        <w:tc>
          <w:tcPr>
            <w:tcW w:w="1134" w:type="dxa"/>
            <w:vAlign w:val="center"/>
          </w:tcPr>
          <w:p w:rsidR="00166A5C" w:rsidRPr="00007E41" w:rsidRDefault="00166A5C">
            <w:pPr>
              <w:spacing w:before="60" w:after="6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6326-3</w:t>
            </w:r>
          </w:p>
          <w:p w:rsidR="00166A5C" w:rsidRPr="00007E41" w:rsidRDefault="00166A5C">
            <w:pPr>
              <w:spacing w:before="60" w:after="6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19739</w:t>
            </w:r>
          </w:p>
        </w:tc>
        <w:tc>
          <w:tcPr>
            <w:tcW w:w="1060" w:type="dxa"/>
          </w:tcPr>
          <w:p w:rsidR="00166A5C" w:rsidRPr="00007E41" w:rsidRDefault="00166A5C">
            <w:pPr>
              <w:spacing w:before="60" w:after="60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07E41" w:rsidRPr="00007E41" w:rsidTr="00B1624C">
        <w:trPr>
          <w:cantSplit/>
          <w:trHeight w:val="397"/>
          <w:jc w:val="center"/>
        </w:trPr>
        <w:tc>
          <w:tcPr>
            <w:tcW w:w="1977" w:type="dxa"/>
            <w:vAlign w:val="center"/>
          </w:tcPr>
          <w:p w:rsidR="002E6691" w:rsidRDefault="00007E41" w:rsidP="00B1624C">
            <w:pPr>
              <w:pStyle w:val="Tabela-Texto"/>
              <w:ind w:left="-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Ponto de orvalho de água a 1atm, máx. (4)</w:t>
            </w:r>
          </w:p>
        </w:tc>
        <w:tc>
          <w:tcPr>
            <w:tcW w:w="1134" w:type="dxa"/>
            <w:vAlign w:val="center"/>
          </w:tcPr>
          <w:p w:rsidR="00007E41" w:rsidRPr="00007E41" w:rsidRDefault="00007E41" w:rsidP="00007E41">
            <w:pPr>
              <w:pStyle w:val="Tabela-Tex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ºC</w:t>
            </w:r>
          </w:p>
        </w:tc>
        <w:tc>
          <w:tcPr>
            <w:tcW w:w="1627" w:type="dxa"/>
            <w:vAlign w:val="center"/>
          </w:tcPr>
          <w:p w:rsidR="00007E41" w:rsidRPr="00007E41" w:rsidRDefault="00007E41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-39</w:t>
            </w:r>
          </w:p>
        </w:tc>
        <w:tc>
          <w:tcPr>
            <w:tcW w:w="1560" w:type="dxa"/>
            <w:vAlign w:val="center"/>
          </w:tcPr>
          <w:p w:rsidR="00007E41" w:rsidRPr="00007E41" w:rsidRDefault="00007E41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-39</w:t>
            </w:r>
          </w:p>
        </w:tc>
        <w:tc>
          <w:tcPr>
            <w:tcW w:w="1984" w:type="dxa"/>
            <w:vAlign w:val="center"/>
          </w:tcPr>
          <w:p w:rsidR="00007E41" w:rsidRPr="00007E41" w:rsidRDefault="00007E41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-45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E41" w:rsidRPr="00007E41" w:rsidRDefault="00007E41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15765</w:t>
            </w:r>
          </w:p>
        </w:tc>
        <w:tc>
          <w:tcPr>
            <w:tcW w:w="1134" w:type="dxa"/>
            <w:vAlign w:val="center"/>
          </w:tcPr>
          <w:p w:rsidR="00007E41" w:rsidRPr="00007E41" w:rsidRDefault="00007E41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5454</w:t>
            </w:r>
          </w:p>
        </w:tc>
        <w:tc>
          <w:tcPr>
            <w:tcW w:w="1134" w:type="dxa"/>
            <w:vAlign w:val="center"/>
          </w:tcPr>
          <w:p w:rsidR="00007E41" w:rsidRPr="00FC3E56" w:rsidRDefault="00007E41" w:rsidP="00370FEA">
            <w:pPr>
              <w:pStyle w:val="Corpodetexto3"/>
              <w:spacing w:after="0"/>
            </w:pPr>
            <w:r w:rsidRPr="00FC3E56">
              <w:t>6327</w:t>
            </w:r>
          </w:p>
          <w:p w:rsidR="00007E41" w:rsidRPr="00007E41" w:rsidRDefault="00F122BF" w:rsidP="00370FEA">
            <w:pPr>
              <w:pStyle w:val="Corpodetexto3"/>
              <w:spacing w:before="0" w:after="0"/>
            </w:pPr>
            <w:r>
              <w:t>10101-2 10101-3</w:t>
            </w:r>
          </w:p>
          <w:p w:rsidR="00007E41" w:rsidRPr="00007E41" w:rsidRDefault="00F122BF" w:rsidP="00231F04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11541(3)</w:t>
            </w:r>
          </w:p>
        </w:tc>
        <w:tc>
          <w:tcPr>
            <w:tcW w:w="1060" w:type="dxa"/>
          </w:tcPr>
          <w:p w:rsidR="00007E41" w:rsidRPr="00007E41" w:rsidRDefault="00007E41" w:rsidP="00370FEA">
            <w:pPr>
              <w:pStyle w:val="Corpodetexto3"/>
              <w:spacing w:after="0"/>
            </w:pPr>
          </w:p>
        </w:tc>
      </w:tr>
      <w:tr w:rsidR="00007E41" w:rsidRPr="00007E41" w:rsidTr="00B1624C">
        <w:trPr>
          <w:cantSplit/>
          <w:trHeight w:val="397"/>
          <w:jc w:val="center"/>
        </w:trPr>
        <w:tc>
          <w:tcPr>
            <w:tcW w:w="1977" w:type="dxa"/>
            <w:vAlign w:val="center"/>
          </w:tcPr>
          <w:p w:rsidR="002E6691" w:rsidRDefault="00007E41" w:rsidP="00B1624C">
            <w:pPr>
              <w:pStyle w:val="Tabela-Texto"/>
              <w:ind w:left="-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Ponto de orvalho de hidrocarbonetos (5)</w:t>
            </w:r>
          </w:p>
        </w:tc>
        <w:tc>
          <w:tcPr>
            <w:tcW w:w="1134" w:type="dxa"/>
            <w:vAlign w:val="center"/>
          </w:tcPr>
          <w:p w:rsidR="00007E41" w:rsidRPr="00007E41" w:rsidRDefault="00007E41" w:rsidP="00007E41">
            <w:pPr>
              <w:pStyle w:val="Tabela-Tex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ºC</w:t>
            </w:r>
          </w:p>
        </w:tc>
        <w:tc>
          <w:tcPr>
            <w:tcW w:w="1627" w:type="dxa"/>
            <w:vAlign w:val="center"/>
          </w:tcPr>
          <w:p w:rsidR="00007E41" w:rsidRPr="00007E41" w:rsidRDefault="00007E41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vAlign w:val="center"/>
          </w:tcPr>
          <w:p w:rsidR="00007E41" w:rsidRPr="00007E41" w:rsidRDefault="00007E41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vAlign w:val="center"/>
          </w:tcPr>
          <w:p w:rsidR="00007E41" w:rsidRPr="00007E41" w:rsidRDefault="00007E41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E41" w:rsidRPr="00007E41" w:rsidRDefault="00007E41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16338</w:t>
            </w:r>
          </w:p>
        </w:tc>
        <w:tc>
          <w:tcPr>
            <w:tcW w:w="1134" w:type="dxa"/>
            <w:vAlign w:val="center"/>
          </w:tcPr>
          <w:p w:rsidR="00007E41" w:rsidRPr="00007E41" w:rsidRDefault="00007E41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7E41" w:rsidRPr="00007E41" w:rsidRDefault="00007E41" w:rsidP="00370FEA">
            <w:pPr>
              <w:pStyle w:val="Corpodetexto3"/>
              <w:spacing w:after="0"/>
            </w:pPr>
            <w:r w:rsidRPr="00007E41">
              <w:t>23874</w:t>
            </w:r>
          </w:p>
        </w:tc>
        <w:tc>
          <w:tcPr>
            <w:tcW w:w="1060" w:type="dxa"/>
          </w:tcPr>
          <w:p w:rsidR="00007E41" w:rsidRPr="00007E41" w:rsidRDefault="00007E41" w:rsidP="00370FEA">
            <w:pPr>
              <w:pStyle w:val="Corpodetexto3"/>
              <w:spacing w:after="0"/>
            </w:pPr>
          </w:p>
        </w:tc>
      </w:tr>
      <w:tr w:rsidR="00007E41" w:rsidRPr="00007E41" w:rsidTr="00B1624C">
        <w:trPr>
          <w:cantSplit/>
          <w:trHeight w:val="397"/>
          <w:jc w:val="center"/>
        </w:trPr>
        <w:tc>
          <w:tcPr>
            <w:tcW w:w="1977" w:type="dxa"/>
            <w:vAlign w:val="center"/>
          </w:tcPr>
          <w:p w:rsidR="002E6691" w:rsidRDefault="00007E41" w:rsidP="00B1624C">
            <w:pPr>
              <w:pStyle w:val="Tabela-Texto"/>
              <w:ind w:left="-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Teor de siloxanos, máx.</w:t>
            </w:r>
          </w:p>
        </w:tc>
        <w:tc>
          <w:tcPr>
            <w:tcW w:w="1134" w:type="dxa"/>
            <w:vAlign w:val="center"/>
          </w:tcPr>
          <w:p w:rsidR="00007E41" w:rsidRPr="00007E41" w:rsidRDefault="00007E41" w:rsidP="00007E41">
            <w:pPr>
              <w:pStyle w:val="Tabela-Texto"/>
              <w:jc w:val="center"/>
              <w:rPr>
                <w:rFonts w:ascii="Times New Roman" w:hAnsi="Times New Roman"/>
                <w:color w:val="auto"/>
                <w:sz w:val="22"/>
                <w:szCs w:val="22"/>
                <w:vertAlign w:val="superscript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mgSi/m</w:t>
            </w:r>
            <w:r w:rsidRPr="00007E41">
              <w:rPr>
                <w:rFonts w:ascii="Times New Roman" w:hAnsi="Times New Roman"/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27" w:type="dxa"/>
            <w:vAlign w:val="center"/>
          </w:tcPr>
          <w:p w:rsidR="00007E41" w:rsidRPr="00007E41" w:rsidRDefault="00007E41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0,3</w:t>
            </w:r>
          </w:p>
        </w:tc>
        <w:tc>
          <w:tcPr>
            <w:tcW w:w="3544" w:type="dxa"/>
            <w:gridSpan w:val="2"/>
            <w:vAlign w:val="center"/>
          </w:tcPr>
          <w:p w:rsidR="00007E41" w:rsidRPr="00007E41" w:rsidRDefault="00007E41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0,3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E41" w:rsidRPr="00007E41" w:rsidRDefault="00007E41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16560</w:t>
            </w:r>
          </w:p>
          <w:p w:rsidR="00007E41" w:rsidRPr="00007E41" w:rsidRDefault="00007E41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16561</w:t>
            </w:r>
          </w:p>
        </w:tc>
        <w:tc>
          <w:tcPr>
            <w:tcW w:w="1134" w:type="dxa"/>
            <w:vAlign w:val="center"/>
          </w:tcPr>
          <w:p w:rsidR="00007E41" w:rsidRPr="00007E41" w:rsidRDefault="00007E41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7E41" w:rsidRPr="00007E41" w:rsidRDefault="00007E41" w:rsidP="00370FEA">
            <w:pPr>
              <w:pStyle w:val="Corpodetexto3"/>
              <w:spacing w:after="0"/>
            </w:pPr>
          </w:p>
        </w:tc>
        <w:tc>
          <w:tcPr>
            <w:tcW w:w="1060" w:type="dxa"/>
          </w:tcPr>
          <w:p w:rsidR="00007E41" w:rsidRPr="00007E41" w:rsidRDefault="00007E41" w:rsidP="00370FEA">
            <w:pPr>
              <w:pStyle w:val="Corpodetexto3"/>
              <w:spacing w:after="0"/>
            </w:pPr>
          </w:p>
        </w:tc>
      </w:tr>
      <w:tr w:rsidR="00007E41" w:rsidRPr="00007E41" w:rsidTr="00B1624C">
        <w:trPr>
          <w:cantSplit/>
          <w:trHeight w:val="397"/>
          <w:jc w:val="center"/>
        </w:trPr>
        <w:tc>
          <w:tcPr>
            <w:tcW w:w="1977" w:type="dxa"/>
            <w:vAlign w:val="center"/>
          </w:tcPr>
          <w:p w:rsidR="002E6691" w:rsidRDefault="00007E41" w:rsidP="00B1624C">
            <w:pPr>
              <w:pStyle w:val="Tabela-Texto"/>
              <w:ind w:left="-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Clorados, máx.</w:t>
            </w:r>
          </w:p>
        </w:tc>
        <w:tc>
          <w:tcPr>
            <w:tcW w:w="1134" w:type="dxa"/>
            <w:vAlign w:val="center"/>
          </w:tcPr>
          <w:p w:rsidR="00007E41" w:rsidRPr="00007E41" w:rsidRDefault="00007E41" w:rsidP="00007E41">
            <w:pPr>
              <w:pStyle w:val="Tabela-Tex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mg (Cl)/m</w:t>
            </w:r>
            <w:r w:rsidRPr="00007E41">
              <w:rPr>
                <w:rFonts w:ascii="Times New Roman" w:hAnsi="Times New Roman"/>
                <w:color w:val="auto"/>
                <w:sz w:val="22"/>
                <w:szCs w:val="22"/>
                <w:vertAlign w:val="superscript"/>
              </w:rPr>
              <w:t>3</w:t>
            </w: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627" w:type="dxa"/>
            <w:vAlign w:val="center"/>
          </w:tcPr>
          <w:p w:rsidR="00007E41" w:rsidRPr="00007E41" w:rsidRDefault="00007E41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5,0</w:t>
            </w:r>
          </w:p>
        </w:tc>
        <w:tc>
          <w:tcPr>
            <w:tcW w:w="3544" w:type="dxa"/>
            <w:gridSpan w:val="2"/>
            <w:vAlign w:val="center"/>
          </w:tcPr>
          <w:p w:rsidR="00007E41" w:rsidRPr="00007E41" w:rsidRDefault="00007E41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5,0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E41" w:rsidRPr="00007E41" w:rsidRDefault="00007E41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7E41" w:rsidRPr="00007E41" w:rsidRDefault="00007E41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7E41" w:rsidRPr="00007E41" w:rsidRDefault="00007E41" w:rsidP="00370FEA">
            <w:pPr>
              <w:pStyle w:val="Corpodetexto3"/>
              <w:spacing w:after="0"/>
            </w:pPr>
            <w:r w:rsidRPr="00007E41">
              <w:t>1911</w:t>
            </w:r>
          </w:p>
        </w:tc>
        <w:tc>
          <w:tcPr>
            <w:tcW w:w="1060" w:type="dxa"/>
          </w:tcPr>
          <w:p w:rsidR="00007E41" w:rsidRPr="00007E41" w:rsidRDefault="00007E41" w:rsidP="00370FEA">
            <w:pPr>
              <w:pStyle w:val="Corpodetexto3"/>
              <w:spacing w:after="0"/>
            </w:pPr>
          </w:p>
        </w:tc>
      </w:tr>
      <w:tr w:rsidR="00007E41" w:rsidRPr="00007E41" w:rsidTr="00B1624C">
        <w:trPr>
          <w:cantSplit/>
          <w:trHeight w:val="397"/>
          <w:jc w:val="center"/>
        </w:trPr>
        <w:tc>
          <w:tcPr>
            <w:tcW w:w="1977" w:type="dxa"/>
            <w:vAlign w:val="center"/>
          </w:tcPr>
          <w:p w:rsidR="002E6691" w:rsidRDefault="00007E41" w:rsidP="00B1624C">
            <w:pPr>
              <w:pStyle w:val="Tabela-Texto"/>
              <w:ind w:left="-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Fluorados, máx.</w:t>
            </w:r>
          </w:p>
        </w:tc>
        <w:tc>
          <w:tcPr>
            <w:tcW w:w="1134" w:type="dxa"/>
            <w:vAlign w:val="center"/>
          </w:tcPr>
          <w:p w:rsidR="00007E41" w:rsidRPr="00007E41" w:rsidRDefault="00007E41" w:rsidP="00007E41">
            <w:pPr>
              <w:pStyle w:val="Tabela-Tex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mg (F/ m</w:t>
            </w:r>
            <w:r w:rsidRPr="00007E41">
              <w:rPr>
                <w:rFonts w:ascii="Times New Roman" w:hAnsi="Times New Roman"/>
                <w:color w:val="auto"/>
                <w:sz w:val="22"/>
                <w:szCs w:val="22"/>
                <w:vertAlign w:val="superscript"/>
              </w:rPr>
              <w:t>3</w:t>
            </w:r>
            <w:r w:rsidRPr="00007E41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627" w:type="dxa"/>
            <w:vAlign w:val="center"/>
          </w:tcPr>
          <w:p w:rsidR="00007E41" w:rsidRPr="00007E41" w:rsidRDefault="00007E41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5,0</w:t>
            </w:r>
          </w:p>
        </w:tc>
        <w:tc>
          <w:tcPr>
            <w:tcW w:w="3544" w:type="dxa"/>
            <w:gridSpan w:val="2"/>
            <w:vAlign w:val="center"/>
          </w:tcPr>
          <w:p w:rsidR="00007E41" w:rsidRPr="00007E41" w:rsidRDefault="00007E41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  <w:r w:rsidRPr="00007E41">
              <w:rPr>
                <w:sz w:val="22"/>
                <w:szCs w:val="22"/>
              </w:rPr>
              <w:t>5,0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E41" w:rsidRPr="00007E41" w:rsidDel="003C125B" w:rsidRDefault="00007E41" w:rsidP="00007E41">
            <w:pPr>
              <w:spacing w:before="60" w:after="60"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7E41" w:rsidRPr="00007E41" w:rsidRDefault="00007E41" w:rsidP="00007E4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7E41" w:rsidRPr="00007E41" w:rsidRDefault="00007E41" w:rsidP="00370FEA">
            <w:pPr>
              <w:pStyle w:val="Corpodetexto3"/>
              <w:spacing w:after="0"/>
            </w:pPr>
            <w:r w:rsidRPr="00007E41">
              <w:t>15713</w:t>
            </w:r>
          </w:p>
        </w:tc>
        <w:tc>
          <w:tcPr>
            <w:tcW w:w="1060" w:type="dxa"/>
          </w:tcPr>
          <w:p w:rsidR="00007E41" w:rsidRPr="00007E41" w:rsidRDefault="00007E41" w:rsidP="00370FEA">
            <w:pPr>
              <w:pStyle w:val="Corpodetexto3"/>
              <w:spacing w:after="0"/>
            </w:pPr>
            <w:r w:rsidRPr="00007E41">
              <w:t>X43-304</w:t>
            </w:r>
          </w:p>
        </w:tc>
      </w:tr>
    </w:tbl>
    <w:p w:rsidR="003876B8" w:rsidRDefault="003876B8">
      <w:pPr>
        <w:spacing w:before="120"/>
        <w:ind w:right="57"/>
        <w:jc w:val="both"/>
        <w:rPr>
          <w:sz w:val="22"/>
          <w:szCs w:val="22"/>
        </w:rPr>
        <w:sectPr w:rsidR="003876B8" w:rsidSect="003876B8">
          <w:pgSz w:w="16840" w:h="11907" w:orient="landscape" w:code="9"/>
          <w:pgMar w:top="1418" w:right="1418" w:bottom="1418" w:left="1718" w:header="720" w:footer="720" w:gutter="0"/>
          <w:cols w:space="720"/>
          <w:docGrid w:linePitch="272"/>
        </w:sectPr>
      </w:pPr>
    </w:p>
    <w:p w:rsidR="00692017" w:rsidRDefault="00692017">
      <w:pPr>
        <w:spacing w:before="120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Observações:</w:t>
      </w:r>
    </w:p>
    <w:p w:rsidR="00692017" w:rsidRDefault="006A646B" w:rsidP="00CD47CF">
      <w:pPr>
        <w:numPr>
          <w:ilvl w:val="0"/>
          <w:numId w:val="3"/>
        </w:numPr>
        <w:spacing w:before="120"/>
        <w:ind w:right="57"/>
        <w:jc w:val="both"/>
        <w:rPr>
          <w:sz w:val="22"/>
          <w:szCs w:val="22"/>
        </w:rPr>
      </w:pPr>
      <w:r w:rsidRPr="00D06D1F">
        <w:rPr>
          <w:sz w:val="22"/>
          <w:szCs w:val="22"/>
        </w:rPr>
        <w:t xml:space="preserve">O </w:t>
      </w:r>
      <w:r w:rsidR="002D24AD">
        <w:rPr>
          <w:sz w:val="22"/>
          <w:szCs w:val="22"/>
        </w:rPr>
        <w:t>Biometano</w:t>
      </w:r>
      <w:r w:rsidR="002D24AD" w:rsidRPr="00D06D1F">
        <w:rPr>
          <w:sz w:val="22"/>
          <w:szCs w:val="22"/>
        </w:rPr>
        <w:t xml:space="preserve"> </w:t>
      </w:r>
      <w:r w:rsidRPr="00D06D1F">
        <w:rPr>
          <w:sz w:val="22"/>
          <w:szCs w:val="22"/>
        </w:rPr>
        <w:t xml:space="preserve">deve </w:t>
      </w:r>
      <w:r>
        <w:rPr>
          <w:sz w:val="22"/>
          <w:szCs w:val="22"/>
        </w:rPr>
        <w:t>ser isento de</w:t>
      </w:r>
      <w:r w:rsidRPr="00D06D1F">
        <w:rPr>
          <w:sz w:val="22"/>
          <w:szCs w:val="22"/>
        </w:rPr>
        <w:t xml:space="preserve"> partículas sólidas ou líquidas</w:t>
      </w:r>
      <w:r w:rsidR="00A712F0">
        <w:rPr>
          <w:sz w:val="22"/>
          <w:szCs w:val="22"/>
        </w:rPr>
        <w:t>, incluindo micro-organismos,</w:t>
      </w:r>
      <w:r>
        <w:rPr>
          <w:sz w:val="22"/>
          <w:szCs w:val="22"/>
        </w:rPr>
        <w:t xml:space="preserve"> d</w:t>
      </w:r>
      <w:r w:rsidRPr="00AD3CA0">
        <w:rPr>
          <w:sz w:val="22"/>
          <w:szCs w:val="22"/>
        </w:rPr>
        <w:t>eve</w:t>
      </w:r>
      <w:r>
        <w:rPr>
          <w:sz w:val="22"/>
          <w:szCs w:val="22"/>
        </w:rPr>
        <w:t>ndo</w:t>
      </w:r>
      <w:r w:rsidRPr="00AD3CA0">
        <w:rPr>
          <w:sz w:val="22"/>
          <w:szCs w:val="22"/>
        </w:rPr>
        <w:t xml:space="preserve"> ser usa</w:t>
      </w:r>
      <w:r>
        <w:rPr>
          <w:sz w:val="22"/>
          <w:szCs w:val="22"/>
        </w:rPr>
        <w:t xml:space="preserve">do um </w:t>
      </w:r>
      <w:r w:rsidRPr="00AD3CA0">
        <w:rPr>
          <w:sz w:val="22"/>
          <w:szCs w:val="22"/>
        </w:rPr>
        <w:t xml:space="preserve">filtro de 0,2 </w:t>
      </w:r>
      <w:r w:rsidR="007968BF">
        <w:rPr>
          <w:sz w:val="22"/>
          <w:szCs w:val="22"/>
        </w:rPr>
        <w:t>µm</w:t>
      </w:r>
      <w:r>
        <w:rPr>
          <w:sz w:val="22"/>
          <w:szCs w:val="22"/>
        </w:rPr>
        <w:t xml:space="preserve"> no produtor e 1,0 </w:t>
      </w:r>
      <w:r w:rsidR="007968BF">
        <w:rPr>
          <w:sz w:val="22"/>
          <w:szCs w:val="22"/>
        </w:rPr>
        <w:t>µm</w:t>
      </w:r>
      <w:r>
        <w:rPr>
          <w:sz w:val="22"/>
          <w:szCs w:val="22"/>
        </w:rPr>
        <w:t xml:space="preserve"> no revendedor varejista</w:t>
      </w:r>
      <w:r w:rsidR="00DB2702">
        <w:rPr>
          <w:sz w:val="22"/>
          <w:szCs w:val="22"/>
        </w:rPr>
        <w:t>.</w:t>
      </w:r>
    </w:p>
    <w:p w:rsidR="004E4D5A" w:rsidRPr="003A5C93" w:rsidRDefault="004E4D5A" w:rsidP="00CD47CF">
      <w:pPr>
        <w:numPr>
          <w:ilvl w:val="0"/>
          <w:numId w:val="3"/>
        </w:numPr>
        <w:spacing w:before="120"/>
        <w:ind w:right="57"/>
        <w:jc w:val="both"/>
        <w:rPr>
          <w:sz w:val="24"/>
        </w:rPr>
      </w:pPr>
      <w:r>
        <w:rPr>
          <w:sz w:val="22"/>
          <w:szCs w:val="22"/>
        </w:rPr>
        <w:t xml:space="preserve">A odoração do </w:t>
      </w:r>
      <w:r w:rsidR="002D24AD">
        <w:rPr>
          <w:sz w:val="22"/>
          <w:szCs w:val="22"/>
        </w:rPr>
        <w:t xml:space="preserve">Biometano </w:t>
      </w:r>
      <w:r>
        <w:rPr>
          <w:sz w:val="22"/>
          <w:szCs w:val="22"/>
        </w:rPr>
        <w:t>quando necessária deverá atender a norma ABNT NBR 15616.</w:t>
      </w:r>
    </w:p>
    <w:p w:rsidR="002E6691" w:rsidRDefault="006D3C8D" w:rsidP="00B1624C">
      <w:pPr>
        <w:numPr>
          <w:ilvl w:val="0"/>
          <w:numId w:val="3"/>
        </w:numPr>
        <w:spacing w:before="120" w:after="120"/>
        <w:ind w:left="414" w:right="57" w:hanging="357"/>
        <w:jc w:val="both"/>
        <w:rPr>
          <w:sz w:val="22"/>
          <w:szCs w:val="22"/>
        </w:rPr>
      </w:pPr>
      <w:r w:rsidRPr="00E5091C">
        <w:rPr>
          <w:sz w:val="22"/>
          <w:szCs w:val="22"/>
        </w:rPr>
        <w:t xml:space="preserve">É o somatório dos compostos de enxofre presentes no gás natural. </w:t>
      </w:r>
      <w:r w:rsidR="003A5C93">
        <w:rPr>
          <w:sz w:val="22"/>
          <w:szCs w:val="22"/>
        </w:rPr>
        <w:t xml:space="preserve"> </w:t>
      </w:r>
    </w:p>
    <w:p w:rsidR="002E6691" w:rsidRDefault="006D3C8D" w:rsidP="00B1624C">
      <w:pPr>
        <w:pStyle w:val="PargrafodaLista"/>
        <w:numPr>
          <w:ilvl w:val="0"/>
          <w:numId w:val="3"/>
        </w:numPr>
        <w:spacing w:after="120"/>
        <w:ind w:left="414" w:right="176" w:hanging="357"/>
        <w:contextualSpacing w:val="0"/>
        <w:jc w:val="both"/>
        <w:rPr>
          <w:sz w:val="22"/>
          <w:szCs w:val="22"/>
        </w:rPr>
      </w:pPr>
      <w:r w:rsidRPr="00E5091C">
        <w:rPr>
          <w:sz w:val="22"/>
          <w:szCs w:val="22"/>
        </w:rPr>
        <w:t>Caso a determinação seja em teor de água, a mesma deve ser convertida para ponto de orvalho em (ºC), conforme correlação da ISO 18453. Quando os pontos de recebimento e de entrega estiverem em regiões distintas, observar o valor mais crítico dessa característica na especificação.</w:t>
      </w:r>
    </w:p>
    <w:p w:rsidR="003876B8" w:rsidRPr="00E5091C" w:rsidRDefault="006D3C8D" w:rsidP="003876B8">
      <w:pPr>
        <w:pStyle w:val="PargrafodaLista"/>
        <w:numPr>
          <w:ilvl w:val="0"/>
          <w:numId w:val="3"/>
        </w:numPr>
        <w:spacing w:after="60"/>
        <w:ind w:right="176"/>
        <w:jc w:val="both"/>
        <w:rPr>
          <w:sz w:val="22"/>
          <w:szCs w:val="22"/>
        </w:rPr>
      </w:pPr>
      <w:r w:rsidRPr="00E5091C">
        <w:rPr>
          <w:sz w:val="22"/>
          <w:szCs w:val="22"/>
        </w:rPr>
        <w:t xml:space="preserve">Com base nas composições das cromatografias convencional e estendida determinar por meio de equação de estado, o ponto </w:t>
      </w:r>
      <w:r w:rsidRPr="00E5091C">
        <w:rPr>
          <w:i/>
          <w:sz w:val="22"/>
          <w:szCs w:val="22"/>
        </w:rPr>
        <w:t>cricondentherm</w:t>
      </w:r>
      <w:r w:rsidRPr="00E5091C">
        <w:rPr>
          <w:sz w:val="22"/>
          <w:szCs w:val="22"/>
        </w:rPr>
        <w:t xml:space="preserve"> da mistura reportando este valor como ponto de orvalho de hidrocarbonetos. Caso a presença de hexanos e mais pesados não tenha sido detectada na cromatografia convencional fica dispensada a necessidade de se realizar a cromatografia estendida. </w:t>
      </w:r>
    </w:p>
    <w:p w:rsidR="002E6691" w:rsidRDefault="002E6691" w:rsidP="00B1624C">
      <w:pPr>
        <w:spacing w:before="120"/>
        <w:ind w:right="57"/>
        <w:jc w:val="both"/>
        <w:rPr>
          <w:sz w:val="22"/>
          <w:szCs w:val="22"/>
        </w:rPr>
      </w:pPr>
    </w:p>
    <w:p w:rsidR="0075383F" w:rsidRPr="006E7476" w:rsidRDefault="0075383F" w:rsidP="00340A16">
      <w:pPr>
        <w:spacing w:before="120"/>
        <w:ind w:right="57"/>
        <w:jc w:val="both"/>
        <w:rPr>
          <w:b/>
          <w:sz w:val="24"/>
          <w:szCs w:val="24"/>
        </w:rPr>
      </w:pPr>
      <w:r w:rsidRPr="006E7476">
        <w:rPr>
          <w:b/>
          <w:sz w:val="24"/>
          <w:szCs w:val="24"/>
        </w:rPr>
        <w:t>4. Diretrizes para implementação da Análise de Risco e Gerenciamento de Barreiras</w:t>
      </w:r>
    </w:p>
    <w:p w:rsidR="00B232C9" w:rsidRDefault="00FC31BD" w:rsidP="00BE0560">
      <w:pPr>
        <w:spacing w:before="120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="00B232C9">
        <w:rPr>
          <w:sz w:val="24"/>
          <w:szCs w:val="24"/>
        </w:rPr>
        <w:t xml:space="preserve">O objetivo da análise de risco é estabelecer requisitos para identificação e análise de riscos que podem resultar da contaminação do </w:t>
      </w:r>
      <w:r w:rsidR="002D24AD">
        <w:rPr>
          <w:sz w:val="24"/>
          <w:szCs w:val="24"/>
        </w:rPr>
        <w:t xml:space="preserve">Biometano </w:t>
      </w:r>
      <w:r w:rsidR="00B232C9">
        <w:rPr>
          <w:sz w:val="24"/>
          <w:szCs w:val="24"/>
        </w:rPr>
        <w:t>por componentes nocivos à saúde humana e ao meio ambiente, a serem conduzidos nas diferentes fases do ciclo de vida da instalação com os resultados devidamente documentados.</w:t>
      </w:r>
    </w:p>
    <w:p w:rsidR="0075383F" w:rsidRDefault="00B232C9" w:rsidP="00BE0560">
      <w:pPr>
        <w:spacing w:before="120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r w:rsidR="0075383F">
        <w:rPr>
          <w:sz w:val="24"/>
          <w:szCs w:val="24"/>
        </w:rPr>
        <w:t xml:space="preserve">O produtor de biometano de aterros sanitários e estações de tratamento de esgoto deve </w:t>
      </w:r>
      <w:r w:rsidR="00E401D2">
        <w:rPr>
          <w:sz w:val="24"/>
          <w:szCs w:val="24"/>
        </w:rPr>
        <w:t xml:space="preserve">contratar uma consultoria independente para </w:t>
      </w:r>
      <w:r w:rsidR="0075383F">
        <w:rPr>
          <w:sz w:val="24"/>
          <w:szCs w:val="24"/>
        </w:rPr>
        <w:t>realizar um</w:t>
      </w:r>
      <w:r w:rsidR="00FC31BD">
        <w:rPr>
          <w:sz w:val="24"/>
          <w:szCs w:val="24"/>
        </w:rPr>
        <w:t>a análise de risco com a metodologia</w:t>
      </w:r>
      <w:r w:rsidR="0075383F">
        <w:rPr>
          <w:sz w:val="24"/>
          <w:szCs w:val="24"/>
        </w:rPr>
        <w:t xml:space="preserve"> </w:t>
      </w:r>
      <w:r w:rsidR="0075383F" w:rsidRPr="0075383F">
        <w:rPr>
          <w:i/>
          <w:sz w:val="24"/>
          <w:szCs w:val="24"/>
        </w:rPr>
        <w:t>Hazard and Operability Study</w:t>
      </w:r>
      <w:r w:rsidR="0075383F">
        <w:rPr>
          <w:i/>
          <w:sz w:val="24"/>
          <w:szCs w:val="24"/>
        </w:rPr>
        <w:t xml:space="preserve"> </w:t>
      </w:r>
      <w:r w:rsidR="0075383F">
        <w:rPr>
          <w:sz w:val="24"/>
          <w:szCs w:val="24"/>
        </w:rPr>
        <w:t>(HAZOP)</w:t>
      </w:r>
      <w:r w:rsidR="00BE0560">
        <w:rPr>
          <w:sz w:val="24"/>
          <w:szCs w:val="24"/>
        </w:rPr>
        <w:t xml:space="preserve"> de acordo com os requisitos das normas </w:t>
      </w:r>
      <w:r w:rsidR="00BE0560" w:rsidRPr="00BE0560">
        <w:rPr>
          <w:sz w:val="24"/>
          <w:szCs w:val="24"/>
        </w:rPr>
        <w:t>BS EN 61882:2016</w:t>
      </w:r>
      <w:r w:rsidR="00BE0560">
        <w:rPr>
          <w:sz w:val="24"/>
          <w:szCs w:val="24"/>
        </w:rPr>
        <w:t xml:space="preserve"> e </w:t>
      </w:r>
      <w:r w:rsidR="00BE0560" w:rsidRPr="00BE0560">
        <w:rPr>
          <w:sz w:val="24"/>
          <w:szCs w:val="24"/>
        </w:rPr>
        <w:t>BS ISO</w:t>
      </w:r>
      <w:r w:rsidR="00BE0560">
        <w:rPr>
          <w:sz w:val="24"/>
          <w:szCs w:val="24"/>
        </w:rPr>
        <w:t xml:space="preserve"> </w:t>
      </w:r>
      <w:r w:rsidR="00BE0560" w:rsidRPr="00BE0560">
        <w:rPr>
          <w:sz w:val="24"/>
          <w:szCs w:val="24"/>
        </w:rPr>
        <w:t>31000:2009</w:t>
      </w:r>
      <w:r w:rsidR="0075383F">
        <w:rPr>
          <w:sz w:val="24"/>
          <w:szCs w:val="24"/>
        </w:rPr>
        <w:t xml:space="preserve"> antes da entrada em operação </w:t>
      </w:r>
      <w:r w:rsidR="00FC31BD">
        <w:rPr>
          <w:sz w:val="24"/>
          <w:szCs w:val="24"/>
        </w:rPr>
        <w:t>da unidade.</w:t>
      </w:r>
    </w:p>
    <w:p w:rsidR="00EE0D55" w:rsidRDefault="00EE0D55" w:rsidP="00BE0560">
      <w:pPr>
        <w:spacing w:before="120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4.3 A análise de risco deverá responder a todos os questionamentos</w:t>
      </w:r>
      <w:bookmarkStart w:id="0" w:name="_GoBack"/>
      <w:bookmarkEnd w:id="0"/>
      <w:r>
        <w:rPr>
          <w:sz w:val="24"/>
          <w:szCs w:val="24"/>
        </w:rPr>
        <w:t>, no mínimo, de cada</w:t>
      </w:r>
      <w:r w:rsidR="00905534">
        <w:rPr>
          <w:sz w:val="24"/>
          <w:szCs w:val="24"/>
        </w:rPr>
        <w:t xml:space="preserve"> um dos</w:t>
      </w:r>
      <w:r>
        <w:rPr>
          <w:sz w:val="24"/>
          <w:szCs w:val="24"/>
        </w:rPr>
        <w:t xml:space="preserve"> parâmetros listado na Tabela II - </w:t>
      </w:r>
      <w:r w:rsidRPr="00EE0D55">
        <w:rPr>
          <w:sz w:val="24"/>
          <w:szCs w:val="24"/>
        </w:rPr>
        <w:t>Modelo de análise de risco genérica, parte integrante deste Regulamento.</w:t>
      </w:r>
    </w:p>
    <w:p w:rsidR="00FC31BD" w:rsidRDefault="00FC31BD" w:rsidP="00340A16">
      <w:pPr>
        <w:spacing w:before="120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E0D55">
        <w:rPr>
          <w:sz w:val="24"/>
          <w:szCs w:val="24"/>
        </w:rPr>
        <w:t>4</w:t>
      </w:r>
      <w:r>
        <w:rPr>
          <w:sz w:val="24"/>
          <w:szCs w:val="24"/>
        </w:rPr>
        <w:t xml:space="preserve"> A identificação e análise qualitativa ou quantitativa dos riscos deve levar em consideração no mínimo os perigos decorrentes do</w:t>
      </w:r>
      <w:r w:rsidR="00E80C12">
        <w:rPr>
          <w:sz w:val="24"/>
          <w:szCs w:val="24"/>
        </w:rPr>
        <w:t>s</w:t>
      </w:r>
      <w:r>
        <w:rPr>
          <w:sz w:val="24"/>
          <w:szCs w:val="24"/>
        </w:rPr>
        <w:t xml:space="preserve"> teor</w:t>
      </w:r>
      <w:r w:rsidR="00E80C12">
        <w:rPr>
          <w:sz w:val="24"/>
          <w:szCs w:val="24"/>
        </w:rPr>
        <w:t>es</w:t>
      </w:r>
      <w:r>
        <w:rPr>
          <w:sz w:val="24"/>
          <w:szCs w:val="24"/>
        </w:rPr>
        <w:t xml:space="preserve"> de oxigênio, odorante</w:t>
      </w:r>
      <w:r w:rsidR="00E80C12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S, </w:t>
      </w:r>
      <w:r w:rsidR="00E80C12">
        <w:rPr>
          <w:sz w:val="24"/>
          <w:szCs w:val="24"/>
        </w:rPr>
        <w:t xml:space="preserve">e dos </w:t>
      </w:r>
      <w:r>
        <w:rPr>
          <w:sz w:val="24"/>
          <w:szCs w:val="24"/>
        </w:rPr>
        <w:t>riscos biológicos e</w:t>
      </w:r>
      <w:r w:rsidR="00E80C12">
        <w:rPr>
          <w:sz w:val="24"/>
          <w:szCs w:val="24"/>
        </w:rPr>
        <w:t xml:space="preserve"> os relacionados à</w:t>
      </w:r>
      <w:r>
        <w:rPr>
          <w:sz w:val="24"/>
          <w:szCs w:val="24"/>
        </w:rPr>
        <w:t xml:space="preserve"> radioatividade.</w:t>
      </w:r>
    </w:p>
    <w:p w:rsidR="00141F71" w:rsidRDefault="00FC31BD" w:rsidP="00340A16">
      <w:pPr>
        <w:spacing w:before="120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E0D55">
        <w:rPr>
          <w:sz w:val="24"/>
          <w:szCs w:val="24"/>
        </w:rPr>
        <w:t>4</w:t>
      </w:r>
      <w:r>
        <w:rPr>
          <w:sz w:val="24"/>
          <w:szCs w:val="24"/>
        </w:rPr>
        <w:t xml:space="preserve">.1 </w:t>
      </w:r>
      <w:r w:rsidR="00141F71" w:rsidRPr="00141F71">
        <w:rPr>
          <w:sz w:val="24"/>
          <w:szCs w:val="24"/>
        </w:rPr>
        <w:t>A análise de risco deve demonstrar que os compostos presentes no biometano de aterros sanitários e estações de tratamento de esgoto não mascaram a percepção do odorante.</w:t>
      </w:r>
    </w:p>
    <w:p w:rsidR="00FC31BD" w:rsidRDefault="00141F71" w:rsidP="00340A16">
      <w:pPr>
        <w:spacing w:before="120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E0D55">
        <w:rPr>
          <w:sz w:val="24"/>
          <w:szCs w:val="24"/>
        </w:rPr>
        <w:t>4</w:t>
      </w:r>
      <w:r>
        <w:rPr>
          <w:sz w:val="24"/>
          <w:szCs w:val="24"/>
        </w:rPr>
        <w:t xml:space="preserve">.2 </w:t>
      </w:r>
      <w:r w:rsidR="00FC31BD">
        <w:rPr>
          <w:sz w:val="24"/>
          <w:szCs w:val="24"/>
        </w:rPr>
        <w:t xml:space="preserve">Os requisitos mínimos não excluem a responsabilidade de o produtor </w:t>
      </w:r>
      <w:r w:rsidR="00E80C12">
        <w:rPr>
          <w:sz w:val="24"/>
          <w:szCs w:val="24"/>
        </w:rPr>
        <w:t>dar</w:t>
      </w:r>
      <w:r w:rsidR="00FC31BD">
        <w:rPr>
          <w:sz w:val="24"/>
          <w:szCs w:val="24"/>
        </w:rPr>
        <w:t xml:space="preserve"> tratamento adequado </w:t>
      </w:r>
      <w:r w:rsidR="00E80C12">
        <w:rPr>
          <w:sz w:val="24"/>
          <w:szCs w:val="24"/>
        </w:rPr>
        <w:t xml:space="preserve">a </w:t>
      </w:r>
      <w:r w:rsidR="00FC31BD">
        <w:rPr>
          <w:sz w:val="24"/>
          <w:szCs w:val="24"/>
        </w:rPr>
        <w:t>todos os riscos existentes.</w:t>
      </w:r>
    </w:p>
    <w:p w:rsidR="00FC31BD" w:rsidRDefault="00FC31BD" w:rsidP="00340A16">
      <w:pPr>
        <w:spacing w:before="120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E0D55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141F71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O produtor responde independente da existência de culpa pelos danos decorrentes </w:t>
      </w:r>
      <w:r w:rsidR="00E80C12">
        <w:rPr>
          <w:sz w:val="24"/>
          <w:szCs w:val="24"/>
        </w:rPr>
        <w:t xml:space="preserve">pela </w:t>
      </w:r>
      <w:r>
        <w:rPr>
          <w:sz w:val="24"/>
          <w:szCs w:val="24"/>
        </w:rPr>
        <w:t>não identificação adequada de todos os riscos.</w:t>
      </w:r>
    </w:p>
    <w:p w:rsidR="00FC31BD" w:rsidRDefault="00FC31BD" w:rsidP="00340A16">
      <w:pPr>
        <w:spacing w:before="120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E0D55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141F71">
        <w:rPr>
          <w:sz w:val="24"/>
          <w:szCs w:val="24"/>
        </w:rPr>
        <w:t xml:space="preserve">4 </w:t>
      </w:r>
      <w:r>
        <w:rPr>
          <w:sz w:val="24"/>
          <w:szCs w:val="24"/>
        </w:rPr>
        <w:t>O produtor se obriga a utilizar o conhecimento mais atualizado sobre a análise de riscos e a tecnologia mais adequada de forma a mitigar adequadamente os riscos existentes.</w:t>
      </w:r>
    </w:p>
    <w:p w:rsidR="00FC31BD" w:rsidRDefault="00FC31BD" w:rsidP="00340A16">
      <w:pPr>
        <w:spacing w:before="120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E0D55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80C12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forma a controlar e reduzir </w:t>
      </w:r>
      <w:r w:rsidR="00E80C12">
        <w:rPr>
          <w:sz w:val="24"/>
          <w:szCs w:val="24"/>
        </w:rPr>
        <w:t xml:space="preserve">a possibilidade de </w:t>
      </w:r>
      <w:r>
        <w:rPr>
          <w:sz w:val="24"/>
          <w:szCs w:val="24"/>
        </w:rPr>
        <w:t>incidentes que comprometam a saúde pública e o meio ambiente</w:t>
      </w:r>
      <w:r w:rsidR="00E80C12">
        <w:rPr>
          <w:sz w:val="24"/>
          <w:szCs w:val="24"/>
        </w:rPr>
        <w:t>,</w:t>
      </w:r>
      <w:r>
        <w:rPr>
          <w:sz w:val="24"/>
          <w:szCs w:val="24"/>
        </w:rPr>
        <w:t xml:space="preserve"> devem ser implementadas</w:t>
      </w:r>
      <w:r w:rsidR="00E80C12" w:rsidRPr="00E80C12">
        <w:rPr>
          <w:sz w:val="24"/>
          <w:szCs w:val="24"/>
        </w:rPr>
        <w:t xml:space="preserve"> </w:t>
      </w:r>
      <w:r w:rsidR="00F81F4B">
        <w:rPr>
          <w:sz w:val="24"/>
          <w:szCs w:val="24"/>
        </w:rPr>
        <w:t xml:space="preserve">todas </w:t>
      </w:r>
      <w:r w:rsidR="00E80C12">
        <w:rPr>
          <w:sz w:val="24"/>
          <w:szCs w:val="24"/>
        </w:rPr>
        <w:t>as recomendações da análise de risco</w:t>
      </w:r>
      <w:r>
        <w:rPr>
          <w:sz w:val="24"/>
          <w:szCs w:val="24"/>
        </w:rPr>
        <w:t>, ficando o produtor obrigado a demonstr</w:t>
      </w:r>
      <w:r w:rsidR="00F81F4B">
        <w:rPr>
          <w:sz w:val="24"/>
          <w:szCs w:val="24"/>
        </w:rPr>
        <w:t>á-las</w:t>
      </w:r>
      <w:r>
        <w:rPr>
          <w:sz w:val="24"/>
          <w:szCs w:val="24"/>
        </w:rPr>
        <w:t>.</w:t>
      </w:r>
    </w:p>
    <w:p w:rsidR="00453EB9" w:rsidRDefault="00FC31BD" w:rsidP="00340A16">
      <w:pPr>
        <w:spacing w:before="120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EE0D55">
        <w:rPr>
          <w:sz w:val="24"/>
          <w:szCs w:val="24"/>
        </w:rPr>
        <w:t>6</w:t>
      </w:r>
      <w:r>
        <w:rPr>
          <w:sz w:val="24"/>
          <w:szCs w:val="24"/>
        </w:rPr>
        <w:t xml:space="preserve"> A </w:t>
      </w:r>
      <w:r w:rsidR="00F81F4B">
        <w:rPr>
          <w:sz w:val="24"/>
          <w:szCs w:val="24"/>
        </w:rPr>
        <w:t xml:space="preserve">inspeção nas instalações do empreendimento passa pela </w:t>
      </w:r>
      <w:r>
        <w:rPr>
          <w:sz w:val="24"/>
          <w:szCs w:val="24"/>
        </w:rPr>
        <w:t xml:space="preserve">identificação </w:t>
      </w:r>
      <w:r w:rsidR="00F81F4B">
        <w:rPr>
          <w:sz w:val="24"/>
          <w:szCs w:val="24"/>
        </w:rPr>
        <w:t xml:space="preserve">de todas as ações constantes na </w:t>
      </w:r>
      <w:r>
        <w:rPr>
          <w:sz w:val="24"/>
          <w:szCs w:val="24"/>
        </w:rPr>
        <w:t xml:space="preserve">análise de riscos </w:t>
      </w:r>
      <w:r w:rsidR="00F81F4B">
        <w:rPr>
          <w:sz w:val="24"/>
          <w:szCs w:val="24"/>
        </w:rPr>
        <w:t>a ser realizada</w:t>
      </w:r>
      <w:r>
        <w:rPr>
          <w:sz w:val="24"/>
          <w:szCs w:val="24"/>
        </w:rPr>
        <w:t xml:space="preserve"> por uma equipe multidisciplinar composta por no m</w:t>
      </w:r>
      <w:r w:rsidR="00453EB9">
        <w:rPr>
          <w:sz w:val="24"/>
          <w:szCs w:val="24"/>
        </w:rPr>
        <w:t>ínimo cinco profissionais.</w:t>
      </w:r>
    </w:p>
    <w:p w:rsidR="00FC31BD" w:rsidRDefault="00453EB9" w:rsidP="00340A16">
      <w:pPr>
        <w:spacing w:before="120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E0D55">
        <w:rPr>
          <w:sz w:val="24"/>
          <w:szCs w:val="24"/>
        </w:rPr>
        <w:t>6</w:t>
      </w:r>
      <w:r>
        <w:rPr>
          <w:sz w:val="24"/>
          <w:szCs w:val="24"/>
        </w:rPr>
        <w:t>.1</w:t>
      </w:r>
      <w:r w:rsidR="00FC31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equipe deve contar com </w:t>
      </w:r>
      <w:r w:rsidR="00FC31BD">
        <w:rPr>
          <w:sz w:val="24"/>
          <w:szCs w:val="24"/>
        </w:rPr>
        <w:t xml:space="preserve">a participação de um profissional independente com </w:t>
      </w:r>
      <w:r w:rsidR="00D363F2">
        <w:rPr>
          <w:sz w:val="24"/>
          <w:szCs w:val="24"/>
        </w:rPr>
        <w:t xml:space="preserve">título de </w:t>
      </w:r>
      <w:r w:rsidR="00FC31BD">
        <w:rPr>
          <w:sz w:val="24"/>
          <w:szCs w:val="24"/>
        </w:rPr>
        <w:t xml:space="preserve">doutorado </w:t>
      </w:r>
      <w:r w:rsidR="00D363F2">
        <w:rPr>
          <w:sz w:val="24"/>
          <w:szCs w:val="24"/>
        </w:rPr>
        <w:t>em</w:t>
      </w:r>
      <w:r w:rsidR="00FC31BD">
        <w:rPr>
          <w:sz w:val="24"/>
          <w:szCs w:val="24"/>
        </w:rPr>
        <w:t xml:space="preserve"> saúde p</w:t>
      </w:r>
      <w:r>
        <w:rPr>
          <w:sz w:val="24"/>
          <w:szCs w:val="24"/>
        </w:rPr>
        <w:t>ública</w:t>
      </w:r>
      <w:r w:rsidR="00EE2A64">
        <w:rPr>
          <w:sz w:val="24"/>
          <w:szCs w:val="24"/>
        </w:rPr>
        <w:t xml:space="preserve"> ou em área correlata</w:t>
      </w:r>
      <w:r>
        <w:rPr>
          <w:sz w:val="24"/>
          <w:szCs w:val="24"/>
        </w:rPr>
        <w:t xml:space="preserve">, validado pelo MEC, que deverá emitir um laudo </w:t>
      </w:r>
      <w:r w:rsidR="00D363F2">
        <w:rPr>
          <w:sz w:val="24"/>
          <w:szCs w:val="24"/>
        </w:rPr>
        <w:t>atestando</w:t>
      </w:r>
      <w:r>
        <w:rPr>
          <w:sz w:val="24"/>
          <w:szCs w:val="24"/>
        </w:rPr>
        <w:t xml:space="preserve"> que os níveis de contaminantes encontrados no biometano após o tratamento não acarreta danos às pessoas e ao meio ambiente.</w:t>
      </w:r>
    </w:p>
    <w:p w:rsidR="00453EB9" w:rsidRDefault="00453EB9" w:rsidP="00340A16">
      <w:pPr>
        <w:spacing w:before="120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E0D55">
        <w:rPr>
          <w:sz w:val="24"/>
          <w:szCs w:val="24"/>
        </w:rPr>
        <w:t>6</w:t>
      </w:r>
      <w:r>
        <w:rPr>
          <w:sz w:val="24"/>
          <w:szCs w:val="24"/>
        </w:rPr>
        <w:t xml:space="preserve">.2 A equipe deve contar com um profissional </w:t>
      </w:r>
      <w:r w:rsidR="00285B75">
        <w:rPr>
          <w:sz w:val="24"/>
          <w:szCs w:val="24"/>
        </w:rPr>
        <w:t xml:space="preserve">de segurança do trabalho </w:t>
      </w:r>
      <w:r w:rsidR="00DF7509">
        <w:rPr>
          <w:sz w:val="24"/>
          <w:szCs w:val="24"/>
        </w:rPr>
        <w:t xml:space="preserve">com especialização </w:t>
      </w:r>
      <w:r>
        <w:rPr>
          <w:sz w:val="24"/>
          <w:szCs w:val="24"/>
        </w:rPr>
        <w:t xml:space="preserve">na metodologia HAZOP que deve ser capaz de </w:t>
      </w:r>
      <w:r w:rsidR="00DF7509">
        <w:rPr>
          <w:sz w:val="24"/>
          <w:szCs w:val="24"/>
        </w:rPr>
        <w:t xml:space="preserve">demonstrar a realização de </w:t>
      </w:r>
      <w:r>
        <w:rPr>
          <w:sz w:val="24"/>
          <w:szCs w:val="24"/>
        </w:rPr>
        <w:t>trabalhos anteriores e cursos realizados na área.</w:t>
      </w:r>
    </w:p>
    <w:p w:rsidR="00453EB9" w:rsidRDefault="00453EB9" w:rsidP="00340A16">
      <w:pPr>
        <w:spacing w:before="120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E0D55">
        <w:rPr>
          <w:sz w:val="24"/>
          <w:szCs w:val="24"/>
        </w:rPr>
        <w:t>6</w:t>
      </w:r>
      <w:r>
        <w:rPr>
          <w:sz w:val="24"/>
          <w:szCs w:val="24"/>
        </w:rPr>
        <w:t xml:space="preserve">.3 A equipe deve contar </w:t>
      </w:r>
      <w:r w:rsidR="00DF7509">
        <w:rPr>
          <w:sz w:val="24"/>
          <w:szCs w:val="24"/>
        </w:rPr>
        <w:t xml:space="preserve">ainda </w:t>
      </w:r>
      <w:r>
        <w:rPr>
          <w:sz w:val="24"/>
          <w:szCs w:val="24"/>
        </w:rPr>
        <w:t xml:space="preserve">com um </w:t>
      </w:r>
      <w:r w:rsidR="00DF7509">
        <w:rPr>
          <w:sz w:val="24"/>
          <w:szCs w:val="24"/>
        </w:rPr>
        <w:t xml:space="preserve">representante técnico </w:t>
      </w:r>
      <w:r>
        <w:rPr>
          <w:sz w:val="24"/>
          <w:szCs w:val="24"/>
        </w:rPr>
        <w:t xml:space="preserve">do segmento </w:t>
      </w:r>
      <w:r w:rsidR="00DF7509">
        <w:rPr>
          <w:sz w:val="24"/>
          <w:szCs w:val="24"/>
        </w:rPr>
        <w:t xml:space="preserve">da </w:t>
      </w:r>
      <w:r>
        <w:rPr>
          <w:sz w:val="24"/>
          <w:szCs w:val="24"/>
        </w:rPr>
        <w:t>distribuição de gás natural</w:t>
      </w:r>
      <w:r w:rsidR="00E401D2">
        <w:rPr>
          <w:sz w:val="24"/>
          <w:szCs w:val="24"/>
        </w:rPr>
        <w:t xml:space="preserve"> canalizado</w:t>
      </w:r>
      <w:r>
        <w:rPr>
          <w:sz w:val="24"/>
          <w:szCs w:val="24"/>
        </w:rPr>
        <w:t xml:space="preserve"> </w:t>
      </w:r>
      <w:r w:rsidR="00DF7509">
        <w:rPr>
          <w:sz w:val="24"/>
          <w:szCs w:val="24"/>
        </w:rPr>
        <w:t>da localidade do empreendimento</w:t>
      </w:r>
      <w:r w:rsidR="00141F71">
        <w:rPr>
          <w:sz w:val="24"/>
          <w:szCs w:val="24"/>
        </w:rPr>
        <w:t>.</w:t>
      </w:r>
    </w:p>
    <w:p w:rsidR="00453EB9" w:rsidRDefault="00453EB9" w:rsidP="00340A16">
      <w:pPr>
        <w:spacing w:before="120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E0D55">
        <w:rPr>
          <w:sz w:val="24"/>
          <w:szCs w:val="24"/>
        </w:rPr>
        <w:t>6</w:t>
      </w:r>
      <w:r>
        <w:rPr>
          <w:sz w:val="24"/>
          <w:szCs w:val="24"/>
        </w:rPr>
        <w:t>.4 O fornecedor de tecnologia deve fornecer documento em que ateste a eficiência da sua tecnologia para remoção dos contaminantes e que não há riscos para saúde pública e para o meio ambiente.</w:t>
      </w:r>
    </w:p>
    <w:p w:rsidR="00453EB9" w:rsidRDefault="00453EB9" w:rsidP="00340A16">
      <w:pPr>
        <w:spacing w:before="120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E0D55">
        <w:rPr>
          <w:sz w:val="24"/>
          <w:szCs w:val="24"/>
        </w:rPr>
        <w:t>7</w:t>
      </w:r>
      <w:r>
        <w:rPr>
          <w:sz w:val="24"/>
          <w:szCs w:val="24"/>
        </w:rPr>
        <w:t xml:space="preserve"> Os relatórios de identificação e análise de riscos deverão estar disponíveis para consulta durante a realização de auditorias, inspeções ou verificações da instalação.</w:t>
      </w:r>
    </w:p>
    <w:p w:rsidR="00453EB9" w:rsidRDefault="00453EB9" w:rsidP="00340A16">
      <w:pPr>
        <w:spacing w:before="120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E0D55">
        <w:rPr>
          <w:sz w:val="24"/>
          <w:szCs w:val="24"/>
        </w:rPr>
        <w:t>8</w:t>
      </w:r>
      <w:r>
        <w:rPr>
          <w:sz w:val="24"/>
          <w:szCs w:val="24"/>
        </w:rPr>
        <w:t xml:space="preserve"> O produtor de biometano será responsável pela implementação das ações corretivas referentes às recomendações contidas nas análises de riscos.</w:t>
      </w:r>
    </w:p>
    <w:p w:rsidR="00453EB9" w:rsidRDefault="00453EB9" w:rsidP="00340A16">
      <w:pPr>
        <w:spacing w:before="120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E0D55">
        <w:rPr>
          <w:sz w:val="24"/>
          <w:szCs w:val="24"/>
        </w:rPr>
        <w:t>9</w:t>
      </w:r>
      <w:r>
        <w:rPr>
          <w:sz w:val="24"/>
          <w:szCs w:val="24"/>
        </w:rPr>
        <w:t xml:space="preserve"> Deverá ser evidenciado que os riscos foram sistematicamente avaliados durante as fases de projeto, construção, comissionamento e operação, assim como antes da desativação.</w:t>
      </w:r>
    </w:p>
    <w:p w:rsidR="00453EB9" w:rsidRDefault="00453EB9" w:rsidP="00340A16">
      <w:pPr>
        <w:spacing w:before="120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E0D55">
        <w:rPr>
          <w:sz w:val="24"/>
          <w:szCs w:val="24"/>
        </w:rPr>
        <w:t>10</w:t>
      </w:r>
      <w:r>
        <w:rPr>
          <w:sz w:val="24"/>
          <w:szCs w:val="24"/>
        </w:rPr>
        <w:t xml:space="preserve"> Os produtores</w:t>
      </w:r>
      <w:r w:rsidR="00141F71">
        <w:rPr>
          <w:sz w:val="24"/>
          <w:szCs w:val="24"/>
        </w:rPr>
        <w:t xml:space="preserve"> de biometano</w:t>
      </w:r>
      <w:r>
        <w:rPr>
          <w:sz w:val="24"/>
          <w:szCs w:val="24"/>
        </w:rPr>
        <w:t xml:space="preserve"> devem manter ao menos duas barreiras técnicas testadas e independentes para remoção de siloxanos</w:t>
      </w:r>
      <w:r w:rsidR="00130881">
        <w:rPr>
          <w:sz w:val="24"/>
          <w:szCs w:val="24"/>
        </w:rPr>
        <w:t>,</w:t>
      </w:r>
      <w:r>
        <w:rPr>
          <w:sz w:val="24"/>
          <w:szCs w:val="24"/>
        </w:rPr>
        <w:t xml:space="preserve"> halogenados e dos contaminantes</w:t>
      </w:r>
      <w:r w:rsidR="00130881">
        <w:rPr>
          <w:sz w:val="24"/>
          <w:szCs w:val="24"/>
        </w:rPr>
        <w:t xml:space="preserve"> que podem causar danos à saúde pública e ao meio ambiente</w:t>
      </w:r>
      <w:r>
        <w:rPr>
          <w:sz w:val="24"/>
          <w:szCs w:val="24"/>
        </w:rPr>
        <w:t>.</w:t>
      </w:r>
    </w:p>
    <w:p w:rsidR="00453EB9" w:rsidRDefault="00453EB9" w:rsidP="00340A16">
      <w:pPr>
        <w:spacing w:before="120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EE0D55">
        <w:rPr>
          <w:sz w:val="24"/>
          <w:szCs w:val="24"/>
        </w:rPr>
        <w:t>1</w:t>
      </w:r>
      <w:r>
        <w:rPr>
          <w:sz w:val="24"/>
          <w:szCs w:val="24"/>
        </w:rPr>
        <w:t xml:space="preserve"> Os produtores</w:t>
      </w:r>
      <w:r w:rsidR="00141F71">
        <w:rPr>
          <w:sz w:val="24"/>
          <w:szCs w:val="24"/>
        </w:rPr>
        <w:t xml:space="preserve"> de biometano</w:t>
      </w:r>
      <w:r>
        <w:rPr>
          <w:sz w:val="24"/>
          <w:szCs w:val="24"/>
        </w:rPr>
        <w:t xml:space="preserve"> devem deixar claro as relações entre o gerenc</w:t>
      </w:r>
      <w:r w:rsidR="00130881">
        <w:rPr>
          <w:sz w:val="24"/>
          <w:szCs w:val="24"/>
        </w:rPr>
        <w:t>iamento de risco e o gerenciamento de barreiras.</w:t>
      </w:r>
    </w:p>
    <w:p w:rsidR="00130881" w:rsidRPr="00FC31BD" w:rsidRDefault="00130881" w:rsidP="00340A16">
      <w:pPr>
        <w:spacing w:before="120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EE0D55">
        <w:rPr>
          <w:sz w:val="24"/>
          <w:szCs w:val="24"/>
        </w:rPr>
        <w:t>2</w:t>
      </w:r>
      <w:r>
        <w:rPr>
          <w:sz w:val="24"/>
          <w:szCs w:val="24"/>
        </w:rPr>
        <w:t xml:space="preserve"> As barreiras devem ser desenhadas, selecionadas e construídas com capacidade de ser independentes umas das outras.</w:t>
      </w:r>
    </w:p>
    <w:p w:rsidR="00F5550E" w:rsidRDefault="00F5550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5550E" w:rsidRDefault="00F5550E" w:rsidP="00340A16">
      <w:pPr>
        <w:spacing w:before="120"/>
        <w:ind w:right="57"/>
        <w:jc w:val="both"/>
        <w:rPr>
          <w:sz w:val="16"/>
          <w:szCs w:val="16"/>
        </w:rPr>
        <w:sectPr w:rsidR="00F5550E" w:rsidSect="00231F04">
          <w:pgSz w:w="11907" w:h="16840" w:code="9"/>
          <w:pgMar w:top="1418" w:right="1418" w:bottom="1718" w:left="1418" w:header="720" w:footer="720" w:gutter="0"/>
          <w:cols w:space="720"/>
          <w:docGrid w:linePitch="272"/>
        </w:sectPr>
      </w:pPr>
    </w:p>
    <w:p w:rsidR="0075383F" w:rsidRPr="00EE0D55" w:rsidRDefault="00EE0D55" w:rsidP="00EE0D55">
      <w:pPr>
        <w:spacing w:before="120" w:after="120"/>
        <w:ind w:right="57"/>
        <w:jc w:val="both"/>
        <w:rPr>
          <w:b/>
        </w:rPr>
      </w:pPr>
      <w:r w:rsidRPr="00EE0D55">
        <w:rPr>
          <w:b/>
        </w:rPr>
        <w:lastRenderedPageBreak/>
        <w:t xml:space="preserve">Tabela II - </w:t>
      </w:r>
      <w:r w:rsidRPr="00EE0D55">
        <w:t>Modelo de análise de risco genérica</w:t>
      </w:r>
      <w:r>
        <w:t>.</w:t>
      </w:r>
    </w:p>
    <w:tbl>
      <w:tblPr>
        <w:tblStyle w:val="Tabelacomgrade"/>
        <w:tblW w:w="14283" w:type="dxa"/>
        <w:tblLayout w:type="fixed"/>
        <w:tblLook w:val="04A0"/>
      </w:tblPr>
      <w:tblGrid>
        <w:gridCol w:w="1101"/>
        <w:gridCol w:w="1275"/>
        <w:gridCol w:w="567"/>
        <w:gridCol w:w="711"/>
        <w:gridCol w:w="1020"/>
        <w:gridCol w:w="919"/>
        <w:gridCol w:w="1020"/>
        <w:gridCol w:w="694"/>
        <w:gridCol w:w="1165"/>
        <w:gridCol w:w="850"/>
        <w:gridCol w:w="788"/>
        <w:gridCol w:w="1114"/>
        <w:gridCol w:w="1217"/>
        <w:gridCol w:w="708"/>
        <w:gridCol w:w="1134"/>
      </w:tblGrid>
      <w:tr w:rsidR="00141F71" w:rsidRPr="00141F71" w:rsidTr="00141F71">
        <w:tc>
          <w:tcPr>
            <w:tcW w:w="1101" w:type="dxa"/>
          </w:tcPr>
          <w:p w:rsidR="008D5CA3" w:rsidRPr="00141F71" w:rsidRDefault="006D3C8D" w:rsidP="00340A16">
            <w:pPr>
              <w:spacing w:before="120"/>
              <w:ind w:right="57"/>
              <w:jc w:val="both"/>
              <w:rPr>
                <w:b/>
                <w:sz w:val="14"/>
                <w:szCs w:val="14"/>
              </w:rPr>
            </w:pPr>
            <w:r w:rsidRPr="00141F71">
              <w:rPr>
                <w:b/>
                <w:sz w:val="14"/>
                <w:szCs w:val="14"/>
              </w:rPr>
              <w:t>Parâmetro</w:t>
            </w:r>
          </w:p>
        </w:tc>
        <w:tc>
          <w:tcPr>
            <w:tcW w:w="1275" w:type="dxa"/>
          </w:tcPr>
          <w:p w:rsidR="008D5CA3" w:rsidRPr="00141F71" w:rsidRDefault="006D3C8D" w:rsidP="00141F71">
            <w:pPr>
              <w:spacing w:before="120"/>
              <w:jc w:val="both"/>
              <w:rPr>
                <w:b/>
                <w:sz w:val="14"/>
                <w:szCs w:val="14"/>
              </w:rPr>
            </w:pPr>
            <w:r w:rsidRPr="00141F71">
              <w:rPr>
                <w:b/>
                <w:sz w:val="14"/>
                <w:szCs w:val="14"/>
              </w:rPr>
              <w:t>Especificação</w:t>
            </w:r>
          </w:p>
        </w:tc>
        <w:tc>
          <w:tcPr>
            <w:tcW w:w="567" w:type="dxa"/>
          </w:tcPr>
          <w:p w:rsidR="008D5CA3" w:rsidRPr="00141F71" w:rsidRDefault="006D3C8D" w:rsidP="00340A16">
            <w:pPr>
              <w:spacing w:before="120"/>
              <w:ind w:right="57"/>
              <w:jc w:val="both"/>
              <w:rPr>
                <w:b/>
                <w:sz w:val="14"/>
                <w:szCs w:val="14"/>
              </w:rPr>
            </w:pPr>
            <w:r w:rsidRPr="00141F71">
              <w:rPr>
                <w:b/>
                <w:sz w:val="14"/>
                <w:szCs w:val="14"/>
              </w:rPr>
              <w:t>Fonte</w:t>
            </w:r>
          </w:p>
        </w:tc>
        <w:tc>
          <w:tcPr>
            <w:tcW w:w="711" w:type="dxa"/>
          </w:tcPr>
          <w:p w:rsidR="008D5CA3" w:rsidRPr="00141F71" w:rsidRDefault="006D3C8D" w:rsidP="00340A16">
            <w:pPr>
              <w:spacing w:before="120"/>
              <w:ind w:right="57"/>
              <w:jc w:val="both"/>
              <w:rPr>
                <w:b/>
                <w:sz w:val="14"/>
                <w:szCs w:val="14"/>
              </w:rPr>
            </w:pPr>
            <w:r w:rsidRPr="00141F71">
              <w:rPr>
                <w:b/>
                <w:sz w:val="14"/>
                <w:szCs w:val="14"/>
              </w:rPr>
              <w:t>Valor esperado</w:t>
            </w:r>
          </w:p>
        </w:tc>
        <w:tc>
          <w:tcPr>
            <w:tcW w:w="1020" w:type="dxa"/>
          </w:tcPr>
          <w:p w:rsidR="008D5CA3" w:rsidRPr="00141F71" w:rsidRDefault="006D3C8D" w:rsidP="00340A16">
            <w:pPr>
              <w:spacing w:before="120"/>
              <w:ind w:right="57"/>
              <w:jc w:val="both"/>
              <w:rPr>
                <w:b/>
                <w:sz w:val="14"/>
                <w:szCs w:val="14"/>
              </w:rPr>
            </w:pPr>
            <w:r w:rsidRPr="00141F71">
              <w:rPr>
                <w:b/>
                <w:sz w:val="14"/>
                <w:szCs w:val="14"/>
              </w:rPr>
              <w:t>Observações sobre o valor esperado</w:t>
            </w:r>
          </w:p>
        </w:tc>
        <w:tc>
          <w:tcPr>
            <w:tcW w:w="919" w:type="dxa"/>
          </w:tcPr>
          <w:p w:rsidR="008D5CA3" w:rsidRPr="00141F71" w:rsidRDefault="006D3C8D" w:rsidP="00F5550E">
            <w:pPr>
              <w:spacing w:before="120"/>
              <w:ind w:right="57"/>
              <w:jc w:val="both"/>
              <w:rPr>
                <w:b/>
                <w:sz w:val="14"/>
                <w:szCs w:val="14"/>
              </w:rPr>
            </w:pPr>
            <w:r w:rsidRPr="00141F71">
              <w:rPr>
                <w:b/>
                <w:sz w:val="14"/>
                <w:szCs w:val="14"/>
              </w:rPr>
              <w:t>Magnitude do desvio</w:t>
            </w:r>
          </w:p>
        </w:tc>
        <w:tc>
          <w:tcPr>
            <w:tcW w:w="1020" w:type="dxa"/>
          </w:tcPr>
          <w:p w:rsidR="008D5CA3" w:rsidRPr="00141F71" w:rsidRDefault="006D3C8D" w:rsidP="00340A16">
            <w:pPr>
              <w:spacing w:before="120"/>
              <w:ind w:right="57"/>
              <w:jc w:val="both"/>
              <w:rPr>
                <w:b/>
                <w:sz w:val="14"/>
                <w:szCs w:val="14"/>
              </w:rPr>
            </w:pPr>
            <w:r w:rsidRPr="00141F71">
              <w:rPr>
                <w:b/>
                <w:sz w:val="14"/>
                <w:szCs w:val="14"/>
              </w:rPr>
              <w:t>Observações do desvio</w:t>
            </w:r>
          </w:p>
        </w:tc>
        <w:tc>
          <w:tcPr>
            <w:tcW w:w="694" w:type="dxa"/>
          </w:tcPr>
          <w:p w:rsidR="008D5CA3" w:rsidRPr="00141F71" w:rsidRDefault="006D3C8D" w:rsidP="00340A16">
            <w:pPr>
              <w:spacing w:before="120"/>
              <w:ind w:right="57"/>
              <w:jc w:val="both"/>
              <w:rPr>
                <w:b/>
                <w:sz w:val="14"/>
                <w:szCs w:val="14"/>
              </w:rPr>
            </w:pPr>
            <w:r w:rsidRPr="00141F71">
              <w:rPr>
                <w:b/>
                <w:sz w:val="14"/>
                <w:szCs w:val="14"/>
              </w:rPr>
              <w:t>Causas</w:t>
            </w:r>
          </w:p>
        </w:tc>
        <w:tc>
          <w:tcPr>
            <w:tcW w:w="1165" w:type="dxa"/>
          </w:tcPr>
          <w:p w:rsidR="008D5CA3" w:rsidRPr="00141F71" w:rsidRDefault="006D3C8D" w:rsidP="00340A16">
            <w:pPr>
              <w:spacing w:before="120"/>
              <w:ind w:right="57"/>
              <w:jc w:val="both"/>
              <w:rPr>
                <w:b/>
                <w:sz w:val="14"/>
                <w:szCs w:val="14"/>
              </w:rPr>
            </w:pPr>
            <w:r w:rsidRPr="00141F71">
              <w:rPr>
                <w:b/>
                <w:sz w:val="14"/>
                <w:szCs w:val="14"/>
              </w:rPr>
              <w:t>Observações das causas</w:t>
            </w:r>
          </w:p>
        </w:tc>
        <w:tc>
          <w:tcPr>
            <w:tcW w:w="850" w:type="dxa"/>
          </w:tcPr>
          <w:p w:rsidR="00141F71" w:rsidRPr="00141F71" w:rsidRDefault="006D3C8D" w:rsidP="00340A16">
            <w:pPr>
              <w:spacing w:before="120"/>
              <w:ind w:right="57"/>
              <w:jc w:val="both"/>
              <w:rPr>
                <w:b/>
                <w:sz w:val="14"/>
                <w:szCs w:val="14"/>
              </w:rPr>
            </w:pPr>
            <w:r w:rsidRPr="00141F71">
              <w:rPr>
                <w:b/>
                <w:sz w:val="14"/>
                <w:szCs w:val="14"/>
              </w:rPr>
              <w:t xml:space="preserve">Impacto </w:t>
            </w:r>
          </w:p>
          <w:p w:rsidR="008D5CA3" w:rsidRPr="00141F71" w:rsidRDefault="00141F71" w:rsidP="00141F71">
            <w:pPr>
              <w:spacing w:before="120"/>
              <w:ind w:right="57"/>
              <w:jc w:val="both"/>
              <w:rPr>
                <w:b/>
                <w:sz w:val="14"/>
                <w:szCs w:val="14"/>
              </w:rPr>
            </w:pPr>
            <w:r w:rsidRPr="00141F71">
              <w:rPr>
                <w:b/>
                <w:sz w:val="14"/>
                <w:szCs w:val="14"/>
              </w:rPr>
              <w:t>(1</w:t>
            </w:r>
            <w:r w:rsidR="006D3C8D" w:rsidRPr="00141F71">
              <w:rPr>
                <w:b/>
                <w:sz w:val="14"/>
                <w:szCs w:val="14"/>
              </w:rPr>
              <w:t>-3)</w:t>
            </w:r>
          </w:p>
        </w:tc>
        <w:tc>
          <w:tcPr>
            <w:tcW w:w="788" w:type="dxa"/>
          </w:tcPr>
          <w:p w:rsidR="008D5CA3" w:rsidRPr="00141F71" w:rsidRDefault="006D3C8D" w:rsidP="00340A16">
            <w:pPr>
              <w:spacing w:before="120"/>
              <w:ind w:right="57"/>
              <w:jc w:val="both"/>
              <w:rPr>
                <w:b/>
                <w:sz w:val="14"/>
                <w:szCs w:val="14"/>
              </w:rPr>
            </w:pPr>
            <w:r w:rsidRPr="00141F71">
              <w:rPr>
                <w:b/>
                <w:sz w:val="14"/>
                <w:szCs w:val="14"/>
              </w:rPr>
              <w:t>Observações do Impacto</w:t>
            </w:r>
          </w:p>
        </w:tc>
        <w:tc>
          <w:tcPr>
            <w:tcW w:w="1114" w:type="dxa"/>
          </w:tcPr>
          <w:p w:rsidR="008D5CA3" w:rsidRPr="00141F71" w:rsidRDefault="006D3C8D" w:rsidP="00340A16">
            <w:pPr>
              <w:spacing w:before="120"/>
              <w:ind w:right="57"/>
              <w:jc w:val="both"/>
              <w:rPr>
                <w:b/>
                <w:sz w:val="14"/>
                <w:szCs w:val="14"/>
              </w:rPr>
            </w:pPr>
            <w:r w:rsidRPr="00141F71">
              <w:rPr>
                <w:b/>
                <w:sz w:val="14"/>
                <w:szCs w:val="14"/>
              </w:rPr>
              <w:t>Probabilidade (1 - 4)</w:t>
            </w:r>
          </w:p>
        </w:tc>
        <w:tc>
          <w:tcPr>
            <w:tcW w:w="1217" w:type="dxa"/>
          </w:tcPr>
          <w:p w:rsidR="008D5CA3" w:rsidRPr="00141F71" w:rsidRDefault="006D3C8D" w:rsidP="00340A16">
            <w:pPr>
              <w:spacing w:before="120"/>
              <w:ind w:right="57"/>
              <w:jc w:val="both"/>
              <w:rPr>
                <w:b/>
                <w:sz w:val="14"/>
                <w:szCs w:val="14"/>
              </w:rPr>
            </w:pPr>
            <w:r w:rsidRPr="00141F71">
              <w:rPr>
                <w:b/>
                <w:sz w:val="14"/>
                <w:szCs w:val="14"/>
              </w:rPr>
              <w:t>Observações da probabilidade</w:t>
            </w:r>
          </w:p>
        </w:tc>
        <w:tc>
          <w:tcPr>
            <w:tcW w:w="708" w:type="dxa"/>
          </w:tcPr>
          <w:p w:rsidR="008D5CA3" w:rsidRPr="00141F71" w:rsidRDefault="006D3C8D" w:rsidP="00340A16">
            <w:pPr>
              <w:spacing w:before="120"/>
              <w:ind w:right="57"/>
              <w:jc w:val="both"/>
              <w:rPr>
                <w:b/>
                <w:sz w:val="14"/>
                <w:szCs w:val="14"/>
              </w:rPr>
            </w:pPr>
            <w:r w:rsidRPr="00141F71">
              <w:rPr>
                <w:b/>
                <w:sz w:val="14"/>
                <w:szCs w:val="14"/>
              </w:rPr>
              <w:t>Risco (1-12)</w:t>
            </w:r>
          </w:p>
        </w:tc>
        <w:tc>
          <w:tcPr>
            <w:tcW w:w="1134" w:type="dxa"/>
          </w:tcPr>
          <w:p w:rsidR="008D5CA3" w:rsidRPr="00141F71" w:rsidRDefault="006D3C8D" w:rsidP="00340A16">
            <w:pPr>
              <w:spacing w:before="120"/>
              <w:ind w:right="57"/>
              <w:jc w:val="both"/>
              <w:rPr>
                <w:b/>
                <w:sz w:val="14"/>
                <w:szCs w:val="14"/>
              </w:rPr>
            </w:pPr>
            <w:r w:rsidRPr="00141F71">
              <w:rPr>
                <w:b/>
                <w:sz w:val="14"/>
                <w:szCs w:val="14"/>
              </w:rPr>
              <w:t>Conclusões, medidas de controle e comentários</w:t>
            </w:r>
          </w:p>
        </w:tc>
      </w:tr>
      <w:tr w:rsidR="00141F71" w:rsidRPr="00F5550E" w:rsidTr="00141F71">
        <w:tc>
          <w:tcPr>
            <w:tcW w:w="1101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Oxigênio</w:t>
            </w:r>
          </w:p>
        </w:tc>
        <w:tc>
          <w:tcPr>
            <w:tcW w:w="127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</w:tr>
      <w:tr w:rsidR="00141F71" w:rsidRPr="00F5550E" w:rsidTr="00141F71">
        <w:tc>
          <w:tcPr>
            <w:tcW w:w="1101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Wobbe</w:t>
            </w:r>
          </w:p>
        </w:tc>
        <w:tc>
          <w:tcPr>
            <w:tcW w:w="127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</w:tr>
      <w:tr w:rsidR="00141F71" w:rsidRPr="00F5550E" w:rsidTr="00141F71">
        <w:tc>
          <w:tcPr>
            <w:tcW w:w="1101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Odorante</w:t>
            </w:r>
          </w:p>
        </w:tc>
        <w:tc>
          <w:tcPr>
            <w:tcW w:w="127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</w:tr>
      <w:tr w:rsidR="00141F71" w:rsidRPr="00F5550E" w:rsidTr="00141F71">
        <w:tc>
          <w:tcPr>
            <w:tcW w:w="1101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EE2A64"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27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</w:tr>
      <w:tr w:rsidR="00141F71" w:rsidRPr="00F5550E" w:rsidTr="00141F71">
        <w:tc>
          <w:tcPr>
            <w:tcW w:w="1101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Ponto de orvalho de água </w:t>
            </w:r>
          </w:p>
        </w:tc>
        <w:tc>
          <w:tcPr>
            <w:tcW w:w="127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</w:tr>
      <w:tr w:rsidR="00141F71" w:rsidRPr="00F5550E" w:rsidTr="00141F71">
        <w:tc>
          <w:tcPr>
            <w:tcW w:w="1101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Clorados</w:t>
            </w:r>
          </w:p>
        </w:tc>
        <w:tc>
          <w:tcPr>
            <w:tcW w:w="127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</w:tr>
      <w:tr w:rsidR="00141F71" w:rsidRPr="00F5550E" w:rsidTr="00141F71">
        <w:tc>
          <w:tcPr>
            <w:tcW w:w="1101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Fluorados</w:t>
            </w:r>
          </w:p>
        </w:tc>
        <w:tc>
          <w:tcPr>
            <w:tcW w:w="127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</w:tr>
      <w:tr w:rsidR="00141F71" w:rsidRPr="00F5550E" w:rsidTr="00141F71">
        <w:tc>
          <w:tcPr>
            <w:tcW w:w="1101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</w:t>
            </w:r>
            <w:r w:rsidRPr="00EE2A64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27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</w:tr>
      <w:tr w:rsidR="00141F71" w:rsidRPr="00F5550E" w:rsidTr="00141F71">
        <w:tc>
          <w:tcPr>
            <w:tcW w:w="1101" w:type="dxa"/>
          </w:tcPr>
          <w:p w:rsidR="008D5CA3" w:rsidRPr="00E5091C" w:rsidRDefault="00A75426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Perigos biológicos</w:t>
            </w:r>
          </w:p>
        </w:tc>
        <w:tc>
          <w:tcPr>
            <w:tcW w:w="127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</w:tr>
      <w:tr w:rsidR="00141F71" w:rsidRPr="00F5550E" w:rsidTr="00141F71">
        <w:tc>
          <w:tcPr>
            <w:tcW w:w="1101" w:type="dxa"/>
          </w:tcPr>
          <w:p w:rsidR="008D5CA3" w:rsidRPr="00E5091C" w:rsidRDefault="00CE7E34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VOCs</w:t>
            </w:r>
          </w:p>
        </w:tc>
        <w:tc>
          <w:tcPr>
            <w:tcW w:w="127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</w:tr>
      <w:tr w:rsidR="00141F71" w:rsidRPr="00F5550E" w:rsidTr="00141F71">
        <w:tc>
          <w:tcPr>
            <w:tcW w:w="1101" w:type="dxa"/>
          </w:tcPr>
          <w:p w:rsidR="008D5CA3" w:rsidRPr="00E5091C" w:rsidRDefault="00CE7E34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Ponto de orvalho de hidrocarbonetos</w:t>
            </w:r>
          </w:p>
        </w:tc>
        <w:tc>
          <w:tcPr>
            <w:tcW w:w="127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</w:tr>
      <w:tr w:rsidR="00141F71" w:rsidRPr="00F5550E" w:rsidTr="00141F71">
        <w:tc>
          <w:tcPr>
            <w:tcW w:w="1101" w:type="dxa"/>
          </w:tcPr>
          <w:p w:rsidR="008D5CA3" w:rsidRPr="00E5091C" w:rsidRDefault="00CE7E34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Composição do gás</w:t>
            </w:r>
          </w:p>
        </w:tc>
        <w:tc>
          <w:tcPr>
            <w:tcW w:w="127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</w:tr>
      <w:tr w:rsidR="00141F71" w:rsidRPr="00F5550E" w:rsidTr="00141F71">
        <w:tc>
          <w:tcPr>
            <w:tcW w:w="1101" w:type="dxa"/>
          </w:tcPr>
          <w:p w:rsidR="008D5CA3" w:rsidRPr="00E5091C" w:rsidRDefault="00CE7E34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Inertes</w:t>
            </w:r>
          </w:p>
        </w:tc>
        <w:tc>
          <w:tcPr>
            <w:tcW w:w="127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D5CA3" w:rsidRPr="00E5091C" w:rsidRDefault="008D5CA3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</w:tr>
      <w:tr w:rsidR="00141F71" w:rsidRPr="00F5550E" w:rsidTr="00141F71">
        <w:tc>
          <w:tcPr>
            <w:tcW w:w="1101" w:type="dxa"/>
          </w:tcPr>
          <w:p w:rsidR="00D93C91" w:rsidRDefault="00D93C91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Siloxanos</w:t>
            </w:r>
          </w:p>
        </w:tc>
        <w:tc>
          <w:tcPr>
            <w:tcW w:w="1275" w:type="dxa"/>
          </w:tcPr>
          <w:p w:rsidR="00D93C91" w:rsidRPr="00F5550E" w:rsidRDefault="00D93C91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93C91" w:rsidRPr="00F5550E" w:rsidRDefault="00D93C91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D93C91" w:rsidRPr="00F5550E" w:rsidRDefault="00D93C91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D93C91" w:rsidRPr="00F5550E" w:rsidRDefault="00D93C91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:rsidR="00D93C91" w:rsidRPr="00F5550E" w:rsidRDefault="00D93C91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D93C91" w:rsidRPr="00F5550E" w:rsidRDefault="00D93C91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D93C91" w:rsidRPr="00F5550E" w:rsidRDefault="00D93C91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</w:tcPr>
          <w:p w:rsidR="00D93C91" w:rsidRPr="00F5550E" w:rsidRDefault="00D93C91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93C91" w:rsidRPr="00F5550E" w:rsidRDefault="00D93C91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D93C91" w:rsidRPr="00F5550E" w:rsidRDefault="00D93C91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:rsidR="00D93C91" w:rsidRPr="00F5550E" w:rsidRDefault="00D93C91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:rsidR="00D93C91" w:rsidRPr="00F5550E" w:rsidRDefault="00D93C91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93C91" w:rsidRPr="00F5550E" w:rsidRDefault="00D93C91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3C91" w:rsidRPr="00F5550E" w:rsidRDefault="00D93C91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</w:tr>
      <w:tr w:rsidR="00141F71" w:rsidRPr="00F5550E" w:rsidTr="00141F71">
        <w:tc>
          <w:tcPr>
            <w:tcW w:w="1101" w:type="dxa"/>
          </w:tcPr>
          <w:p w:rsidR="00A75426" w:rsidRDefault="00A75426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Metais Pesados</w:t>
            </w:r>
          </w:p>
        </w:tc>
        <w:tc>
          <w:tcPr>
            <w:tcW w:w="1275" w:type="dxa"/>
          </w:tcPr>
          <w:p w:rsidR="00A75426" w:rsidRPr="00F5550E" w:rsidRDefault="00A75426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5426" w:rsidRPr="00F5550E" w:rsidRDefault="00A75426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A75426" w:rsidRPr="00F5550E" w:rsidRDefault="00A75426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75426" w:rsidRPr="00F5550E" w:rsidRDefault="00A75426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:rsidR="00A75426" w:rsidRPr="00F5550E" w:rsidRDefault="00A75426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A75426" w:rsidRPr="00F5550E" w:rsidRDefault="00A75426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A75426" w:rsidRPr="00F5550E" w:rsidRDefault="00A75426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</w:tcPr>
          <w:p w:rsidR="00A75426" w:rsidRPr="00F5550E" w:rsidRDefault="00A75426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5426" w:rsidRPr="00F5550E" w:rsidRDefault="00A75426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75426" w:rsidRPr="00F5550E" w:rsidRDefault="00A75426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:rsidR="00A75426" w:rsidRPr="00F5550E" w:rsidRDefault="00A75426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:rsidR="00A75426" w:rsidRPr="00F5550E" w:rsidRDefault="00A75426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75426" w:rsidRPr="00F5550E" w:rsidRDefault="00A75426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75426" w:rsidRPr="00F5550E" w:rsidRDefault="00A75426" w:rsidP="00340A16">
            <w:pPr>
              <w:spacing w:before="120"/>
              <w:ind w:right="57"/>
              <w:jc w:val="both"/>
              <w:rPr>
                <w:sz w:val="16"/>
                <w:szCs w:val="16"/>
              </w:rPr>
            </w:pPr>
          </w:p>
        </w:tc>
      </w:tr>
    </w:tbl>
    <w:p w:rsidR="00F5550E" w:rsidRPr="00E5091C" w:rsidRDefault="00F5550E" w:rsidP="00340A16">
      <w:pPr>
        <w:spacing w:before="120"/>
        <w:ind w:right="57"/>
        <w:jc w:val="both"/>
        <w:rPr>
          <w:sz w:val="16"/>
          <w:szCs w:val="16"/>
        </w:rPr>
      </w:pPr>
    </w:p>
    <w:sectPr w:rsidR="00F5550E" w:rsidRPr="00E5091C" w:rsidSect="00E5091C">
      <w:pgSz w:w="16840" w:h="11907" w:orient="landscape" w:code="9"/>
      <w:pgMar w:top="1418" w:right="1418" w:bottom="1418" w:left="17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D0C" w:rsidRDefault="00563D0C">
      <w:r>
        <w:separator/>
      </w:r>
    </w:p>
  </w:endnote>
  <w:endnote w:type="continuationSeparator" w:id="0">
    <w:p w:rsidR="00563D0C" w:rsidRDefault="00563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D0C" w:rsidRDefault="00BB17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63D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3D0C" w:rsidRDefault="00563D0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D0C" w:rsidRDefault="00BB170D">
    <w:pPr>
      <w:pStyle w:val="Rodap"/>
      <w:jc w:val="right"/>
    </w:pPr>
    <w:fldSimple w:instr=" PAGE   \* MERGEFORMAT ">
      <w:r w:rsidR="00F81603">
        <w:rPr>
          <w:noProof/>
        </w:rPr>
        <w:t>1</w:t>
      </w:r>
    </w:fldSimple>
    <w:r w:rsidR="00563D0C">
      <w:t>/10</w:t>
    </w:r>
  </w:p>
  <w:p w:rsidR="00563D0C" w:rsidRDefault="00563D0C">
    <w:pPr>
      <w:pStyle w:val="Rodap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D0C" w:rsidRDefault="00563D0C">
      <w:r>
        <w:separator/>
      </w:r>
    </w:p>
  </w:footnote>
  <w:footnote w:type="continuationSeparator" w:id="0">
    <w:p w:rsidR="00563D0C" w:rsidRDefault="00563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D0C" w:rsidRDefault="00563D0C">
    <w:pPr>
      <w:pStyle w:val="Cabealho"/>
    </w:pPr>
    <w:r>
      <w:t xml:space="preserve">Minuta de Resolução ANP que estabelece a especificação do biometano de aterros e estações de tratamento de esgoto </w:t>
    </w:r>
  </w:p>
  <w:p w:rsidR="00563D0C" w:rsidRDefault="00563D0C" w:rsidP="00971062">
    <w:pPr>
      <w:pStyle w:val="Cabealho"/>
      <w:jc w:val="right"/>
    </w:pPr>
    <w:r>
      <w:t>Data: 28/03/2017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E1C"/>
    <w:multiLevelType w:val="hybridMultilevel"/>
    <w:tmpl w:val="AD120AC0"/>
    <w:lvl w:ilvl="0" w:tplc="BE1E32F0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7C093259"/>
    <w:multiLevelType w:val="hybridMultilevel"/>
    <w:tmpl w:val="67F48E5C"/>
    <w:lvl w:ilvl="0" w:tplc="E1FC17C0">
      <w:start w:val="1"/>
      <w:numFmt w:val="upperRoman"/>
      <w:lvlText w:val="%1."/>
      <w:lvlJc w:val="left"/>
      <w:pPr>
        <w:tabs>
          <w:tab w:val="num" w:pos="1347"/>
        </w:tabs>
        <w:ind w:left="1347" w:hanging="78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CC42BB6"/>
    <w:multiLevelType w:val="hybridMultilevel"/>
    <w:tmpl w:val="2196D474"/>
    <w:lvl w:ilvl="0" w:tplc="741232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/>
  <w:rsids>
    <w:rsidRoot w:val="007D191D"/>
    <w:rsid w:val="00005049"/>
    <w:rsid w:val="000059B5"/>
    <w:rsid w:val="00007E41"/>
    <w:rsid w:val="00017C64"/>
    <w:rsid w:val="00022BD0"/>
    <w:rsid w:val="00031E57"/>
    <w:rsid w:val="0003583B"/>
    <w:rsid w:val="00042A7C"/>
    <w:rsid w:val="000534EA"/>
    <w:rsid w:val="00060608"/>
    <w:rsid w:val="00061C6A"/>
    <w:rsid w:val="000628AB"/>
    <w:rsid w:val="00070E4B"/>
    <w:rsid w:val="000750D9"/>
    <w:rsid w:val="00082D3E"/>
    <w:rsid w:val="00083A20"/>
    <w:rsid w:val="00091C71"/>
    <w:rsid w:val="00092643"/>
    <w:rsid w:val="00093CA6"/>
    <w:rsid w:val="00096C2B"/>
    <w:rsid w:val="000A1A0C"/>
    <w:rsid w:val="000A1E12"/>
    <w:rsid w:val="000A33B9"/>
    <w:rsid w:val="000A41B5"/>
    <w:rsid w:val="000A4B73"/>
    <w:rsid w:val="000A5AED"/>
    <w:rsid w:val="000A7A25"/>
    <w:rsid w:val="000B08E0"/>
    <w:rsid w:val="000B2999"/>
    <w:rsid w:val="000C0BCC"/>
    <w:rsid w:val="000C3A2C"/>
    <w:rsid w:val="000C7580"/>
    <w:rsid w:val="000D40FF"/>
    <w:rsid w:val="000D71E9"/>
    <w:rsid w:val="000E0404"/>
    <w:rsid w:val="000F4E0D"/>
    <w:rsid w:val="0010231F"/>
    <w:rsid w:val="001051C9"/>
    <w:rsid w:val="00110B41"/>
    <w:rsid w:val="0012059C"/>
    <w:rsid w:val="001209E2"/>
    <w:rsid w:val="00122882"/>
    <w:rsid w:val="00126897"/>
    <w:rsid w:val="0013013B"/>
    <w:rsid w:val="00130881"/>
    <w:rsid w:val="00135ADD"/>
    <w:rsid w:val="00135F4D"/>
    <w:rsid w:val="00137F74"/>
    <w:rsid w:val="00141F71"/>
    <w:rsid w:val="0014303E"/>
    <w:rsid w:val="00145A0A"/>
    <w:rsid w:val="00147BA5"/>
    <w:rsid w:val="00150179"/>
    <w:rsid w:val="00150861"/>
    <w:rsid w:val="00151C0B"/>
    <w:rsid w:val="00157EB7"/>
    <w:rsid w:val="00164178"/>
    <w:rsid w:val="00165888"/>
    <w:rsid w:val="00166A5C"/>
    <w:rsid w:val="0017118A"/>
    <w:rsid w:val="001764B9"/>
    <w:rsid w:val="00177053"/>
    <w:rsid w:val="00177D32"/>
    <w:rsid w:val="001829EE"/>
    <w:rsid w:val="001922C5"/>
    <w:rsid w:val="001A3518"/>
    <w:rsid w:val="001A4100"/>
    <w:rsid w:val="001B0792"/>
    <w:rsid w:val="001B5FCD"/>
    <w:rsid w:val="001C3A8F"/>
    <w:rsid w:val="001C482B"/>
    <w:rsid w:val="001C4948"/>
    <w:rsid w:val="001C70E7"/>
    <w:rsid w:val="001D0930"/>
    <w:rsid w:val="001D2BDB"/>
    <w:rsid w:val="001E33F7"/>
    <w:rsid w:val="001E590D"/>
    <w:rsid w:val="001E69CE"/>
    <w:rsid w:val="001F15F3"/>
    <w:rsid w:val="001F1B3B"/>
    <w:rsid w:val="001F282D"/>
    <w:rsid w:val="001F37BD"/>
    <w:rsid w:val="001F71D6"/>
    <w:rsid w:val="001F74EB"/>
    <w:rsid w:val="002123FF"/>
    <w:rsid w:val="00213AB7"/>
    <w:rsid w:val="002147B2"/>
    <w:rsid w:val="002179D7"/>
    <w:rsid w:val="0022489B"/>
    <w:rsid w:val="002258DE"/>
    <w:rsid w:val="002316AB"/>
    <w:rsid w:val="00231CCC"/>
    <w:rsid w:val="00231F04"/>
    <w:rsid w:val="00233089"/>
    <w:rsid w:val="00235619"/>
    <w:rsid w:val="00236A3F"/>
    <w:rsid w:val="002435F6"/>
    <w:rsid w:val="00245294"/>
    <w:rsid w:val="00252D62"/>
    <w:rsid w:val="00253684"/>
    <w:rsid w:val="002545EA"/>
    <w:rsid w:val="00263EE8"/>
    <w:rsid w:val="00265D57"/>
    <w:rsid w:val="00274F1F"/>
    <w:rsid w:val="00277F9D"/>
    <w:rsid w:val="002823B2"/>
    <w:rsid w:val="00285B75"/>
    <w:rsid w:val="00291DB9"/>
    <w:rsid w:val="002968F1"/>
    <w:rsid w:val="002A6221"/>
    <w:rsid w:val="002B284F"/>
    <w:rsid w:val="002B4389"/>
    <w:rsid w:val="002B4F64"/>
    <w:rsid w:val="002B71D3"/>
    <w:rsid w:val="002C6FCB"/>
    <w:rsid w:val="002D18DE"/>
    <w:rsid w:val="002D24AD"/>
    <w:rsid w:val="002D64C3"/>
    <w:rsid w:val="002E0B39"/>
    <w:rsid w:val="002E3C0F"/>
    <w:rsid w:val="002E6691"/>
    <w:rsid w:val="002F048C"/>
    <w:rsid w:val="002F1906"/>
    <w:rsid w:val="002F598C"/>
    <w:rsid w:val="002F64AD"/>
    <w:rsid w:val="0030116E"/>
    <w:rsid w:val="00313228"/>
    <w:rsid w:val="00316522"/>
    <w:rsid w:val="00317AE1"/>
    <w:rsid w:val="00326D1C"/>
    <w:rsid w:val="0032742E"/>
    <w:rsid w:val="0033705E"/>
    <w:rsid w:val="00340A16"/>
    <w:rsid w:val="00343683"/>
    <w:rsid w:val="00346CF1"/>
    <w:rsid w:val="00347490"/>
    <w:rsid w:val="003518DD"/>
    <w:rsid w:val="00352BCA"/>
    <w:rsid w:val="00362B1F"/>
    <w:rsid w:val="0036525F"/>
    <w:rsid w:val="00370FEA"/>
    <w:rsid w:val="003737D8"/>
    <w:rsid w:val="00384FA4"/>
    <w:rsid w:val="003876B8"/>
    <w:rsid w:val="00387713"/>
    <w:rsid w:val="00393479"/>
    <w:rsid w:val="003A2270"/>
    <w:rsid w:val="003A47DE"/>
    <w:rsid w:val="003A4A47"/>
    <w:rsid w:val="003A5C93"/>
    <w:rsid w:val="003B4F96"/>
    <w:rsid w:val="003C00D4"/>
    <w:rsid w:val="003C0CB6"/>
    <w:rsid w:val="003C125B"/>
    <w:rsid w:val="003C29D7"/>
    <w:rsid w:val="003C3EF0"/>
    <w:rsid w:val="003C5CBB"/>
    <w:rsid w:val="003C7969"/>
    <w:rsid w:val="003D6DEC"/>
    <w:rsid w:val="003D7A43"/>
    <w:rsid w:val="003E2D1A"/>
    <w:rsid w:val="003E4410"/>
    <w:rsid w:val="003F19E3"/>
    <w:rsid w:val="003F5B98"/>
    <w:rsid w:val="003F5E97"/>
    <w:rsid w:val="00402517"/>
    <w:rsid w:val="00417EA5"/>
    <w:rsid w:val="00417EAB"/>
    <w:rsid w:val="00420E83"/>
    <w:rsid w:val="0042219C"/>
    <w:rsid w:val="00427FED"/>
    <w:rsid w:val="0043732E"/>
    <w:rsid w:val="00446439"/>
    <w:rsid w:val="00446617"/>
    <w:rsid w:val="0045096E"/>
    <w:rsid w:val="00450B9F"/>
    <w:rsid w:val="00453EB9"/>
    <w:rsid w:val="004603F1"/>
    <w:rsid w:val="00464CE2"/>
    <w:rsid w:val="00466FDB"/>
    <w:rsid w:val="00476EF2"/>
    <w:rsid w:val="004770EB"/>
    <w:rsid w:val="00485F55"/>
    <w:rsid w:val="004861B7"/>
    <w:rsid w:val="00490EF3"/>
    <w:rsid w:val="00492CF4"/>
    <w:rsid w:val="0049329F"/>
    <w:rsid w:val="004954FA"/>
    <w:rsid w:val="004977B5"/>
    <w:rsid w:val="004A2EA3"/>
    <w:rsid w:val="004A404B"/>
    <w:rsid w:val="004A5EFE"/>
    <w:rsid w:val="004B1357"/>
    <w:rsid w:val="004B25A9"/>
    <w:rsid w:val="004C629C"/>
    <w:rsid w:val="004C6855"/>
    <w:rsid w:val="004C6946"/>
    <w:rsid w:val="004E3076"/>
    <w:rsid w:val="004E43F3"/>
    <w:rsid w:val="004E4D5A"/>
    <w:rsid w:val="004E7326"/>
    <w:rsid w:val="004F06B8"/>
    <w:rsid w:val="004F5DBA"/>
    <w:rsid w:val="005148F6"/>
    <w:rsid w:val="00516037"/>
    <w:rsid w:val="0052040D"/>
    <w:rsid w:val="005242F9"/>
    <w:rsid w:val="00527289"/>
    <w:rsid w:val="005323FE"/>
    <w:rsid w:val="00532661"/>
    <w:rsid w:val="0053776E"/>
    <w:rsid w:val="00552561"/>
    <w:rsid w:val="00563D0C"/>
    <w:rsid w:val="00566680"/>
    <w:rsid w:val="00570864"/>
    <w:rsid w:val="0057759A"/>
    <w:rsid w:val="00583B3E"/>
    <w:rsid w:val="00595FCD"/>
    <w:rsid w:val="0059733C"/>
    <w:rsid w:val="005A2B86"/>
    <w:rsid w:val="005B03D5"/>
    <w:rsid w:val="005C717B"/>
    <w:rsid w:val="005C7EB9"/>
    <w:rsid w:val="005D64A7"/>
    <w:rsid w:val="005E4C1F"/>
    <w:rsid w:val="005F2B8F"/>
    <w:rsid w:val="00604D2B"/>
    <w:rsid w:val="00610A64"/>
    <w:rsid w:val="0061327B"/>
    <w:rsid w:val="006160EA"/>
    <w:rsid w:val="00616D46"/>
    <w:rsid w:val="00621067"/>
    <w:rsid w:val="00621E14"/>
    <w:rsid w:val="00641042"/>
    <w:rsid w:val="00646089"/>
    <w:rsid w:val="0065014E"/>
    <w:rsid w:val="0065528C"/>
    <w:rsid w:val="00661A73"/>
    <w:rsid w:val="00666CAB"/>
    <w:rsid w:val="006700CA"/>
    <w:rsid w:val="00672DC2"/>
    <w:rsid w:val="00674DB8"/>
    <w:rsid w:val="00676DF2"/>
    <w:rsid w:val="00680BFC"/>
    <w:rsid w:val="006815DE"/>
    <w:rsid w:val="00686331"/>
    <w:rsid w:val="006874A5"/>
    <w:rsid w:val="00692017"/>
    <w:rsid w:val="006A28CF"/>
    <w:rsid w:val="006A5A45"/>
    <w:rsid w:val="006A646B"/>
    <w:rsid w:val="006A783B"/>
    <w:rsid w:val="006B1972"/>
    <w:rsid w:val="006B1A69"/>
    <w:rsid w:val="006B2774"/>
    <w:rsid w:val="006B45C7"/>
    <w:rsid w:val="006B5637"/>
    <w:rsid w:val="006C3F4A"/>
    <w:rsid w:val="006D097C"/>
    <w:rsid w:val="006D195C"/>
    <w:rsid w:val="006D1C80"/>
    <w:rsid w:val="006D3C8D"/>
    <w:rsid w:val="006D50F9"/>
    <w:rsid w:val="006E45FD"/>
    <w:rsid w:val="006E7476"/>
    <w:rsid w:val="006F34F9"/>
    <w:rsid w:val="006F562F"/>
    <w:rsid w:val="006F5ABC"/>
    <w:rsid w:val="006F778E"/>
    <w:rsid w:val="006F790C"/>
    <w:rsid w:val="007012E3"/>
    <w:rsid w:val="00703FEA"/>
    <w:rsid w:val="00704642"/>
    <w:rsid w:val="00705C0D"/>
    <w:rsid w:val="007121AC"/>
    <w:rsid w:val="00712D89"/>
    <w:rsid w:val="0071538D"/>
    <w:rsid w:val="00721FC4"/>
    <w:rsid w:val="00725655"/>
    <w:rsid w:val="00727C33"/>
    <w:rsid w:val="007317B3"/>
    <w:rsid w:val="00734749"/>
    <w:rsid w:val="00735459"/>
    <w:rsid w:val="007438CE"/>
    <w:rsid w:val="007507C4"/>
    <w:rsid w:val="0075383F"/>
    <w:rsid w:val="00754768"/>
    <w:rsid w:val="00754AA8"/>
    <w:rsid w:val="00754AF6"/>
    <w:rsid w:val="00761E2B"/>
    <w:rsid w:val="007660D7"/>
    <w:rsid w:val="0076738B"/>
    <w:rsid w:val="00776524"/>
    <w:rsid w:val="00780492"/>
    <w:rsid w:val="0078171C"/>
    <w:rsid w:val="0078466A"/>
    <w:rsid w:val="00795364"/>
    <w:rsid w:val="00795E82"/>
    <w:rsid w:val="007968BF"/>
    <w:rsid w:val="007A0256"/>
    <w:rsid w:val="007B10E1"/>
    <w:rsid w:val="007B45CE"/>
    <w:rsid w:val="007C1080"/>
    <w:rsid w:val="007C53E8"/>
    <w:rsid w:val="007D191D"/>
    <w:rsid w:val="007D2627"/>
    <w:rsid w:val="007D2660"/>
    <w:rsid w:val="007D2A30"/>
    <w:rsid w:val="007E0F63"/>
    <w:rsid w:val="007E25A6"/>
    <w:rsid w:val="007F20C5"/>
    <w:rsid w:val="007F2395"/>
    <w:rsid w:val="007F44B2"/>
    <w:rsid w:val="007F4894"/>
    <w:rsid w:val="007F4B77"/>
    <w:rsid w:val="00801EF0"/>
    <w:rsid w:val="00806255"/>
    <w:rsid w:val="008068C0"/>
    <w:rsid w:val="0081378D"/>
    <w:rsid w:val="008175BE"/>
    <w:rsid w:val="00822255"/>
    <w:rsid w:val="00836C09"/>
    <w:rsid w:val="00837437"/>
    <w:rsid w:val="00837D83"/>
    <w:rsid w:val="00840919"/>
    <w:rsid w:val="008439DD"/>
    <w:rsid w:val="00846D1B"/>
    <w:rsid w:val="00851F8F"/>
    <w:rsid w:val="008549BE"/>
    <w:rsid w:val="008571A3"/>
    <w:rsid w:val="00857664"/>
    <w:rsid w:val="008623CD"/>
    <w:rsid w:val="008770D1"/>
    <w:rsid w:val="0087740C"/>
    <w:rsid w:val="00883BEC"/>
    <w:rsid w:val="00886BC7"/>
    <w:rsid w:val="00893473"/>
    <w:rsid w:val="008A48C4"/>
    <w:rsid w:val="008B5987"/>
    <w:rsid w:val="008B65EB"/>
    <w:rsid w:val="008C1FC9"/>
    <w:rsid w:val="008C2BB2"/>
    <w:rsid w:val="008D4796"/>
    <w:rsid w:val="008D5CA3"/>
    <w:rsid w:val="008D7138"/>
    <w:rsid w:val="008D7DF9"/>
    <w:rsid w:val="008E59EC"/>
    <w:rsid w:val="008E5DB9"/>
    <w:rsid w:val="008E7D3C"/>
    <w:rsid w:val="008F0573"/>
    <w:rsid w:val="008F2AD6"/>
    <w:rsid w:val="008F349C"/>
    <w:rsid w:val="00900493"/>
    <w:rsid w:val="00900D08"/>
    <w:rsid w:val="0090374F"/>
    <w:rsid w:val="00905534"/>
    <w:rsid w:val="00912F31"/>
    <w:rsid w:val="009164F7"/>
    <w:rsid w:val="00927397"/>
    <w:rsid w:val="00927477"/>
    <w:rsid w:val="00927673"/>
    <w:rsid w:val="009402E8"/>
    <w:rsid w:val="00941E5E"/>
    <w:rsid w:val="0095102F"/>
    <w:rsid w:val="0095160E"/>
    <w:rsid w:val="00953927"/>
    <w:rsid w:val="00961881"/>
    <w:rsid w:val="00964068"/>
    <w:rsid w:val="00964AA5"/>
    <w:rsid w:val="00967C4A"/>
    <w:rsid w:val="00967F3C"/>
    <w:rsid w:val="00971062"/>
    <w:rsid w:val="00972D1E"/>
    <w:rsid w:val="0098572F"/>
    <w:rsid w:val="0099052C"/>
    <w:rsid w:val="009917EA"/>
    <w:rsid w:val="009923AB"/>
    <w:rsid w:val="009925D3"/>
    <w:rsid w:val="009963B3"/>
    <w:rsid w:val="009A006E"/>
    <w:rsid w:val="009A5F62"/>
    <w:rsid w:val="009C0D5C"/>
    <w:rsid w:val="009C194C"/>
    <w:rsid w:val="009C527E"/>
    <w:rsid w:val="009D0A5B"/>
    <w:rsid w:val="009D2C93"/>
    <w:rsid w:val="009D6673"/>
    <w:rsid w:val="009E158C"/>
    <w:rsid w:val="009F67B6"/>
    <w:rsid w:val="00A0599B"/>
    <w:rsid w:val="00A11C03"/>
    <w:rsid w:val="00A133E3"/>
    <w:rsid w:val="00A24BF5"/>
    <w:rsid w:val="00A26130"/>
    <w:rsid w:val="00A26695"/>
    <w:rsid w:val="00A30421"/>
    <w:rsid w:val="00A332C0"/>
    <w:rsid w:val="00A3564E"/>
    <w:rsid w:val="00A43114"/>
    <w:rsid w:val="00A43B6E"/>
    <w:rsid w:val="00A53F85"/>
    <w:rsid w:val="00A57572"/>
    <w:rsid w:val="00A6137F"/>
    <w:rsid w:val="00A61D6E"/>
    <w:rsid w:val="00A6439B"/>
    <w:rsid w:val="00A65CFB"/>
    <w:rsid w:val="00A70100"/>
    <w:rsid w:val="00A712F0"/>
    <w:rsid w:val="00A7419A"/>
    <w:rsid w:val="00A75394"/>
    <w:rsid w:val="00A75426"/>
    <w:rsid w:val="00A8040F"/>
    <w:rsid w:val="00A850CD"/>
    <w:rsid w:val="00A854E9"/>
    <w:rsid w:val="00A85D47"/>
    <w:rsid w:val="00A91780"/>
    <w:rsid w:val="00A92B17"/>
    <w:rsid w:val="00AA17B4"/>
    <w:rsid w:val="00AA2A65"/>
    <w:rsid w:val="00AB0144"/>
    <w:rsid w:val="00AB145D"/>
    <w:rsid w:val="00AB26D4"/>
    <w:rsid w:val="00AB5230"/>
    <w:rsid w:val="00AB58E4"/>
    <w:rsid w:val="00AB6807"/>
    <w:rsid w:val="00AC2F4B"/>
    <w:rsid w:val="00AC4C46"/>
    <w:rsid w:val="00AC4EF3"/>
    <w:rsid w:val="00AC584B"/>
    <w:rsid w:val="00AC5C53"/>
    <w:rsid w:val="00AC6E1E"/>
    <w:rsid w:val="00AD3042"/>
    <w:rsid w:val="00AD3E46"/>
    <w:rsid w:val="00AD613C"/>
    <w:rsid w:val="00AE2028"/>
    <w:rsid w:val="00AE57FB"/>
    <w:rsid w:val="00AE6D39"/>
    <w:rsid w:val="00AF23AE"/>
    <w:rsid w:val="00AF27F9"/>
    <w:rsid w:val="00AF3F1D"/>
    <w:rsid w:val="00AF6F32"/>
    <w:rsid w:val="00B02C8E"/>
    <w:rsid w:val="00B03EDC"/>
    <w:rsid w:val="00B135A3"/>
    <w:rsid w:val="00B1624C"/>
    <w:rsid w:val="00B168D6"/>
    <w:rsid w:val="00B175B3"/>
    <w:rsid w:val="00B232C9"/>
    <w:rsid w:val="00B249EC"/>
    <w:rsid w:val="00B26A99"/>
    <w:rsid w:val="00B30881"/>
    <w:rsid w:val="00B30989"/>
    <w:rsid w:val="00B32CCF"/>
    <w:rsid w:val="00B37132"/>
    <w:rsid w:val="00B40CD4"/>
    <w:rsid w:val="00B420EC"/>
    <w:rsid w:val="00B433F1"/>
    <w:rsid w:val="00B5073A"/>
    <w:rsid w:val="00B579DD"/>
    <w:rsid w:val="00B57FD3"/>
    <w:rsid w:val="00B624E3"/>
    <w:rsid w:val="00B63138"/>
    <w:rsid w:val="00B65734"/>
    <w:rsid w:val="00B73B84"/>
    <w:rsid w:val="00B76535"/>
    <w:rsid w:val="00B76C70"/>
    <w:rsid w:val="00B7769F"/>
    <w:rsid w:val="00BA049B"/>
    <w:rsid w:val="00BA2AA4"/>
    <w:rsid w:val="00BA35BE"/>
    <w:rsid w:val="00BA5B50"/>
    <w:rsid w:val="00BB170D"/>
    <w:rsid w:val="00BB4A8A"/>
    <w:rsid w:val="00BB4F9B"/>
    <w:rsid w:val="00BB5306"/>
    <w:rsid w:val="00BB615D"/>
    <w:rsid w:val="00BB665B"/>
    <w:rsid w:val="00BE0560"/>
    <w:rsid w:val="00BE2C22"/>
    <w:rsid w:val="00BE4179"/>
    <w:rsid w:val="00BF0402"/>
    <w:rsid w:val="00BF1A14"/>
    <w:rsid w:val="00BF3383"/>
    <w:rsid w:val="00BF479F"/>
    <w:rsid w:val="00BF5B96"/>
    <w:rsid w:val="00C04054"/>
    <w:rsid w:val="00C070D2"/>
    <w:rsid w:val="00C10F66"/>
    <w:rsid w:val="00C21FB8"/>
    <w:rsid w:val="00C30A8A"/>
    <w:rsid w:val="00C30A94"/>
    <w:rsid w:val="00C31AD1"/>
    <w:rsid w:val="00C43DE6"/>
    <w:rsid w:val="00C53A46"/>
    <w:rsid w:val="00C550E3"/>
    <w:rsid w:val="00C6187D"/>
    <w:rsid w:val="00C623D7"/>
    <w:rsid w:val="00C636A7"/>
    <w:rsid w:val="00C647AE"/>
    <w:rsid w:val="00C665C0"/>
    <w:rsid w:val="00C70B8B"/>
    <w:rsid w:val="00C8441D"/>
    <w:rsid w:val="00C869D1"/>
    <w:rsid w:val="00C94B14"/>
    <w:rsid w:val="00CA400D"/>
    <w:rsid w:val="00CA44C3"/>
    <w:rsid w:val="00CB1D2A"/>
    <w:rsid w:val="00CB1E89"/>
    <w:rsid w:val="00CB2376"/>
    <w:rsid w:val="00CB7E84"/>
    <w:rsid w:val="00CC53A0"/>
    <w:rsid w:val="00CC5E05"/>
    <w:rsid w:val="00CD0D81"/>
    <w:rsid w:val="00CD47CF"/>
    <w:rsid w:val="00CD66DC"/>
    <w:rsid w:val="00CE7E34"/>
    <w:rsid w:val="00CF217D"/>
    <w:rsid w:val="00D0299D"/>
    <w:rsid w:val="00D0542E"/>
    <w:rsid w:val="00D222A0"/>
    <w:rsid w:val="00D2472B"/>
    <w:rsid w:val="00D3032C"/>
    <w:rsid w:val="00D30E3F"/>
    <w:rsid w:val="00D34BFC"/>
    <w:rsid w:val="00D363F2"/>
    <w:rsid w:val="00D42B52"/>
    <w:rsid w:val="00D4591D"/>
    <w:rsid w:val="00D54D84"/>
    <w:rsid w:val="00D661B9"/>
    <w:rsid w:val="00D666DB"/>
    <w:rsid w:val="00D75B4B"/>
    <w:rsid w:val="00D93C91"/>
    <w:rsid w:val="00DA2FF5"/>
    <w:rsid w:val="00DA4D66"/>
    <w:rsid w:val="00DB1DEF"/>
    <w:rsid w:val="00DB2702"/>
    <w:rsid w:val="00DB44D7"/>
    <w:rsid w:val="00DB5CD1"/>
    <w:rsid w:val="00DB6ECB"/>
    <w:rsid w:val="00DC611A"/>
    <w:rsid w:val="00DD2A49"/>
    <w:rsid w:val="00DD78C3"/>
    <w:rsid w:val="00DE057D"/>
    <w:rsid w:val="00DE20C2"/>
    <w:rsid w:val="00DE2C79"/>
    <w:rsid w:val="00DE4D4F"/>
    <w:rsid w:val="00DE6718"/>
    <w:rsid w:val="00DF7509"/>
    <w:rsid w:val="00E042C0"/>
    <w:rsid w:val="00E05D36"/>
    <w:rsid w:val="00E06E96"/>
    <w:rsid w:val="00E15AAA"/>
    <w:rsid w:val="00E17DAD"/>
    <w:rsid w:val="00E17EDA"/>
    <w:rsid w:val="00E3155D"/>
    <w:rsid w:val="00E401D2"/>
    <w:rsid w:val="00E40789"/>
    <w:rsid w:val="00E4106F"/>
    <w:rsid w:val="00E43106"/>
    <w:rsid w:val="00E468E8"/>
    <w:rsid w:val="00E5091C"/>
    <w:rsid w:val="00E50BBC"/>
    <w:rsid w:val="00E533A4"/>
    <w:rsid w:val="00E56602"/>
    <w:rsid w:val="00E67041"/>
    <w:rsid w:val="00E71E6E"/>
    <w:rsid w:val="00E76C46"/>
    <w:rsid w:val="00E77AD4"/>
    <w:rsid w:val="00E8023C"/>
    <w:rsid w:val="00E80C12"/>
    <w:rsid w:val="00E81F9E"/>
    <w:rsid w:val="00E825BC"/>
    <w:rsid w:val="00E83181"/>
    <w:rsid w:val="00E84347"/>
    <w:rsid w:val="00E849B1"/>
    <w:rsid w:val="00E856D7"/>
    <w:rsid w:val="00E909CE"/>
    <w:rsid w:val="00E93F87"/>
    <w:rsid w:val="00EA19D9"/>
    <w:rsid w:val="00EB2F91"/>
    <w:rsid w:val="00EB5890"/>
    <w:rsid w:val="00EC00E8"/>
    <w:rsid w:val="00EC2161"/>
    <w:rsid w:val="00EC3BFD"/>
    <w:rsid w:val="00ED310F"/>
    <w:rsid w:val="00ED69C4"/>
    <w:rsid w:val="00ED6D0B"/>
    <w:rsid w:val="00ED73E9"/>
    <w:rsid w:val="00EE0D55"/>
    <w:rsid w:val="00EE2A64"/>
    <w:rsid w:val="00EE3965"/>
    <w:rsid w:val="00F0628B"/>
    <w:rsid w:val="00F122BF"/>
    <w:rsid w:val="00F20206"/>
    <w:rsid w:val="00F2277B"/>
    <w:rsid w:val="00F26100"/>
    <w:rsid w:val="00F278A5"/>
    <w:rsid w:val="00F30F87"/>
    <w:rsid w:val="00F316B3"/>
    <w:rsid w:val="00F43BE2"/>
    <w:rsid w:val="00F47E71"/>
    <w:rsid w:val="00F5119A"/>
    <w:rsid w:val="00F5331F"/>
    <w:rsid w:val="00F5550E"/>
    <w:rsid w:val="00F56CA6"/>
    <w:rsid w:val="00F57209"/>
    <w:rsid w:val="00F57387"/>
    <w:rsid w:val="00F607FB"/>
    <w:rsid w:val="00F6170C"/>
    <w:rsid w:val="00F61858"/>
    <w:rsid w:val="00F62397"/>
    <w:rsid w:val="00F7676D"/>
    <w:rsid w:val="00F77207"/>
    <w:rsid w:val="00F81603"/>
    <w:rsid w:val="00F81F4B"/>
    <w:rsid w:val="00F949C8"/>
    <w:rsid w:val="00F959D2"/>
    <w:rsid w:val="00F96B0D"/>
    <w:rsid w:val="00FA15D6"/>
    <w:rsid w:val="00FA421B"/>
    <w:rsid w:val="00FB160F"/>
    <w:rsid w:val="00FB68E1"/>
    <w:rsid w:val="00FC31BD"/>
    <w:rsid w:val="00FC3E56"/>
    <w:rsid w:val="00FC5C8E"/>
    <w:rsid w:val="00FE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3F"/>
  </w:style>
  <w:style w:type="paragraph" w:styleId="Ttulo1">
    <w:name w:val="heading 1"/>
    <w:basedOn w:val="Normal"/>
    <w:next w:val="Normal"/>
    <w:qFormat/>
    <w:rsid w:val="00D30E3F"/>
    <w:pPr>
      <w:keepNext/>
      <w:pBdr>
        <w:bottom w:val="single" w:sz="4" w:space="1" w:color="auto"/>
      </w:pBdr>
      <w:autoSpaceDE w:val="0"/>
      <w:autoSpaceDN w:val="0"/>
      <w:adjustRightInd w:val="0"/>
      <w:spacing w:before="100" w:beforeAutospacing="1" w:after="100" w:afterAutospacing="1"/>
      <w:jc w:val="center"/>
      <w:outlineLvl w:val="0"/>
    </w:pPr>
    <w:rPr>
      <w:rFonts w:ascii="Arial" w:eastAsia="Arial Unicode MS" w:hAnsi="Arial" w:cs="Arial" w:hint="eastAsia"/>
      <w:b/>
      <w:bCs/>
      <w:sz w:val="18"/>
      <w:szCs w:val="24"/>
    </w:rPr>
  </w:style>
  <w:style w:type="paragraph" w:styleId="Ttulo2">
    <w:name w:val="heading 2"/>
    <w:basedOn w:val="Normal"/>
    <w:next w:val="Normal"/>
    <w:qFormat/>
    <w:rsid w:val="00D30E3F"/>
    <w:pPr>
      <w:keepNext/>
      <w:spacing w:before="60" w:after="60"/>
      <w:jc w:val="center"/>
      <w:outlineLvl w:val="1"/>
    </w:pPr>
    <w:rPr>
      <w:color w:val="FF0000"/>
      <w:sz w:val="24"/>
    </w:rPr>
  </w:style>
  <w:style w:type="paragraph" w:styleId="Ttulo3">
    <w:name w:val="heading 3"/>
    <w:basedOn w:val="Normal"/>
    <w:next w:val="Normal"/>
    <w:qFormat/>
    <w:rsid w:val="00D30E3F"/>
    <w:pPr>
      <w:keepNext/>
      <w:spacing w:before="60" w:after="60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D30E3F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30E3F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30E3F"/>
    <w:pPr>
      <w:keepNext/>
      <w:spacing w:before="120"/>
      <w:ind w:left="57" w:right="57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Texto-materia"/>
    <w:autoRedefine/>
    <w:rsid w:val="00B232C9"/>
    <w:pPr>
      <w:spacing w:before="81"/>
      <w:ind w:firstLine="0"/>
      <w:jc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Texto-materia">
    <w:name w:val="Texto-materia"/>
    <w:rsid w:val="00D30E3F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40"/>
      <w:ind w:firstLine="567"/>
    </w:pPr>
    <w:rPr>
      <w:rFonts w:ascii="Arial" w:hAnsi="Arial"/>
      <w:color w:val="800000"/>
      <w:sz w:val="22"/>
    </w:rPr>
  </w:style>
  <w:style w:type="paragraph" w:customStyle="1" w:styleId="Tabela-Titulo">
    <w:name w:val="Tabela-Titulo"/>
    <w:basedOn w:val="Tabela-Texto"/>
    <w:rsid w:val="00D30E3F"/>
    <w:pPr>
      <w:jc w:val="center"/>
    </w:pPr>
    <w:rPr>
      <w:b/>
    </w:rPr>
  </w:style>
  <w:style w:type="paragraph" w:customStyle="1" w:styleId="Tabela-Texto">
    <w:name w:val="Tabela-Texto"/>
    <w:rsid w:val="00D30E3F"/>
    <w:pPr>
      <w:widowControl w:val="0"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60" w:after="60"/>
      <w:ind w:left="60" w:right="60"/>
    </w:pPr>
    <w:rPr>
      <w:rFonts w:ascii="Arial" w:hAnsi="Arial"/>
      <w:color w:val="0000FF"/>
    </w:rPr>
  </w:style>
  <w:style w:type="character" w:styleId="Hyperlink">
    <w:name w:val="Hyperlink"/>
    <w:basedOn w:val="Fontepargpadro"/>
    <w:semiHidden/>
    <w:rsid w:val="00D30E3F"/>
    <w:rPr>
      <w:i/>
      <w:iCs/>
      <w:color w:val="0000FF"/>
      <w:u w:val="single"/>
    </w:rPr>
  </w:style>
  <w:style w:type="paragraph" w:styleId="Assinatura">
    <w:name w:val="Signature"/>
    <w:basedOn w:val="Normal"/>
    <w:semiHidden/>
    <w:rsid w:val="00D30E3F"/>
    <w:pPr>
      <w:snapToGrid w:val="0"/>
      <w:spacing w:before="261" w:beforeAutospacing="1" w:after="40" w:afterAutospacing="1"/>
      <w:ind w:firstLine="357"/>
      <w:jc w:val="center"/>
    </w:pPr>
    <w:rPr>
      <w:rFonts w:ascii="Arial" w:eastAsia="Arial Unicode MS" w:hAnsi="Arial" w:cs="Arial Unicode MS" w:hint="eastAsia"/>
      <w:i/>
      <w:color w:val="000080"/>
      <w:szCs w:val="24"/>
    </w:rPr>
  </w:style>
  <w:style w:type="paragraph" w:customStyle="1" w:styleId="anexo">
    <w:name w:val="anexo"/>
    <w:basedOn w:val="Normal"/>
    <w:rsid w:val="00D30E3F"/>
    <w:pPr>
      <w:keepNext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240" w:beforeAutospacing="1" w:after="120" w:afterAutospacing="1"/>
      <w:jc w:val="center"/>
    </w:pPr>
    <w:rPr>
      <w:rFonts w:ascii="Arial" w:eastAsia="Arial Unicode MS" w:hAnsi="Arial" w:cs="Arial Unicode MS" w:hint="eastAsia"/>
      <w:b/>
      <w:color w:val="000080"/>
      <w:sz w:val="24"/>
      <w:szCs w:val="24"/>
    </w:rPr>
  </w:style>
  <w:style w:type="paragraph" w:customStyle="1" w:styleId="titulo">
    <w:name w:val="titulo"/>
    <w:rsid w:val="00D30E3F"/>
    <w:pPr>
      <w:widowControl w:val="0"/>
      <w:spacing w:before="360"/>
      <w:jc w:val="center"/>
    </w:pPr>
    <w:rPr>
      <w:rFonts w:ascii="Arial" w:hAnsi="Arial"/>
      <w:b/>
      <w:color w:val="000080"/>
      <w:sz w:val="24"/>
    </w:rPr>
  </w:style>
  <w:style w:type="character" w:styleId="HiperlinkVisitado">
    <w:name w:val="FollowedHyperlink"/>
    <w:basedOn w:val="Fontepargpadro"/>
    <w:semiHidden/>
    <w:rsid w:val="00D30E3F"/>
    <w:rPr>
      <w:color w:val="800080"/>
      <w:u w:val="single"/>
    </w:rPr>
  </w:style>
  <w:style w:type="character" w:styleId="Forte">
    <w:name w:val="Strong"/>
    <w:basedOn w:val="Fontepargpadro"/>
    <w:qFormat/>
    <w:rsid w:val="00D30E3F"/>
    <w:rPr>
      <w:b/>
      <w:bCs/>
    </w:rPr>
  </w:style>
  <w:style w:type="paragraph" w:styleId="Recuodecorpodetexto2">
    <w:name w:val="Body Text Indent 2"/>
    <w:basedOn w:val="Normal"/>
    <w:semiHidden/>
    <w:rsid w:val="00D30E3F"/>
    <w:pPr>
      <w:ind w:firstLine="708"/>
      <w:jc w:val="both"/>
    </w:pPr>
    <w:rPr>
      <w:snapToGrid w:val="0"/>
      <w:sz w:val="24"/>
    </w:rPr>
  </w:style>
  <w:style w:type="paragraph" w:styleId="Recuodecorpodetexto3">
    <w:name w:val="Body Text Indent 3"/>
    <w:basedOn w:val="Normal"/>
    <w:semiHidden/>
    <w:rsid w:val="00D30E3F"/>
    <w:pPr>
      <w:ind w:firstLine="708"/>
    </w:pPr>
    <w:rPr>
      <w:snapToGrid w:val="0"/>
      <w:sz w:val="24"/>
    </w:rPr>
  </w:style>
  <w:style w:type="paragraph" w:styleId="Recuodecorpodetexto">
    <w:name w:val="Body Text Indent"/>
    <w:basedOn w:val="Normal"/>
    <w:semiHidden/>
    <w:rsid w:val="00D30E3F"/>
    <w:pPr>
      <w:jc w:val="both"/>
    </w:pPr>
    <w:rPr>
      <w:rFonts w:ascii="Arial" w:hAnsi="Arial"/>
      <w:color w:val="000000"/>
    </w:rPr>
  </w:style>
  <w:style w:type="paragraph" w:styleId="Corpodetexto">
    <w:name w:val="Body Text"/>
    <w:basedOn w:val="Normal"/>
    <w:semiHidden/>
    <w:rsid w:val="00D30E3F"/>
    <w:pPr>
      <w:spacing w:before="120"/>
      <w:jc w:val="center"/>
    </w:pPr>
    <w:rPr>
      <w:sz w:val="24"/>
    </w:rPr>
  </w:style>
  <w:style w:type="paragraph" w:styleId="Corpodetexto2">
    <w:name w:val="Body Text 2"/>
    <w:basedOn w:val="Normal"/>
    <w:semiHidden/>
    <w:rsid w:val="00D30E3F"/>
    <w:pPr>
      <w:spacing w:before="120"/>
      <w:jc w:val="both"/>
    </w:pPr>
    <w:rPr>
      <w:sz w:val="24"/>
    </w:rPr>
  </w:style>
  <w:style w:type="paragraph" w:styleId="Textoembloco">
    <w:name w:val="Block Text"/>
    <w:basedOn w:val="Normal"/>
    <w:semiHidden/>
    <w:rsid w:val="00D30E3F"/>
    <w:pPr>
      <w:spacing w:before="120"/>
      <w:ind w:left="57" w:right="57"/>
      <w:jc w:val="center"/>
    </w:pPr>
    <w:rPr>
      <w:sz w:val="24"/>
    </w:rPr>
  </w:style>
  <w:style w:type="paragraph" w:styleId="Cabealho">
    <w:name w:val="header"/>
    <w:basedOn w:val="Normal"/>
    <w:semiHidden/>
    <w:rsid w:val="00D30E3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30E3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D30E3F"/>
  </w:style>
  <w:style w:type="paragraph" w:styleId="Textodebalo">
    <w:name w:val="Balloon Text"/>
    <w:basedOn w:val="Normal"/>
    <w:semiHidden/>
    <w:rsid w:val="00D30E3F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rsid w:val="00D30E3F"/>
    <w:rPr>
      <w:b/>
      <w:bCs/>
      <w:strike w:val="0"/>
      <w:dstrike w:val="0"/>
      <w:color w:val="237BA8"/>
      <w:u w:val="none"/>
      <w:effect w:val="none"/>
    </w:rPr>
  </w:style>
  <w:style w:type="paragraph" w:styleId="Corpodetexto3">
    <w:name w:val="Body Text 3"/>
    <w:basedOn w:val="Normal"/>
    <w:semiHidden/>
    <w:rsid w:val="00D30E3F"/>
    <w:pPr>
      <w:spacing w:before="60" w:after="60"/>
      <w:jc w:val="center"/>
    </w:pPr>
    <w:rPr>
      <w:sz w:val="22"/>
      <w:szCs w:val="22"/>
    </w:rPr>
  </w:style>
  <w:style w:type="character" w:customStyle="1" w:styleId="RodapChar">
    <w:name w:val="Rodapé Char"/>
    <w:basedOn w:val="Fontepargpadro"/>
    <w:rsid w:val="00D30E3F"/>
  </w:style>
  <w:style w:type="character" w:styleId="Refdecomentrio">
    <w:name w:val="annotation reference"/>
    <w:basedOn w:val="Fontepargpadro"/>
    <w:uiPriority w:val="99"/>
    <w:semiHidden/>
    <w:unhideWhenUsed/>
    <w:rsid w:val="004466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661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661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66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6617"/>
    <w:rPr>
      <w:b/>
      <w:bCs/>
    </w:rPr>
  </w:style>
  <w:style w:type="paragraph" w:styleId="Reviso">
    <w:name w:val="Revision"/>
    <w:hidden/>
    <w:uiPriority w:val="99"/>
    <w:semiHidden/>
    <w:rsid w:val="0099052C"/>
  </w:style>
  <w:style w:type="paragraph" w:styleId="PargrafodaLista">
    <w:name w:val="List Paragraph"/>
    <w:basedOn w:val="Normal"/>
    <w:uiPriority w:val="34"/>
    <w:qFormat/>
    <w:rsid w:val="004A5EFE"/>
    <w:pPr>
      <w:ind w:left="720"/>
      <w:contextualSpacing/>
    </w:pPr>
  </w:style>
  <w:style w:type="table" w:styleId="Tabelacomgrade">
    <w:name w:val="Table Grid"/>
    <w:basedOn w:val="Tabelanormal"/>
    <w:uiPriority w:val="59"/>
    <w:rsid w:val="006D50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200.179.25.133/NXT/gateway.dll?f=id$id=Lei%209.847%20-%201999" TargetMode="External"/><Relationship Id="rId4" Type="http://schemas.openxmlformats.org/officeDocument/2006/relationships/styles" Target="styles.xml"/><Relationship Id="rId9" Type="http://schemas.openxmlformats.org/officeDocument/2006/relationships/hyperlink" Target="http://nxt.anp.gov.br/NXT/gateway.dll?f=id$id=Lei%2011.097%20-%202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097A9-D61D-4D97-B75E-5C531ABB6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5CC0E2-E152-4A5E-AAD7-E0A993E1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3009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AGÊNCIA NACIONAL DO PETRÓLEO</vt:lpstr>
    </vt:vector>
  </TitlesOfParts>
  <Company>ANP</Company>
  <LinksUpToDate>false</LinksUpToDate>
  <CharactersWithSpaces>19749</CharactersWithSpaces>
  <SharedDoc>false</SharedDoc>
  <HLinks>
    <vt:vector size="12" baseType="variant">
      <vt:variant>
        <vt:i4>589917</vt:i4>
      </vt:variant>
      <vt:variant>
        <vt:i4>3</vt:i4>
      </vt:variant>
      <vt:variant>
        <vt:i4>0</vt:i4>
      </vt:variant>
      <vt:variant>
        <vt:i4>5</vt:i4>
      </vt:variant>
      <vt:variant>
        <vt:lpwstr>http://200.179.25.133/NXT/gateway.dll?f=id$id=Lei%209.847%20-%201999</vt:lpwstr>
      </vt:variant>
      <vt:variant>
        <vt:lpwstr/>
      </vt:variant>
      <vt:variant>
        <vt:i4>5701709</vt:i4>
      </vt:variant>
      <vt:variant>
        <vt:i4>0</vt:i4>
      </vt:variant>
      <vt:variant>
        <vt:i4>0</vt:i4>
      </vt:variant>
      <vt:variant>
        <vt:i4>5</vt:i4>
      </vt:variant>
      <vt:variant>
        <vt:lpwstr>http://nxt.anp.gov.br/NXT/gateway.dll?f=id$id=Lei%2011.097%20-%202005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AGÊNCIA NACIONAL DO PETRÓLEO</dc:title>
  <dc:creator>eneves</dc:creator>
  <cp:lastModifiedBy>pmendes</cp:lastModifiedBy>
  <cp:revision>8</cp:revision>
  <cp:lastPrinted>2017-03-21T21:06:00Z</cp:lastPrinted>
  <dcterms:created xsi:type="dcterms:W3CDTF">2017-03-28T15:35:00Z</dcterms:created>
  <dcterms:modified xsi:type="dcterms:W3CDTF">2017-04-05T19:27:00Z</dcterms:modified>
</cp:coreProperties>
</file>