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A89" w:rsidRDefault="00C13A89" w:rsidP="00482F43">
      <w:pPr>
        <w:jc w:val="center"/>
        <w:rPr>
          <w:b/>
          <w:sz w:val="32"/>
          <w:szCs w:val="32"/>
        </w:rPr>
      </w:pPr>
    </w:p>
    <w:p w:rsidR="001F74A0" w:rsidRPr="00FD2C11" w:rsidRDefault="00783365" w:rsidP="00482F43">
      <w:pPr>
        <w:jc w:val="center"/>
        <w:rPr>
          <w:sz w:val="32"/>
          <w:szCs w:val="32"/>
        </w:rPr>
      </w:pPr>
      <w:r w:rsidRPr="00783365">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49.7pt;width:77.3pt;height:107.6pt;z-index:251657728;mso-position-vertical-relative:page" o:allowincell="f">
            <v:imagedata r:id="rId7" o:title=""/>
            <w10:wrap type="square" anchory="page"/>
          </v:shape>
          <o:OLEObject Type="Embed" ProgID="MSPhotoEd.3" ShapeID="_x0000_s1026" DrawAspect="Content" ObjectID="_1556362498" r:id="rId8"/>
        </w:pict>
      </w:r>
      <w:r w:rsidR="00482F43" w:rsidRPr="00FD2C11">
        <w:rPr>
          <w:sz w:val="32"/>
          <w:szCs w:val="32"/>
        </w:rPr>
        <w:t>FORMULÁRIO DE COMENTÁRIOS E SUGESTÕES</w:t>
      </w:r>
    </w:p>
    <w:p w:rsidR="00C13A89" w:rsidRPr="00B30CD5" w:rsidRDefault="002808DC" w:rsidP="00BB004F">
      <w:pPr>
        <w:jc w:val="center"/>
        <w:rPr>
          <w:sz w:val="26"/>
          <w:szCs w:val="26"/>
        </w:rPr>
      </w:pPr>
      <w:r>
        <w:rPr>
          <w:sz w:val="26"/>
          <w:szCs w:val="26"/>
        </w:rPr>
        <w:t>CONSULTA PÚ</w:t>
      </w:r>
      <w:r w:rsidR="00482F43" w:rsidRPr="00BB004F">
        <w:rPr>
          <w:sz w:val="26"/>
          <w:szCs w:val="26"/>
        </w:rPr>
        <w:t>BLICA N°</w:t>
      </w:r>
      <w:r w:rsidR="00C13A89">
        <w:rPr>
          <w:sz w:val="26"/>
          <w:szCs w:val="26"/>
        </w:rPr>
        <w:t xml:space="preserve"> </w:t>
      </w:r>
      <w:r w:rsidR="00282118">
        <w:rPr>
          <w:sz w:val="26"/>
          <w:szCs w:val="26"/>
        </w:rPr>
        <w:t>7</w:t>
      </w:r>
      <w:r w:rsidR="00482F43" w:rsidRPr="00050F3F">
        <w:rPr>
          <w:sz w:val="26"/>
          <w:szCs w:val="26"/>
        </w:rPr>
        <w:t>/</w:t>
      </w:r>
      <w:r w:rsidR="00F229D8" w:rsidRPr="00B30CD5">
        <w:rPr>
          <w:sz w:val="26"/>
          <w:szCs w:val="26"/>
        </w:rPr>
        <w:t>201</w:t>
      </w:r>
      <w:r w:rsidR="0083291E">
        <w:rPr>
          <w:sz w:val="26"/>
          <w:szCs w:val="26"/>
        </w:rPr>
        <w:t>7</w:t>
      </w:r>
      <w:r w:rsidR="00482F43" w:rsidRPr="00B30CD5">
        <w:rPr>
          <w:sz w:val="26"/>
          <w:szCs w:val="26"/>
        </w:rPr>
        <w:t xml:space="preserve"> - </w:t>
      </w:r>
      <w:r w:rsidR="00BB004F" w:rsidRPr="00B30CD5">
        <w:rPr>
          <w:sz w:val="26"/>
          <w:szCs w:val="26"/>
        </w:rPr>
        <w:t xml:space="preserve">DE </w:t>
      </w:r>
      <w:r w:rsidR="0083291E">
        <w:rPr>
          <w:sz w:val="26"/>
          <w:szCs w:val="26"/>
        </w:rPr>
        <w:t>4</w:t>
      </w:r>
      <w:r w:rsidR="00282118">
        <w:rPr>
          <w:sz w:val="26"/>
          <w:szCs w:val="26"/>
        </w:rPr>
        <w:t>/</w:t>
      </w:r>
      <w:r w:rsidR="0083291E">
        <w:rPr>
          <w:sz w:val="26"/>
          <w:szCs w:val="26"/>
        </w:rPr>
        <w:t>4</w:t>
      </w:r>
      <w:r w:rsidR="00BB004F" w:rsidRPr="00B30CD5">
        <w:rPr>
          <w:sz w:val="26"/>
          <w:szCs w:val="26"/>
        </w:rPr>
        <w:t>/</w:t>
      </w:r>
      <w:r w:rsidR="00F229D8" w:rsidRPr="00B30CD5">
        <w:rPr>
          <w:sz w:val="26"/>
          <w:szCs w:val="26"/>
        </w:rPr>
        <w:t>201</w:t>
      </w:r>
      <w:r w:rsidR="0083291E">
        <w:rPr>
          <w:sz w:val="26"/>
          <w:szCs w:val="26"/>
        </w:rPr>
        <w:t>7</w:t>
      </w:r>
      <w:r w:rsidR="00BB004F" w:rsidRPr="00B30CD5">
        <w:rPr>
          <w:sz w:val="26"/>
          <w:szCs w:val="26"/>
        </w:rPr>
        <w:t xml:space="preserve"> </w:t>
      </w:r>
      <w:r w:rsidR="00C13A89" w:rsidRPr="00B30CD5">
        <w:rPr>
          <w:sz w:val="26"/>
          <w:szCs w:val="26"/>
        </w:rPr>
        <w:t>a</w:t>
      </w:r>
      <w:r w:rsidR="00BB004F" w:rsidRPr="00B30CD5">
        <w:rPr>
          <w:sz w:val="26"/>
          <w:szCs w:val="26"/>
        </w:rPr>
        <w:t xml:space="preserve"> </w:t>
      </w:r>
      <w:r w:rsidR="0083291E">
        <w:rPr>
          <w:sz w:val="26"/>
          <w:szCs w:val="26"/>
        </w:rPr>
        <w:t>3</w:t>
      </w:r>
      <w:r w:rsidR="00282118">
        <w:rPr>
          <w:sz w:val="26"/>
          <w:szCs w:val="26"/>
        </w:rPr>
        <w:t>/</w:t>
      </w:r>
      <w:r w:rsidR="0083291E">
        <w:rPr>
          <w:sz w:val="26"/>
          <w:szCs w:val="26"/>
        </w:rPr>
        <w:t>5</w:t>
      </w:r>
      <w:r w:rsidR="00BB004F" w:rsidRPr="00B30CD5">
        <w:rPr>
          <w:sz w:val="26"/>
          <w:szCs w:val="26"/>
        </w:rPr>
        <w:t>/</w:t>
      </w:r>
      <w:r w:rsidR="00F229D8" w:rsidRPr="00B30CD5">
        <w:rPr>
          <w:sz w:val="26"/>
          <w:szCs w:val="26"/>
        </w:rPr>
        <w:t>201</w:t>
      </w:r>
      <w:r w:rsidR="0083291E">
        <w:rPr>
          <w:sz w:val="26"/>
          <w:szCs w:val="26"/>
        </w:rPr>
        <w:t>7</w:t>
      </w:r>
    </w:p>
    <w:p w:rsidR="00E06319" w:rsidRPr="00BB004F" w:rsidRDefault="00E06319" w:rsidP="00BB004F">
      <w:pPr>
        <w:jc w:val="center"/>
        <w:rPr>
          <w:sz w:val="26"/>
          <w:szCs w:val="26"/>
        </w:rPr>
      </w:pPr>
    </w:p>
    <w:tbl>
      <w:tblPr>
        <w:tblW w:w="5000" w:type="pct"/>
        <w:tblCellMar>
          <w:left w:w="0" w:type="dxa"/>
          <w:right w:w="0" w:type="dxa"/>
        </w:tblCellMar>
        <w:tblLook w:val="0000"/>
      </w:tblPr>
      <w:tblGrid>
        <w:gridCol w:w="1822"/>
        <w:gridCol w:w="1656"/>
        <w:gridCol w:w="5065"/>
        <w:gridCol w:w="5471"/>
      </w:tblGrid>
      <w:tr w:rsidR="00574167" w:rsidRPr="00BE5899" w:rsidTr="005F1556">
        <w:trPr>
          <w:trHeight w:val="716"/>
        </w:trPr>
        <w:tc>
          <w:tcPr>
            <w:tcW w:w="5000" w:type="pct"/>
            <w:gridSpan w:val="4"/>
            <w:tcBorders>
              <w:top w:val="single" w:sz="4" w:space="0" w:color="auto"/>
              <w:left w:val="single" w:sz="4" w:space="0" w:color="auto"/>
              <w:bottom w:val="single" w:sz="4" w:space="0" w:color="auto"/>
              <w:right w:val="single" w:sz="4" w:space="0" w:color="auto"/>
            </w:tcBorders>
            <w:shd w:val="clear" w:color="auto" w:fill="70B56B"/>
          </w:tcPr>
          <w:p w:rsidR="00574167" w:rsidRPr="00BE5899" w:rsidRDefault="00574167" w:rsidP="0083291E">
            <w:pPr>
              <w:autoSpaceDE w:val="0"/>
              <w:autoSpaceDN w:val="0"/>
              <w:adjustRightInd w:val="0"/>
              <w:spacing w:line="300" w:lineRule="exact"/>
              <w:jc w:val="both"/>
              <w:rPr>
                <w:b/>
                <w:bCs/>
                <w:sz w:val="24"/>
                <w:szCs w:val="24"/>
              </w:rPr>
            </w:pPr>
            <w:r w:rsidRPr="00BE5899">
              <w:rPr>
                <w:b/>
                <w:bCs/>
                <w:sz w:val="24"/>
                <w:szCs w:val="24"/>
              </w:rPr>
              <w:t xml:space="preserve">Consulta </w:t>
            </w:r>
            <w:proofErr w:type="gramStart"/>
            <w:r w:rsidRPr="00BE5899">
              <w:rPr>
                <w:b/>
                <w:bCs/>
                <w:sz w:val="24"/>
                <w:szCs w:val="24"/>
              </w:rPr>
              <w:t xml:space="preserve">Pública sobre a proposta de </w:t>
            </w:r>
            <w:r w:rsidR="0083291E" w:rsidRPr="00D01A9F">
              <w:rPr>
                <w:sz w:val="24"/>
                <w:szCs w:val="24"/>
              </w:rPr>
              <w:t>revisão da Resolução ANP nº</w:t>
            </w:r>
            <w:proofErr w:type="gramEnd"/>
            <w:r w:rsidR="0083291E" w:rsidRPr="00D01A9F">
              <w:rPr>
                <w:sz w:val="24"/>
                <w:szCs w:val="24"/>
              </w:rPr>
              <w:t xml:space="preserve"> 32, de 15 de outubro de 2012, </w:t>
            </w:r>
            <w:r w:rsidR="0083291E">
              <w:rPr>
                <w:sz w:val="24"/>
                <w:szCs w:val="24"/>
              </w:rPr>
              <w:t xml:space="preserve">que estabelece </w:t>
            </w:r>
            <w:r w:rsidR="0083291E" w:rsidRPr="00D01A9F">
              <w:rPr>
                <w:sz w:val="24"/>
                <w:szCs w:val="24"/>
              </w:rPr>
              <w:t>os casos em que os agentes econômicos poderão adotar medidas reparadoras de forma a ajustar sua conduta ao disposto na legislação aplicável e evitar a aplicação das penalidades previstas na Lei nº 9.847, de 26 de outubro de 1999, e no Decreto nº 2</w:t>
            </w:r>
            <w:r w:rsidR="0083291E">
              <w:rPr>
                <w:sz w:val="24"/>
                <w:szCs w:val="24"/>
              </w:rPr>
              <w:t>.953, de 28 de janeiro de 1999</w:t>
            </w:r>
            <w:r w:rsidR="0083291E" w:rsidRPr="00614C2B">
              <w:rPr>
                <w:sz w:val="24"/>
                <w:szCs w:val="24"/>
              </w:rPr>
              <w:t xml:space="preserve"> e obter subsídios para a redação final da nova Resolução</w:t>
            </w:r>
            <w:r w:rsidRPr="00BE5899">
              <w:rPr>
                <w:b/>
                <w:bCs/>
                <w:sz w:val="24"/>
                <w:szCs w:val="24"/>
              </w:rPr>
              <w:t>.</w:t>
            </w:r>
            <w:r w:rsidRPr="00BE5899">
              <w:rPr>
                <w:b/>
                <w:sz w:val="24"/>
                <w:szCs w:val="24"/>
              </w:rPr>
              <w:t xml:space="preserve"> </w:t>
            </w:r>
          </w:p>
        </w:tc>
      </w:tr>
      <w:tr w:rsidR="002E3B18" w:rsidRPr="00BE5899" w:rsidTr="005E7D2F">
        <w:trPr>
          <w:trHeight w:val="330"/>
        </w:trPr>
        <w:tc>
          <w:tcPr>
            <w:tcW w:w="650" w:type="pct"/>
            <w:tcBorders>
              <w:top w:val="single" w:sz="4" w:space="0" w:color="auto"/>
              <w:left w:val="single" w:sz="4" w:space="0" w:color="auto"/>
              <w:bottom w:val="single" w:sz="4" w:space="0" w:color="auto"/>
              <w:right w:val="single" w:sz="4" w:space="0" w:color="auto"/>
            </w:tcBorders>
            <w:shd w:val="clear" w:color="auto" w:fill="C2D69B"/>
            <w:vAlign w:val="center"/>
          </w:tcPr>
          <w:p w:rsidR="002E3B18" w:rsidRPr="00BE5899" w:rsidRDefault="002E3B18" w:rsidP="00440A61">
            <w:pPr>
              <w:jc w:val="center"/>
              <w:rPr>
                <w:bCs/>
              </w:rPr>
            </w:pPr>
            <w:r w:rsidRPr="00BE5899">
              <w:rPr>
                <w:bCs/>
              </w:rPr>
              <w:t>AGENTE</w:t>
            </w:r>
          </w:p>
        </w:tc>
        <w:tc>
          <w:tcPr>
            <w:tcW w:w="591" w:type="pct"/>
            <w:tcBorders>
              <w:top w:val="single" w:sz="4" w:space="0" w:color="auto"/>
              <w:left w:val="single" w:sz="4" w:space="0" w:color="auto"/>
              <w:bottom w:val="single" w:sz="4" w:space="0" w:color="auto"/>
              <w:right w:val="single" w:sz="4" w:space="0" w:color="auto"/>
            </w:tcBorders>
            <w:shd w:val="clear" w:color="auto" w:fill="C2D69B"/>
            <w:tcMar>
              <w:top w:w="20" w:type="dxa"/>
              <w:left w:w="20" w:type="dxa"/>
              <w:bottom w:w="0" w:type="dxa"/>
              <w:right w:w="20" w:type="dxa"/>
            </w:tcMar>
            <w:vAlign w:val="center"/>
          </w:tcPr>
          <w:p w:rsidR="002E3B18" w:rsidRPr="00BE5899" w:rsidRDefault="002E3B18" w:rsidP="00ED7714">
            <w:pPr>
              <w:jc w:val="center"/>
              <w:rPr>
                <w:rFonts w:eastAsia="Arial Unicode MS"/>
                <w:bCs/>
              </w:rPr>
            </w:pPr>
            <w:r w:rsidRPr="00BE5899">
              <w:rPr>
                <w:bCs/>
              </w:rPr>
              <w:t>ARTIGO DA MINUTA</w:t>
            </w:r>
          </w:p>
        </w:tc>
        <w:tc>
          <w:tcPr>
            <w:tcW w:w="1807" w:type="pct"/>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rsidR="002E3B18" w:rsidRPr="00BE5899" w:rsidRDefault="002E3B18" w:rsidP="00ED7714">
            <w:pPr>
              <w:jc w:val="center"/>
              <w:rPr>
                <w:rFonts w:eastAsia="Arial Unicode MS"/>
                <w:bCs/>
              </w:rPr>
            </w:pPr>
            <w:r w:rsidRPr="00BE5899">
              <w:rPr>
                <w:bCs/>
              </w:rPr>
              <w:t>PROPOSTA DE ALTERAÇÃO</w:t>
            </w:r>
          </w:p>
        </w:tc>
        <w:tc>
          <w:tcPr>
            <w:tcW w:w="1952" w:type="pct"/>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rsidR="002E3B18" w:rsidRPr="00BE5899" w:rsidRDefault="002E3B18" w:rsidP="00574167">
            <w:pPr>
              <w:jc w:val="center"/>
              <w:rPr>
                <w:bCs/>
              </w:rPr>
            </w:pPr>
            <w:r w:rsidRPr="00BE5899">
              <w:rPr>
                <w:bCs/>
              </w:rPr>
              <w:t>JUSTIFICATIVA</w:t>
            </w:r>
          </w:p>
        </w:tc>
      </w:tr>
      <w:tr w:rsidR="002E3B18" w:rsidRPr="00BE5899" w:rsidTr="005E7D2F">
        <w:trPr>
          <w:trHeight w:val="568"/>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2E3B18" w:rsidRPr="00BE5899" w:rsidRDefault="002E3B18" w:rsidP="00440A61">
            <w:pPr>
              <w:jc w:val="center"/>
              <w:rPr>
                <w:b/>
                <w:bCs/>
                <w:color w:val="000000"/>
              </w:rPr>
            </w:pPr>
            <w:r w:rsidRPr="009F3C5E">
              <w:rPr>
                <w:b/>
              </w:rPr>
              <w:t>ABIQUIM</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E3B18" w:rsidRPr="00727261" w:rsidRDefault="002E3B18" w:rsidP="00727261">
            <w:pPr>
              <w:rPr>
                <w:b/>
              </w:rPr>
            </w:pPr>
            <w:r w:rsidRPr="00727261">
              <w:rPr>
                <w:b/>
              </w:rPr>
              <w:t> </w:t>
            </w:r>
          </w:p>
          <w:p w:rsidR="002E3B18" w:rsidRPr="00727261" w:rsidRDefault="002E3B18" w:rsidP="00727261">
            <w:pPr>
              <w:rPr>
                <w:b/>
              </w:rPr>
            </w:pPr>
            <w:r w:rsidRPr="00727261">
              <w:rPr>
                <w:b/>
              </w:rPr>
              <w:t>3º (sugestão de alteração de texto)</w:t>
            </w:r>
          </w:p>
        </w:tc>
        <w:tc>
          <w:tcPr>
            <w:tcW w:w="1807" w:type="pct"/>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E3B18" w:rsidRPr="00727261" w:rsidRDefault="002E3B18" w:rsidP="00727261">
            <w:pPr>
              <w:spacing w:before="120"/>
              <w:ind w:left="130" w:right="125"/>
              <w:jc w:val="both"/>
            </w:pPr>
            <w:r w:rsidRPr="00727261">
              <w:t xml:space="preserve">De: O prazo para adoção de MRC é de </w:t>
            </w:r>
            <w:proofErr w:type="gramStart"/>
            <w:r w:rsidRPr="00727261">
              <w:t>5</w:t>
            </w:r>
            <w:proofErr w:type="gramEnd"/>
            <w:r w:rsidRPr="00727261">
              <w:t xml:space="preserve"> (cinco) dias úteis, contados a partir da data da ação de fiscalização.</w:t>
            </w:r>
          </w:p>
          <w:p w:rsidR="002E3B18" w:rsidRPr="00727261" w:rsidRDefault="002E3B18" w:rsidP="00727261">
            <w:pPr>
              <w:spacing w:before="120"/>
              <w:ind w:left="130" w:right="125"/>
              <w:jc w:val="both"/>
            </w:pPr>
          </w:p>
          <w:p w:rsidR="002E3B18" w:rsidRPr="00727261" w:rsidRDefault="002E3B18" w:rsidP="00727261">
            <w:pPr>
              <w:spacing w:before="120"/>
              <w:ind w:left="130" w:right="125"/>
              <w:jc w:val="both"/>
            </w:pPr>
            <w:r w:rsidRPr="00727261">
              <w:t xml:space="preserve">Para: O prazo para adoção de MRC é de </w:t>
            </w:r>
            <w:proofErr w:type="gramStart"/>
            <w:r w:rsidRPr="00727261">
              <w:t>5</w:t>
            </w:r>
            <w:proofErr w:type="gramEnd"/>
            <w:r w:rsidRPr="00727261">
              <w:t xml:space="preserve"> (cinco) dias úteis, contados a partir da data da ação de recebimento do auto de notificação de fiscalização.</w:t>
            </w:r>
          </w:p>
        </w:tc>
        <w:tc>
          <w:tcPr>
            <w:tcW w:w="1952" w:type="pct"/>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E3B18" w:rsidRPr="00BE5899" w:rsidRDefault="002E3B18" w:rsidP="00D76B97">
            <w:pPr>
              <w:spacing w:before="120"/>
              <w:ind w:left="130" w:right="125"/>
              <w:jc w:val="both"/>
            </w:pPr>
            <w:r w:rsidRPr="00727261">
              <w:t>Tal alteração permitirá que a empresa tome conhecimento das condutas irregulares identificadas e possa atuar na sua correção, dentro do prazo estabelecido, contado a partir da ciência.</w:t>
            </w: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BE5899" w:rsidRDefault="00737691" w:rsidP="00440A61">
            <w:pPr>
              <w:jc w:val="center"/>
              <w:rPr>
                <w:b/>
              </w:rPr>
            </w:pPr>
            <w:r w:rsidRPr="009F3C5E">
              <w:rPr>
                <w:b/>
              </w:rPr>
              <w:t>ABIQUIM</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727261" w:rsidRDefault="00737691" w:rsidP="00727261">
            <w:pPr>
              <w:rPr>
                <w:b/>
              </w:rPr>
            </w:pPr>
            <w:r w:rsidRPr="00727261">
              <w:rPr>
                <w:b/>
              </w:rPr>
              <w:t>Inserção de artigo nas disposições finais</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727261" w:rsidRDefault="00737691" w:rsidP="00727261">
            <w:pPr>
              <w:spacing w:before="120"/>
              <w:ind w:left="130" w:right="125"/>
              <w:jc w:val="both"/>
            </w:pPr>
            <w:r w:rsidRPr="00727261">
              <w:t>Inclusão de artigo:</w:t>
            </w:r>
          </w:p>
          <w:p w:rsidR="00737691" w:rsidRPr="00727261" w:rsidRDefault="00737691" w:rsidP="00727261">
            <w:pPr>
              <w:spacing w:before="120"/>
              <w:ind w:left="130" w:right="125"/>
              <w:jc w:val="both"/>
            </w:pPr>
          </w:p>
          <w:p w:rsidR="00737691" w:rsidRPr="00727261" w:rsidRDefault="00737691" w:rsidP="00727261">
            <w:pPr>
              <w:spacing w:before="120"/>
              <w:ind w:left="130" w:right="125"/>
              <w:jc w:val="both"/>
            </w:pPr>
            <w:r w:rsidRPr="00727261">
              <w:t>Art. Xx. Nos casos não especificados anteriormente, os agentes econômicos, mediante requerimento do interessado e análise pela ANP, poderão adotar medidas reparadoras de forma a ajustar sua conduta ao disposto na legislação vigente, evitando a aplicação de penalidades.</w:t>
            </w:r>
          </w:p>
          <w:p w:rsidR="00737691" w:rsidRPr="00727261" w:rsidRDefault="00737691" w:rsidP="00727261">
            <w:pPr>
              <w:spacing w:before="120"/>
              <w:ind w:left="130" w:right="125"/>
              <w:jc w:val="both"/>
            </w:pP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E5899" w:rsidRDefault="00737691" w:rsidP="00B62E3A">
            <w:pPr>
              <w:spacing w:before="120"/>
              <w:ind w:left="130" w:right="125"/>
              <w:jc w:val="both"/>
            </w:pPr>
            <w:r w:rsidRPr="00727261">
              <w:t>A inserção desse artigo visa permitir que outros casos não especificados na resolução também possam ser objeto de MRC. De forma a permitir uma restrição do cabimento do requerimento e uma análise mais imparcial. A sugestão é de que a Agência inclua alguns requisitos adicionais (exemplos: desde que não seja reincidente, desde que a empresa não tenha propositadamente auferido lucro com a conduta, etc.).</w:t>
            </w: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B71C34" w:rsidRDefault="00737691" w:rsidP="00440A61">
            <w:pPr>
              <w:jc w:val="center"/>
              <w:rPr>
                <w:b/>
              </w:rPr>
            </w:pPr>
            <w:r w:rsidRPr="00B71C34">
              <w:rPr>
                <w:b/>
              </w:rPr>
              <w:t>ABRAGAS</w:t>
            </w:r>
          </w:p>
          <w:p w:rsidR="00737691" w:rsidRPr="00BE5899" w:rsidRDefault="00737691" w:rsidP="00440A61">
            <w:pPr>
              <w:jc w:val="center"/>
              <w:rPr>
                <w:b/>
              </w:rPr>
            </w:pP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71C34" w:rsidRDefault="00737691" w:rsidP="00737691">
            <w:pPr>
              <w:rPr>
                <w:b/>
              </w:rPr>
            </w:pPr>
            <w:r>
              <w:rPr>
                <w:rFonts w:ascii="Arial" w:hAnsi="Arial" w:cs="Arial"/>
                <w:b/>
                <w:bCs/>
                <w:color w:val="000000"/>
              </w:rPr>
              <w:t> </w:t>
            </w:r>
            <w:r w:rsidRPr="00B71C34">
              <w:rPr>
                <w:b/>
              </w:rPr>
              <w:t>Art. 7º</w:t>
            </w:r>
          </w:p>
          <w:p w:rsidR="00737691" w:rsidRDefault="00737691" w:rsidP="00737691">
            <w:pPr>
              <w:rPr>
                <w:rFonts w:ascii="Arial" w:eastAsia="Arial Unicode MS" w:hAnsi="Arial" w:cs="Arial"/>
                <w:b/>
                <w:bCs/>
                <w:sz w:val="24"/>
                <w:szCs w:val="24"/>
              </w:rPr>
            </w:pPr>
            <w:r>
              <w:rPr>
                <w:rFonts w:ascii="Arial" w:hAnsi="Arial" w:cs="Arial"/>
                <w:b/>
                <w:bCs/>
              </w:rPr>
              <w:t> </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71C34" w:rsidRDefault="00737691" w:rsidP="00737691">
            <w:pPr>
              <w:ind w:firstLine="567"/>
              <w:jc w:val="both"/>
            </w:pPr>
            <w:r w:rsidRPr="00B71C34">
              <w:t> Art. 7º O revendedor de GLP poderá adotar MRC quando ficar caracterizado o não atendimento aos seguintes dispositivos:</w:t>
            </w:r>
          </w:p>
          <w:p w:rsidR="00737691" w:rsidRPr="00B71C34" w:rsidRDefault="00737691" w:rsidP="00737691">
            <w:pPr>
              <w:ind w:firstLine="567"/>
              <w:jc w:val="both"/>
            </w:pPr>
          </w:p>
          <w:p w:rsidR="00737691" w:rsidRPr="00B71C34" w:rsidRDefault="00737691" w:rsidP="00737691">
            <w:pPr>
              <w:jc w:val="both"/>
            </w:pPr>
            <w:r w:rsidRPr="00B71C34">
              <w:t xml:space="preserve">Inserir parágrafo contemplando o Art.16 – parágrafo único da Resolução ANP nº 51, de </w:t>
            </w:r>
            <w:proofErr w:type="gramStart"/>
            <w:r w:rsidRPr="00B71C34">
              <w:t>2</w:t>
            </w:r>
            <w:proofErr w:type="gramEnd"/>
            <w:r w:rsidRPr="00B71C34">
              <w:t xml:space="preserve"> de dezembro de 2016</w:t>
            </w:r>
          </w:p>
          <w:p w:rsidR="00737691" w:rsidRPr="00B71C34" w:rsidRDefault="00737691" w:rsidP="00737691">
            <w:pPr>
              <w:jc w:val="both"/>
            </w:pPr>
          </w:p>
          <w:p w:rsidR="00737691" w:rsidRPr="00B71C34" w:rsidRDefault="00737691" w:rsidP="00737691">
            <w:pPr>
              <w:spacing w:after="40"/>
              <w:ind w:firstLine="567"/>
              <w:jc w:val="both"/>
            </w:pPr>
            <w:r w:rsidRPr="00B71C34">
              <w:t xml:space="preserve">Parágrafo único. O revendedor de GLP somente poderá </w:t>
            </w:r>
            <w:r w:rsidRPr="00B71C34">
              <w:lastRenderedPageBreak/>
              <w:t>adquirir recipientes transportáveis de GLP cheios cujo rótulo do distribuidor de GLP contenha as seguintes informações:</w:t>
            </w:r>
          </w:p>
          <w:p w:rsidR="00737691" w:rsidRPr="00B71C34" w:rsidRDefault="00737691" w:rsidP="00737691">
            <w:pPr>
              <w:spacing w:after="40"/>
              <w:ind w:firstLine="567"/>
              <w:jc w:val="both"/>
            </w:pPr>
            <w:r w:rsidRPr="00B71C34">
              <w:t xml:space="preserve">a) data de </w:t>
            </w:r>
            <w:proofErr w:type="spellStart"/>
            <w:r w:rsidRPr="00B71C34">
              <w:t>envasilhamento</w:t>
            </w:r>
            <w:proofErr w:type="spellEnd"/>
            <w:r w:rsidRPr="00B71C34">
              <w:t>;</w:t>
            </w:r>
          </w:p>
          <w:p w:rsidR="00737691" w:rsidRPr="00B71C34" w:rsidRDefault="00737691" w:rsidP="00737691">
            <w:pPr>
              <w:spacing w:after="40"/>
              <w:ind w:firstLine="567"/>
              <w:jc w:val="both"/>
            </w:pPr>
            <w:r w:rsidRPr="00B71C34">
              <w:t xml:space="preserve">b) distribuidor que realizou o </w:t>
            </w:r>
            <w:proofErr w:type="spellStart"/>
            <w:r w:rsidRPr="00B71C34">
              <w:t>envasilham</w:t>
            </w:r>
            <w:bookmarkStart w:id="0" w:name="_GoBack"/>
            <w:bookmarkEnd w:id="0"/>
            <w:r w:rsidRPr="00B71C34">
              <w:t>ento</w:t>
            </w:r>
            <w:proofErr w:type="spellEnd"/>
            <w:r w:rsidRPr="00B71C34">
              <w:t>;</w:t>
            </w:r>
          </w:p>
          <w:p w:rsidR="00737691" w:rsidRPr="00B71C34" w:rsidRDefault="00737691" w:rsidP="00737691">
            <w:pPr>
              <w:spacing w:after="40"/>
              <w:ind w:firstLine="567"/>
              <w:jc w:val="both"/>
            </w:pPr>
            <w:r w:rsidRPr="00B71C34">
              <w:t>c) distribuidor que realizará a comercialização;</w:t>
            </w:r>
          </w:p>
          <w:p w:rsidR="00737691" w:rsidRPr="00B71C34" w:rsidRDefault="00737691" w:rsidP="00737691">
            <w:pPr>
              <w:spacing w:after="40"/>
              <w:ind w:firstLine="567"/>
              <w:jc w:val="both"/>
            </w:pPr>
            <w:r w:rsidRPr="00B71C34">
              <w:t>d) indicação de que o gás é inflamável;</w:t>
            </w:r>
          </w:p>
          <w:p w:rsidR="00737691" w:rsidRPr="00B71C34" w:rsidRDefault="00737691" w:rsidP="00737691">
            <w:pPr>
              <w:spacing w:after="40"/>
              <w:ind w:firstLine="567"/>
              <w:jc w:val="both"/>
            </w:pPr>
            <w:r w:rsidRPr="00B71C34">
              <w:t>e) cuidados com a instalação manuseio e procedimentos em caso de vazamento;</w:t>
            </w:r>
          </w:p>
          <w:p w:rsidR="00737691" w:rsidRPr="00B71C34" w:rsidRDefault="00737691" w:rsidP="00737691">
            <w:pPr>
              <w:spacing w:after="40"/>
              <w:ind w:firstLine="567"/>
              <w:jc w:val="both"/>
            </w:pPr>
            <w:r w:rsidRPr="00B71C34">
              <w:t xml:space="preserve">f) telefone de assistência técnica; </w:t>
            </w:r>
            <w:proofErr w:type="gramStart"/>
            <w:r w:rsidRPr="00B71C34">
              <w:t>e</w:t>
            </w:r>
            <w:proofErr w:type="gramEnd"/>
          </w:p>
          <w:p w:rsidR="00737691" w:rsidRPr="00B71C34" w:rsidRDefault="00737691" w:rsidP="00737691">
            <w:pPr>
              <w:spacing w:after="40"/>
              <w:ind w:firstLine="567"/>
              <w:jc w:val="both"/>
            </w:pPr>
            <w:r w:rsidRPr="00B71C34">
              <w:t>g) outras indicações que atendam às exigências do Código de Defesa do Consumidor.</w:t>
            </w:r>
          </w:p>
          <w:p w:rsidR="00737691" w:rsidRPr="00B71C34" w:rsidRDefault="00737691" w:rsidP="00737691">
            <w:pPr>
              <w:jc w:val="both"/>
            </w:pP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E5899" w:rsidRDefault="00737691" w:rsidP="00B124A6">
            <w:pPr>
              <w:spacing w:before="120"/>
              <w:ind w:left="130" w:right="125"/>
              <w:jc w:val="both"/>
            </w:pPr>
            <w:r w:rsidRPr="00060C65">
              <w:lastRenderedPageBreak/>
              <w:t xml:space="preserve">      </w:t>
            </w:r>
            <w:r w:rsidRPr="00B71C34">
              <w:t xml:space="preserve">É de conhecimento geral do setor que, os rótulos não tem aderência suficiente para se </w:t>
            </w:r>
            <w:proofErr w:type="gramStart"/>
            <w:r w:rsidRPr="00B71C34">
              <w:t>manter</w:t>
            </w:r>
            <w:proofErr w:type="gramEnd"/>
            <w:r w:rsidRPr="00B71C34">
              <w:t xml:space="preserve"> fixados nos recipientes transportáveis de GLP durante o transporte, fazendo com que uma grande parte dos recipientes cheguem as revendas sem o devido rótulo.</w:t>
            </w: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B71C34" w:rsidRDefault="00737691" w:rsidP="00440A61">
            <w:pPr>
              <w:jc w:val="center"/>
              <w:rPr>
                <w:b/>
              </w:rPr>
            </w:pPr>
            <w:r w:rsidRPr="00B71C34">
              <w:rPr>
                <w:b/>
              </w:rPr>
              <w:lastRenderedPageBreak/>
              <w:t>ABRAGAS</w:t>
            </w:r>
          </w:p>
          <w:p w:rsidR="00737691" w:rsidRPr="00BE5899" w:rsidRDefault="00737691" w:rsidP="00440A61">
            <w:pPr>
              <w:jc w:val="center"/>
            </w:pP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Default="00737691" w:rsidP="00737691">
            <w:pPr>
              <w:rPr>
                <w:rFonts w:ascii="Arial" w:eastAsia="Arial Unicode MS" w:hAnsi="Arial" w:cs="Arial"/>
              </w:rPr>
            </w:pPr>
            <w:r>
              <w:rPr>
                <w:rFonts w:ascii="Arial" w:hAnsi="Arial" w:cs="Arial"/>
              </w:rPr>
              <w:t> </w:t>
            </w:r>
          </w:p>
          <w:p w:rsidR="00737691" w:rsidRPr="0023718F" w:rsidRDefault="00737691" w:rsidP="00737691">
            <w:pPr>
              <w:rPr>
                <w:rFonts w:ascii="Arial" w:eastAsia="Arial Unicode MS" w:hAnsi="Arial" w:cs="Arial"/>
                <w:b/>
                <w:bCs/>
                <w:color w:val="000000"/>
                <w:sz w:val="24"/>
                <w:szCs w:val="24"/>
              </w:rPr>
            </w:pPr>
            <w:r>
              <w:rPr>
                <w:rFonts w:ascii="Arial" w:hAnsi="Arial" w:cs="Arial"/>
                <w:b/>
                <w:bCs/>
              </w:rPr>
              <w:t> </w:t>
            </w:r>
            <w:r>
              <w:rPr>
                <w:rFonts w:ascii="Arial" w:hAnsi="Arial" w:cs="Arial"/>
                <w:b/>
                <w:bCs/>
                <w:color w:val="000000"/>
              </w:rPr>
              <w:t> </w:t>
            </w:r>
            <w:r w:rsidRPr="00B71C34">
              <w:rPr>
                <w:b/>
              </w:rPr>
              <w:t>Art. 7º</w:t>
            </w:r>
          </w:p>
          <w:p w:rsidR="00737691" w:rsidRDefault="00737691" w:rsidP="00737691">
            <w:pPr>
              <w:rPr>
                <w:rFonts w:ascii="Arial" w:eastAsia="Arial Unicode MS" w:hAnsi="Arial" w:cs="Arial"/>
                <w:b/>
                <w:bCs/>
              </w:rPr>
            </w:pP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71C34" w:rsidRDefault="00737691" w:rsidP="00737691">
            <w:pPr>
              <w:jc w:val="both"/>
            </w:pPr>
            <w:r w:rsidRPr="00B71C34">
              <w:t> </w:t>
            </w:r>
          </w:p>
          <w:p w:rsidR="00737691" w:rsidRPr="00B71C34" w:rsidRDefault="00737691" w:rsidP="00737691">
            <w:pPr>
              <w:jc w:val="both"/>
            </w:pPr>
            <w:r w:rsidRPr="00B71C34">
              <w:t xml:space="preserve">Inserir parágrafo contemplando o Art. </w:t>
            </w:r>
            <w:proofErr w:type="gramStart"/>
            <w:r w:rsidRPr="00B71C34">
              <w:t>3° ,</w:t>
            </w:r>
            <w:proofErr w:type="gramEnd"/>
            <w:r w:rsidRPr="00B71C34">
              <w:t xml:space="preserve"> § 3º  – da Resolução ANP nº 40, de 31 de julho de 2014</w:t>
            </w:r>
          </w:p>
          <w:p w:rsidR="00737691" w:rsidRPr="00B71C34" w:rsidRDefault="00737691" w:rsidP="00737691">
            <w:pPr>
              <w:jc w:val="both"/>
            </w:pPr>
          </w:p>
          <w:p w:rsidR="00737691" w:rsidRPr="00B71C34" w:rsidRDefault="00737691" w:rsidP="00737691">
            <w:pPr>
              <w:jc w:val="both"/>
            </w:pPr>
            <w:r w:rsidRPr="00B71C34">
              <w:t>Art. 3º-É vedada ao revendedor de GLP a comercialização de recipientes transportáveis de GLP, cheios, que não observem o prazo de requalificação.</w:t>
            </w:r>
          </w:p>
          <w:p w:rsidR="00737691" w:rsidRPr="00B71C34" w:rsidRDefault="00737691" w:rsidP="00737691">
            <w:pPr>
              <w:pStyle w:val="NormalWeb"/>
              <w:shd w:val="clear" w:color="auto" w:fill="FFFFFF"/>
              <w:spacing w:before="0" w:beforeAutospacing="0" w:after="0" w:afterAutospacing="0"/>
              <w:jc w:val="both"/>
              <w:rPr>
                <w:sz w:val="20"/>
                <w:szCs w:val="20"/>
              </w:rPr>
            </w:pPr>
            <w:r w:rsidRPr="00B71C34">
              <w:rPr>
                <w:sz w:val="20"/>
                <w:szCs w:val="20"/>
              </w:rPr>
              <w:t>§ 3º - Caso identifique recipiente que não se encontre nos prazos descritos no parágrafo anterior, ou sem identificação legível desses prazos, o revendedor de GLP deverá:</w:t>
            </w:r>
            <w:r w:rsidRPr="00B71C34">
              <w:rPr>
                <w:sz w:val="20"/>
                <w:szCs w:val="20"/>
              </w:rPr>
              <w:br/>
              <w:t>I - segregá-lo;</w:t>
            </w:r>
          </w:p>
          <w:p w:rsidR="00737691" w:rsidRPr="00B71C34" w:rsidRDefault="00737691" w:rsidP="00737691">
            <w:pPr>
              <w:pStyle w:val="NormalWeb"/>
              <w:shd w:val="clear" w:color="auto" w:fill="FFFFFF"/>
              <w:spacing w:before="0" w:beforeAutospacing="0" w:after="0" w:afterAutospacing="0"/>
              <w:jc w:val="both"/>
              <w:rPr>
                <w:sz w:val="20"/>
                <w:szCs w:val="20"/>
              </w:rPr>
            </w:pPr>
            <w:r w:rsidRPr="00B71C34">
              <w:rPr>
                <w:sz w:val="20"/>
                <w:szCs w:val="20"/>
              </w:rPr>
              <w:t>II - marcá-lo, na lateral do corpo, de alto a baixo, com um "X" em tinta de cor vermelha, conforme ilustrações na página eletrônica da ANP (www.anp.gov.br), de forma que fique evidenciado não estar disponível para comercialização; e</w:t>
            </w:r>
            <w:r w:rsidRPr="00B71C34">
              <w:rPr>
                <w:sz w:val="20"/>
                <w:szCs w:val="20"/>
              </w:rPr>
              <w:br/>
              <w:t>III - devolvê-lo ao distribuidor de GLP.</w:t>
            </w:r>
          </w:p>
          <w:p w:rsidR="00737691" w:rsidRPr="00B71C34" w:rsidRDefault="00737691" w:rsidP="00737691">
            <w:pPr>
              <w:jc w:val="both"/>
            </w:pPr>
          </w:p>
          <w:p w:rsidR="00737691" w:rsidRPr="00B71C34" w:rsidRDefault="00737691" w:rsidP="00737691">
            <w:pPr>
              <w:jc w:val="both"/>
            </w:pP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E5899" w:rsidRDefault="00737691" w:rsidP="00D76B97">
            <w:pPr>
              <w:spacing w:before="120"/>
              <w:ind w:left="130" w:right="125"/>
              <w:jc w:val="both"/>
            </w:pPr>
            <w:r w:rsidRPr="00060C65">
              <w:t xml:space="preserve">      </w:t>
            </w:r>
            <w:r w:rsidRPr="00B71C34">
              <w:t xml:space="preserve">Devido </w:t>
            </w:r>
            <w:proofErr w:type="gramStart"/>
            <w:r w:rsidRPr="00B71C34">
              <w:t>as</w:t>
            </w:r>
            <w:proofErr w:type="gramEnd"/>
            <w:r w:rsidRPr="00B71C34">
              <w:t xml:space="preserve"> operações logísticas de transporte e armazenamento do GLP </w:t>
            </w:r>
            <w:proofErr w:type="spellStart"/>
            <w:r w:rsidRPr="00B71C34">
              <w:t>envasado</w:t>
            </w:r>
            <w:proofErr w:type="spellEnd"/>
            <w:r w:rsidRPr="00B71C34">
              <w:t xml:space="preserve"> torna-se impossível o revendedor de GLP principalmente os de classe III acima, que armazenam em blocos de 480 recipientes, checar e conferir um a um no momento da descarga, tendo em vista a movimentação ser feita em carrinhos empilhados com 4 unidades</w:t>
            </w:r>
            <w:r w:rsidRPr="00060C65">
              <w:t>.</w:t>
            </w:r>
            <w:r w:rsidRPr="00E35905">
              <w:rPr>
                <w:rFonts w:ascii="Arial" w:hAnsi="Arial" w:cs="Arial"/>
                <w:sz w:val="24"/>
                <w:szCs w:val="24"/>
              </w:rPr>
              <w:t xml:space="preserve"> </w:t>
            </w: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B71C34" w:rsidRDefault="00737691" w:rsidP="00440A61">
            <w:pPr>
              <w:jc w:val="center"/>
              <w:rPr>
                <w:b/>
              </w:rPr>
            </w:pPr>
            <w:r w:rsidRPr="00B71C34">
              <w:rPr>
                <w:b/>
              </w:rPr>
              <w:t>ABRAGAS</w:t>
            </w:r>
          </w:p>
          <w:p w:rsidR="00737691" w:rsidRPr="00BE5899" w:rsidRDefault="00737691" w:rsidP="00440A61">
            <w:pPr>
              <w:jc w:val="center"/>
              <w:rPr>
                <w:b/>
              </w:rPr>
            </w:pP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Default="00737691" w:rsidP="00737691">
            <w:pPr>
              <w:rPr>
                <w:rFonts w:ascii="Arial" w:eastAsia="Arial Unicode MS" w:hAnsi="Arial" w:cs="Arial"/>
                <w:b/>
                <w:bCs/>
                <w:sz w:val="24"/>
                <w:szCs w:val="24"/>
              </w:rPr>
            </w:pPr>
            <w:r>
              <w:rPr>
                <w:rFonts w:ascii="Arial" w:hAnsi="Arial" w:cs="Arial"/>
                <w:b/>
                <w:bCs/>
              </w:rPr>
              <w:t> </w:t>
            </w:r>
            <w:r w:rsidRPr="00B71C34">
              <w:rPr>
                <w:b/>
              </w:rPr>
              <w:t>Art. 7º</w:t>
            </w:r>
          </w:p>
          <w:p w:rsidR="00737691" w:rsidRDefault="00737691" w:rsidP="00737691">
            <w:pPr>
              <w:rPr>
                <w:rFonts w:ascii="Arial" w:eastAsia="Arial Unicode MS" w:hAnsi="Arial" w:cs="Arial"/>
                <w:b/>
                <w:bCs/>
                <w:sz w:val="24"/>
                <w:szCs w:val="24"/>
              </w:rPr>
            </w:pPr>
            <w:r>
              <w:rPr>
                <w:rFonts w:ascii="Arial" w:hAnsi="Arial" w:cs="Arial"/>
                <w:b/>
                <w:bCs/>
              </w:rPr>
              <w:t> </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71C34" w:rsidRDefault="00737691" w:rsidP="00737691">
            <w:r w:rsidRPr="00B71C34">
              <w:t> </w:t>
            </w:r>
          </w:p>
          <w:p w:rsidR="00737691" w:rsidRPr="00B71C34" w:rsidRDefault="00737691" w:rsidP="00737691">
            <w:r w:rsidRPr="00B71C34">
              <w:t xml:space="preserve">Inserir parágrafo contemplando o parágrafo 4, 4.10 e 4.21 da ABNT 15514 /2007, versão corrigida 2008, adotado pela ANP através da Resolução </w:t>
            </w:r>
            <w:proofErr w:type="gramStart"/>
            <w:r w:rsidRPr="00B71C34">
              <w:t>05/2008</w:t>
            </w:r>
            <w:proofErr w:type="gramEnd"/>
          </w:p>
          <w:p w:rsidR="00737691" w:rsidRPr="00B71C34" w:rsidRDefault="00737691" w:rsidP="00737691"/>
          <w:p w:rsidR="00737691" w:rsidRPr="00B71C34" w:rsidRDefault="00737691" w:rsidP="00737691">
            <w:r w:rsidRPr="00B71C34">
              <w:t>4- Condições gerais de armazenagem</w:t>
            </w:r>
          </w:p>
          <w:p w:rsidR="00737691" w:rsidRPr="00B71C34" w:rsidRDefault="00737691" w:rsidP="00737691"/>
          <w:p w:rsidR="00737691" w:rsidRPr="00B71C34" w:rsidRDefault="00737691" w:rsidP="00737691">
            <w:pPr>
              <w:jc w:val="both"/>
            </w:pPr>
            <w:r w:rsidRPr="00B71C34">
              <w:t xml:space="preserve">4.10 - A delimitação da área de armazenamento deve ser através de pintura no piso ou por meio de cerca de tela metálica, gradil metálico ou elemento vazado de concreto, </w:t>
            </w:r>
            <w:r w:rsidRPr="00B71C34">
              <w:lastRenderedPageBreak/>
              <w:t>cerâmica ou outro material resistente ao fogo, para assegurar ampla ventilação. Para áreas de armazenamento superiores à classe III, também demarcar com pintura no piso, o local para os lotes de recipientes.</w:t>
            </w:r>
          </w:p>
          <w:p w:rsidR="00737691" w:rsidRPr="00B71C34" w:rsidRDefault="00737691" w:rsidP="00737691">
            <w:pPr>
              <w:jc w:val="both"/>
            </w:pPr>
          </w:p>
          <w:p w:rsidR="00737691" w:rsidRPr="00B71C34" w:rsidRDefault="00737691" w:rsidP="00737691">
            <w:pPr>
              <w:jc w:val="both"/>
            </w:pPr>
            <w:r w:rsidRPr="00B71C34">
              <w:t>4.21 Os recipientes de GLP cheios, vazios ou parcialmente utilizados devem ser dispostos em lotes. Os lotes de recipientes cheios podem conter até 480 recipientes de massa líquida igual a 13 kg, em pilhas de até quatro unidades e os lotes de recipientes vazios ou parcialmente utilizados até 600 recipientes de massa líquida igual a 13 kg, em pilhas de até cinco unidades. Entre os lotes de recipientes e entre esses lotes e os limites da área de armazenamento deve haver corredores de circulação com no mínimo 1,00 m de largura. Somente as áreas de armazenamento classes I e II não necessitam de corredores de circulação.</w:t>
            </w:r>
          </w:p>
          <w:p w:rsidR="00737691" w:rsidRPr="00B71C34" w:rsidRDefault="00737691" w:rsidP="00737691"/>
          <w:p w:rsidR="00737691" w:rsidRPr="00B71C34" w:rsidRDefault="00737691" w:rsidP="00737691"/>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E5899" w:rsidRDefault="00737691" w:rsidP="00D76B97">
            <w:pPr>
              <w:spacing w:before="120"/>
              <w:ind w:left="130" w:right="125"/>
              <w:jc w:val="both"/>
            </w:pPr>
            <w:r w:rsidRPr="00E35905">
              <w:rPr>
                <w:rFonts w:ascii="Arial" w:hAnsi="Arial" w:cs="Arial"/>
                <w:sz w:val="24"/>
                <w:szCs w:val="24"/>
              </w:rPr>
              <w:lastRenderedPageBreak/>
              <w:t> </w:t>
            </w:r>
            <w:r>
              <w:rPr>
                <w:rFonts w:ascii="Arial" w:hAnsi="Arial" w:cs="Arial"/>
                <w:sz w:val="24"/>
                <w:szCs w:val="24"/>
              </w:rPr>
              <w:t xml:space="preserve"> </w:t>
            </w:r>
            <w:r w:rsidRPr="00B71C34">
              <w:t xml:space="preserve">Ocorre intolerâncias nas operações de fiscalizações aos revendedores de GLP referente </w:t>
            </w:r>
            <w:proofErr w:type="gramStart"/>
            <w:r w:rsidRPr="00B71C34">
              <w:t>as</w:t>
            </w:r>
            <w:proofErr w:type="gramEnd"/>
            <w:r w:rsidRPr="00B71C34">
              <w:t xml:space="preserve"> cores já desgastadas ou diferenças mínimas nas medições dos corredores de circulações, feitas por agentes fiscalizadores gerando altas multas sem o agente econômico ter a oportunidade de repintar uma faixa ou ajustar centímetros apenas por causa da interpretação do agente fiscalizador.</w:t>
            </w: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B71C34" w:rsidRDefault="00737691" w:rsidP="00440A61">
            <w:pPr>
              <w:jc w:val="center"/>
              <w:rPr>
                <w:b/>
              </w:rPr>
            </w:pPr>
            <w:r w:rsidRPr="00B71C34">
              <w:rPr>
                <w:b/>
              </w:rPr>
              <w:lastRenderedPageBreak/>
              <w:t>ABRAGAS</w:t>
            </w:r>
          </w:p>
          <w:p w:rsidR="00737691" w:rsidRPr="00BE5899" w:rsidRDefault="00737691" w:rsidP="00440A61">
            <w:pPr>
              <w:jc w:val="center"/>
              <w:rPr>
                <w:b/>
              </w:rPr>
            </w:pP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71C34" w:rsidRDefault="00737691" w:rsidP="00737691">
            <w:pPr>
              <w:rPr>
                <w:b/>
              </w:rPr>
            </w:pPr>
            <w:r>
              <w:rPr>
                <w:rFonts w:ascii="Arial" w:hAnsi="Arial" w:cs="Arial"/>
                <w:b/>
                <w:bCs/>
              </w:rPr>
              <w:t> </w:t>
            </w:r>
            <w:r w:rsidRPr="00B71C34">
              <w:rPr>
                <w:b/>
              </w:rPr>
              <w:t>Art. 7º</w:t>
            </w:r>
          </w:p>
          <w:p w:rsidR="00737691" w:rsidRDefault="00737691" w:rsidP="00737691">
            <w:pPr>
              <w:rPr>
                <w:rFonts w:ascii="Arial" w:eastAsia="Arial Unicode MS" w:hAnsi="Arial" w:cs="Arial"/>
                <w:b/>
                <w:bCs/>
                <w:color w:val="000000"/>
                <w:sz w:val="24"/>
                <w:szCs w:val="24"/>
              </w:rPr>
            </w:pPr>
            <w:r>
              <w:rPr>
                <w:rFonts w:ascii="Arial" w:hAnsi="Arial" w:cs="Arial"/>
                <w:b/>
                <w:bCs/>
                <w:color w:val="000000"/>
              </w:rPr>
              <w:t> </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71C34" w:rsidRDefault="00737691" w:rsidP="00737691"/>
          <w:p w:rsidR="00737691" w:rsidRPr="00B71C34" w:rsidRDefault="00737691" w:rsidP="00737691">
            <w:r w:rsidRPr="00B71C34">
              <w:t xml:space="preserve">Inserir parágrafo contemplando o parágrafo 4.5 da ABNT 15514 /2007, versão corrigida 2008, adotado pela ANP através da Resolução </w:t>
            </w:r>
            <w:proofErr w:type="gramStart"/>
            <w:r w:rsidRPr="00B71C34">
              <w:t>05/2008</w:t>
            </w:r>
            <w:proofErr w:type="gramEnd"/>
          </w:p>
          <w:p w:rsidR="00737691" w:rsidRPr="00B71C34" w:rsidRDefault="00737691" w:rsidP="00737691"/>
          <w:p w:rsidR="00737691" w:rsidRPr="00B71C34" w:rsidRDefault="00737691" w:rsidP="00737691"/>
          <w:p w:rsidR="00737691" w:rsidRPr="00B71C34" w:rsidRDefault="00737691" w:rsidP="00737691">
            <w:r w:rsidRPr="00B71C34">
              <w:t xml:space="preserve"> 4.5 - Os recipientes transportáveis de GLP devem ser </w:t>
            </w:r>
            <w:proofErr w:type="gramStart"/>
            <w:r w:rsidRPr="00B71C34">
              <w:t>armazenados sobre piso plano e nivelado</w:t>
            </w:r>
            <w:proofErr w:type="gramEnd"/>
            <w:r w:rsidRPr="00B71C34">
              <w:t xml:space="preserve">, </w:t>
            </w:r>
            <w:proofErr w:type="spellStart"/>
            <w:r w:rsidRPr="00B71C34">
              <w:t>concretado</w:t>
            </w:r>
            <w:proofErr w:type="spellEnd"/>
            <w:r w:rsidRPr="00B71C34">
              <w:t xml:space="preserve"> ou pavimentado, de modo a permitir uma superfície que suporte carga e descarga, em local ventilado, ao ar livre, podendo ou não a (s) área (s) de armazenamento ser encoberta (s).</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71C34" w:rsidRDefault="00737691" w:rsidP="00060C65">
            <w:pPr>
              <w:spacing w:before="120"/>
              <w:ind w:left="130" w:right="125"/>
              <w:jc w:val="both"/>
            </w:pPr>
            <w:r w:rsidRPr="00E35905">
              <w:rPr>
                <w:rFonts w:ascii="Arial" w:hAnsi="Arial" w:cs="Arial"/>
                <w:sz w:val="24"/>
                <w:szCs w:val="24"/>
              </w:rPr>
              <w:t> </w:t>
            </w:r>
            <w:r>
              <w:rPr>
                <w:rFonts w:ascii="Arial" w:hAnsi="Arial" w:cs="Arial"/>
                <w:sz w:val="24"/>
                <w:szCs w:val="24"/>
              </w:rPr>
              <w:t xml:space="preserve">    </w:t>
            </w:r>
            <w:r w:rsidRPr="00B71C34">
              <w:t>Tem ocorrido interdição total em PRGLP por motivos de avarias em parte da área de armazenamento (Ex: rachaduras no piso).</w:t>
            </w:r>
          </w:p>
          <w:p w:rsidR="00737691" w:rsidRPr="00B71C34" w:rsidRDefault="00737691" w:rsidP="00060C65">
            <w:pPr>
              <w:spacing w:before="120"/>
              <w:ind w:left="130" w:right="125"/>
              <w:jc w:val="both"/>
            </w:pPr>
            <w:r w:rsidRPr="00B71C34">
              <w:t>Deve haver o mesmo entendimento de interdição que é dado aos</w:t>
            </w:r>
            <w:proofErr w:type="gramStart"/>
            <w:r w:rsidRPr="00B71C34">
              <w:t xml:space="preserve">  </w:t>
            </w:r>
            <w:proofErr w:type="gramEnd"/>
            <w:r w:rsidRPr="00B71C34">
              <w:t>postos de combustíveis, onde interdita uma bomba (Bico), deixando o agente operar com as demais bombas.</w:t>
            </w:r>
          </w:p>
          <w:p w:rsidR="00737691" w:rsidRPr="00B71C34" w:rsidRDefault="00737691" w:rsidP="00060C65">
            <w:pPr>
              <w:spacing w:before="120"/>
              <w:ind w:left="130" w:right="125"/>
              <w:jc w:val="both"/>
            </w:pPr>
          </w:p>
          <w:p w:rsidR="00737691" w:rsidRPr="00BE5899" w:rsidRDefault="00737691" w:rsidP="00060C65">
            <w:pPr>
              <w:spacing w:before="120"/>
              <w:ind w:left="130" w:right="125"/>
              <w:jc w:val="both"/>
            </w:pPr>
            <w:r w:rsidRPr="00B71C34">
              <w:t xml:space="preserve">No caso do PRGLP a partir </w:t>
            </w:r>
            <w:proofErr w:type="gramStart"/>
            <w:r w:rsidRPr="00B71C34">
              <w:t>do classe</w:t>
            </w:r>
            <w:proofErr w:type="gramEnd"/>
            <w:r w:rsidRPr="00B71C34">
              <w:t xml:space="preserve"> IV, interditar apenas o bloco ou blocos onde se localiza a avaria do piso e não a interdição total do agente econômico, deixando o mesmo sem condições de operar e manter suas atividades.</w:t>
            </w: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BE5899" w:rsidRDefault="00737691" w:rsidP="00440A61">
            <w:pPr>
              <w:jc w:val="center"/>
              <w:rPr>
                <w:b/>
              </w:rPr>
            </w:pPr>
            <w:r w:rsidRPr="00D90285">
              <w:rPr>
                <w:b/>
              </w:rPr>
              <w:t>BRASILCOM</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Default="00737691" w:rsidP="00737691">
            <w:pPr>
              <w:pStyle w:val="Body"/>
              <w:rPr>
                <w:rFonts w:ascii="Arial" w:eastAsia="Arial" w:hAnsi="Arial" w:cs="Arial"/>
                <w:b/>
                <w:bCs/>
                <w:sz w:val="24"/>
                <w:szCs w:val="24"/>
              </w:rPr>
            </w:pPr>
            <w:r>
              <w:rPr>
                <w:rFonts w:ascii="Arial" w:hAnsi="Arial"/>
                <w:b/>
                <w:bCs/>
                <w:lang w:val="pt-PT"/>
              </w:rPr>
              <w:t> </w:t>
            </w:r>
          </w:p>
          <w:p w:rsidR="00737691" w:rsidRDefault="00737691" w:rsidP="00F5782A">
            <w:pPr>
              <w:pBdr>
                <w:top w:val="nil"/>
                <w:left w:val="nil"/>
                <w:bottom w:val="nil"/>
                <w:right w:val="nil"/>
                <w:between w:val="nil"/>
                <w:bar w:val="nil"/>
              </w:pBdr>
            </w:pPr>
            <w:r>
              <w:rPr>
                <w:rFonts w:ascii="Arial" w:hAnsi="Arial"/>
                <w:b/>
                <w:bCs/>
                <w:lang w:val="pt-PT"/>
              </w:rPr>
              <w:t> </w:t>
            </w:r>
            <w:r w:rsidRPr="00F5782A">
              <w:rPr>
                <w:b/>
              </w:rPr>
              <w:t>Art. 11, I e II</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4137AA" w:rsidRDefault="00737691" w:rsidP="00737691">
            <w:pPr>
              <w:pStyle w:val="Body"/>
              <w:rPr>
                <w:rFonts w:eastAsia="Times New Roman" w:cs="Times New Roman"/>
                <w:color w:val="auto"/>
                <w:bdr w:val="none" w:sz="0" w:space="0" w:color="auto"/>
              </w:rPr>
            </w:pPr>
            <w:r w:rsidRPr="004137AA">
              <w:rPr>
                <w:rFonts w:eastAsia="Times New Roman" w:cs="Times New Roman"/>
                <w:color w:val="auto"/>
                <w:bdr w:val="none" w:sz="0" w:space="0" w:color="auto"/>
              </w:rPr>
              <w:t> Aceitar o protocolo das Juntas Comerciais ou Secretarias de Fazenda</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E5899" w:rsidRDefault="00737691" w:rsidP="00D76B97">
            <w:pPr>
              <w:spacing w:before="120"/>
              <w:ind w:left="130" w:right="125"/>
              <w:jc w:val="both"/>
            </w:pPr>
            <w:r>
              <w:rPr>
                <w:rFonts w:ascii="Arial" w:hAnsi="Arial"/>
                <w:lang w:val="pt-PT"/>
              </w:rPr>
              <w:t> </w:t>
            </w:r>
            <w:r w:rsidRPr="00D90285">
              <w:t>As Juntas comerciais e Secretarias de Fazenda</w:t>
            </w:r>
            <w:proofErr w:type="gramStart"/>
            <w:r w:rsidRPr="00D90285">
              <w:t>, tem</w:t>
            </w:r>
            <w:proofErr w:type="gramEnd"/>
            <w:r w:rsidRPr="00D90285">
              <w:t xml:space="preserve"> demorado mais de seis meses para liberar uma alteração contratual</w:t>
            </w: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BE5899" w:rsidRDefault="00737691" w:rsidP="00440A61">
            <w:pPr>
              <w:autoSpaceDE w:val="0"/>
              <w:autoSpaceDN w:val="0"/>
              <w:adjustRightInd w:val="0"/>
              <w:jc w:val="center"/>
              <w:rPr>
                <w:color w:val="000000"/>
              </w:rPr>
            </w:pPr>
          </w:p>
          <w:p w:rsidR="00737691" w:rsidRPr="00BE5899" w:rsidRDefault="00737691" w:rsidP="00440A61">
            <w:pPr>
              <w:jc w:val="center"/>
              <w:rPr>
                <w:b/>
              </w:rPr>
            </w:pPr>
            <w:r w:rsidRPr="00D90285">
              <w:rPr>
                <w:b/>
              </w:rPr>
              <w:t>BRASILCOM</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Default="00737691" w:rsidP="00737691">
            <w:pPr>
              <w:pStyle w:val="Body"/>
              <w:rPr>
                <w:rFonts w:ascii="Arial" w:eastAsia="Arial" w:hAnsi="Arial" w:cs="Arial"/>
              </w:rPr>
            </w:pPr>
            <w:r>
              <w:rPr>
                <w:rFonts w:ascii="Arial" w:hAnsi="Arial"/>
                <w:lang w:val="pt-PT"/>
              </w:rPr>
              <w:t> </w:t>
            </w:r>
          </w:p>
          <w:p w:rsidR="00737691" w:rsidRDefault="00737691" w:rsidP="00F5782A">
            <w:pPr>
              <w:pBdr>
                <w:top w:val="nil"/>
                <w:left w:val="nil"/>
                <w:bottom w:val="nil"/>
                <w:right w:val="nil"/>
                <w:between w:val="nil"/>
                <w:bar w:val="nil"/>
              </w:pBdr>
            </w:pPr>
            <w:r>
              <w:rPr>
                <w:rFonts w:ascii="Arial" w:hAnsi="Arial"/>
                <w:b/>
                <w:bCs/>
                <w:lang w:val="pt-PT"/>
              </w:rPr>
              <w:t> </w:t>
            </w:r>
            <w:r w:rsidRPr="00F5782A">
              <w:rPr>
                <w:b/>
              </w:rPr>
              <w:t>Art. 11</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4137AA" w:rsidRDefault="00737691" w:rsidP="00737691">
            <w:pPr>
              <w:pStyle w:val="Body"/>
              <w:rPr>
                <w:rFonts w:eastAsia="Times New Roman" w:cs="Times New Roman"/>
                <w:color w:val="auto"/>
                <w:bdr w:val="none" w:sz="0" w:space="0" w:color="auto"/>
              </w:rPr>
            </w:pPr>
            <w:r w:rsidRPr="004137AA">
              <w:rPr>
                <w:rFonts w:eastAsia="Times New Roman" w:cs="Times New Roman"/>
                <w:color w:val="auto"/>
                <w:bdr w:val="none" w:sz="0" w:space="0" w:color="auto"/>
              </w:rPr>
              <w:t xml:space="preserve">Incluir a indicação de código incorreto no preenchimento do ISIMP </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E5899" w:rsidRDefault="00737691" w:rsidP="00737691">
            <w:pPr>
              <w:spacing w:before="120"/>
              <w:ind w:left="130" w:right="125"/>
              <w:jc w:val="both"/>
            </w:pPr>
            <w:r>
              <w:rPr>
                <w:rFonts w:ascii="Arial" w:hAnsi="Arial"/>
                <w:lang w:val="pt-PT"/>
              </w:rPr>
              <w:t> </w:t>
            </w:r>
            <w:r w:rsidRPr="00737691">
              <w:t>Existem milhares de códigos no ISIMP o que torna seu preenchimento facilmente sujeito a erros de digitação</w:t>
            </w:r>
            <w:r w:rsidRPr="00D90285">
              <w:t>.</w:t>
            </w:r>
            <w:r>
              <w:rPr>
                <w:rFonts w:ascii="Arial" w:hAnsi="Arial"/>
                <w:lang w:val="pt-PT"/>
              </w:rPr>
              <w:t xml:space="preserve"> </w:t>
            </w: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BE5899" w:rsidRDefault="00737691" w:rsidP="00440A61">
            <w:pPr>
              <w:jc w:val="center"/>
              <w:rPr>
                <w:b/>
              </w:rPr>
            </w:pPr>
            <w:r w:rsidRPr="00D90285">
              <w:rPr>
                <w:b/>
              </w:rPr>
              <w:t>BRASILCOM</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Default="00737691" w:rsidP="00F5782A">
            <w:pPr>
              <w:pBdr>
                <w:top w:val="nil"/>
                <w:left w:val="nil"/>
                <w:bottom w:val="nil"/>
                <w:right w:val="nil"/>
                <w:between w:val="nil"/>
                <w:bar w:val="nil"/>
              </w:pBdr>
            </w:pPr>
            <w:r w:rsidRPr="00F5782A">
              <w:rPr>
                <w:b/>
              </w:rPr>
              <w:t>Art. 11 III (novo)</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4137AA" w:rsidRDefault="00737691" w:rsidP="00737691">
            <w:pPr>
              <w:pStyle w:val="Body"/>
              <w:rPr>
                <w:rFonts w:eastAsia="Times New Roman" w:cs="Times New Roman"/>
                <w:color w:val="auto"/>
                <w:bdr w:val="none" w:sz="0" w:space="0" w:color="auto"/>
              </w:rPr>
            </w:pPr>
            <w:r w:rsidRPr="004137AA">
              <w:rPr>
                <w:rFonts w:eastAsia="Times New Roman" w:cs="Times New Roman"/>
                <w:color w:val="auto"/>
                <w:bdr w:val="none" w:sz="0" w:space="0" w:color="auto"/>
              </w:rPr>
              <w:t xml:space="preserve">No caso de infrações relativas aos estoques mínimos previstos na RANP 45/2013, que sejam analisados e considerados os estoques médios mensais com base em análises anuais, e que seja possível a não aplicação de reincidência nos casos em que </w:t>
            </w:r>
            <w:r w:rsidRPr="004137AA">
              <w:rPr>
                <w:rFonts w:eastAsia="Times New Roman" w:cs="Times New Roman"/>
                <w:color w:val="auto"/>
                <w:bdr w:val="none" w:sz="0" w:space="0" w:color="auto"/>
              </w:rPr>
              <w:lastRenderedPageBreak/>
              <w:t>não haja ocorrido problema no abastecimento e, consequentemente, dano aos consumidores.</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E5899" w:rsidRDefault="00737691" w:rsidP="0043201E">
            <w:pPr>
              <w:pStyle w:val="Default"/>
              <w:jc w:val="both"/>
              <w:rPr>
                <w:rFonts w:ascii="Times New Roman" w:hAnsi="Times New Roman" w:cs="Times New Roman"/>
                <w:sz w:val="20"/>
                <w:szCs w:val="20"/>
              </w:rPr>
            </w:pPr>
            <w:r w:rsidRPr="00737691">
              <w:rPr>
                <w:rFonts w:ascii="Times New Roman" w:hAnsi="Times New Roman" w:cs="Times New Roman"/>
                <w:color w:val="auto"/>
                <w:sz w:val="20"/>
                <w:szCs w:val="20"/>
              </w:rPr>
              <w:lastRenderedPageBreak/>
              <w:t xml:space="preserve">A utilização de análises bimensais para avaliar os estoques médios semanais tem resultado em penalização excessiva para as distribuidoras, considerando que a manutenção destes </w:t>
            </w:r>
            <w:proofErr w:type="gramStart"/>
            <w:r w:rsidRPr="00737691">
              <w:rPr>
                <w:rFonts w:ascii="Times New Roman" w:hAnsi="Times New Roman" w:cs="Times New Roman"/>
                <w:color w:val="auto"/>
                <w:sz w:val="20"/>
                <w:szCs w:val="20"/>
              </w:rPr>
              <w:t>estoques</w:t>
            </w:r>
            <w:proofErr w:type="gramEnd"/>
            <w:r w:rsidRPr="00737691">
              <w:rPr>
                <w:rFonts w:ascii="Times New Roman" w:hAnsi="Times New Roman" w:cs="Times New Roman"/>
                <w:color w:val="auto"/>
                <w:sz w:val="20"/>
                <w:szCs w:val="20"/>
              </w:rPr>
              <w:t xml:space="preserve"> resulta em custos de carregamento superiores à margem média </w:t>
            </w:r>
            <w:r w:rsidRPr="00737691">
              <w:rPr>
                <w:rFonts w:ascii="Times New Roman" w:hAnsi="Times New Roman" w:cs="Times New Roman"/>
                <w:color w:val="auto"/>
                <w:sz w:val="20"/>
                <w:szCs w:val="20"/>
              </w:rPr>
              <w:lastRenderedPageBreak/>
              <w:t>auferida na venda dos produtos analisados.  No caso de reincidências, então, estas consequências são ainda mais devastadoras ao resultado das empresas, tendo como consequência não a “educação e orientação dos agentes econômicos</w:t>
            </w:r>
            <w:proofErr w:type="gramStart"/>
            <w:r w:rsidRPr="00737691">
              <w:rPr>
                <w:rFonts w:ascii="Times New Roman" w:hAnsi="Times New Roman" w:cs="Times New Roman"/>
                <w:color w:val="auto"/>
                <w:sz w:val="20"/>
                <w:szCs w:val="20"/>
              </w:rPr>
              <w:t>”(</w:t>
            </w:r>
            <w:proofErr w:type="gramEnd"/>
            <w:r w:rsidRPr="00737691">
              <w:rPr>
                <w:rFonts w:ascii="Times New Roman" w:hAnsi="Times New Roman" w:cs="Times New Roman"/>
                <w:color w:val="auto"/>
                <w:sz w:val="20"/>
                <w:szCs w:val="20"/>
              </w:rPr>
              <w:t>Decreto 2.455/1998) e sim a sua inviabilização.</w:t>
            </w: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72704D" w:rsidRDefault="00737691" w:rsidP="00440A61">
            <w:pPr>
              <w:jc w:val="center"/>
              <w:rPr>
                <w:b/>
              </w:rPr>
            </w:pPr>
            <w:r w:rsidRPr="0072704D">
              <w:rPr>
                <w:b/>
              </w:rPr>
              <w:lastRenderedPageBreak/>
              <w:t>COPAGAZ DISTRIBUIDORA DE GÁS S.A.</w:t>
            </w:r>
          </w:p>
          <w:p w:rsidR="00737691" w:rsidRPr="00BE5899" w:rsidRDefault="00737691" w:rsidP="00440A61">
            <w:pPr>
              <w:jc w:val="center"/>
              <w:rPr>
                <w:b/>
              </w:rPr>
            </w:pPr>
          </w:p>
          <w:p w:rsidR="00737691" w:rsidRPr="00BE5899" w:rsidRDefault="00737691" w:rsidP="00440A61">
            <w:pPr>
              <w:jc w:val="center"/>
              <w:rPr>
                <w:b/>
              </w:rPr>
            </w:pP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Default="00737691" w:rsidP="00737691">
            <w:pPr>
              <w:jc w:val="center"/>
              <w:rPr>
                <w:bCs/>
                <w:sz w:val="24"/>
                <w:szCs w:val="24"/>
              </w:rPr>
            </w:pPr>
          </w:p>
          <w:p w:rsidR="00737691" w:rsidRPr="00E72D87" w:rsidRDefault="00737691" w:rsidP="0072704D">
            <w:pPr>
              <w:rPr>
                <w:bCs/>
                <w:sz w:val="24"/>
                <w:szCs w:val="24"/>
              </w:rPr>
            </w:pPr>
            <w:r w:rsidRPr="0072704D">
              <w:rPr>
                <w:b/>
              </w:rPr>
              <w:t>Art. 3º</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72704D" w:rsidRDefault="00737691" w:rsidP="00737691">
            <w:pPr>
              <w:jc w:val="both"/>
            </w:pPr>
            <w:r w:rsidRPr="0072704D">
              <w:t xml:space="preserve">Art. 3º O prazo para adoção de MRC é de no mínimo </w:t>
            </w:r>
            <w:proofErr w:type="gramStart"/>
            <w:r w:rsidRPr="0072704D">
              <w:t>5</w:t>
            </w:r>
            <w:proofErr w:type="gramEnd"/>
            <w:r w:rsidRPr="0072704D">
              <w:t xml:space="preserve"> (cinco) dias úteis e máximo de 15 (quinze) dias úteis, conforme a complexidade da medida reparadora, contados a partir da data da ação de fiscalização.</w:t>
            </w:r>
          </w:p>
          <w:p w:rsidR="00737691" w:rsidRPr="0072704D" w:rsidRDefault="00737691" w:rsidP="00737691"/>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rsidR="00737691" w:rsidRPr="00BE5899" w:rsidRDefault="00737691" w:rsidP="00060C65">
            <w:pPr>
              <w:spacing w:before="120"/>
              <w:ind w:left="130" w:right="125"/>
              <w:jc w:val="both"/>
            </w:pPr>
            <w:r w:rsidRPr="0072704D">
              <w:t>Considera que na maioria dos casos o prazo de 05 dias úteis seria suficiente para o cumprimento da medida reparadora. Contudo, existem hipóteses que pode demandar maior prazo e, diante do principio da legalidade do ato administrativo, mesmo que o fiscal entenda a situação, não poderá alterar o prazo por estar vinculado ao estabelecido na norma. Assim, considera relevante que haja uma flexibilidade que concederá a oportunidade ao fiscal de conceder um prazo mais delongado se a execução da medida reparadora assim se justificar.</w:t>
            </w: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72704D" w:rsidRDefault="00737691" w:rsidP="00440A61">
            <w:pPr>
              <w:jc w:val="center"/>
              <w:rPr>
                <w:b/>
              </w:rPr>
            </w:pPr>
            <w:r w:rsidRPr="0072704D">
              <w:rPr>
                <w:b/>
              </w:rPr>
              <w:t>COPAGAZ DISTRIBUIDORA DE GÁS S.A.</w:t>
            </w:r>
          </w:p>
          <w:p w:rsidR="00737691" w:rsidRPr="00BE5899" w:rsidRDefault="00737691" w:rsidP="00440A61">
            <w:pPr>
              <w:jc w:val="center"/>
              <w:rPr>
                <w:b/>
              </w:rPr>
            </w:pPr>
          </w:p>
          <w:p w:rsidR="00737691" w:rsidRPr="00BE5899" w:rsidRDefault="00737691" w:rsidP="00440A61">
            <w:pPr>
              <w:jc w:val="center"/>
              <w:rPr>
                <w:b/>
              </w:rPr>
            </w:pP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72704D" w:rsidRDefault="00737691" w:rsidP="0072704D">
            <w:pPr>
              <w:rPr>
                <w:b/>
              </w:rPr>
            </w:pPr>
            <w:r w:rsidRPr="0072704D">
              <w:rPr>
                <w:b/>
              </w:rPr>
              <w:t>DO REVENDEDOR DE GLP</w:t>
            </w:r>
          </w:p>
          <w:p w:rsidR="00737691" w:rsidRPr="0072704D" w:rsidRDefault="00737691" w:rsidP="0072704D">
            <w:pPr>
              <w:rPr>
                <w:b/>
              </w:rPr>
            </w:pPr>
          </w:p>
          <w:p w:rsidR="00737691" w:rsidRPr="00BB004F" w:rsidRDefault="00737691" w:rsidP="0072704D">
            <w:pPr>
              <w:rPr>
                <w:rFonts w:ascii="Arial" w:hAnsi="Arial" w:cs="Arial"/>
                <w:bCs/>
              </w:rPr>
            </w:pPr>
            <w:r w:rsidRPr="0072704D">
              <w:rPr>
                <w:b/>
              </w:rPr>
              <w:t>Art. 7º</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72704D" w:rsidRDefault="00737691" w:rsidP="00737691">
            <w:r w:rsidRPr="0072704D">
              <w:t>DO REVENDEDOR DE GLP</w:t>
            </w:r>
          </w:p>
          <w:p w:rsidR="00737691" w:rsidRPr="0072704D" w:rsidRDefault="00737691" w:rsidP="00737691">
            <w:pPr>
              <w:jc w:val="both"/>
            </w:pPr>
          </w:p>
          <w:p w:rsidR="00737691" w:rsidRPr="0072704D" w:rsidRDefault="00737691" w:rsidP="00737691">
            <w:pPr>
              <w:jc w:val="both"/>
            </w:pPr>
            <w:r w:rsidRPr="0072704D">
              <w:t>Art. 7º O revendedor de GLP poderá adotar MRC quando ficar caracterizado o não atendimento aos seguintes dispositivos:</w:t>
            </w:r>
          </w:p>
          <w:p w:rsidR="00737691" w:rsidRPr="0072704D" w:rsidRDefault="00737691" w:rsidP="00737691">
            <w:pPr>
              <w:ind w:firstLine="567"/>
              <w:jc w:val="both"/>
            </w:pPr>
          </w:p>
          <w:p w:rsidR="00737691" w:rsidRPr="0072704D" w:rsidRDefault="00737691" w:rsidP="00737691">
            <w:pPr>
              <w:pStyle w:val="Destaque1"/>
              <w:ind w:left="0"/>
              <w:rPr>
                <w:b w:val="0"/>
                <w:sz w:val="20"/>
                <w:szCs w:val="20"/>
              </w:rPr>
            </w:pPr>
            <w:r w:rsidRPr="0072704D">
              <w:rPr>
                <w:b w:val="0"/>
                <w:sz w:val="20"/>
                <w:szCs w:val="20"/>
              </w:rPr>
              <w:t xml:space="preserve">Afixação em local visível de aviso sobre lacre dos botijões de GLP, identificação e informações sobre o produto e sua </w:t>
            </w:r>
            <w:proofErr w:type="gramStart"/>
            <w:r w:rsidRPr="0072704D">
              <w:rPr>
                <w:b w:val="0"/>
                <w:sz w:val="20"/>
                <w:szCs w:val="20"/>
              </w:rPr>
              <w:t>utilização</w:t>
            </w:r>
            <w:proofErr w:type="gramEnd"/>
          </w:p>
          <w:p w:rsidR="00737691" w:rsidRPr="0072704D" w:rsidRDefault="00737691" w:rsidP="00737691">
            <w:pPr>
              <w:jc w:val="both"/>
            </w:pPr>
            <w:r w:rsidRPr="0072704D">
              <w:t xml:space="preserve">I – parágrafo único do art. 11 da Resolução ANP nº 18, de </w:t>
            </w:r>
            <w:proofErr w:type="gramStart"/>
            <w:r w:rsidRPr="0072704D">
              <w:t>2</w:t>
            </w:r>
            <w:proofErr w:type="gramEnd"/>
            <w:r w:rsidRPr="0072704D">
              <w:t xml:space="preserve"> de setembro de 2004;</w:t>
            </w:r>
          </w:p>
          <w:p w:rsidR="00737691" w:rsidRPr="0072704D" w:rsidRDefault="00737691" w:rsidP="00737691">
            <w:pPr>
              <w:pStyle w:val="Destaque1"/>
              <w:ind w:left="0"/>
              <w:rPr>
                <w:b w:val="0"/>
                <w:sz w:val="20"/>
                <w:szCs w:val="20"/>
              </w:rPr>
            </w:pPr>
          </w:p>
          <w:p w:rsidR="00737691" w:rsidRPr="0072704D" w:rsidRDefault="00737691" w:rsidP="00737691">
            <w:pPr>
              <w:pStyle w:val="Destaque1"/>
              <w:ind w:left="0"/>
              <w:rPr>
                <w:b w:val="0"/>
                <w:sz w:val="20"/>
                <w:szCs w:val="20"/>
              </w:rPr>
            </w:pPr>
            <w:r w:rsidRPr="0072704D">
              <w:rPr>
                <w:b w:val="0"/>
                <w:sz w:val="20"/>
                <w:szCs w:val="20"/>
              </w:rPr>
              <w:t xml:space="preserve">Exibição de placa, no local de estacionamento do(s) veículo(s) </w:t>
            </w:r>
            <w:proofErr w:type="gramStart"/>
            <w:r w:rsidRPr="0072704D">
              <w:rPr>
                <w:b w:val="0"/>
                <w:sz w:val="20"/>
                <w:szCs w:val="20"/>
              </w:rPr>
              <w:t>transportador(</w:t>
            </w:r>
            <w:proofErr w:type="spellStart"/>
            <w:proofErr w:type="gramEnd"/>
            <w:r w:rsidRPr="0072704D">
              <w:rPr>
                <w:b w:val="0"/>
                <w:sz w:val="20"/>
                <w:szCs w:val="20"/>
              </w:rPr>
              <w:t>es</w:t>
            </w:r>
            <w:proofErr w:type="spellEnd"/>
            <w:r w:rsidRPr="0072704D">
              <w:rPr>
                <w:b w:val="0"/>
                <w:sz w:val="20"/>
                <w:szCs w:val="20"/>
              </w:rPr>
              <w:t>) com o dizer "PROIBIDO O USO DE FOGO E DE QUALQUER INSTRUMENTO QUE PRODUZA FAÍSCA", com altura e forma adequadas</w:t>
            </w:r>
          </w:p>
          <w:p w:rsidR="00737691" w:rsidRPr="0072704D" w:rsidRDefault="00737691" w:rsidP="00737691">
            <w:pPr>
              <w:jc w:val="both"/>
            </w:pPr>
            <w:r w:rsidRPr="0072704D">
              <w:t>II – inc. VII do art. 2º da Resolução ANP nº 70, de 20 de dezembro de 2011;</w:t>
            </w:r>
          </w:p>
          <w:p w:rsidR="00737691" w:rsidRPr="0072704D" w:rsidRDefault="00737691" w:rsidP="00737691">
            <w:pPr>
              <w:jc w:val="both"/>
            </w:pPr>
          </w:p>
          <w:p w:rsidR="00737691" w:rsidRPr="0072704D" w:rsidRDefault="00737691" w:rsidP="00737691">
            <w:pPr>
              <w:jc w:val="both"/>
            </w:pPr>
            <w:r w:rsidRPr="0072704D">
              <w:t xml:space="preserve">Efetuação de alterações cadastrais, exceto relativas a endereço, a classe de armazenamento e </w:t>
            </w:r>
            <w:proofErr w:type="spellStart"/>
            <w:proofErr w:type="gramStart"/>
            <w:r w:rsidRPr="0072704D">
              <w:t>ac</w:t>
            </w:r>
            <w:proofErr w:type="spellEnd"/>
            <w:proofErr w:type="gramEnd"/>
            <w:r w:rsidRPr="0072704D">
              <w:t xml:space="preserve"> de um distribuidor de GLP</w:t>
            </w:r>
          </w:p>
          <w:p w:rsidR="00737691" w:rsidRPr="0072704D" w:rsidRDefault="00737691" w:rsidP="00737691">
            <w:pPr>
              <w:jc w:val="both"/>
            </w:pPr>
          </w:p>
          <w:p w:rsidR="00737691" w:rsidRPr="0072704D" w:rsidRDefault="00737691" w:rsidP="00737691">
            <w:pPr>
              <w:jc w:val="both"/>
            </w:pPr>
            <w:r w:rsidRPr="0072704D">
              <w:t xml:space="preserve">III – caput do art. 9º da Resolução ANP nº 51, de </w:t>
            </w:r>
            <w:proofErr w:type="gramStart"/>
            <w:r w:rsidRPr="0072704D">
              <w:t>2</w:t>
            </w:r>
            <w:proofErr w:type="gramEnd"/>
            <w:r w:rsidRPr="0072704D">
              <w:t xml:space="preserve"> de dezembro de 2016, exceto alterações cadastrais relativas a endereço, a classe de armazenamento e a opção de exibir ou </w:t>
            </w:r>
            <w:r w:rsidRPr="0072704D">
              <w:lastRenderedPageBreak/>
              <w:t>de não exibir a marca comercial de um distribuidor de GLP;</w:t>
            </w:r>
          </w:p>
          <w:p w:rsidR="00737691" w:rsidRPr="0072704D" w:rsidRDefault="00737691" w:rsidP="00737691">
            <w:pPr>
              <w:pStyle w:val="Destaque1"/>
              <w:ind w:left="0"/>
              <w:rPr>
                <w:b w:val="0"/>
                <w:sz w:val="20"/>
                <w:szCs w:val="20"/>
              </w:rPr>
            </w:pPr>
          </w:p>
          <w:p w:rsidR="00737691" w:rsidRPr="0072704D" w:rsidRDefault="00737691" w:rsidP="00737691">
            <w:pPr>
              <w:pStyle w:val="Destaque1"/>
              <w:ind w:left="0"/>
              <w:rPr>
                <w:b w:val="0"/>
                <w:sz w:val="20"/>
                <w:szCs w:val="20"/>
              </w:rPr>
            </w:pPr>
            <w:r w:rsidRPr="0072704D">
              <w:rPr>
                <w:b w:val="0"/>
                <w:sz w:val="20"/>
                <w:szCs w:val="20"/>
              </w:rPr>
              <w:t xml:space="preserve">Exibição de placa que indique a(s) classe(s) de armazenamento existente(s) e a capacidade de armazenamento de GLP, em quilogramas, de cada </w:t>
            </w:r>
            <w:proofErr w:type="gramStart"/>
            <w:r w:rsidRPr="0072704D">
              <w:rPr>
                <w:b w:val="0"/>
                <w:sz w:val="20"/>
                <w:szCs w:val="20"/>
              </w:rPr>
              <w:t>classe</w:t>
            </w:r>
            <w:proofErr w:type="gramEnd"/>
          </w:p>
          <w:p w:rsidR="00737691" w:rsidRPr="0072704D" w:rsidRDefault="00737691" w:rsidP="00737691">
            <w:pPr>
              <w:jc w:val="both"/>
            </w:pPr>
            <w:r w:rsidRPr="0072704D">
              <w:t>IV – item 4.25 da Norma Brasileira ABNT NBR 15514, adotada pelo caput do art. 19 da Resolução ANP nº 51/2016;</w:t>
            </w:r>
          </w:p>
          <w:p w:rsidR="00737691" w:rsidRPr="0072704D" w:rsidRDefault="00737691" w:rsidP="00737691">
            <w:pPr>
              <w:pStyle w:val="Destaque1"/>
              <w:ind w:left="0"/>
              <w:rPr>
                <w:b w:val="0"/>
                <w:sz w:val="20"/>
                <w:szCs w:val="20"/>
              </w:rPr>
            </w:pPr>
          </w:p>
          <w:p w:rsidR="00737691" w:rsidRPr="0072704D" w:rsidRDefault="00737691" w:rsidP="00737691">
            <w:pPr>
              <w:pStyle w:val="Destaque1"/>
              <w:ind w:left="0"/>
              <w:rPr>
                <w:b w:val="0"/>
                <w:sz w:val="20"/>
                <w:szCs w:val="20"/>
              </w:rPr>
            </w:pPr>
            <w:r w:rsidRPr="0072704D">
              <w:rPr>
                <w:b w:val="0"/>
                <w:sz w:val="20"/>
                <w:szCs w:val="20"/>
              </w:rPr>
              <w:t xml:space="preserve">Exibição de placa com os dizeres "PERIGO-INFLAMÁVEL" e "PROIBIDO O USO DE FOGO E DE QUALQUER INSTRUMENTO QUE PRODUZA FAÍSCA", com dimensões, altura e distâncias </w:t>
            </w:r>
            <w:proofErr w:type="gramStart"/>
            <w:r w:rsidRPr="0072704D">
              <w:rPr>
                <w:b w:val="0"/>
                <w:sz w:val="20"/>
                <w:szCs w:val="20"/>
              </w:rPr>
              <w:t>adequadas</w:t>
            </w:r>
            <w:proofErr w:type="gramEnd"/>
          </w:p>
          <w:p w:rsidR="00737691" w:rsidRPr="0072704D" w:rsidRDefault="00737691" w:rsidP="00737691">
            <w:pPr>
              <w:jc w:val="both"/>
            </w:pPr>
            <w:r w:rsidRPr="0072704D">
              <w:t>V – item 4.26 da Norma Brasileira ABNT NBR 15514, adotada pelo caput do art. 19 da Resolução ANP nº 51/2016;</w:t>
            </w:r>
          </w:p>
          <w:p w:rsidR="00737691" w:rsidRPr="0072704D" w:rsidRDefault="00737691" w:rsidP="00737691">
            <w:pPr>
              <w:pStyle w:val="Destaque1"/>
              <w:ind w:left="0"/>
              <w:rPr>
                <w:b w:val="0"/>
                <w:sz w:val="20"/>
                <w:szCs w:val="20"/>
              </w:rPr>
            </w:pPr>
          </w:p>
          <w:p w:rsidR="00737691" w:rsidRPr="0072704D" w:rsidRDefault="00737691" w:rsidP="00737691">
            <w:pPr>
              <w:pStyle w:val="Destaque1"/>
              <w:ind w:left="0"/>
              <w:rPr>
                <w:b w:val="0"/>
                <w:sz w:val="20"/>
                <w:szCs w:val="20"/>
              </w:rPr>
            </w:pPr>
            <w:r w:rsidRPr="0072704D">
              <w:rPr>
                <w:b w:val="0"/>
                <w:sz w:val="20"/>
                <w:szCs w:val="20"/>
              </w:rPr>
              <w:t>Separação dos recipientes transportáveis de GLP cheios em pilhas de acordo com a(s) marca(s) de cada distribuidor de GLP</w:t>
            </w:r>
          </w:p>
          <w:p w:rsidR="00737691" w:rsidRPr="0072704D" w:rsidRDefault="00737691" w:rsidP="00737691">
            <w:pPr>
              <w:jc w:val="both"/>
            </w:pPr>
            <w:r w:rsidRPr="0072704D">
              <w:t>VI – art. 23 da Resolução ANP nº 51/2016;</w:t>
            </w:r>
          </w:p>
          <w:p w:rsidR="00737691" w:rsidRPr="0072704D" w:rsidRDefault="00737691" w:rsidP="00737691">
            <w:pPr>
              <w:pStyle w:val="Destaque1"/>
              <w:ind w:left="0"/>
              <w:rPr>
                <w:b w:val="0"/>
                <w:sz w:val="20"/>
                <w:szCs w:val="20"/>
              </w:rPr>
            </w:pPr>
          </w:p>
          <w:p w:rsidR="00737691" w:rsidRPr="0072704D" w:rsidRDefault="00737691" w:rsidP="00737691">
            <w:pPr>
              <w:pStyle w:val="Destaque1"/>
              <w:ind w:left="0"/>
              <w:rPr>
                <w:b w:val="0"/>
                <w:sz w:val="20"/>
                <w:szCs w:val="20"/>
              </w:rPr>
            </w:pPr>
            <w:r w:rsidRPr="0072704D">
              <w:rPr>
                <w:b w:val="0"/>
                <w:sz w:val="20"/>
                <w:szCs w:val="20"/>
              </w:rPr>
              <w:t>Exibição de quadro de aviso</w:t>
            </w:r>
          </w:p>
          <w:p w:rsidR="00737691" w:rsidRPr="0072704D" w:rsidRDefault="00737691" w:rsidP="00737691">
            <w:pPr>
              <w:jc w:val="both"/>
            </w:pPr>
            <w:r w:rsidRPr="0072704D">
              <w:t>VII – inc. V do art. 26 da Resolução ANP nº 51/2016;</w:t>
            </w:r>
          </w:p>
          <w:p w:rsidR="00737691" w:rsidRPr="0072704D" w:rsidRDefault="00737691" w:rsidP="00737691">
            <w:pPr>
              <w:jc w:val="both"/>
            </w:pPr>
          </w:p>
          <w:p w:rsidR="00737691" w:rsidRPr="0072704D" w:rsidRDefault="00737691" w:rsidP="00737691">
            <w:pPr>
              <w:jc w:val="both"/>
            </w:pPr>
            <w:r w:rsidRPr="0072704D">
              <w:t>Solicitação de cancelamento da autorização, quando da desativação do ponto de revenda de GLP, sem que outra pessoa jurídica continue a operar no mesmo endereço</w:t>
            </w:r>
          </w:p>
          <w:p w:rsidR="00737691" w:rsidRPr="0072704D" w:rsidRDefault="00737691" w:rsidP="00737691">
            <w:pPr>
              <w:jc w:val="both"/>
            </w:pPr>
            <w:r w:rsidRPr="0072704D">
              <w:t xml:space="preserve">VIII – </w:t>
            </w:r>
            <w:proofErr w:type="spellStart"/>
            <w:r w:rsidRPr="0072704D">
              <w:t>arts</w:t>
            </w:r>
            <w:proofErr w:type="spellEnd"/>
            <w:r w:rsidRPr="0072704D">
              <w:t>. 28 ou 34 da Resolução ANP nº 51/2016.</w:t>
            </w:r>
          </w:p>
          <w:p w:rsidR="00737691" w:rsidRPr="0072704D" w:rsidRDefault="00737691" w:rsidP="00737691">
            <w:pPr>
              <w:jc w:val="both"/>
            </w:pPr>
          </w:p>
          <w:p w:rsidR="00737691" w:rsidRPr="0072704D" w:rsidRDefault="00737691" w:rsidP="00737691">
            <w:pPr>
              <w:jc w:val="both"/>
            </w:pPr>
            <w:r w:rsidRPr="0072704D">
              <w:t>Distância de segurança para os limites do imóvel, locais de reunião de público, edificações.</w:t>
            </w:r>
          </w:p>
          <w:p w:rsidR="00737691" w:rsidRPr="0072704D" w:rsidRDefault="00737691" w:rsidP="00737691">
            <w:pPr>
              <w:jc w:val="both"/>
            </w:pPr>
            <w:r w:rsidRPr="0072704D">
              <w:t>IX – Itens da Tabela 3 da Norma Brasileira ABNT NBR 15514, adotada pelo caput do art. 19 da Resolução ANP nº 51/2016;</w:t>
            </w:r>
          </w:p>
          <w:p w:rsidR="00737691" w:rsidRPr="0072704D" w:rsidRDefault="00737691" w:rsidP="00737691">
            <w:pPr>
              <w:jc w:val="both"/>
            </w:pPr>
          </w:p>
          <w:p w:rsidR="00737691" w:rsidRPr="0072704D" w:rsidRDefault="00737691" w:rsidP="00737691">
            <w:pPr>
              <w:jc w:val="both"/>
            </w:pPr>
            <w:r w:rsidRPr="0072704D">
              <w:t xml:space="preserve">Distância de segurança para aberturas para captação de águas pluviais, </w:t>
            </w:r>
            <w:proofErr w:type="spellStart"/>
            <w:r w:rsidRPr="0072704D">
              <w:t>canaletas</w:t>
            </w:r>
            <w:proofErr w:type="spellEnd"/>
            <w:r w:rsidRPr="0072704D">
              <w:t>, ralos, rebaixos ou similares.</w:t>
            </w:r>
          </w:p>
          <w:p w:rsidR="00737691" w:rsidRPr="0072704D" w:rsidRDefault="00737691" w:rsidP="00737691">
            <w:pPr>
              <w:jc w:val="both"/>
            </w:pPr>
            <w:r w:rsidRPr="0072704D">
              <w:t>X – itens 4.2 e 4.23 da Norma Brasileira ABNT NBR 15514, adotada pelo caput do art. 19 da Resolução ANP nº 51/2016;</w:t>
            </w:r>
          </w:p>
          <w:p w:rsidR="00737691" w:rsidRPr="0072704D" w:rsidRDefault="00737691" w:rsidP="00737691">
            <w:pPr>
              <w:jc w:val="both"/>
            </w:pPr>
          </w:p>
          <w:p w:rsidR="00737691" w:rsidRPr="0072704D" w:rsidRDefault="00737691" w:rsidP="00737691">
            <w:pPr>
              <w:jc w:val="both"/>
            </w:pPr>
            <w:r w:rsidRPr="0072704D">
              <w:t>Quantidade mínima de extintores e sistema preventivo fixo de combate a incêndios.</w:t>
            </w:r>
          </w:p>
          <w:p w:rsidR="00737691" w:rsidRPr="0072704D" w:rsidRDefault="00737691" w:rsidP="00737691">
            <w:pPr>
              <w:jc w:val="both"/>
            </w:pPr>
            <w:r w:rsidRPr="0072704D">
              <w:lastRenderedPageBreak/>
              <w:t>XI – itens 9.2, 9.3, 9.4 e Tabela 4 da Norma Brasileira ABNT NBR 15514, adotada pelo caput do art. 19 da Resolução ANP nº 51/2016;</w:t>
            </w:r>
          </w:p>
          <w:p w:rsidR="00737691" w:rsidRPr="0072704D" w:rsidRDefault="00737691" w:rsidP="00737691">
            <w:pPr>
              <w:jc w:val="both"/>
            </w:pPr>
          </w:p>
          <w:p w:rsidR="00737691" w:rsidRPr="0072704D" w:rsidRDefault="00737691" w:rsidP="00737691">
            <w:pPr>
              <w:jc w:val="both"/>
            </w:pPr>
            <w:r w:rsidRPr="0072704D">
              <w:t>Previsão de líquido ou material para teste de vazamento na Revenda.</w:t>
            </w:r>
          </w:p>
          <w:p w:rsidR="00737691" w:rsidRPr="0072704D" w:rsidRDefault="00737691" w:rsidP="00737691">
            <w:pPr>
              <w:jc w:val="both"/>
            </w:pPr>
            <w:r w:rsidRPr="0072704D">
              <w:t>XII - item 4.27 da Norma Brasileira ABNT NBR 15514, adotada pelo caput do art. 19 da Resolução ANP nº 51/2016;</w:t>
            </w:r>
          </w:p>
          <w:p w:rsidR="00737691" w:rsidRPr="0072704D" w:rsidRDefault="00737691" w:rsidP="00737691">
            <w:pPr>
              <w:jc w:val="both"/>
            </w:pPr>
          </w:p>
          <w:p w:rsidR="00737691" w:rsidRPr="0072704D" w:rsidRDefault="00737691" w:rsidP="00737691">
            <w:pPr>
              <w:jc w:val="both"/>
            </w:pPr>
            <w:r w:rsidRPr="0072704D">
              <w:t>Delimitação no piso da área de armazenamento de recipientes de GLP e corredores de circulação.</w:t>
            </w:r>
          </w:p>
          <w:p w:rsidR="00737691" w:rsidRPr="0072704D" w:rsidRDefault="00737691" w:rsidP="00737691">
            <w:pPr>
              <w:jc w:val="both"/>
            </w:pPr>
            <w:r w:rsidRPr="0072704D">
              <w:t>XIII - item 4.10, 4.11 e 4.21 da Norma Brasileira ABNT NBR 15514, adotada pelo caput do art. 19 da Resolução ANP nº 51/2016;</w:t>
            </w:r>
          </w:p>
          <w:p w:rsidR="00737691" w:rsidRPr="0072704D" w:rsidRDefault="00737691" w:rsidP="00737691">
            <w:pPr>
              <w:jc w:val="both"/>
            </w:pPr>
          </w:p>
          <w:p w:rsidR="00737691" w:rsidRPr="0072704D" w:rsidRDefault="00737691" w:rsidP="00737691">
            <w:pPr>
              <w:jc w:val="both"/>
            </w:pPr>
            <w:r w:rsidRPr="0072704D">
              <w:t>Armazenamento de recipientes dentro da área de armazenamento e na posição vertical.</w:t>
            </w:r>
          </w:p>
          <w:p w:rsidR="00737691" w:rsidRPr="0072704D" w:rsidRDefault="00737691" w:rsidP="00737691">
            <w:pPr>
              <w:jc w:val="both"/>
            </w:pPr>
            <w:r w:rsidRPr="0072704D">
              <w:t>XIV – itens 4.20 e 4.24 da Norma Brasileira ABNT NBR 15514, adotada pelo caput do art. 19 da Resolução ANP nº 51/2016;</w:t>
            </w:r>
          </w:p>
          <w:p w:rsidR="00737691" w:rsidRPr="0072704D" w:rsidRDefault="00737691" w:rsidP="00737691">
            <w:pPr>
              <w:jc w:val="both"/>
            </w:pPr>
          </w:p>
          <w:p w:rsidR="00737691" w:rsidRPr="0072704D" w:rsidRDefault="00737691" w:rsidP="00737691">
            <w:pPr>
              <w:jc w:val="both"/>
            </w:pPr>
            <w:r w:rsidRPr="0072704D">
              <w:t>Prazo de Requalificação de recipientes cheios de GLP</w:t>
            </w:r>
          </w:p>
          <w:p w:rsidR="00737691" w:rsidRPr="0072704D" w:rsidRDefault="00737691" w:rsidP="00737691">
            <w:pPr>
              <w:jc w:val="both"/>
            </w:pPr>
            <w:r w:rsidRPr="0072704D">
              <w:t>XV – Inciso VI do Art. 25º da Resolução ANP nº 51/2016 e Art. 3º da Resolução ANP nº 40/2014;</w:t>
            </w:r>
          </w:p>
          <w:p w:rsidR="00737691" w:rsidRPr="0072704D" w:rsidRDefault="00737691" w:rsidP="00737691">
            <w:pPr>
              <w:jc w:val="both"/>
            </w:pPr>
          </w:p>
          <w:p w:rsidR="00737691" w:rsidRPr="0072704D" w:rsidRDefault="00737691" w:rsidP="00737691">
            <w:pPr>
              <w:jc w:val="both"/>
            </w:pPr>
            <w:r w:rsidRPr="0072704D">
              <w:t>Distância de veículos estacionados em imóvel que possui área de armazenamento de recipientes de Gás LP</w:t>
            </w:r>
          </w:p>
          <w:p w:rsidR="00737691" w:rsidRPr="0072704D" w:rsidRDefault="00737691" w:rsidP="00737691">
            <w:pPr>
              <w:jc w:val="both"/>
            </w:pPr>
            <w:r w:rsidRPr="0072704D">
              <w:t>XVI - item 6.2 da Norma Brasileira ABNT NBR 15514, adotada pelo caput do art. 19 da Resolução ANP nº 51/2016 e Incisos II, IV, V, VI e VII do Art. 2º, Art. 3º, Art. 5º e Art. 6º da Resolução ANP nº 70/2011;</w:t>
            </w:r>
          </w:p>
          <w:p w:rsidR="00737691" w:rsidRPr="0072704D" w:rsidRDefault="00737691" w:rsidP="00737691">
            <w:pPr>
              <w:jc w:val="both"/>
            </w:pPr>
          </w:p>
          <w:p w:rsidR="00737691" w:rsidRPr="0072704D" w:rsidRDefault="00737691" w:rsidP="00737691">
            <w:pPr>
              <w:jc w:val="both"/>
            </w:pPr>
            <w:r w:rsidRPr="0072704D">
              <w:t>Transporte de Recipientes de GLP na posição vertical</w:t>
            </w:r>
          </w:p>
          <w:p w:rsidR="00737691" w:rsidRPr="0072704D" w:rsidRDefault="00737691" w:rsidP="00737691">
            <w:pPr>
              <w:jc w:val="both"/>
            </w:pPr>
            <w:r w:rsidRPr="0072704D">
              <w:t>XVII – Art. 5º da Resolução ANP nº 26/2015;</w:t>
            </w:r>
          </w:p>
          <w:p w:rsidR="00737691" w:rsidRPr="0072704D" w:rsidRDefault="00737691" w:rsidP="00737691">
            <w:pPr>
              <w:jc w:val="both"/>
            </w:pPr>
          </w:p>
          <w:p w:rsidR="00737691" w:rsidRPr="0072704D" w:rsidRDefault="00737691" w:rsidP="00737691">
            <w:pPr>
              <w:jc w:val="both"/>
            </w:pPr>
            <w:r w:rsidRPr="0072704D">
              <w:t>Empilhamento de recipientes de GLP na área de armazenamento, estacionamento e transporte.</w:t>
            </w:r>
          </w:p>
          <w:p w:rsidR="00737691" w:rsidRPr="0072704D" w:rsidRDefault="00737691" w:rsidP="00737691">
            <w:pPr>
              <w:jc w:val="both"/>
            </w:pPr>
            <w:r w:rsidRPr="0072704D">
              <w:t>XVIII –Art. 6º e Art. 7º da Resolução ANP nº 26/2015, Tabela 2 e itens 4,18 e 4.19 da ABNT NBR 15514, adotada pelo caput do art. 19 da Resolução ANP nº 51/2016, § 5º do Art. 1º, Tabela 1 e Inciso IV do Art. 2º da Resolução ANP nº 70/2011;</w:t>
            </w:r>
          </w:p>
          <w:p w:rsidR="00737691" w:rsidRPr="0072704D" w:rsidRDefault="00737691" w:rsidP="00737691">
            <w:pPr>
              <w:jc w:val="both"/>
            </w:pPr>
          </w:p>
          <w:p w:rsidR="00737691" w:rsidRPr="0072704D" w:rsidRDefault="00737691" w:rsidP="00737691">
            <w:pPr>
              <w:jc w:val="both"/>
            </w:pPr>
            <w:r w:rsidRPr="0072704D">
              <w:t>Piso da área de armazenamento de recipientes de GLP</w:t>
            </w:r>
          </w:p>
          <w:p w:rsidR="00737691" w:rsidRPr="0072704D" w:rsidRDefault="00737691" w:rsidP="00737691">
            <w:pPr>
              <w:jc w:val="both"/>
            </w:pPr>
            <w:r w:rsidRPr="0072704D">
              <w:t>XIX – Item 4.15 da ABNT NBR 15514, adotada pelo caput do art. 19 da Resolução ANP nº 51/2016;</w:t>
            </w:r>
          </w:p>
          <w:p w:rsidR="00737691" w:rsidRPr="0072704D" w:rsidRDefault="00737691" w:rsidP="00737691">
            <w:pPr>
              <w:jc w:val="both"/>
            </w:pPr>
          </w:p>
          <w:p w:rsidR="00737691" w:rsidRPr="0072704D" w:rsidRDefault="00737691" w:rsidP="00737691">
            <w:pPr>
              <w:jc w:val="both"/>
            </w:pPr>
            <w:r w:rsidRPr="0072704D">
              <w:t>Outros materiais na área de armazenamento de recipientes de GLP</w:t>
            </w:r>
          </w:p>
          <w:p w:rsidR="00737691" w:rsidRPr="0072704D" w:rsidRDefault="00737691" w:rsidP="00737691">
            <w:pPr>
              <w:jc w:val="both"/>
            </w:pPr>
            <w:r w:rsidRPr="0072704D">
              <w:t>XX - Item 4.7 da ABNT NBR 15514, adotada pelo caput do art. 19 da Resolução ANP nº 51/2016 e Art. 24 da mesma Resolução;</w:t>
            </w:r>
          </w:p>
          <w:p w:rsidR="00737691" w:rsidRPr="0072704D" w:rsidRDefault="00737691" w:rsidP="00737691">
            <w:pPr>
              <w:jc w:val="both"/>
            </w:pPr>
          </w:p>
          <w:p w:rsidR="00737691" w:rsidRPr="0072704D" w:rsidRDefault="00737691" w:rsidP="00737691">
            <w:pPr>
              <w:jc w:val="both"/>
            </w:pPr>
            <w:r w:rsidRPr="0072704D">
              <w:t>Rótulos de Risco e Painéis de Segurança de acordo com o padrão das normas ABNT</w:t>
            </w:r>
          </w:p>
          <w:p w:rsidR="00737691" w:rsidRPr="0072704D" w:rsidRDefault="00737691" w:rsidP="00737691">
            <w:pPr>
              <w:jc w:val="both"/>
            </w:pPr>
            <w:r w:rsidRPr="0072704D">
              <w:t>XXI – Art. 10 da Resolução ANP nº 26/2015;</w:t>
            </w:r>
          </w:p>
          <w:p w:rsidR="00737691" w:rsidRPr="0072704D" w:rsidRDefault="00737691" w:rsidP="00737691">
            <w:pPr>
              <w:jc w:val="both"/>
            </w:pPr>
          </w:p>
          <w:p w:rsidR="00737691" w:rsidRPr="0072704D" w:rsidRDefault="00737691" w:rsidP="00737691">
            <w:pPr>
              <w:jc w:val="both"/>
            </w:pPr>
            <w:r w:rsidRPr="0072704D">
              <w:t xml:space="preserve">Ficha de emergência, envelope de transporte e ficha de identificação da </w:t>
            </w:r>
            <w:proofErr w:type="gramStart"/>
            <w:r w:rsidRPr="0072704D">
              <w:t>empresa</w:t>
            </w:r>
            <w:proofErr w:type="gramEnd"/>
          </w:p>
          <w:p w:rsidR="00737691" w:rsidRPr="0072704D" w:rsidRDefault="00737691" w:rsidP="00737691">
            <w:pPr>
              <w:jc w:val="both"/>
            </w:pPr>
            <w:r w:rsidRPr="0072704D">
              <w:t>XXII – alíneas a e b do Art. 9 da Resolução ANP nº 26/2015;</w:t>
            </w:r>
          </w:p>
          <w:p w:rsidR="00737691" w:rsidRPr="0072704D" w:rsidRDefault="00737691" w:rsidP="00737691">
            <w:pPr>
              <w:jc w:val="both"/>
            </w:pPr>
          </w:p>
          <w:p w:rsidR="00737691" w:rsidRPr="0072704D" w:rsidRDefault="00737691" w:rsidP="00737691">
            <w:pPr>
              <w:jc w:val="both"/>
            </w:pPr>
            <w:r w:rsidRPr="0072704D">
              <w:t xml:space="preserve">Balança decimal calibrada </w:t>
            </w:r>
          </w:p>
          <w:p w:rsidR="00737691" w:rsidRPr="0072704D" w:rsidRDefault="00737691" w:rsidP="00737691">
            <w:pPr>
              <w:jc w:val="both"/>
            </w:pPr>
            <w:r w:rsidRPr="0072704D">
              <w:t>XXIII – Inciso VI do Art. 26 da Resolução ANP nº 51/2016;</w:t>
            </w:r>
          </w:p>
          <w:p w:rsidR="00737691" w:rsidRPr="0072704D" w:rsidRDefault="00737691" w:rsidP="00737691">
            <w:pPr>
              <w:jc w:val="both"/>
            </w:pPr>
            <w:r w:rsidRPr="0072704D">
              <w:t>Placa de preço preenchida</w:t>
            </w:r>
          </w:p>
          <w:p w:rsidR="00737691" w:rsidRPr="0072704D" w:rsidRDefault="00737691" w:rsidP="00737691">
            <w:pPr>
              <w:jc w:val="both"/>
            </w:pPr>
            <w:r w:rsidRPr="0072704D">
              <w:t>XXIV – Inciso III do Art. 26 da Resolução ANP nº 51/2016;</w:t>
            </w:r>
          </w:p>
          <w:p w:rsidR="00737691" w:rsidRPr="0072704D" w:rsidRDefault="00737691" w:rsidP="00737691">
            <w:pPr>
              <w:jc w:val="both"/>
            </w:pPr>
          </w:p>
          <w:p w:rsidR="00737691" w:rsidRPr="0072704D" w:rsidRDefault="00737691" w:rsidP="00737691">
            <w:pPr>
              <w:jc w:val="both"/>
            </w:pPr>
            <w:r w:rsidRPr="0072704D">
              <w:t>Manter na revenda de GLP documentos de outorga</w:t>
            </w:r>
          </w:p>
          <w:p w:rsidR="00737691" w:rsidRPr="0072704D" w:rsidRDefault="00737691" w:rsidP="00737691">
            <w:pPr>
              <w:jc w:val="both"/>
            </w:pPr>
            <w:r w:rsidRPr="0072704D">
              <w:t>XXV – Inciso I do Art. 26 da Resolução ANP nº 51/2016;</w:t>
            </w:r>
          </w:p>
          <w:p w:rsidR="00737691" w:rsidRPr="0072704D" w:rsidRDefault="00737691" w:rsidP="00737691">
            <w:pPr>
              <w:jc w:val="both"/>
            </w:pPr>
          </w:p>
          <w:p w:rsidR="00737691" w:rsidRPr="0072704D" w:rsidRDefault="00737691" w:rsidP="00737691">
            <w:pPr>
              <w:jc w:val="both"/>
            </w:pPr>
            <w:r w:rsidRPr="0072704D">
              <w:t>Preenchimento</w:t>
            </w:r>
            <w:proofErr w:type="gramStart"/>
            <w:r w:rsidRPr="0072704D">
              <w:t>, guarda</w:t>
            </w:r>
            <w:proofErr w:type="gramEnd"/>
            <w:r w:rsidRPr="0072704D">
              <w:t xml:space="preserve"> bienal e acompanhamento de </w:t>
            </w:r>
            <w:proofErr w:type="spellStart"/>
            <w:r w:rsidRPr="0072704D">
              <w:t>NFs</w:t>
            </w:r>
            <w:proofErr w:type="spellEnd"/>
            <w:r w:rsidRPr="0072704D">
              <w:t xml:space="preserve"> do Mapa de Controle de Movimento Mensal – MCMM</w:t>
            </w:r>
          </w:p>
          <w:p w:rsidR="00737691" w:rsidRPr="0072704D" w:rsidRDefault="00737691" w:rsidP="00737691">
            <w:pPr>
              <w:jc w:val="both"/>
            </w:pPr>
            <w:r w:rsidRPr="0072704D">
              <w:t>XXVI – Art. 3 da Portaria CNP/DIFIS nº 395/82.</w:t>
            </w:r>
          </w:p>
          <w:p w:rsidR="00737691" w:rsidRPr="0072704D" w:rsidRDefault="00737691" w:rsidP="00737691">
            <w:pPr>
              <w:jc w:val="both"/>
            </w:pPr>
          </w:p>
          <w:p w:rsidR="00737691" w:rsidRPr="0072704D" w:rsidRDefault="00737691" w:rsidP="00737691">
            <w:pPr>
              <w:jc w:val="both"/>
            </w:pPr>
            <w:r w:rsidRPr="0072704D">
              <w:t>Documentos de movimentação</w:t>
            </w:r>
          </w:p>
          <w:p w:rsidR="00737691" w:rsidRPr="0072704D" w:rsidRDefault="00737691" w:rsidP="00737691">
            <w:pPr>
              <w:jc w:val="both"/>
            </w:pPr>
            <w:r w:rsidRPr="0072704D">
              <w:t>XXVII – Inciso XI do Art. 26 da Resolução ANP nº 51/2016</w:t>
            </w:r>
            <w:proofErr w:type="gramStart"/>
            <w:r w:rsidRPr="0072704D">
              <w:t>;.</w:t>
            </w:r>
            <w:proofErr w:type="gramEnd"/>
          </w:p>
          <w:p w:rsidR="00737691" w:rsidRPr="0072704D" w:rsidRDefault="00737691" w:rsidP="00737691">
            <w:pPr>
              <w:jc w:val="both"/>
            </w:pPr>
          </w:p>
          <w:p w:rsidR="00737691" w:rsidRPr="0072704D" w:rsidRDefault="00737691" w:rsidP="00737691">
            <w:pPr>
              <w:spacing w:line="211" w:lineRule="auto"/>
              <w:jc w:val="both"/>
            </w:pP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rsidR="00737691" w:rsidRPr="0072704D" w:rsidRDefault="00737691" w:rsidP="00060C65">
            <w:pPr>
              <w:spacing w:before="120"/>
              <w:ind w:left="130" w:right="125"/>
              <w:jc w:val="both"/>
            </w:pPr>
            <w:r w:rsidRPr="0072704D">
              <w:lastRenderedPageBreak/>
              <w:t xml:space="preserve">Entende-se que qualquer obrigação que seja </w:t>
            </w:r>
            <w:proofErr w:type="gramStart"/>
            <w:r w:rsidRPr="0072704D">
              <w:t>entrega,</w:t>
            </w:r>
            <w:proofErr w:type="gramEnd"/>
            <w:r w:rsidRPr="0072704D">
              <w:t xml:space="preserve"> exposição ou apresentação de dados, ou ainda pequenas adequações de disposição do estabelecimento devem ser consideradas possíveis de ser concedido prazo razoável para seu cumprimento, em benefício do principio da eficiência do ato administrativo, sem que este fato invoque em prejuízo a segurança no exercício da atividade. </w:t>
            </w:r>
          </w:p>
          <w:p w:rsidR="00737691" w:rsidRPr="00950E6B" w:rsidRDefault="00737691" w:rsidP="00950E6B">
            <w:pPr>
              <w:spacing w:before="120"/>
              <w:ind w:left="130" w:right="125"/>
              <w:jc w:val="both"/>
              <w:rPr>
                <w:color w:val="FF0000"/>
              </w:rPr>
            </w:pPr>
            <w:r w:rsidRPr="0072704D">
              <w:t>Portanto, faz-se coerente configurar como medida reparadora para as hipóteses previstas neste artigo, inclusive com base no principio da razoabilidade.</w:t>
            </w: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72704D" w:rsidRDefault="00737691" w:rsidP="00440A61">
            <w:pPr>
              <w:jc w:val="center"/>
              <w:rPr>
                <w:b/>
              </w:rPr>
            </w:pPr>
            <w:r w:rsidRPr="0072704D">
              <w:rPr>
                <w:b/>
              </w:rPr>
              <w:lastRenderedPageBreak/>
              <w:t>COPAGAZ DISTRIBUIDORA DE GÁS S.A.</w:t>
            </w:r>
          </w:p>
          <w:p w:rsidR="00737691" w:rsidRPr="00BE5899" w:rsidRDefault="00737691" w:rsidP="00440A61">
            <w:pPr>
              <w:jc w:val="center"/>
              <w:rPr>
                <w:b/>
              </w:rPr>
            </w:pPr>
          </w:p>
          <w:p w:rsidR="00737691" w:rsidRPr="00BE5899" w:rsidRDefault="00737691" w:rsidP="00440A61">
            <w:pPr>
              <w:jc w:val="center"/>
              <w:rPr>
                <w:b/>
              </w:rPr>
            </w:pP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72704D" w:rsidRDefault="00737691" w:rsidP="0072704D">
            <w:pPr>
              <w:rPr>
                <w:b/>
              </w:rPr>
            </w:pPr>
            <w:r w:rsidRPr="0072704D">
              <w:rPr>
                <w:b/>
              </w:rPr>
              <w:t>DO DISTRIBUIDOR DE GLP</w:t>
            </w:r>
          </w:p>
          <w:p w:rsidR="00737691" w:rsidRPr="0072704D" w:rsidRDefault="00737691" w:rsidP="0072704D">
            <w:pPr>
              <w:rPr>
                <w:b/>
              </w:rPr>
            </w:pPr>
          </w:p>
          <w:p w:rsidR="00737691" w:rsidRPr="00BB004F" w:rsidRDefault="00737691" w:rsidP="00737691">
            <w:pPr>
              <w:rPr>
                <w:rFonts w:ascii="Arial" w:hAnsi="Arial" w:cs="Arial"/>
                <w:bCs/>
              </w:rPr>
            </w:pPr>
            <w:r w:rsidRPr="0072704D">
              <w:rPr>
                <w:b/>
              </w:rPr>
              <w:t>Art. 12</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72704D" w:rsidRDefault="00737691" w:rsidP="00737691">
            <w:pPr>
              <w:jc w:val="both"/>
            </w:pPr>
            <w:r w:rsidRPr="0072704D">
              <w:t>DO DISTRIBUIDOR DE GLP</w:t>
            </w:r>
          </w:p>
          <w:p w:rsidR="00737691" w:rsidRPr="0072704D" w:rsidRDefault="00737691" w:rsidP="00737691">
            <w:pPr>
              <w:ind w:firstLine="567"/>
              <w:jc w:val="both"/>
            </w:pPr>
          </w:p>
          <w:p w:rsidR="00737691" w:rsidRPr="0072704D" w:rsidRDefault="00737691" w:rsidP="00737691">
            <w:pPr>
              <w:jc w:val="both"/>
            </w:pPr>
            <w:r w:rsidRPr="0072704D">
              <w:t>Art. 12. O distribuidor de GLP poderá adotar MRC quando ficar caracterizado o não atendimento aos seguintes dispositivos:</w:t>
            </w:r>
          </w:p>
          <w:p w:rsidR="00737691" w:rsidRPr="0072704D" w:rsidRDefault="00737691" w:rsidP="00737691">
            <w:pPr>
              <w:pStyle w:val="Destaque1"/>
              <w:ind w:left="0"/>
              <w:rPr>
                <w:b w:val="0"/>
                <w:sz w:val="20"/>
                <w:szCs w:val="20"/>
              </w:rPr>
            </w:pPr>
            <w:r w:rsidRPr="0072704D">
              <w:rPr>
                <w:b w:val="0"/>
                <w:sz w:val="20"/>
                <w:szCs w:val="20"/>
              </w:rPr>
              <w:t>Informação de alterações cadastrais</w:t>
            </w:r>
          </w:p>
          <w:p w:rsidR="00737691" w:rsidRPr="0072704D" w:rsidRDefault="00737691" w:rsidP="00737691">
            <w:pPr>
              <w:jc w:val="both"/>
            </w:pPr>
            <w:r w:rsidRPr="0072704D">
              <w:lastRenderedPageBreak/>
              <w:t xml:space="preserve">I – caput e incisos do art. 17 da Resolução ANP nº 49, de </w:t>
            </w:r>
            <w:proofErr w:type="gramStart"/>
            <w:r w:rsidRPr="0072704D">
              <w:t>2</w:t>
            </w:r>
            <w:proofErr w:type="gramEnd"/>
            <w:r w:rsidRPr="0072704D">
              <w:t xml:space="preserve"> de dezembro de 2016;</w:t>
            </w:r>
          </w:p>
          <w:p w:rsidR="00737691" w:rsidRPr="0072704D" w:rsidRDefault="00737691" w:rsidP="00737691">
            <w:pPr>
              <w:pStyle w:val="Destaque1"/>
              <w:ind w:left="0"/>
              <w:rPr>
                <w:b w:val="0"/>
                <w:sz w:val="20"/>
                <w:szCs w:val="20"/>
              </w:rPr>
            </w:pPr>
            <w:r w:rsidRPr="0072704D">
              <w:rPr>
                <w:b w:val="0"/>
                <w:sz w:val="20"/>
                <w:szCs w:val="20"/>
              </w:rPr>
              <w:t>Identificação da marca do distribuidor no veículo</w:t>
            </w:r>
          </w:p>
          <w:p w:rsidR="00737691" w:rsidRPr="0072704D" w:rsidRDefault="00737691" w:rsidP="00737691">
            <w:pPr>
              <w:jc w:val="both"/>
            </w:pPr>
            <w:r w:rsidRPr="0072704D">
              <w:t>II – Inciso XVIII do art. 41 da Resolução ANP nº 49/2016.</w:t>
            </w:r>
          </w:p>
          <w:p w:rsidR="00737691" w:rsidRPr="0072704D" w:rsidRDefault="00737691" w:rsidP="00737691">
            <w:pPr>
              <w:pStyle w:val="Destaque1"/>
              <w:ind w:left="0"/>
              <w:rPr>
                <w:b w:val="0"/>
                <w:sz w:val="20"/>
                <w:szCs w:val="20"/>
              </w:rPr>
            </w:pPr>
          </w:p>
          <w:p w:rsidR="00737691" w:rsidRPr="0072704D" w:rsidRDefault="00737691" w:rsidP="00737691">
            <w:pPr>
              <w:pStyle w:val="Destaque1"/>
              <w:ind w:left="0"/>
              <w:rPr>
                <w:b w:val="0"/>
                <w:sz w:val="20"/>
                <w:szCs w:val="20"/>
              </w:rPr>
            </w:pPr>
            <w:r w:rsidRPr="0072704D">
              <w:rPr>
                <w:b w:val="0"/>
                <w:sz w:val="20"/>
                <w:szCs w:val="20"/>
              </w:rPr>
              <w:t>Fornecimento de GLP para outros usos</w:t>
            </w:r>
          </w:p>
          <w:p w:rsidR="00737691" w:rsidRPr="0072704D" w:rsidRDefault="00737691" w:rsidP="00737691">
            <w:pPr>
              <w:pStyle w:val="Destaque1"/>
              <w:ind w:left="0"/>
              <w:rPr>
                <w:b w:val="0"/>
                <w:sz w:val="20"/>
                <w:szCs w:val="20"/>
              </w:rPr>
            </w:pPr>
            <w:r w:rsidRPr="0072704D">
              <w:rPr>
                <w:b w:val="0"/>
                <w:sz w:val="20"/>
                <w:szCs w:val="20"/>
              </w:rPr>
              <w:t>III – artigo 33 da Resolução ANP 49/2016;</w:t>
            </w:r>
          </w:p>
          <w:p w:rsidR="00737691" w:rsidRPr="0072704D" w:rsidRDefault="00737691" w:rsidP="00737691">
            <w:pPr>
              <w:pStyle w:val="Destaque1"/>
              <w:ind w:left="0"/>
              <w:rPr>
                <w:b w:val="0"/>
                <w:sz w:val="20"/>
                <w:szCs w:val="20"/>
              </w:rPr>
            </w:pPr>
          </w:p>
          <w:p w:rsidR="00737691" w:rsidRPr="0072704D" w:rsidRDefault="00737691" w:rsidP="00737691">
            <w:pPr>
              <w:pStyle w:val="Destaque1"/>
              <w:ind w:left="0"/>
              <w:rPr>
                <w:b w:val="0"/>
                <w:sz w:val="20"/>
                <w:szCs w:val="20"/>
              </w:rPr>
            </w:pPr>
            <w:r w:rsidRPr="0072704D">
              <w:rPr>
                <w:b w:val="0"/>
                <w:sz w:val="20"/>
                <w:szCs w:val="20"/>
              </w:rPr>
              <w:t>Envio de Informações para a ANP</w:t>
            </w:r>
          </w:p>
          <w:p w:rsidR="00737691" w:rsidRPr="0072704D" w:rsidRDefault="00737691" w:rsidP="00737691">
            <w:pPr>
              <w:pStyle w:val="Destaque1"/>
              <w:ind w:left="0"/>
              <w:rPr>
                <w:b w:val="0"/>
                <w:sz w:val="20"/>
                <w:szCs w:val="20"/>
              </w:rPr>
            </w:pPr>
            <w:r w:rsidRPr="0072704D">
              <w:rPr>
                <w:b w:val="0"/>
                <w:sz w:val="20"/>
                <w:szCs w:val="20"/>
              </w:rPr>
              <w:t>IV - Art. 5º da Resolução ANP 17/2004 e artigo 39 da Resolução ANP 49/2016;</w:t>
            </w:r>
          </w:p>
          <w:p w:rsidR="00737691" w:rsidRPr="0072704D" w:rsidRDefault="00737691" w:rsidP="00737691">
            <w:pPr>
              <w:pStyle w:val="Destaque1"/>
              <w:ind w:left="0"/>
              <w:rPr>
                <w:b w:val="0"/>
                <w:sz w:val="20"/>
                <w:szCs w:val="20"/>
              </w:rPr>
            </w:pPr>
          </w:p>
          <w:p w:rsidR="00737691" w:rsidRPr="0072704D" w:rsidRDefault="00737691" w:rsidP="00737691">
            <w:pPr>
              <w:pStyle w:val="Destaque1"/>
              <w:ind w:left="0"/>
              <w:rPr>
                <w:b w:val="0"/>
                <w:sz w:val="20"/>
                <w:szCs w:val="20"/>
              </w:rPr>
            </w:pPr>
            <w:r w:rsidRPr="0072704D">
              <w:rPr>
                <w:b w:val="0"/>
                <w:sz w:val="20"/>
                <w:szCs w:val="20"/>
              </w:rPr>
              <w:t>Manter atualizados os documentos das fases de habilitação e outorga</w:t>
            </w:r>
          </w:p>
          <w:p w:rsidR="00737691" w:rsidRPr="0072704D" w:rsidRDefault="00737691" w:rsidP="00737691">
            <w:pPr>
              <w:pStyle w:val="Destaque1"/>
              <w:ind w:left="0"/>
              <w:rPr>
                <w:b w:val="0"/>
                <w:sz w:val="20"/>
                <w:szCs w:val="20"/>
              </w:rPr>
            </w:pPr>
            <w:r w:rsidRPr="0072704D">
              <w:rPr>
                <w:b w:val="0"/>
                <w:sz w:val="20"/>
                <w:szCs w:val="20"/>
              </w:rPr>
              <w:t>V – Inciso I do artigo 41 da Resolução ANP 49/2016</w:t>
            </w:r>
          </w:p>
          <w:p w:rsidR="00737691" w:rsidRPr="0072704D" w:rsidRDefault="00737691" w:rsidP="00737691">
            <w:pPr>
              <w:pStyle w:val="Destaque1"/>
              <w:ind w:left="0"/>
              <w:rPr>
                <w:b w:val="0"/>
                <w:sz w:val="20"/>
                <w:szCs w:val="20"/>
              </w:rPr>
            </w:pPr>
          </w:p>
          <w:p w:rsidR="00737691" w:rsidRPr="0072704D" w:rsidRDefault="00737691" w:rsidP="00737691">
            <w:pPr>
              <w:pStyle w:val="Destaque1"/>
              <w:ind w:left="0"/>
              <w:rPr>
                <w:b w:val="0"/>
                <w:sz w:val="20"/>
                <w:szCs w:val="20"/>
              </w:rPr>
            </w:pPr>
            <w:r w:rsidRPr="0072704D">
              <w:rPr>
                <w:b w:val="0"/>
                <w:sz w:val="20"/>
                <w:szCs w:val="20"/>
              </w:rPr>
              <w:t>Comercializar GLP em recipientes com rótulo de informações</w:t>
            </w:r>
          </w:p>
          <w:p w:rsidR="00737691" w:rsidRPr="0072704D" w:rsidRDefault="00737691" w:rsidP="00737691">
            <w:pPr>
              <w:pStyle w:val="Destaque1"/>
              <w:ind w:left="0"/>
              <w:rPr>
                <w:b w:val="0"/>
                <w:sz w:val="20"/>
                <w:szCs w:val="20"/>
              </w:rPr>
            </w:pPr>
            <w:r w:rsidRPr="0072704D">
              <w:rPr>
                <w:b w:val="0"/>
                <w:sz w:val="20"/>
                <w:szCs w:val="20"/>
              </w:rPr>
              <w:t>VI – Alínea “a” do inciso IV do artigo 41, da Resolução ANP 49/2016;</w:t>
            </w:r>
          </w:p>
          <w:p w:rsidR="00737691" w:rsidRPr="0072704D" w:rsidRDefault="00737691" w:rsidP="00737691">
            <w:pPr>
              <w:pStyle w:val="Destaque1"/>
              <w:ind w:left="0"/>
              <w:rPr>
                <w:b w:val="0"/>
                <w:sz w:val="20"/>
                <w:szCs w:val="20"/>
              </w:rPr>
            </w:pPr>
          </w:p>
          <w:p w:rsidR="00737691" w:rsidRPr="0072704D" w:rsidRDefault="00737691" w:rsidP="00737691">
            <w:pPr>
              <w:pStyle w:val="Destaque1"/>
              <w:ind w:left="0"/>
              <w:rPr>
                <w:b w:val="0"/>
                <w:sz w:val="20"/>
                <w:szCs w:val="20"/>
              </w:rPr>
            </w:pPr>
            <w:r w:rsidRPr="0072704D">
              <w:rPr>
                <w:b w:val="0"/>
                <w:sz w:val="20"/>
                <w:szCs w:val="20"/>
              </w:rPr>
              <w:t>Comercializar recipiente de GLP cheio vício de quantidade desconsiderando as tolerâncias metrológicas.</w:t>
            </w:r>
          </w:p>
          <w:p w:rsidR="00737691" w:rsidRPr="0072704D" w:rsidRDefault="00737691" w:rsidP="00737691">
            <w:pPr>
              <w:pStyle w:val="Destaque1"/>
              <w:ind w:left="0"/>
              <w:rPr>
                <w:b w:val="0"/>
                <w:sz w:val="20"/>
                <w:szCs w:val="20"/>
              </w:rPr>
            </w:pPr>
            <w:r w:rsidRPr="0072704D">
              <w:rPr>
                <w:b w:val="0"/>
                <w:sz w:val="20"/>
                <w:szCs w:val="20"/>
              </w:rPr>
              <w:t>VII - Incisos VI e VII do artigo 41 da Resolução ANP 49/2016;</w:t>
            </w:r>
          </w:p>
          <w:p w:rsidR="00737691" w:rsidRPr="0072704D" w:rsidRDefault="00737691" w:rsidP="00737691">
            <w:pPr>
              <w:pStyle w:val="Destaque1"/>
              <w:ind w:left="0"/>
              <w:rPr>
                <w:b w:val="0"/>
                <w:sz w:val="20"/>
                <w:szCs w:val="20"/>
              </w:rPr>
            </w:pPr>
          </w:p>
          <w:p w:rsidR="00737691" w:rsidRPr="0072704D" w:rsidRDefault="00737691" w:rsidP="00737691">
            <w:pPr>
              <w:pStyle w:val="Destaque1"/>
              <w:ind w:left="0"/>
              <w:rPr>
                <w:b w:val="0"/>
                <w:sz w:val="20"/>
                <w:szCs w:val="20"/>
              </w:rPr>
            </w:pPr>
            <w:r w:rsidRPr="0072704D">
              <w:rPr>
                <w:b w:val="0"/>
                <w:sz w:val="20"/>
                <w:szCs w:val="20"/>
              </w:rPr>
              <w:t>Dispor de balança decimal no estabelecimento</w:t>
            </w:r>
          </w:p>
          <w:p w:rsidR="00737691" w:rsidRPr="0072704D" w:rsidRDefault="00737691" w:rsidP="00737691">
            <w:pPr>
              <w:pStyle w:val="Destaque1"/>
              <w:ind w:left="0"/>
              <w:rPr>
                <w:b w:val="0"/>
                <w:sz w:val="20"/>
                <w:szCs w:val="20"/>
              </w:rPr>
            </w:pPr>
            <w:r w:rsidRPr="0072704D">
              <w:rPr>
                <w:b w:val="0"/>
                <w:sz w:val="20"/>
                <w:szCs w:val="20"/>
              </w:rPr>
              <w:t>VIII - Inciso IX do artigo 41 da Resolução ANP 49/2016</w:t>
            </w:r>
          </w:p>
          <w:p w:rsidR="00737691" w:rsidRPr="0072704D" w:rsidRDefault="00737691" w:rsidP="00737691">
            <w:pPr>
              <w:pStyle w:val="Destaque1"/>
              <w:ind w:left="0"/>
              <w:rPr>
                <w:b w:val="0"/>
                <w:sz w:val="20"/>
                <w:szCs w:val="20"/>
              </w:rPr>
            </w:pPr>
          </w:p>
          <w:p w:rsidR="00737691" w:rsidRPr="0072704D" w:rsidRDefault="00737691" w:rsidP="00737691">
            <w:pPr>
              <w:pStyle w:val="Destaque1"/>
              <w:ind w:left="0"/>
              <w:rPr>
                <w:b w:val="0"/>
                <w:sz w:val="20"/>
                <w:szCs w:val="20"/>
              </w:rPr>
            </w:pPr>
            <w:r w:rsidRPr="0072704D">
              <w:rPr>
                <w:b w:val="0"/>
                <w:sz w:val="20"/>
                <w:szCs w:val="20"/>
              </w:rPr>
              <w:t xml:space="preserve">Informar à ANP o término de contrato de carregamento rodoviário, cessão de espaço, com ou sem </w:t>
            </w:r>
            <w:proofErr w:type="spellStart"/>
            <w:r w:rsidRPr="0072704D">
              <w:rPr>
                <w:b w:val="0"/>
                <w:sz w:val="20"/>
                <w:szCs w:val="20"/>
              </w:rPr>
              <w:t>envasilhamento</w:t>
            </w:r>
            <w:proofErr w:type="spellEnd"/>
            <w:r w:rsidRPr="0072704D">
              <w:rPr>
                <w:b w:val="0"/>
                <w:sz w:val="20"/>
                <w:szCs w:val="20"/>
              </w:rPr>
              <w:t>.</w:t>
            </w:r>
          </w:p>
          <w:p w:rsidR="00737691" w:rsidRPr="0072704D" w:rsidRDefault="00737691" w:rsidP="00737691">
            <w:pPr>
              <w:pStyle w:val="Destaque1"/>
              <w:ind w:left="0"/>
              <w:rPr>
                <w:b w:val="0"/>
                <w:sz w:val="20"/>
                <w:szCs w:val="20"/>
              </w:rPr>
            </w:pPr>
            <w:r w:rsidRPr="0072704D">
              <w:rPr>
                <w:b w:val="0"/>
                <w:sz w:val="20"/>
                <w:szCs w:val="20"/>
              </w:rPr>
              <w:t>IX - Inciso XI do artigo 41 da Resolução ANP 49/2016;</w:t>
            </w:r>
          </w:p>
          <w:p w:rsidR="00737691" w:rsidRPr="0072704D" w:rsidRDefault="00737691" w:rsidP="00737691">
            <w:pPr>
              <w:pStyle w:val="Destaque1"/>
              <w:ind w:left="0"/>
              <w:rPr>
                <w:b w:val="0"/>
                <w:sz w:val="20"/>
                <w:szCs w:val="20"/>
              </w:rPr>
            </w:pPr>
          </w:p>
          <w:p w:rsidR="00737691" w:rsidRPr="0072704D" w:rsidRDefault="00737691" w:rsidP="00737691">
            <w:pPr>
              <w:pStyle w:val="Destaque1"/>
              <w:ind w:left="0"/>
              <w:rPr>
                <w:b w:val="0"/>
                <w:sz w:val="20"/>
                <w:szCs w:val="20"/>
              </w:rPr>
            </w:pPr>
            <w:r w:rsidRPr="0072704D">
              <w:rPr>
                <w:b w:val="0"/>
                <w:sz w:val="20"/>
                <w:szCs w:val="20"/>
              </w:rPr>
              <w:t>Informações de telefone de assistência técnica no recipiente ou na área da Central de GLP</w:t>
            </w:r>
          </w:p>
          <w:p w:rsidR="00737691" w:rsidRPr="0072704D" w:rsidRDefault="00737691" w:rsidP="00737691">
            <w:pPr>
              <w:pStyle w:val="Destaque1"/>
              <w:ind w:left="0"/>
              <w:rPr>
                <w:b w:val="0"/>
                <w:sz w:val="20"/>
                <w:szCs w:val="20"/>
              </w:rPr>
            </w:pPr>
            <w:r w:rsidRPr="0072704D">
              <w:rPr>
                <w:b w:val="0"/>
                <w:sz w:val="20"/>
                <w:szCs w:val="20"/>
              </w:rPr>
              <w:t>X - Inciso XV do artigo 41 da Resolução ANP 49/2016;</w:t>
            </w:r>
          </w:p>
          <w:p w:rsidR="00737691" w:rsidRPr="0072704D" w:rsidRDefault="00737691" w:rsidP="00737691">
            <w:pPr>
              <w:pStyle w:val="Destaque1"/>
              <w:ind w:left="0"/>
              <w:rPr>
                <w:b w:val="0"/>
                <w:sz w:val="20"/>
                <w:szCs w:val="20"/>
              </w:rPr>
            </w:pPr>
          </w:p>
          <w:p w:rsidR="00737691" w:rsidRPr="0072704D" w:rsidRDefault="00737691" w:rsidP="00737691">
            <w:pPr>
              <w:pStyle w:val="Destaque1"/>
              <w:ind w:left="0"/>
              <w:rPr>
                <w:b w:val="0"/>
                <w:sz w:val="20"/>
                <w:szCs w:val="20"/>
              </w:rPr>
            </w:pPr>
            <w:r w:rsidRPr="0072704D">
              <w:rPr>
                <w:b w:val="0"/>
                <w:sz w:val="20"/>
                <w:szCs w:val="20"/>
              </w:rPr>
              <w:t xml:space="preserve">Comercializar recipientes que apresentem requisitos para requalificação </w:t>
            </w:r>
          </w:p>
          <w:p w:rsidR="00737691" w:rsidRPr="0072704D" w:rsidRDefault="00737691" w:rsidP="00737691">
            <w:pPr>
              <w:pStyle w:val="Destaque1"/>
              <w:ind w:left="0"/>
              <w:rPr>
                <w:b w:val="0"/>
                <w:sz w:val="20"/>
                <w:szCs w:val="20"/>
              </w:rPr>
            </w:pPr>
            <w:r w:rsidRPr="0072704D">
              <w:rPr>
                <w:b w:val="0"/>
                <w:sz w:val="20"/>
                <w:szCs w:val="20"/>
              </w:rPr>
              <w:t xml:space="preserve">XI – Art. 37, Art. 38 e incisos III e VII do Art. 41, da </w:t>
            </w:r>
            <w:r w:rsidRPr="0072704D">
              <w:rPr>
                <w:b w:val="0"/>
                <w:sz w:val="20"/>
                <w:szCs w:val="20"/>
              </w:rPr>
              <w:lastRenderedPageBreak/>
              <w:t>Resolução ANP 49/2016 e Art. 1º e 2º da Resolução ANP 40/2014;</w:t>
            </w:r>
          </w:p>
          <w:p w:rsidR="00737691" w:rsidRPr="0072704D" w:rsidRDefault="00737691" w:rsidP="00737691">
            <w:pPr>
              <w:pStyle w:val="Destaque1"/>
              <w:ind w:left="0"/>
              <w:rPr>
                <w:b w:val="0"/>
                <w:sz w:val="20"/>
                <w:szCs w:val="20"/>
              </w:rPr>
            </w:pPr>
          </w:p>
          <w:p w:rsidR="00737691" w:rsidRPr="0072704D" w:rsidRDefault="00737691" w:rsidP="00737691">
            <w:pPr>
              <w:jc w:val="both"/>
            </w:pPr>
            <w:r w:rsidRPr="0072704D">
              <w:t>Delimitação no piso da área de armazenamento de recipientes de GLP e corredores de circulação.</w:t>
            </w:r>
          </w:p>
          <w:p w:rsidR="00737691" w:rsidRPr="0072704D" w:rsidRDefault="00737691" w:rsidP="00737691">
            <w:pPr>
              <w:jc w:val="both"/>
            </w:pPr>
            <w:r w:rsidRPr="0072704D">
              <w:t>XII - item 5.6.4, 5.6.5 da Norma Brasileira ABNT NBR 15186, adotada pelo caput do art. 1 da Resolução ANP nº 35/2005;</w:t>
            </w:r>
          </w:p>
          <w:p w:rsidR="00737691" w:rsidRPr="0072704D" w:rsidRDefault="00737691" w:rsidP="00737691">
            <w:pPr>
              <w:jc w:val="both"/>
            </w:pPr>
          </w:p>
          <w:p w:rsidR="00737691" w:rsidRPr="0072704D" w:rsidRDefault="00737691" w:rsidP="00737691">
            <w:pPr>
              <w:jc w:val="both"/>
            </w:pPr>
            <w:r w:rsidRPr="0072704D">
              <w:t>Empilhamento de recipientes transportáveis de GLP</w:t>
            </w:r>
          </w:p>
          <w:p w:rsidR="00737691" w:rsidRPr="0072704D" w:rsidRDefault="00737691" w:rsidP="00737691">
            <w:pPr>
              <w:jc w:val="both"/>
            </w:pPr>
            <w:r w:rsidRPr="0072704D">
              <w:t>XIII - item 5.6.6 da Norma Brasileira ABNT NBR 15186, adotada pelo caput do art. 1 da Resolução ANP nº 35/2005.</w:t>
            </w:r>
          </w:p>
          <w:p w:rsidR="00737691" w:rsidRPr="0072704D" w:rsidRDefault="00737691" w:rsidP="00737691">
            <w:pPr>
              <w:jc w:val="both"/>
            </w:pPr>
          </w:p>
          <w:p w:rsidR="00737691" w:rsidRPr="0072704D" w:rsidRDefault="00737691" w:rsidP="00737691">
            <w:pPr>
              <w:jc w:val="both"/>
            </w:pPr>
            <w:r w:rsidRPr="0072704D">
              <w:t>Cumprimento da ABNT NBR 15514</w:t>
            </w:r>
          </w:p>
          <w:p w:rsidR="00737691" w:rsidRPr="0072704D" w:rsidRDefault="00737691" w:rsidP="00737691">
            <w:pPr>
              <w:jc w:val="both"/>
            </w:pPr>
            <w:r w:rsidRPr="0072704D">
              <w:t xml:space="preserve">XIV – Aplicação de todas as medidas reparadoras expostas no artigo 7º desta Resolução referente </w:t>
            </w:r>
            <w:proofErr w:type="gramStart"/>
            <w:r w:rsidRPr="0072704D">
              <w:t>a</w:t>
            </w:r>
            <w:proofErr w:type="gramEnd"/>
            <w:r w:rsidRPr="0072704D">
              <w:t xml:space="preserve"> ABNT NBR 15514 em razão da adoção da alínea “a”, inciso III do artigo 15 da Res. ANP 49/2016 </w:t>
            </w:r>
          </w:p>
          <w:p w:rsidR="00737691" w:rsidRPr="0072704D" w:rsidRDefault="00737691" w:rsidP="00737691">
            <w:pPr>
              <w:jc w:val="both"/>
            </w:pPr>
          </w:p>
          <w:p w:rsidR="00737691" w:rsidRPr="0072704D" w:rsidRDefault="00737691" w:rsidP="00737691">
            <w:pPr>
              <w:jc w:val="both"/>
            </w:pPr>
            <w:r w:rsidRPr="0072704D">
              <w:t>Impressão e entrega do Mapa de Controle de Movimento Mensal – MCMM</w:t>
            </w:r>
          </w:p>
          <w:p w:rsidR="00737691" w:rsidRPr="0072704D" w:rsidRDefault="00737691" w:rsidP="00737691">
            <w:pPr>
              <w:jc w:val="both"/>
            </w:pPr>
            <w:r w:rsidRPr="0072704D">
              <w:t>XV – Art. 2 da Portaria CNP/DIFIS nº 395/82.</w:t>
            </w:r>
          </w:p>
          <w:p w:rsidR="00737691" w:rsidRPr="0072704D" w:rsidRDefault="00737691" w:rsidP="00737691">
            <w:pPr>
              <w:jc w:val="both"/>
            </w:pPr>
          </w:p>
          <w:p w:rsidR="00737691" w:rsidRPr="0072704D" w:rsidRDefault="00737691" w:rsidP="00737691">
            <w:pPr>
              <w:jc w:val="both"/>
            </w:pPr>
            <w:r w:rsidRPr="0072704D">
              <w:t>Distância de veículos estacionados em imóvel que possui área de armazenamento de recipientes de Gás LP</w:t>
            </w:r>
          </w:p>
          <w:p w:rsidR="00737691" w:rsidRPr="0072704D" w:rsidRDefault="00737691" w:rsidP="00737691">
            <w:pPr>
              <w:jc w:val="both"/>
            </w:pPr>
            <w:r w:rsidRPr="0072704D">
              <w:t>XVII - Incisos II, IV, V, VI e VII do Art. 2º, Art. 3º, Art. 5º e Art. 6º da Resolução ANP nº 70/2011;</w:t>
            </w:r>
          </w:p>
          <w:p w:rsidR="00737691" w:rsidRPr="0072704D" w:rsidRDefault="00737691" w:rsidP="00737691">
            <w:pPr>
              <w:jc w:val="both"/>
            </w:pPr>
          </w:p>
          <w:p w:rsidR="00737691" w:rsidRPr="0072704D" w:rsidRDefault="00737691" w:rsidP="00737691">
            <w:pPr>
              <w:jc w:val="both"/>
            </w:pPr>
            <w:r w:rsidRPr="0072704D">
              <w:t>Empilhamento de recipientes de GLP na área de armazenamento, estacionamento e transporte.</w:t>
            </w:r>
          </w:p>
          <w:p w:rsidR="00737691" w:rsidRPr="0072704D" w:rsidRDefault="00737691" w:rsidP="00737691">
            <w:pPr>
              <w:jc w:val="both"/>
            </w:pPr>
            <w:r w:rsidRPr="0072704D">
              <w:t>XVIII – Inciso IV do Art. 2º da Resolução ANP nº 70/2011</w:t>
            </w:r>
          </w:p>
          <w:p w:rsidR="00737691" w:rsidRPr="0072704D" w:rsidRDefault="00737691" w:rsidP="00737691">
            <w:pPr>
              <w:jc w:val="both"/>
            </w:pPr>
          </w:p>
          <w:p w:rsidR="00737691" w:rsidRPr="0072704D" w:rsidRDefault="00737691" w:rsidP="00737691">
            <w:pPr>
              <w:pStyle w:val="Destaque1"/>
              <w:ind w:left="0"/>
              <w:rPr>
                <w:b w:val="0"/>
                <w:sz w:val="20"/>
                <w:szCs w:val="20"/>
              </w:rPr>
            </w:pPr>
            <w:r w:rsidRPr="0072704D">
              <w:rPr>
                <w:b w:val="0"/>
                <w:sz w:val="20"/>
                <w:szCs w:val="20"/>
              </w:rPr>
              <w:t xml:space="preserve">Exibição de placa, no local de estacionamento do(s) veículo(s) </w:t>
            </w:r>
            <w:proofErr w:type="gramStart"/>
            <w:r w:rsidRPr="0072704D">
              <w:rPr>
                <w:b w:val="0"/>
                <w:sz w:val="20"/>
                <w:szCs w:val="20"/>
              </w:rPr>
              <w:t>transportador(</w:t>
            </w:r>
            <w:proofErr w:type="spellStart"/>
            <w:proofErr w:type="gramEnd"/>
            <w:r w:rsidRPr="0072704D">
              <w:rPr>
                <w:b w:val="0"/>
                <w:sz w:val="20"/>
                <w:szCs w:val="20"/>
              </w:rPr>
              <w:t>es</w:t>
            </w:r>
            <w:proofErr w:type="spellEnd"/>
            <w:r w:rsidRPr="0072704D">
              <w:rPr>
                <w:b w:val="0"/>
                <w:sz w:val="20"/>
                <w:szCs w:val="20"/>
              </w:rPr>
              <w:t>) com o dizer "PROIBIDO O USO DE FOGO E DE QUALQUER INSTRUMENTO QUE PRODUZA FAÍSCA", com altura e forma adequadas</w:t>
            </w:r>
          </w:p>
          <w:p w:rsidR="00737691" w:rsidRPr="0072704D" w:rsidRDefault="00737691" w:rsidP="00737691">
            <w:pPr>
              <w:jc w:val="both"/>
            </w:pPr>
            <w:r w:rsidRPr="0072704D">
              <w:t>XIX – inc. VII do art. 2º da Resolução ANP nº 70, de 20 de dezembro de 2011;</w:t>
            </w:r>
          </w:p>
          <w:p w:rsidR="00737691" w:rsidRPr="0072704D" w:rsidRDefault="00737691" w:rsidP="00737691">
            <w:pPr>
              <w:jc w:val="both"/>
            </w:pPr>
          </w:p>
          <w:p w:rsidR="00737691" w:rsidRPr="0072704D" w:rsidRDefault="00737691" w:rsidP="00737691">
            <w:pPr>
              <w:jc w:val="both"/>
            </w:pPr>
            <w:r w:rsidRPr="0072704D">
              <w:t>Comunicação de Incidentes e Acidentes</w:t>
            </w:r>
          </w:p>
          <w:p w:rsidR="00737691" w:rsidRPr="0072704D" w:rsidRDefault="00737691" w:rsidP="00737691">
            <w:pPr>
              <w:jc w:val="both"/>
            </w:pPr>
            <w:r w:rsidRPr="0072704D">
              <w:t xml:space="preserve">XX – </w:t>
            </w:r>
            <w:proofErr w:type="spellStart"/>
            <w:r w:rsidRPr="0072704D">
              <w:t>Arts</w:t>
            </w:r>
            <w:proofErr w:type="spellEnd"/>
            <w:r w:rsidRPr="0072704D">
              <w:t xml:space="preserve">. 2º e 3º da Resolução ANP nº 44, de 22 de </w:t>
            </w:r>
            <w:r w:rsidRPr="0072704D">
              <w:lastRenderedPageBreak/>
              <w:t>dezembro de 2009;</w:t>
            </w:r>
          </w:p>
          <w:p w:rsidR="00737691" w:rsidRPr="0072704D" w:rsidRDefault="00737691" w:rsidP="00737691">
            <w:pPr>
              <w:jc w:val="both"/>
            </w:pPr>
          </w:p>
          <w:p w:rsidR="00737691" w:rsidRPr="0072704D" w:rsidRDefault="00737691" w:rsidP="00737691">
            <w:pPr>
              <w:jc w:val="both"/>
            </w:pPr>
            <w:r w:rsidRPr="0072704D">
              <w:t>Transporte do Produto</w:t>
            </w:r>
          </w:p>
          <w:p w:rsidR="00737691" w:rsidRPr="0072704D" w:rsidRDefault="00737691" w:rsidP="00737691">
            <w:pPr>
              <w:jc w:val="both"/>
            </w:pPr>
            <w:r w:rsidRPr="0072704D">
              <w:t xml:space="preserve">XXI – </w:t>
            </w:r>
            <w:proofErr w:type="spellStart"/>
            <w:r w:rsidRPr="0072704D">
              <w:t>Arts</w:t>
            </w:r>
            <w:proofErr w:type="spellEnd"/>
            <w:r w:rsidRPr="0072704D">
              <w:t>. 5, 6, 7, 8, 9º e 10 da Resolução ANP nº 26, de 27 de maio de 2015;</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72704D" w:rsidRDefault="00737691" w:rsidP="00060C65">
            <w:pPr>
              <w:spacing w:before="120"/>
              <w:ind w:left="130" w:right="125"/>
              <w:jc w:val="both"/>
            </w:pPr>
            <w:r w:rsidRPr="0072704D">
              <w:lastRenderedPageBreak/>
              <w:t xml:space="preserve">A atual legislação de medidas cautelares trata todo e qualquer requisito de segurança em distribuidoras e revendas de GLP como situação de grave e iminente risco, ou seja, se o perigo se transformar em ocorrência, as consequências serão graves e está prestes a acontecer, determinando interdição do local e apreensão de bens. </w:t>
            </w:r>
          </w:p>
          <w:p w:rsidR="00737691" w:rsidRPr="0072704D" w:rsidRDefault="00737691" w:rsidP="00060C65">
            <w:pPr>
              <w:spacing w:before="120"/>
              <w:ind w:left="130" w:right="125"/>
              <w:jc w:val="both"/>
            </w:pPr>
            <w:r w:rsidRPr="0072704D">
              <w:lastRenderedPageBreak/>
              <w:t>É notório que o GLP é um produto inflamável, podendo em determinadas condições explodir</w:t>
            </w:r>
            <w:r w:rsidRPr="0072704D">
              <w:footnoteReference w:id="1"/>
            </w:r>
            <w:r w:rsidRPr="0072704D">
              <w:t>, o que muitas vezes acabou por resultar em ocorrências com consequências graves. Contudo, análises de riscos não devem avaliar exclusivamente a gravidade das consequências para determinar o nível de ação de medidas preventivas ou cautelares, devem também considerar a probabilidade do perigo se transformar em uma ocorrência considerando as proteções existentes.</w:t>
            </w:r>
          </w:p>
          <w:p w:rsidR="00737691" w:rsidRPr="0072704D" w:rsidRDefault="00737691" w:rsidP="00060C65">
            <w:pPr>
              <w:spacing w:before="120"/>
              <w:ind w:left="130" w:right="125"/>
              <w:jc w:val="both"/>
            </w:pPr>
            <w:r w:rsidRPr="0072704D">
              <w:t xml:space="preserve">Baseado nesta premissa, as presentes propostas de alteração fundamentam-se </w:t>
            </w:r>
            <w:proofErr w:type="gramStart"/>
            <w:r w:rsidRPr="0072704D">
              <w:t xml:space="preserve">no </w:t>
            </w:r>
            <w:proofErr w:type="spellStart"/>
            <w:r w:rsidRPr="0072704D">
              <w:t>no</w:t>
            </w:r>
            <w:proofErr w:type="spellEnd"/>
            <w:proofErr w:type="gramEnd"/>
            <w:r w:rsidRPr="0072704D">
              <w:t xml:space="preserve"> fato que entende-se que qualquer obrigação que seja entrega, exposição ou apresentação de dados, ou ainda pequenas adequações de disposição do estabelecimento devem ser consideradas possíveis de ser concedido prazo razoável para seu cumprimento, em benefício do principio da eficiência do ato administrativo, sem que este fato invoque em prejuízo a segurança no exercício da atividade. </w:t>
            </w:r>
          </w:p>
          <w:p w:rsidR="00737691" w:rsidRPr="00BE5899" w:rsidRDefault="00737691" w:rsidP="00060C65">
            <w:pPr>
              <w:pStyle w:val="Default"/>
              <w:spacing w:before="120"/>
              <w:ind w:left="130" w:right="125"/>
              <w:jc w:val="both"/>
              <w:rPr>
                <w:rFonts w:ascii="Times New Roman" w:hAnsi="Times New Roman" w:cs="Times New Roman"/>
                <w:color w:val="auto"/>
                <w:sz w:val="20"/>
                <w:szCs w:val="20"/>
              </w:rPr>
            </w:pPr>
            <w:r w:rsidRPr="00737691">
              <w:rPr>
                <w:rFonts w:ascii="Times New Roman" w:hAnsi="Times New Roman" w:cs="Times New Roman"/>
                <w:color w:val="auto"/>
                <w:sz w:val="20"/>
                <w:szCs w:val="20"/>
              </w:rPr>
              <w:t>Portanto, faz-se coerente configurar como medida reparadora para as hipóteses previstas neste artigo, inclusive com base no principio da razoabilidade.</w:t>
            </w: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B601EF" w:rsidRDefault="00614DE2" w:rsidP="00440A61">
            <w:pPr>
              <w:jc w:val="center"/>
              <w:rPr>
                <w:b/>
              </w:rPr>
            </w:pPr>
            <w:r w:rsidRPr="00B601EF">
              <w:rPr>
                <w:b/>
              </w:rPr>
              <w:lastRenderedPageBreak/>
              <w:t>ANP</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737691">
            <w:pPr>
              <w:rPr>
                <w:rFonts w:ascii="Arial" w:eastAsia="Arial Unicode MS" w:hAnsi="Arial" w:cs="Arial"/>
                <w:b/>
                <w:bCs/>
                <w:color w:val="000000"/>
                <w:sz w:val="24"/>
                <w:szCs w:val="24"/>
              </w:rPr>
            </w:pPr>
            <w:r w:rsidRPr="00B601EF">
              <w:rPr>
                <w:rFonts w:ascii="Arial" w:hAnsi="Arial" w:cs="Arial"/>
                <w:b/>
                <w:bCs/>
                <w:color w:val="000000"/>
              </w:rPr>
              <w:t> </w:t>
            </w:r>
            <w:r w:rsidRPr="00B601EF">
              <w:rPr>
                <w:b/>
              </w:rPr>
              <w:t>Artigo 4º, Inc. I</w:t>
            </w:r>
          </w:p>
          <w:p w:rsidR="00737691" w:rsidRPr="00B601EF" w:rsidRDefault="00737691" w:rsidP="00737691">
            <w:pPr>
              <w:rPr>
                <w:rFonts w:ascii="Arial" w:eastAsia="Arial Unicode MS" w:hAnsi="Arial" w:cs="Arial"/>
                <w:b/>
                <w:bCs/>
                <w:sz w:val="24"/>
                <w:szCs w:val="24"/>
              </w:rPr>
            </w:pPr>
            <w:r w:rsidRPr="00B601EF">
              <w:rPr>
                <w:rFonts w:ascii="Arial" w:hAnsi="Arial" w:cs="Arial"/>
                <w:b/>
                <w:bCs/>
              </w:rPr>
              <w:t> </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737691">
            <w:r w:rsidRPr="00B601EF">
              <w:t>Exclusão da obrigatoriedade do RAQ.</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737691">
            <w:pPr>
              <w:jc w:val="both"/>
            </w:pPr>
          </w:p>
          <w:p w:rsidR="00737691" w:rsidRPr="00B601EF" w:rsidRDefault="00737691" w:rsidP="00060C65">
            <w:pPr>
              <w:spacing w:before="120"/>
              <w:ind w:left="130" w:right="125"/>
              <w:jc w:val="both"/>
            </w:pPr>
            <w:r w:rsidRPr="00B601EF">
              <w:t>O objetivo primordial do RAQ é induzir o agente econômico a realizar a verificação da qualidade do combustível que recebe antes de descarregá-lo no tanque da revenda.  Ora, se foi dada a possibilidade, conforme prescrito no §2º do mesmo artigo, da mera transcrição das informações oriundas do distribuidor, perde sentido a obrigatoriedade do RAQ. Ou se exclui o §2º do artigo, ou se exclui a obrigatoriedade do próprio RAQ.</w:t>
            </w:r>
          </w:p>
          <w:p w:rsidR="00737691" w:rsidRPr="00B601EF" w:rsidRDefault="00737691" w:rsidP="00060C65">
            <w:pPr>
              <w:spacing w:before="120"/>
              <w:ind w:left="130" w:right="125"/>
              <w:jc w:val="both"/>
            </w:pPr>
          </w:p>
          <w:p w:rsidR="00737691" w:rsidRPr="00B601EF" w:rsidRDefault="00737691" w:rsidP="00060C65">
            <w:pPr>
              <w:spacing w:before="120"/>
              <w:ind w:left="130" w:right="125"/>
              <w:jc w:val="both"/>
            </w:pPr>
            <w:r w:rsidRPr="00B601EF">
              <w:t xml:space="preserve">Sugiro que seja considerado o término da obrigatoriedade do RAQ pela revenda varejista de combustíveis, ao invés da inclusão do §4º do art. 3º da Resolução ANP nº 9, de </w:t>
            </w:r>
            <w:proofErr w:type="gramStart"/>
            <w:r w:rsidRPr="00B601EF">
              <w:t>7</w:t>
            </w:r>
            <w:proofErr w:type="gramEnd"/>
            <w:r w:rsidRPr="00B601EF">
              <w:t xml:space="preserve"> de março de 2007 na lista de </w:t>
            </w:r>
            <w:proofErr w:type="spellStart"/>
            <w:r w:rsidRPr="00B601EF">
              <w:t>MRCs</w:t>
            </w:r>
            <w:proofErr w:type="spellEnd"/>
            <w:r w:rsidRPr="00B601EF">
              <w:t>.</w:t>
            </w:r>
          </w:p>
          <w:p w:rsidR="00737691" w:rsidRPr="00B601EF" w:rsidRDefault="00737691" w:rsidP="00B62E3A">
            <w:pPr>
              <w:pStyle w:val="Default"/>
              <w:jc w:val="both"/>
              <w:rPr>
                <w:rFonts w:ascii="Times New Roman" w:hAnsi="Times New Roman" w:cs="Times New Roman"/>
                <w:color w:val="auto"/>
                <w:sz w:val="20"/>
                <w:szCs w:val="20"/>
              </w:rPr>
            </w:pPr>
          </w:p>
        </w:tc>
      </w:tr>
      <w:tr w:rsidR="00737691" w:rsidRPr="00BE5899" w:rsidTr="005E7D2F">
        <w:trPr>
          <w:trHeight w:val="252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B601EF" w:rsidRDefault="00614DE2" w:rsidP="00440A61">
            <w:pPr>
              <w:jc w:val="center"/>
              <w:rPr>
                <w:b/>
              </w:rPr>
            </w:pPr>
            <w:r w:rsidRPr="00B601EF">
              <w:rPr>
                <w:b/>
              </w:rPr>
              <w:t>ANP</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737691">
            <w:pPr>
              <w:rPr>
                <w:b/>
              </w:rPr>
            </w:pPr>
            <w:r w:rsidRPr="00B601EF">
              <w:rPr>
                <w:b/>
              </w:rPr>
              <w:t>Artigo 4º, Inc. V</w:t>
            </w:r>
          </w:p>
          <w:p w:rsidR="00737691" w:rsidRPr="00B601EF" w:rsidRDefault="00737691" w:rsidP="00737691">
            <w:pPr>
              <w:rPr>
                <w:rFonts w:ascii="Arial" w:eastAsia="Arial Unicode MS" w:hAnsi="Arial" w:cs="Arial"/>
                <w:b/>
                <w:bCs/>
              </w:rPr>
            </w:pPr>
            <w:r w:rsidRPr="00B601EF">
              <w:rPr>
                <w:rFonts w:ascii="Arial" w:hAnsi="Arial" w:cs="Arial"/>
                <w:b/>
                <w:bCs/>
              </w:rPr>
              <w:t> </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737691">
            <w:r w:rsidRPr="00B601EF">
              <w:t>Exclusão da obrigatoriedade da afixação do adesivo sobre o óleo diesel.</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060C65">
            <w:pPr>
              <w:spacing w:before="120"/>
              <w:ind w:left="130" w:right="125"/>
              <w:jc w:val="both"/>
            </w:pPr>
          </w:p>
          <w:p w:rsidR="00737691" w:rsidRPr="00B601EF" w:rsidRDefault="00737691" w:rsidP="00060C65">
            <w:pPr>
              <w:spacing w:before="120"/>
              <w:ind w:left="130" w:right="125"/>
              <w:jc w:val="both"/>
            </w:pPr>
            <w:r w:rsidRPr="00B601EF">
              <w:t xml:space="preserve">Considerando que a orientação para abastecimento de veículos fabricados a partir de </w:t>
            </w:r>
            <w:proofErr w:type="gramStart"/>
            <w:r w:rsidRPr="00B601EF">
              <w:t>2012 apenas com óleo diesel com baixo teor de enxofre, iniciativa</w:t>
            </w:r>
            <w:proofErr w:type="gramEnd"/>
            <w:r w:rsidRPr="00B601EF">
              <w:t xml:space="preserve"> associada com o Programa de Controle de Poluição do Ar por Veículos Automotores (PROCONVE), está em vigor há mais de cinco anos, a obrigação para exibir o adesivo nas bombas de abastecimento de óleo diesel poderia ser dispensada;</w:t>
            </w:r>
          </w:p>
          <w:p w:rsidR="00737691" w:rsidRPr="00B601EF" w:rsidRDefault="00737691" w:rsidP="00060C65">
            <w:pPr>
              <w:spacing w:before="120"/>
              <w:ind w:left="130" w:right="125"/>
              <w:jc w:val="both"/>
            </w:pPr>
          </w:p>
          <w:p w:rsidR="00737691" w:rsidRPr="00B601EF" w:rsidRDefault="00737691" w:rsidP="00060C65">
            <w:pPr>
              <w:spacing w:before="120"/>
              <w:ind w:left="130" w:right="125"/>
              <w:jc w:val="both"/>
            </w:pPr>
            <w:r w:rsidRPr="00B601EF">
              <w:t xml:space="preserve">Além disto, os manuais especificam que tipo de combustível deve ser utilizado pelo veículo, inclusive quanto à necessidade de apenas utilizar óleo diesel S10, se for o caso. </w:t>
            </w:r>
            <w:proofErr w:type="gramStart"/>
            <w:r w:rsidRPr="00B601EF">
              <w:t>Via de regra</w:t>
            </w:r>
            <w:proofErr w:type="gramEnd"/>
            <w:r w:rsidRPr="00B601EF">
              <w:t>, o próprio manual, inclusive, adverte ao condutor que a utilização de outros combustíveis diferentes do especificado pode danificar o motor;</w:t>
            </w:r>
          </w:p>
          <w:p w:rsidR="00737691" w:rsidRPr="00B601EF" w:rsidRDefault="00737691" w:rsidP="00060C65">
            <w:pPr>
              <w:spacing w:before="120"/>
              <w:ind w:left="130" w:right="125"/>
              <w:jc w:val="both"/>
            </w:pPr>
          </w:p>
          <w:p w:rsidR="00737691" w:rsidRPr="00B601EF" w:rsidRDefault="00737691" w:rsidP="00060C65">
            <w:pPr>
              <w:spacing w:before="120"/>
              <w:ind w:left="130" w:right="125"/>
              <w:jc w:val="both"/>
            </w:pPr>
            <w:r w:rsidRPr="00B601EF">
              <w:t xml:space="preserve">Hoje as bombas de abastecimento já possuem uma quantidade </w:t>
            </w:r>
            <w:r w:rsidRPr="00B601EF">
              <w:lastRenderedPageBreak/>
              <w:t>enorme de adesivos. Parte deles definidos pela própria ANP, outros, por órgãos estaduais. Isto gera uma verdadeira poluição visual nos equipamentos. Este é mais um argumento para erradicar a obrigatoriedade deste adesivo, ao invés de gerar mais um item passível de MRC.</w:t>
            </w:r>
          </w:p>
          <w:p w:rsidR="00737691" w:rsidRPr="00B601EF" w:rsidRDefault="00737691" w:rsidP="00B62E3A">
            <w:pPr>
              <w:autoSpaceDE w:val="0"/>
              <w:autoSpaceDN w:val="0"/>
              <w:adjustRightInd w:val="0"/>
              <w:jc w:val="both"/>
            </w:pP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B601EF" w:rsidRDefault="00614DE2" w:rsidP="00440A61">
            <w:pPr>
              <w:jc w:val="center"/>
              <w:rPr>
                <w:b/>
              </w:rPr>
            </w:pPr>
            <w:r w:rsidRPr="00B601EF">
              <w:rPr>
                <w:b/>
              </w:rPr>
              <w:lastRenderedPageBreak/>
              <w:t>ANP</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737691">
            <w:pPr>
              <w:rPr>
                <w:b/>
              </w:rPr>
            </w:pPr>
            <w:r w:rsidRPr="00B601EF">
              <w:rPr>
                <w:rFonts w:ascii="Arial" w:hAnsi="Arial" w:cs="Arial"/>
                <w:b/>
                <w:bCs/>
              </w:rPr>
              <w:t> </w:t>
            </w:r>
            <w:r w:rsidRPr="00B601EF">
              <w:rPr>
                <w:b/>
              </w:rPr>
              <w:t>Artigo 4º, Inc. IX</w:t>
            </w:r>
          </w:p>
          <w:p w:rsidR="00737691" w:rsidRPr="00B601EF" w:rsidRDefault="00737691" w:rsidP="00737691">
            <w:pPr>
              <w:rPr>
                <w:rFonts w:ascii="Arial" w:eastAsia="Arial Unicode MS" w:hAnsi="Arial" w:cs="Arial"/>
                <w:b/>
                <w:bCs/>
                <w:sz w:val="24"/>
                <w:szCs w:val="24"/>
              </w:rPr>
            </w:pPr>
            <w:r w:rsidRPr="00B601EF">
              <w:rPr>
                <w:rFonts w:ascii="Arial" w:hAnsi="Arial" w:cs="Arial"/>
                <w:b/>
                <w:bCs/>
              </w:rPr>
              <w:t> </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737691">
            <w:r w:rsidRPr="00B601EF">
              <w:t>Exclusão deste inciso.</w:t>
            </w:r>
          </w:p>
          <w:p w:rsidR="00737691" w:rsidRPr="00B601EF" w:rsidRDefault="00737691" w:rsidP="00737691">
            <w:r w:rsidRPr="00B601EF">
              <w:t>Não incluir a indicação de preço a prazo em painel de preço no elenco de obrigações passíveis de MRC.</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737691">
            <w:pPr>
              <w:ind w:firstLine="567"/>
              <w:jc w:val="both"/>
            </w:pPr>
          </w:p>
          <w:p w:rsidR="00737691" w:rsidRPr="00B601EF" w:rsidRDefault="00737691" w:rsidP="00060C65">
            <w:pPr>
              <w:spacing w:before="120"/>
              <w:ind w:left="130" w:right="125"/>
              <w:jc w:val="both"/>
            </w:pPr>
            <w:r w:rsidRPr="00B601EF">
              <w:t>O painel de preços é hoje um dos poucos mecanismos de defesa do consumidor de combustíveis no quesito preço. É importante instrumento que auxilia o consumidor na tomada de decisão quanto a abastecer ou não naquela revenda. Permitir aplicação de MRC nos casos de preço a prazo fragiliza este direito.</w:t>
            </w:r>
          </w:p>
          <w:p w:rsidR="00737691" w:rsidRPr="00B601EF" w:rsidRDefault="00737691" w:rsidP="00060C65">
            <w:pPr>
              <w:spacing w:before="120"/>
              <w:ind w:left="130" w:right="125"/>
              <w:jc w:val="both"/>
            </w:pPr>
          </w:p>
          <w:p w:rsidR="00737691" w:rsidRPr="00B601EF" w:rsidRDefault="00737691" w:rsidP="00060C65">
            <w:pPr>
              <w:spacing w:before="120"/>
              <w:ind w:left="130" w:right="125"/>
              <w:jc w:val="both"/>
            </w:pPr>
            <w:r w:rsidRPr="00B601EF">
              <w:t xml:space="preserve">A Nota Técnica 4/2017/SFI, que serviu de base para justificar a ampliação do escopo das </w:t>
            </w:r>
            <w:proofErr w:type="spellStart"/>
            <w:r w:rsidRPr="00B601EF">
              <w:t>MRCs</w:t>
            </w:r>
            <w:proofErr w:type="spellEnd"/>
            <w:r w:rsidRPr="00B601EF">
              <w:t xml:space="preserve"> apresenta no item “III. Motivações” o que segue: “a conveniência de dotar de maior razoabilidade o processo de correção de irregularidades de menor potencial de risco ao abastecimento nacional de combustíveis, preservados os direitos do consumidor”. Permitir que </w:t>
            </w:r>
            <w:proofErr w:type="gramStart"/>
            <w:r w:rsidRPr="00B601EF">
              <w:t>seja</w:t>
            </w:r>
            <w:proofErr w:type="gramEnd"/>
            <w:r w:rsidRPr="00B601EF">
              <w:t xml:space="preserve"> aplicada MRC por um agente econômico não estar observando a exposição de todos os preços praticados, prejudica os direitos do consumidor.</w:t>
            </w:r>
          </w:p>
          <w:p w:rsidR="00737691" w:rsidRPr="00B601EF" w:rsidRDefault="00737691" w:rsidP="00060C65">
            <w:pPr>
              <w:spacing w:before="120"/>
              <w:ind w:left="130" w:right="125"/>
              <w:jc w:val="both"/>
            </w:pPr>
          </w:p>
          <w:p w:rsidR="00737691" w:rsidRPr="00B601EF" w:rsidRDefault="00737691" w:rsidP="00060C65">
            <w:pPr>
              <w:spacing w:before="120"/>
              <w:ind w:left="130" w:right="125"/>
              <w:jc w:val="both"/>
            </w:pPr>
            <w:r w:rsidRPr="00B601EF">
              <w:t xml:space="preserve">O Decreto 5.903 de 20/11/2006, que regulamenta a Lei 10.962/2004 e dispõe sobre as práticas </w:t>
            </w:r>
            <w:proofErr w:type="spellStart"/>
            <w:r w:rsidRPr="00B601EF">
              <w:t>infracionais</w:t>
            </w:r>
            <w:proofErr w:type="spellEnd"/>
            <w:r w:rsidRPr="00B601EF">
              <w:t xml:space="preserve"> que atentam contra o direito básico do consumidor de obter informação adequada e clara sobre produtos e serviços, determina em Artigo 2º o seguinte: “Os preços de produtos e serviços deverão ser informados adequadamente, de modo a garantir ao consumidor a correção, clareza, precisão, </w:t>
            </w:r>
            <w:proofErr w:type="spellStart"/>
            <w:r w:rsidRPr="00B601EF">
              <w:t>ostensividade</w:t>
            </w:r>
            <w:proofErr w:type="spellEnd"/>
            <w:r w:rsidRPr="00B601EF">
              <w:t xml:space="preserve"> e legibilidade das informações prestadas.”. </w:t>
            </w:r>
          </w:p>
          <w:p w:rsidR="00737691" w:rsidRPr="00B601EF" w:rsidRDefault="00737691" w:rsidP="00060C65">
            <w:pPr>
              <w:spacing w:before="120"/>
              <w:ind w:left="130" w:right="125"/>
              <w:jc w:val="both"/>
            </w:pPr>
          </w:p>
          <w:p w:rsidR="00737691" w:rsidRPr="00B601EF" w:rsidRDefault="00737691" w:rsidP="00060C65">
            <w:pPr>
              <w:spacing w:before="120"/>
              <w:ind w:left="130" w:right="125"/>
              <w:jc w:val="both"/>
            </w:pPr>
            <w:r w:rsidRPr="00B601EF">
              <w:lastRenderedPageBreak/>
              <w:t>Se considerarmos a obrigação de exibir o preço a prazo como sendo algo passível de aplicação de MRC, estaríamos considerando a clareza e a precisão das informações prestadas ao consumidor como algo de menor. Importante lembrar que é o preço do litro o parâmetro utilizado pelo consumidor para optar por abastecer ou não em determinada revenda.</w:t>
            </w:r>
          </w:p>
          <w:p w:rsidR="00737691" w:rsidRPr="00B601EF" w:rsidRDefault="00737691" w:rsidP="00CD05AE">
            <w:pPr>
              <w:autoSpaceDE w:val="0"/>
              <w:autoSpaceDN w:val="0"/>
              <w:adjustRightInd w:val="0"/>
              <w:jc w:val="both"/>
            </w:pP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B601EF" w:rsidRDefault="00614DE2" w:rsidP="00440A61">
            <w:pPr>
              <w:jc w:val="center"/>
              <w:rPr>
                <w:b/>
              </w:rPr>
            </w:pPr>
            <w:r w:rsidRPr="00B601EF">
              <w:rPr>
                <w:b/>
              </w:rPr>
              <w:lastRenderedPageBreak/>
              <w:t>ANP</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737691">
            <w:pPr>
              <w:rPr>
                <w:b/>
              </w:rPr>
            </w:pPr>
            <w:r w:rsidRPr="00B601EF">
              <w:rPr>
                <w:rFonts w:ascii="Arial" w:hAnsi="Arial" w:cs="Arial"/>
                <w:b/>
                <w:bCs/>
              </w:rPr>
              <w:t> </w:t>
            </w:r>
            <w:r w:rsidRPr="00B601EF">
              <w:rPr>
                <w:b/>
              </w:rPr>
              <w:t>Artigo 4º, Inc. X</w:t>
            </w:r>
          </w:p>
          <w:p w:rsidR="00737691" w:rsidRPr="00B601EF" w:rsidRDefault="00737691" w:rsidP="00737691">
            <w:pPr>
              <w:rPr>
                <w:rFonts w:ascii="Arial" w:eastAsia="Arial Unicode MS" w:hAnsi="Arial" w:cs="Arial"/>
                <w:b/>
                <w:bCs/>
                <w:color w:val="000000"/>
                <w:sz w:val="24"/>
                <w:szCs w:val="24"/>
              </w:rPr>
            </w:pPr>
            <w:r w:rsidRPr="00B601EF">
              <w:rPr>
                <w:rFonts w:ascii="Arial" w:hAnsi="Arial" w:cs="Arial"/>
                <w:b/>
                <w:bCs/>
                <w:color w:val="000000"/>
              </w:rPr>
              <w:t> </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737691">
            <w:r w:rsidRPr="00B601EF">
              <w:t> Exclusão deste inciso.</w:t>
            </w:r>
          </w:p>
          <w:p w:rsidR="00737691" w:rsidRPr="00B601EF" w:rsidRDefault="00737691" w:rsidP="00737691">
            <w:r w:rsidRPr="00B601EF">
              <w:t>Não incluir a identificação da condição de pagamento na bomba de abastecimento no elenco de obrigações passíveis de MRC.</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060C65">
            <w:pPr>
              <w:spacing w:before="120"/>
              <w:ind w:left="130" w:right="125"/>
              <w:jc w:val="both"/>
            </w:pPr>
          </w:p>
          <w:p w:rsidR="00737691" w:rsidRPr="00B601EF" w:rsidRDefault="00737691" w:rsidP="00060C65">
            <w:pPr>
              <w:spacing w:before="120"/>
              <w:ind w:left="130" w:right="125"/>
              <w:jc w:val="both"/>
            </w:pPr>
            <w:r w:rsidRPr="00B601EF">
              <w:t xml:space="preserve">Deve ser utilizado o mesmo raciocínio empregado no quesito anterior para solicitar a exclusão desta obrigação do rol de passível de aplicação de </w:t>
            </w:r>
            <w:proofErr w:type="spellStart"/>
            <w:r w:rsidRPr="00B601EF">
              <w:t>MRCs</w:t>
            </w:r>
            <w:proofErr w:type="spellEnd"/>
            <w:r w:rsidRPr="00B601EF">
              <w:t>.</w:t>
            </w:r>
          </w:p>
          <w:p w:rsidR="00737691" w:rsidRPr="00B601EF" w:rsidRDefault="00737691" w:rsidP="00060C65">
            <w:pPr>
              <w:spacing w:before="120"/>
              <w:ind w:left="130" w:right="125"/>
              <w:jc w:val="both"/>
            </w:pPr>
          </w:p>
          <w:p w:rsidR="00737691" w:rsidRPr="00B601EF" w:rsidRDefault="00737691" w:rsidP="00060C65">
            <w:pPr>
              <w:spacing w:before="120"/>
              <w:ind w:left="130" w:right="125"/>
              <w:jc w:val="both"/>
            </w:pPr>
            <w:r w:rsidRPr="00B601EF">
              <w:t xml:space="preserve">Além disto, o que vai indicar claramente ao consumidor qual bico de abastecimento está vendendo à vista ou a prazo, é sua indicação ostensiva no equipamento. Incluir este item no rol de </w:t>
            </w:r>
            <w:proofErr w:type="spellStart"/>
            <w:r w:rsidRPr="00B601EF">
              <w:t>MRCs</w:t>
            </w:r>
            <w:proofErr w:type="spellEnd"/>
            <w:r w:rsidRPr="00B601EF">
              <w:t xml:space="preserve"> pode estimular maus empresários a omitir esta informação nos equipamentos de abastecimento</w:t>
            </w:r>
            <w:proofErr w:type="gramStart"/>
            <w:r w:rsidRPr="00B601EF">
              <w:t xml:space="preserve">  </w:t>
            </w:r>
            <w:proofErr w:type="gramEnd"/>
            <w:r w:rsidRPr="00B601EF">
              <w:t xml:space="preserve">considerando que a penalidade máxima passível será aplicação de uma MRC.  </w:t>
            </w:r>
          </w:p>
          <w:p w:rsidR="00737691" w:rsidRPr="00B601EF" w:rsidRDefault="00737691" w:rsidP="00060C65">
            <w:pPr>
              <w:spacing w:before="120"/>
              <w:ind w:left="130" w:right="125"/>
              <w:jc w:val="both"/>
            </w:pPr>
          </w:p>
          <w:p w:rsidR="00737691" w:rsidRPr="00B601EF" w:rsidRDefault="00737691" w:rsidP="00060C65">
            <w:pPr>
              <w:spacing w:before="120"/>
              <w:ind w:left="130" w:right="125"/>
              <w:jc w:val="both"/>
            </w:pPr>
            <w:r w:rsidRPr="00B601EF">
              <w:t>Se há possibilidade do mau empresário auferir vantagem indevida por sonegar informação ao consumidor, este item deve ser tratado com todo rigor pela ANP.</w:t>
            </w:r>
          </w:p>
          <w:p w:rsidR="00737691" w:rsidRPr="00B601EF" w:rsidRDefault="00737691" w:rsidP="00B62E3A">
            <w:pPr>
              <w:autoSpaceDE w:val="0"/>
              <w:autoSpaceDN w:val="0"/>
              <w:adjustRightInd w:val="0"/>
              <w:jc w:val="both"/>
            </w:pP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B601EF" w:rsidRDefault="00614DE2" w:rsidP="00440A61">
            <w:pPr>
              <w:jc w:val="center"/>
              <w:rPr>
                <w:b/>
              </w:rPr>
            </w:pPr>
            <w:r w:rsidRPr="00B601EF">
              <w:rPr>
                <w:b/>
              </w:rPr>
              <w:t>ANP</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737691">
            <w:pPr>
              <w:rPr>
                <w:b/>
              </w:rPr>
            </w:pPr>
            <w:r w:rsidRPr="00B601EF">
              <w:rPr>
                <w:rFonts w:ascii="Arial" w:hAnsi="Arial" w:cs="Arial"/>
                <w:b/>
                <w:bCs/>
              </w:rPr>
              <w:t> </w:t>
            </w:r>
            <w:r w:rsidRPr="00B601EF">
              <w:rPr>
                <w:b/>
              </w:rPr>
              <w:t xml:space="preserve">Artigo 8º, Inc. IV </w:t>
            </w:r>
          </w:p>
          <w:p w:rsidR="00737691" w:rsidRPr="00B601EF" w:rsidRDefault="00737691" w:rsidP="00737691">
            <w:pPr>
              <w:rPr>
                <w:rFonts w:ascii="Arial" w:eastAsia="Arial Unicode MS" w:hAnsi="Arial" w:cs="Arial"/>
                <w:b/>
                <w:bCs/>
                <w:sz w:val="24"/>
                <w:szCs w:val="24"/>
              </w:rPr>
            </w:pPr>
            <w:r w:rsidRPr="00B601EF">
              <w:rPr>
                <w:rFonts w:ascii="Arial" w:hAnsi="Arial" w:cs="Arial"/>
                <w:b/>
                <w:bCs/>
              </w:rPr>
              <w:t> </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737691">
            <w:r w:rsidRPr="00B601EF">
              <w:t>Exclusão da obrigatoriedade de manter os protocolos de recebimento e de aceite dos movimentos enviados mensalmente a ANP pelo DPMP.</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060C65">
            <w:pPr>
              <w:spacing w:before="120"/>
              <w:ind w:left="130" w:right="125"/>
              <w:jc w:val="both"/>
            </w:pPr>
            <w:r w:rsidRPr="00B601EF">
              <w:t>Esta obrigação poderia ser extinta considerando que é uma informação que a ANP possui na base de dados do SIMP.</w:t>
            </w: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B601EF" w:rsidRDefault="00614DE2" w:rsidP="00440A61">
            <w:pPr>
              <w:jc w:val="center"/>
              <w:rPr>
                <w:b/>
              </w:rPr>
            </w:pPr>
            <w:r w:rsidRPr="00B601EF">
              <w:rPr>
                <w:b/>
              </w:rPr>
              <w:t>ANP</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737691">
            <w:pPr>
              <w:rPr>
                <w:rFonts w:ascii="Arial" w:hAnsi="Arial" w:cs="Arial"/>
                <w:b/>
              </w:rPr>
            </w:pPr>
            <w:r w:rsidRPr="00B601EF">
              <w:rPr>
                <w:rFonts w:ascii="Arial" w:hAnsi="Arial" w:cs="Arial"/>
              </w:rPr>
              <w:t> </w:t>
            </w:r>
          </w:p>
          <w:p w:rsidR="00737691" w:rsidRPr="00B601EF" w:rsidRDefault="00737691" w:rsidP="00737691">
            <w:pPr>
              <w:rPr>
                <w:b/>
              </w:rPr>
            </w:pPr>
            <w:r w:rsidRPr="00B601EF">
              <w:rPr>
                <w:b/>
              </w:rPr>
              <w:t>Artigo 10, Inc. III</w:t>
            </w:r>
          </w:p>
          <w:p w:rsidR="00737691" w:rsidRPr="00B601EF" w:rsidRDefault="00737691" w:rsidP="00737691">
            <w:pPr>
              <w:rPr>
                <w:rFonts w:ascii="Arial" w:eastAsia="Arial Unicode MS" w:hAnsi="Arial" w:cs="Arial"/>
                <w:b/>
                <w:bCs/>
              </w:rPr>
            </w:pPr>
            <w:r w:rsidRPr="00B601EF">
              <w:rPr>
                <w:rFonts w:ascii="Arial" w:hAnsi="Arial" w:cs="Arial"/>
                <w:b/>
                <w:bCs/>
              </w:rPr>
              <w:t> </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737691">
            <w:r w:rsidRPr="00B601EF">
              <w:t>Nova Redação:</w:t>
            </w:r>
          </w:p>
          <w:p w:rsidR="00737691" w:rsidRPr="00B601EF" w:rsidRDefault="00614DE2" w:rsidP="00737691">
            <w:r w:rsidRPr="00B601EF">
              <w:t>“</w:t>
            </w:r>
            <w:r w:rsidR="00737691" w:rsidRPr="00B601EF">
              <w:t>Abastecimento dos veículos somente por intermédio de equipamento medidor submetido ao controle metrológico do Inmetro ou empresa por ele credenciada quando a instalação se presta exclusivamente a abastecimento de veículo pertencente à pessoa física ou jurídica detentora do Ponto de Abastecimento”</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060C65">
            <w:pPr>
              <w:spacing w:before="120"/>
              <w:ind w:left="130" w:right="125"/>
              <w:jc w:val="both"/>
            </w:pPr>
            <w:r w:rsidRPr="00B601EF">
              <w:t>A possibilidade de aplicação de MRC neste caso deveria ser cabível apenas quando a instalação se presta a abastecimento de veículo pertencente à pessoa física ou jurídica detentora do Ponto de Abastecimento. No caso de cooperativas, por exemplo, não havendo uma cobrança mais enérgica quanto à necessidade dos equipamentos medidores serem submetidos ao controle metrológico do Inmetro ou de empresa por ele credenciada, esta situação pode abrir brechas para prejuízos ao cooperado no quesito quantidade.</w:t>
            </w:r>
          </w:p>
          <w:p w:rsidR="00737691" w:rsidRPr="00B601EF" w:rsidRDefault="00737691" w:rsidP="00737691">
            <w:pPr>
              <w:autoSpaceDE w:val="0"/>
              <w:autoSpaceDN w:val="0"/>
              <w:adjustRightInd w:val="0"/>
              <w:jc w:val="both"/>
            </w:pPr>
          </w:p>
        </w:tc>
      </w:tr>
      <w:tr w:rsidR="00614DE2"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614DE2" w:rsidRPr="00B601EF" w:rsidRDefault="00614DE2" w:rsidP="00440A61">
            <w:pPr>
              <w:jc w:val="center"/>
              <w:rPr>
                <w:b/>
              </w:rPr>
            </w:pPr>
            <w:r w:rsidRPr="00B601EF">
              <w:rPr>
                <w:b/>
              </w:rPr>
              <w:lastRenderedPageBreak/>
              <w:t>ANP</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14DE2" w:rsidRPr="00B601EF" w:rsidRDefault="00614DE2" w:rsidP="00614DE2">
            <w:pPr>
              <w:jc w:val="center"/>
              <w:rPr>
                <w:b/>
              </w:rPr>
            </w:pPr>
            <w:r w:rsidRPr="00B601EF">
              <w:rPr>
                <w:b/>
              </w:rPr>
              <w:t>Art. 7º</w:t>
            </w:r>
          </w:p>
          <w:p w:rsidR="00614DE2" w:rsidRPr="00B601EF" w:rsidRDefault="004E33AC" w:rsidP="004E33AC">
            <w:pPr>
              <w:jc w:val="center"/>
              <w:rPr>
                <w:rFonts w:ascii="Arial" w:hAnsi="Arial" w:cs="Arial"/>
                <w:b/>
              </w:rPr>
            </w:pPr>
            <w:r>
              <w:rPr>
                <w:b/>
              </w:rPr>
              <w:t>VIII</w:t>
            </w:r>
            <w:r w:rsidR="00614DE2" w:rsidRPr="00B601EF">
              <w:rPr>
                <w:b/>
              </w:rPr>
              <w:t xml:space="preserve"> </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14DE2" w:rsidRPr="00B601EF" w:rsidRDefault="00614DE2" w:rsidP="00737691">
            <w:r w:rsidRPr="00B601EF">
              <w:t>Excluir o artigo</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14DE2" w:rsidRPr="00B601EF" w:rsidRDefault="00EE68D1" w:rsidP="00060C65">
            <w:pPr>
              <w:spacing w:before="120"/>
              <w:ind w:left="130" w:right="125"/>
              <w:jc w:val="both"/>
            </w:pPr>
            <w:r w:rsidRPr="00B601EF">
              <w:t>Dificuldade para aplicação da medida reparadora de conduta</w:t>
            </w:r>
            <w:r w:rsidR="00FD380A">
              <w:t xml:space="preserve"> quando da desativação do ponto de revenda</w:t>
            </w:r>
            <w:r w:rsidR="001F3F1D" w:rsidRPr="00B601EF">
              <w:t>.</w:t>
            </w: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B601EF" w:rsidRDefault="006656A0" w:rsidP="00440A61">
            <w:pPr>
              <w:jc w:val="center"/>
              <w:rPr>
                <w:b/>
              </w:rPr>
            </w:pPr>
            <w:r w:rsidRPr="00B601EF">
              <w:rPr>
                <w:b/>
              </w:rPr>
              <w:t>SINDCOMB</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737691">
            <w:pPr>
              <w:rPr>
                <w:rFonts w:ascii="Arial" w:eastAsia="Arial Unicode MS" w:hAnsi="Arial" w:cs="Arial"/>
                <w:b/>
                <w:bCs/>
                <w:sz w:val="24"/>
                <w:szCs w:val="24"/>
              </w:rPr>
            </w:pPr>
            <w:r w:rsidRPr="00B601EF">
              <w:rPr>
                <w:rFonts w:ascii="Arial" w:hAnsi="Arial" w:cs="Arial"/>
                <w:b/>
                <w:bCs/>
                <w:color w:val="000000"/>
              </w:rPr>
              <w:t> </w:t>
            </w:r>
            <w:r w:rsidRPr="00B601EF">
              <w:rPr>
                <w:b/>
              </w:rPr>
              <w:t>Art. 4º</w:t>
            </w:r>
            <w:r w:rsidRPr="00B601EF">
              <w:rPr>
                <w:rFonts w:ascii="Arial" w:hAnsi="Arial" w:cs="Arial"/>
                <w:b/>
                <w:bCs/>
              </w:rPr>
              <w:t> </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6656A0">
            <w:r w:rsidRPr="00B601EF">
              <w:t>Inclusão de inciso: “Fixação de adesivo nas bombas de etanol hidratado combustível conforme modelo disponibilizado pela ANP” (art. 27, da Resolução ANP 7/2011</w:t>
            </w:r>
            <w:proofErr w:type="gramStart"/>
            <w:r w:rsidRPr="00B601EF">
              <w:t>)</w:t>
            </w:r>
            <w:proofErr w:type="gramEnd"/>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060C65">
            <w:pPr>
              <w:spacing w:before="120"/>
              <w:ind w:left="130" w:right="125"/>
              <w:jc w:val="both"/>
            </w:pPr>
            <w:r w:rsidRPr="00B601EF">
              <w:t> A adoção de medida reparadora de conduta nessa hipótese já era prevista pela Resolução ANP 32/2012, no art. 4º, IX. Contudo, foi suprimida na minuta de resolução em questão. Tal supressão não se coaduna com o propósito maior da nova resolução, que é justamente “ampliar o escopo do instituto da MRC”. Ademais, em situações semelhantes referentes à fixação de adesivos (incisos IV, V e XVIII do art. 4º da minuta), foi mantida a adoção da MRC. Não há razões, então, para suprimir essa possibilidade na hipótese do adesivo afixado nas bombas de etanol hidratado.</w:t>
            </w: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B601EF" w:rsidRDefault="006656A0" w:rsidP="00440A61">
            <w:pPr>
              <w:jc w:val="center"/>
              <w:rPr>
                <w:b/>
              </w:rPr>
            </w:pPr>
            <w:r w:rsidRPr="00B601EF">
              <w:rPr>
                <w:b/>
              </w:rPr>
              <w:t>SINDCOMB</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737691">
            <w:pPr>
              <w:rPr>
                <w:rFonts w:ascii="Arial" w:eastAsia="Arial Unicode MS" w:hAnsi="Arial" w:cs="Arial"/>
                <w:b/>
                <w:bCs/>
              </w:rPr>
            </w:pPr>
            <w:r w:rsidRPr="00B601EF">
              <w:rPr>
                <w:rFonts w:ascii="Arial" w:hAnsi="Arial" w:cs="Arial"/>
                <w:b/>
                <w:bCs/>
                <w:color w:val="000000"/>
              </w:rPr>
              <w:t> </w:t>
            </w:r>
            <w:r w:rsidRPr="00B601EF">
              <w:rPr>
                <w:b/>
              </w:rPr>
              <w:t>Art. 4º</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6656A0">
            <w:r w:rsidRPr="00B601EF">
              <w:t> Inclusão de inciso: “Fornecimento, ao consumidor, de combustível automotivo com especificação técnica diferente da estabelecida pela ANP, desde que em percentual que não prejudique a qualidade do combustível (art. 3º, II, da Lei 9847/99</w:t>
            </w:r>
            <w:proofErr w:type="gramStart"/>
            <w:r w:rsidRPr="00B601EF">
              <w:t>)</w:t>
            </w:r>
            <w:proofErr w:type="gramEnd"/>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060C65">
            <w:pPr>
              <w:spacing w:before="120"/>
              <w:ind w:left="130" w:right="125"/>
              <w:jc w:val="both"/>
            </w:pPr>
            <w:r w:rsidRPr="00B601EF">
              <w:t> Há casos em que, não obstante a fiscalização da ANP verifique inconformidade do combustível, o percentual encontrado na análise não implica qualquer impropriedade ou inadequação ao consumo. Em outras palavras, o percentual apurado em análise não prejudica a qualidade do combustível e, por conseguinte, o desempenho do veículo. Ao contrário, há casos em que o combustível comercializado é ainda mais puro, de melhor qualidade. Trata-se da hipótese, por exemplo, de teor de etanol na gasolina em percentual pouco abaixo do limite previsto. Assim, a infração não deveria ser enquadrada no inciso XI do art. 3º da Lei 9847/99, mas sim no inciso II do mesmo artigo. Além disso, por se tratar de infração de menor gravidade, e levando em conta a razoabilidade na aplicação de penalidades, deve ser possível a adoção da MRC.</w:t>
            </w: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B601EF" w:rsidRDefault="006656A0" w:rsidP="00440A61">
            <w:pPr>
              <w:jc w:val="center"/>
              <w:rPr>
                <w:b/>
              </w:rPr>
            </w:pPr>
            <w:r w:rsidRPr="00B601EF">
              <w:rPr>
                <w:b/>
              </w:rPr>
              <w:t>SINDCOMB</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737691">
            <w:pPr>
              <w:rPr>
                <w:rFonts w:ascii="Arial" w:eastAsia="Arial Unicode MS" w:hAnsi="Arial" w:cs="Arial"/>
                <w:b/>
                <w:bCs/>
                <w:sz w:val="24"/>
                <w:szCs w:val="24"/>
              </w:rPr>
            </w:pPr>
            <w:r w:rsidRPr="00B601EF">
              <w:rPr>
                <w:rFonts w:ascii="Arial" w:hAnsi="Arial" w:cs="Arial"/>
                <w:b/>
                <w:bCs/>
              </w:rPr>
              <w:t> </w:t>
            </w:r>
            <w:r w:rsidRPr="00B601EF">
              <w:rPr>
                <w:b/>
              </w:rPr>
              <w:t>Art. 4º</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6656A0">
            <w:r w:rsidRPr="00B601EF">
              <w:t xml:space="preserve"> Inclusão de inciso: “Fornecimento, ao consumidor, de combustível automotivo fora das especificações técnicas, salvo se </w:t>
            </w:r>
            <w:proofErr w:type="spellStart"/>
            <w:r w:rsidRPr="00B601EF">
              <w:t>se</w:t>
            </w:r>
            <w:proofErr w:type="spellEnd"/>
            <w:r w:rsidRPr="00B601EF">
              <w:t xml:space="preserve"> tratar de infração decorrente de análise possível de ser realizada pelo revendedor quando do recebimento do combustível pelo distribuidor” (item </w:t>
            </w:r>
            <w:proofErr w:type="gramStart"/>
            <w:r w:rsidRPr="00B601EF">
              <w:t>3</w:t>
            </w:r>
            <w:proofErr w:type="gramEnd"/>
            <w:r w:rsidRPr="00B601EF">
              <w:t>, do Regulamento Técnico 1,/2007, anexo à Resolução ANP 9/2007)</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060C65">
            <w:pPr>
              <w:spacing w:before="120"/>
              <w:ind w:left="130" w:right="125"/>
              <w:jc w:val="both"/>
            </w:pPr>
            <w:r w:rsidRPr="00B601EF">
              <w:t xml:space="preserve"> Não se discute que o revendedor varejista deve verificar a qualidade do combustível quando do seu recebimento pelo distribuidor. Contudo, há certas análises impossíveis de serem realizadas neste momento, no posto de combustíveis. É o caso das análises de ponto final de ebulição, ponto de fulgor, e teor de biodiesel no diesel, que só podem ser feitas em laboratórios especializados. Tanto é assim que tais análises não constam do item </w:t>
            </w:r>
            <w:proofErr w:type="gramStart"/>
            <w:r w:rsidRPr="00B601EF">
              <w:t>3</w:t>
            </w:r>
            <w:proofErr w:type="gramEnd"/>
            <w:r w:rsidRPr="00B601EF">
              <w:t xml:space="preserve">, do Regulamento Técnico 1,/2007, anexo à Resolução ANP 9/2007, que determina quais testes deve fazer o revendedor varejista para fins de controle de qualidade do combustível recebido do distribuidor. Assim, na hipótese de autuação nesses casos, deve ser possível a adoção da MRC, tendo em vista a menor gravidade da conduta infratora do </w:t>
            </w:r>
            <w:r w:rsidRPr="00B601EF">
              <w:lastRenderedPageBreak/>
              <w:t>revendedor.</w:t>
            </w: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B601EF" w:rsidRDefault="006656A0" w:rsidP="00440A61">
            <w:pPr>
              <w:jc w:val="center"/>
              <w:rPr>
                <w:b/>
              </w:rPr>
            </w:pPr>
            <w:r w:rsidRPr="00B601EF">
              <w:rPr>
                <w:b/>
              </w:rPr>
              <w:lastRenderedPageBreak/>
              <w:t>SINDCOMB</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737691">
            <w:pPr>
              <w:rPr>
                <w:rFonts w:ascii="Arial" w:eastAsia="Arial Unicode MS" w:hAnsi="Arial" w:cs="Arial"/>
                <w:b/>
                <w:bCs/>
                <w:color w:val="000000"/>
                <w:sz w:val="24"/>
                <w:szCs w:val="24"/>
              </w:rPr>
            </w:pPr>
            <w:r w:rsidRPr="00B601EF">
              <w:rPr>
                <w:rFonts w:ascii="Arial" w:hAnsi="Arial" w:cs="Arial"/>
                <w:b/>
                <w:bCs/>
              </w:rPr>
              <w:t> </w:t>
            </w:r>
            <w:r w:rsidRPr="00B601EF">
              <w:rPr>
                <w:b/>
              </w:rPr>
              <w:t>Art. 4º</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6656A0">
            <w:r w:rsidRPr="00B601EF">
              <w:t xml:space="preserve"> Inclusão de inciso: “Fornecimento, ao consumidor, de GNV com pressão máxima de abastecimento superior à permitida, salvo se exceder o limite máximo de 26,0 </w:t>
            </w:r>
            <w:proofErr w:type="spellStart"/>
            <w:proofErr w:type="gramStart"/>
            <w:r w:rsidRPr="00B601EF">
              <w:t>MPa</w:t>
            </w:r>
            <w:proofErr w:type="spellEnd"/>
            <w:proofErr w:type="gramEnd"/>
            <w:r w:rsidRPr="00B601EF">
              <w:t xml:space="preserve"> (260 bar) (item 4.2, letra “b”, da ABNT NBR 11439)</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060C65">
            <w:pPr>
              <w:spacing w:before="120"/>
              <w:ind w:left="130" w:right="125"/>
              <w:jc w:val="both"/>
            </w:pPr>
            <w:r w:rsidRPr="00B601EF">
              <w:t xml:space="preserve"> O art. 23, I, da Resolução ANP 41/2013, determina que a pressão máxima de abastecimento para fornecimento de GNV seja de 22,0 </w:t>
            </w:r>
            <w:proofErr w:type="spellStart"/>
            <w:proofErr w:type="gramStart"/>
            <w:r w:rsidRPr="00B601EF">
              <w:t>MPa</w:t>
            </w:r>
            <w:proofErr w:type="spellEnd"/>
            <w:proofErr w:type="gramEnd"/>
            <w:r w:rsidRPr="00B601EF">
              <w:t xml:space="preserve"> (220 bar), nos termos da norma ABNT NBR 11353-1 (item 4.46). Por outro lado, também é norma ABNT a NBR 11439, que prevê a pressão máxima de </w:t>
            </w:r>
            <w:proofErr w:type="gramStart"/>
            <w:r w:rsidRPr="00B601EF">
              <w:t>260 bar</w:t>
            </w:r>
            <w:proofErr w:type="gramEnd"/>
            <w:r w:rsidRPr="00B601EF">
              <w:t xml:space="preserve"> para cilindros de alta pressão para armazenamento de gás natural (item 4.2, letra “b”). Trata-se de limite máximo que ainda garante a segurança no abastecimento, na forma da norma estabelecida pela ABNT. Assim, se a pressão de abastecimento estiver na faixa de 220 a </w:t>
            </w:r>
            <w:proofErr w:type="gramStart"/>
            <w:r w:rsidRPr="00B601EF">
              <w:t>260 bar</w:t>
            </w:r>
            <w:proofErr w:type="gramEnd"/>
            <w:r w:rsidRPr="00B601EF">
              <w:t xml:space="preserve">, não há riscos de segurança. Da mesma forma, não há prejuízos ao consumidor, uma vez que, quanto maior for </w:t>
            </w:r>
            <w:proofErr w:type="gramStart"/>
            <w:r w:rsidRPr="00B601EF">
              <w:t>a</w:t>
            </w:r>
            <w:proofErr w:type="gramEnd"/>
            <w:r w:rsidRPr="00B601EF">
              <w:t xml:space="preserve"> pressão de abastecimento, maior será a autonomia do veículo. Nesses casos, é </w:t>
            </w:r>
            <w:proofErr w:type="gramStart"/>
            <w:r w:rsidRPr="00B601EF">
              <w:t>de menor</w:t>
            </w:r>
            <w:proofErr w:type="gramEnd"/>
            <w:r w:rsidRPr="00B601EF">
              <w:t xml:space="preserve"> gravidade a conduta infratora do revendedor, devendo ser observada a razoabilidade na aplicação de penalidades. Como bem esclarecido na minuta de resolução </w:t>
            </w:r>
            <w:proofErr w:type="gramStart"/>
            <w:r w:rsidRPr="00B601EF">
              <w:t>sob análise</w:t>
            </w:r>
            <w:proofErr w:type="gramEnd"/>
            <w:r w:rsidRPr="00B601EF">
              <w:t>, a ANP deve direcionar seus esforços para infrações de maior gravidade, garantindo melhores resultados para o mercado e para o consumidor. No caso, a pressão de abastecimento entre 220 e 260 bar deve ser considerada infração de menor gravidade a ensejar a adoção da MRC, pois não traz riscos à segurança, tampouco prejudica o consumidor.</w:t>
            </w: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B601EF" w:rsidRDefault="006656A0" w:rsidP="00440A61">
            <w:pPr>
              <w:jc w:val="center"/>
              <w:rPr>
                <w:b/>
              </w:rPr>
            </w:pPr>
            <w:r w:rsidRPr="00B601EF">
              <w:rPr>
                <w:b/>
              </w:rPr>
              <w:t>SINDCOMB</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737691">
            <w:pPr>
              <w:rPr>
                <w:rFonts w:ascii="Arial" w:hAnsi="Arial" w:cs="Arial"/>
                <w:b/>
                <w:bCs/>
              </w:rPr>
            </w:pPr>
            <w:r w:rsidRPr="00B601EF">
              <w:rPr>
                <w:b/>
              </w:rPr>
              <w:t>Art. 4º</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6656A0">
            <w:r w:rsidRPr="00B601EF">
              <w:t xml:space="preserve"> Inclusão de inciso: “Manutenção do </w:t>
            </w:r>
            <w:proofErr w:type="spellStart"/>
            <w:r w:rsidRPr="00B601EF">
              <w:t>termodensímetro</w:t>
            </w:r>
            <w:proofErr w:type="spellEnd"/>
            <w:r w:rsidRPr="00B601EF">
              <w:t xml:space="preserve"> em perfeito estado de conservação (art. 22, VII, da Resolução 41/2013</w:t>
            </w:r>
            <w:proofErr w:type="gramStart"/>
            <w:r w:rsidRPr="00B601EF">
              <w:t>)</w:t>
            </w:r>
            <w:proofErr w:type="gramEnd"/>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B601EF" w:rsidRDefault="00737691" w:rsidP="00060C65">
            <w:pPr>
              <w:spacing w:before="120"/>
              <w:ind w:left="130" w:right="125"/>
              <w:jc w:val="both"/>
            </w:pPr>
            <w:r w:rsidRPr="00B601EF">
              <w:t xml:space="preserve">Trata-se de infração de menor potencial ofensivo, principalmente se levado em consideração que eventual defeito no </w:t>
            </w:r>
            <w:proofErr w:type="spellStart"/>
            <w:r w:rsidRPr="00B601EF">
              <w:t>termodensímetro</w:t>
            </w:r>
            <w:proofErr w:type="spellEnd"/>
            <w:r w:rsidRPr="00B601EF">
              <w:t xml:space="preserve"> não interfere na qualidade ou volume do combustível fornecido ao consumidor. Assim, seguindo as diretrizes de educação e orientação dos agentes do setor, bem como a finalidade de ampliar o escopo da medida reparadora de conduta, deve ser possível a adoção da MRC.</w:t>
            </w:r>
          </w:p>
        </w:tc>
      </w:tr>
      <w:tr w:rsidR="00B31AC9"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B31AC9" w:rsidRPr="00B601EF" w:rsidRDefault="00B31AC9" w:rsidP="00440A61">
            <w:pPr>
              <w:jc w:val="center"/>
              <w:rPr>
                <w:b/>
              </w:rPr>
            </w:pPr>
            <w:r w:rsidRPr="00B601EF">
              <w:rPr>
                <w:b/>
              </w:rPr>
              <w:t>SINDICOM</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pPr>
              <w:rPr>
                <w:b/>
              </w:rPr>
            </w:pPr>
            <w:r w:rsidRPr="00B601EF">
              <w:rPr>
                <w:b/>
              </w:rPr>
              <w:t>Art.11</w:t>
            </w:r>
          </w:p>
          <w:p w:rsidR="00B31AC9" w:rsidRPr="00B601EF" w:rsidRDefault="00B31AC9" w:rsidP="00B31AC9">
            <w:pPr>
              <w:rPr>
                <w:b/>
              </w:rPr>
            </w:pPr>
            <w:r w:rsidRPr="00B601EF">
              <w:rPr>
                <w:b/>
              </w:rPr>
              <w:t>(Incluir inciso)</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r w:rsidRPr="00B601EF">
              <w:t>Irregularidades formais no Memorial Descritivo e nas plantas mantidas nas bases de distribuição;</w:t>
            </w:r>
          </w:p>
          <w:p w:rsidR="00B31AC9" w:rsidRPr="00B601EF" w:rsidRDefault="00B31AC9" w:rsidP="00B31AC9">
            <w:r w:rsidRPr="00B601EF">
              <w:t xml:space="preserve">III – Anexo </w:t>
            </w:r>
            <w:proofErr w:type="gramStart"/>
            <w:r w:rsidRPr="00B601EF">
              <w:t>1</w:t>
            </w:r>
            <w:proofErr w:type="gramEnd"/>
            <w:r w:rsidRPr="00B601EF">
              <w:t>, itens V a XII, da Resolução ANP 42, de 19 de agosto de 2011;</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060C65">
            <w:pPr>
              <w:spacing w:before="120"/>
              <w:ind w:left="130" w:right="125"/>
              <w:jc w:val="both"/>
            </w:pPr>
            <w:r w:rsidRPr="00B601EF">
              <w:t xml:space="preserve"> Infração de natureza formal, de baixo potencial lesivo, e que não causa nenhum prejuízo à segurança operacional, ao controle de qualidade dos combustíveis e ao mercado de </w:t>
            </w:r>
            <w:proofErr w:type="gramStart"/>
            <w:r w:rsidRPr="00B601EF">
              <w:t>consumo</w:t>
            </w:r>
            <w:proofErr w:type="gramEnd"/>
          </w:p>
        </w:tc>
      </w:tr>
      <w:tr w:rsidR="00B31AC9"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B31AC9" w:rsidRPr="00B601EF" w:rsidRDefault="00B31AC9" w:rsidP="00440A61">
            <w:pPr>
              <w:jc w:val="center"/>
              <w:rPr>
                <w:b/>
              </w:rPr>
            </w:pPr>
            <w:r w:rsidRPr="00B601EF">
              <w:rPr>
                <w:b/>
              </w:rPr>
              <w:t>SINDICOM</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pPr>
              <w:rPr>
                <w:b/>
              </w:rPr>
            </w:pPr>
            <w:r w:rsidRPr="00B601EF">
              <w:rPr>
                <w:b/>
              </w:rPr>
              <w:t>Art.11</w:t>
            </w:r>
          </w:p>
          <w:p w:rsidR="00B31AC9" w:rsidRPr="00B601EF" w:rsidRDefault="00B31AC9" w:rsidP="00B31AC9">
            <w:pPr>
              <w:rPr>
                <w:b/>
              </w:rPr>
            </w:pPr>
            <w:r w:rsidRPr="00B601EF">
              <w:rPr>
                <w:b/>
              </w:rPr>
              <w:t>(Incluir inciso)</w:t>
            </w:r>
          </w:p>
          <w:p w:rsidR="00B31AC9" w:rsidRPr="00B601EF" w:rsidRDefault="00B31AC9" w:rsidP="00B31AC9">
            <w:pPr>
              <w:rPr>
                <w:b/>
              </w:rPr>
            </w:pP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r w:rsidRPr="00B601EF">
              <w:t>Limpeza das áreas operacionais;</w:t>
            </w:r>
          </w:p>
          <w:p w:rsidR="00B31AC9" w:rsidRPr="00B601EF" w:rsidRDefault="00B31AC9" w:rsidP="00B31AC9">
            <w:r w:rsidRPr="00B601EF">
              <w:t>IV – Itens 7.6.3 a 7.6.5, 11.6.3 e 11.6.4 ABNT 17505-2-2006, previstos na Resolução ANP 30, de 26 de outubro de 2006;</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060C65">
            <w:pPr>
              <w:spacing w:before="120"/>
              <w:ind w:left="130" w:right="125"/>
              <w:jc w:val="both"/>
            </w:pPr>
            <w:r w:rsidRPr="00B601EF">
              <w:t xml:space="preserve"> Infração de natureza formal, de baixo potencial lesivo, e que não causa nenhum prejuízo à segurança operacional, ao controle de qualidade dos combustíveis e ao mercado de </w:t>
            </w:r>
            <w:proofErr w:type="gramStart"/>
            <w:r w:rsidRPr="00B601EF">
              <w:t>consumo</w:t>
            </w:r>
            <w:proofErr w:type="gramEnd"/>
          </w:p>
        </w:tc>
      </w:tr>
      <w:tr w:rsidR="00B31AC9"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B31AC9" w:rsidRPr="00B601EF" w:rsidRDefault="00B31AC9" w:rsidP="00440A61">
            <w:pPr>
              <w:jc w:val="center"/>
              <w:rPr>
                <w:b/>
              </w:rPr>
            </w:pPr>
            <w:r w:rsidRPr="00B601EF">
              <w:rPr>
                <w:b/>
              </w:rPr>
              <w:lastRenderedPageBreak/>
              <w:t>SINDICOM</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pPr>
              <w:rPr>
                <w:b/>
              </w:rPr>
            </w:pPr>
            <w:r w:rsidRPr="00B601EF">
              <w:rPr>
                <w:b/>
              </w:rPr>
              <w:t>Art.11</w:t>
            </w:r>
          </w:p>
          <w:p w:rsidR="00B31AC9" w:rsidRPr="00B601EF" w:rsidRDefault="00B31AC9" w:rsidP="00B31AC9">
            <w:pPr>
              <w:rPr>
                <w:b/>
              </w:rPr>
            </w:pPr>
            <w:r w:rsidRPr="00B601EF">
              <w:rPr>
                <w:b/>
              </w:rPr>
              <w:t>(Incluir inciso)</w:t>
            </w:r>
          </w:p>
          <w:p w:rsidR="00B31AC9" w:rsidRPr="00B601EF" w:rsidRDefault="00B31AC9" w:rsidP="00B31AC9">
            <w:pPr>
              <w:rPr>
                <w:b/>
              </w:rPr>
            </w:pP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r w:rsidRPr="00B601EF">
              <w:t>Identificação dos dizeres “INFLAMÁVEL”, “É PROIBIDO FUMAR” e “É PROIBIDO O USO DE CELULAR” nas bases de distribuição;</w:t>
            </w:r>
          </w:p>
          <w:p w:rsidR="00B31AC9" w:rsidRPr="00B601EF" w:rsidRDefault="00B31AC9" w:rsidP="00B31AC9">
            <w:r w:rsidRPr="00B601EF">
              <w:t>V –</w:t>
            </w:r>
            <w:proofErr w:type="gramStart"/>
            <w:r w:rsidRPr="00B601EF">
              <w:t xml:space="preserve">  </w:t>
            </w:r>
            <w:proofErr w:type="gramEnd"/>
            <w:r w:rsidRPr="00B601EF">
              <w:t>Item 8.2.1 da ABNT 17505-2-2006, previsto na Resolução ANP 30, de 26 de outubro de 2006;</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060C65">
            <w:pPr>
              <w:spacing w:before="120"/>
              <w:ind w:left="130" w:right="125"/>
              <w:jc w:val="both"/>
            </w:pPr>
            <w:r w:rsidRPr="00B601EF">
              <w:t xml:space="preserve"> Infração de natureza formal, de baixo potencial lesivo, e que não causa nenhum prejuízo à segurança operacional, ao controle de qualidade dos combustíveis e ao mercado de </w:t>
            </w:r>
            <w:proofErr w:type="gramStart"/>
            <w:r w:rsidRPr="00B601EF">
              <w:t>consumo</w:t>
            </w:r>
            <w:proofErr w:type="gramEnd"/>
          </w:p>
        </w:tc>
      </w:tr>
      <w:tr w:rsidR="00B31AC9"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B31AC9" w:rsidRPr="00B601EF" w:rsidRDefault="00B31AC9" w:rsidP="00440A61">
            <w:pPr>
              <w:jc w:val="center"/>
              <w:rPr>
                <w:b/>
              </w:rPr>
            </w:pPr>
            <w:r w:rsidRPr="00B601EF">
              <w:rPr>
                <w:b/>
              </w:rPr>
              <w:t>SINDICOM</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pPr>
              <w:rPr>
                <w:b/>
              </w:rPr>
            </w:pPr>
            <w:r w:rsidRPr="00B601EF">
              <w:rPr>
                <w:b/>
              </w:rPr>
              <w:t>Art.11</w:t>
            </w:r>
          </w:p>
          <w:p w:rsidR="00B31AC9" w:rsidRPr="00B601EF" w:rsidRDefault="00B31AC9" w:rsidP="00B31AC9">
            <w:pPr>
              <w:rPr>
                <w:b/>
              </w:rPr>
            </w:pPr>
            <w:r w:rsidRPr="00B601EF">
              <w:rPr>
                <w:b/>
              </w:rPr>
              <w:t>(Incluir inciso)</w:t>
            </w:r>
          </w:p>
          <w:p w:rsidR="00B31AC9" w:rsidRPr="00B601EF" w:rsidRDefault="00B31AC9" w:rsidP="00B31AC9">
            <w:pPr>
              <w:rPr>
                <w:b/>
              </w:rPr>
            </w:pP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r w:rsidRPr="00B601EF">
              <w:t>Preenchimento dos envelopes de segurança das amostras-testemunhas;</w:t>
            </w:r>
          </w:p>
          <w:p w:rsidR="00B31AC9" w:rsidRPr="00B601EF" w:rsidRDefault="00B31AC9" w:rsidP="00B31AC9">
            <w:r w:rsidRPr="00B601EF">
              <w:t xml:space="preserve">VI – Item </w:t>
            </w:r>
            <w:proofErr w:type="gramStart"/>
            <w:r w:rsidRPr="00B601EF">
              <w:t>5</w:t>
            </w:r>
            <w:proofErr w:type="gramEnd"/>
            <w:r w:rsidRPr="00B601EF">
              <w:t xml:space="preserve"> do Regulamento Técnico ANP 01/07, anexo da Resolução ANP 09, de 03 de março de 2007;</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060C65">
            <w:pPr>
              <w:spacing w:before="120"/>
              <w:ind w:left="130" w:right="125"/>
              <w:jc w:val="both"/>
            </w:pPr>
            <w:r w:rsidRPr="00B601EF">
              <w:t xml:space="preserve"> Infração de natureza formal, de baixo potencial lesivo, e que não causa nenhum prejuízo à segurança operacional, ao controle de qualidade dos combustíveis e ao mercado de </w:t>
            </w:r>
            <w:proofErr w:type="gramStart"/>
            <w:r w:rsidRPr="00B601EF">
              <w:t>consumo</w:t>
            </w:r>
            <w:proofErr w:type="gramEnd"/>
          </w:p>
        </w:tc>
      </w:tr>
      <w:tr w:rsidR="00B31AC9"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B31AC9" w:rsidRPr="00B601EF" w:rsidRDefault="00B31AC9" w:rsidP="00440A61">
            <w:pPr>
              <w:jc w:val="center"/>
              <w:rPr>
                <w:b/>
              </w:rPr>
            </w:pPr>
            <w:r w:rsidRPr="00B601EF">
              <w:rPr>
                <w:b/>
              </w:rPr>
              <w:t>SINDICOM</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pPr>
              <w:rPr>
                <w:b/>
              </w:rPr>
            </w:pPr>
            <w:r w:rsidRPr="00B601EF">
              <w:rPr>
                <w:b/>
              </w:rPr>
              <w:t>Art.11</w:t>
            </w:r>
          </w:p>
          <w:p w:rsidR="00B31AC9" w:rsidRPr="00B601EF" w:rsidRDefault="00B31AC9" w:rsidP="00B31AC9">
            <w:pPr>
              <w:rPr>
                <w:b/>
              </w:rPr>
            </w:pPr>
            <w:r w:rsidRPr="00B601EF">
              <w:rPr>
                <w:b/>
              </w:rPr>
              <w:t>(Incluir inciso)</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r w:rsidRPr="00B601EF">
              <w:t xml:space="preserve">Art. 8º, §§ 3º e 4º, da Resolução ANP </w:t>
            </w:r>
            <w:proofErr w:type="gramStart"/>
            <w:r w:rsidRPr="00B601EF">
              <w:t>19/2015</w:t>
            </w:r>
            <w:proofErr w:type="gramEnd"/>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060C65">
            <w:pPr>
              <w:spacing w:before="120"/>
              <w:ind w:left="130" w:right="125"/>
              <w:jc w:val="both"/>
            </w:pPr>
            <w:r w:rsidRPr="00B601EF">
              <w:t>Concessão de prazo de guarda de documentos – boletins de conformidade.</w:t>
            </w:r>
          </w:p>
        </w:tc>
      </w:tr>
      <w:tr w:rsidR="00B31AC9"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B31AC9" w:rsidRPr="00B601EF" w:rsidRDefault="00B31AC9" w:rsidP="00440A61">
            <w:pPr>
              <w:jc w:val="center"/>
              <w:rPr>
                <w:b/>
              </w:rPr>
            </w:pPr>
            <w:r w:rsidRPr="00B601EF">
              <w:rPr>
                <w:b/>
              </w:rPr>
              <w:t>SINDICOM</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pPr>
              <w:rPr>
                <w:b/>
              </w:rPr>
            </w:pPr>
            <w:r w:rsidRPr="00B601EF">
              <w:rPr>
                <w:b/>
              </w:rPr>
              <w:t>Art.11</w:t>
            </w:r>
          </w:p>
          <w:p w:rsidR="00B31AC9" w:rsidRPr="00B601EF" w:rsidRDefault="00B31AC9" w:rsidP="00B31AC9">
            <w:pPr>
              <w:rPr>
                <w:b/>
              </w:rPr>
            </w:pPr>
            <w:r w:rsidRPr="00B601EF">
              <w:rPr>
                <w:b/>
              </w:rPr>
              <w:t>(Incluir inciso)</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r w:rsidRPr="00B601EF">
              <w:t>Art. 11 da Resolução ANP 19/2015</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060C65">
            <w:pPr>
              <w:spacing w:before="120"/>
              <w:ind w:left="130" w:right="125"/>
              <w:jc w:val="both"/>
            </w:pPr>
            <w:r w:rsidRPr="00B601EF">
              <w:t>Eventual falha na indicação da documentação não implica, necessariamente, na desconformidade do produto. Entendemos, portanto, que se trata de questão meramente formal, sem prejuízo da qualidade do combustível.</w:t>
            </w:r>
          </w:p>
        </w:tc>
      </w:tr>
      <w:tr w:rsidR="00B31AC9"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B31AC9" w:rsidRPr="00B601EF" w:rsidRDefault="00B31AC9" w:rsidP="00440A61">
            <w:pPr>
              <w:jc w:val="center"/>
              <w:rPr>
                <w:b/>
              </w:rPr>
            </w:pPr>
            <w:r w:rsidRPr="00B601EF">
              <w:rPr>
                <w:b/>
              </w:rPr>
              <w:t>SINDICOM</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pPr>
              <w:rPr>
                <w:b/>
              </w:rPr>
            </w:pPr>
            <w:r w:rsidRPr="00B601EF">
              <w:rPr>
                <w:b/>
              </w:rPr>
              <w:t>Art.11</w:t>
            </w:r>
          </w:p>
          <w:p w:rsidR="00B31AC9" w:rsidRPr="00B601EF" w:rsidRDefault="00B31AC9" w:rsidP="00B31AC9">
            <w:pPr>
              <w:rPr>
                <w:b/>
              </w:rPr>
            </w:pPr>
            <w:r w:rsidRPr="00B601EF">
              <w:rPr>
                <w:b/>
              </w:rPr>
              <w:t>(Incluir inciso)</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r w:rsidRPr="00B601EF">
              <w:t xml:space="preserve">Art. 6º, §§ 5º, 6º e 7º, da Resolução ANP </w:t>
            </w:r>
            <w:proofErr w:type="gramStart"/>
            <w:r w:rsidRPr="00B601EF">
              <w:t>40/2013</w:t>
            </w:r>
            <w:proofErr w:type="gramEnd"/>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060C65">
            <w:pPr>
              <w:spacing w:before="120"/>
              <w:ind w:left="130" w:right="125"/>
              <w:jc w:val="both"/>
            </w:pPr>
            <w:r w:rsidRPr="00B601EF">
              <w:t>Eventual falha na indicação da documentação não implica, necessariamente, na desconformidade do produto. Entendemos, portanto, que se trata de questão meramente formal, sem prejuízo da qualidade do combustível.</w:t>
            </w:r>
          </w:p>
        </w:tc>
      </w:tr>
      <w:tr w:rsidR="00B31AC9"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B31AC9" w:rsidRPr="00B601EF" w:rsidRDefault="00B31AC9" w:rsidP="00440A61">
            <w:pPr>
              <w:jc w:val="center"/>
              <w:rPr>
                <w:b/>
              </w:rPr>
            </w:pPr>
            <w:r w:rsidRPr="00B601EF">
              <w:rPr>
                <w:b/>
              </w:rPr>
              <w:t>SINDICOM</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pPr>
              <w:rPr>
                <w:b/>
              </w:rPr>
            </w:pPr>
            <w:r w:rsidRPr="00B601EF">
              <w:rPr>
                <w:b/>
              </w:rPr>
              <w:t>Art.11</w:t>
            </w:r>
          </w:p>
          <w:p w:rsidR="00B31AC9" w:rsidRPr="00B601EF" w:rsidRDefault="00B31AC9" w:rsidP="00B31AC9">
            <w:pPr>
              <w:rPr>
                <w:b/>
              </w:rPr>
            </w:pPr>
            <w:r w:rsidRPr="00B601EF">
              <w:rPr>
                <w:b/>
              </w:rPr>
              <w:t>(Incluir inciso)</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r w:rsidRPr="00B601EF">
              <w:t>Art. 2º da Resolução ANP 17/2004</w:t>
            </w:r>
          </w:p>
          <w:p w:rsidR="00B31AC9" w:rsidRPr="00B601EF" w:rsidRDefault="00B31AC9" w:rsidP="00B31AC9"/>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060C65">
            <w:pPr>
              <w:spacing w:before="120"/>
              <w:ind w:left="130" w:right="125"/>
              <w:jc w:val="both"/>
            </w:pPr>
            <w:r w:rsidRPr="00B601EF">
              <w:t>O atraso no envio do DPMP pelo SIMP não implicará em qualquer prejuízo efetivo para a cadeia de distribuição, para os agentes regulados, consumidores, nem mesmo para a Agência. Não se questiona a necessidade de cumprimento do dispositivo, mas apenas se requer que antes da lavratura de um AI seja oportunizada a apresentação, ainda que extrapolado o prazo normativo.</w:t>
            </w:r>
          </w:p>
        </w:tc>
      </w:tr>
      <w:tr w:rsidR="00B31AC9"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B31AC9" w:rsidRPr="00B601EF" w:rsidRDefault="00B31AC9" w:rsidP="00440A61">
            <w:pPr>
              <w:jc w:val="center"/>
              <w:rPr>
                <w:b/>
              </w:rPr>
            </w:pPr>
            <w:r w:rsidRPr="00B601EF">
              <w:rPr>
                <w:b/>
              </w:rPr>
              <w:t>SINDICOM</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pPr>
              <w:rPr>
                <w:b/>
              </w:rPr>
            </w:pPr>
            <w:r w:rsidRPr="00B601EF">
              <w:rPr>
                <w:b/>
              </w:rPr>
              <w:t>Art.11</w:t>
            </w:r>
          </w:p>
          <w:p w:rsidR="00B31AC9" w:rsidRPr="00B601EF" w:rsidRDefault="00B31AC9" w:rsidP="00B31AC9">
            <w:pPr>
              <w:rPr>
                <w:b/>
              </w:rPr>
            </w:pPr>
            <w:r w:rsidRPr="00B601EF">
              <w:rPr>
                <w:b/>
              </w:rPr>
              <w:t>(Incluir inciso)</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r w:rsidRPr="00B601EF">
              <w:t>Art. 5º da Resolução ANP 17/2004</w:t>
            </w:r>
          </w:p>
          <w:p w:rsidR="00B31AC9" w:rsidRPr="00B601EF" w:rsidRDefault="00B31AC9" w:rsidP="00B31AC9"/>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060C65">
            <w:pPr>
              <w:spacing w:before="120"/>
              <w:ind w:left="130" w:right="125"/>
              <w:jc w:val="both"/>
            </w:pPr>
            <w:r w:rsidRPr="00B601EF">
              <w:t>O atraso no envio do DPMP pelo SIMP não implicará em qualquer prejuízo efetivo para a cadeia de distribuição, para os agentes regulados, consumidores, nem mesmo para a Agência. Não se questiona a necessidade de cumprimento do dispositivo, mas apenas se requer que antes da lavratura de um AI seja oportunizada a apresentação, ainda que extrapolado o prazo normativo.</w:t>
            </w:r>
          </w:p>
        </w:tc>
      </w:tr>
      <w:tr w:rsidR="00B31AC9"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B31AC9" w:rsidRPr="00B601EF" w:rsidRDefault="00B31AC9" w:rsidP="00440A61">
            <w:pPr>
              <w:jc w:val="center"/>
              <w:rPr>
                <w:b/>
              </w:rPr>
            </w:pPr>
            <w:r w:rsidRPr="00B601EF">
              <w:rPr>
                <w:b/>
              </w:rPr>
              <w:t>SINDICOM</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pPr>
              <w:rPr>
                <w:b/>
              </w:rPr>
            </w:pPr>
            <w:r w:rsidRPr="00B601EF">
              <w:rPr>
                <w:b/>
              </w:rPr>
              <w:t>Art.11</w:t>
            </w:r>
          </w:p>
          <w:p w:rsidR="00B31AC9" w:rsidRPr="00B601EF" w:rsidRDefault="00B31AC9" w:rsidP="00B31AC9">
            <w:pPr>
              <w:rPr>
                <w:b/>
              </w:rPr>
            </w:pPr>
            <w:r w:rsidRPr="00B601EF">
              <w:rPr>
                <w:b/>
              </w:rPr>
              <w:t>(Incluir inciso)</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r w:rsidRPr="00B601EF">
              <w:t xml:space="preserve">Art. 37, X, da Resolução ANP </w:t>
            </w:r>
            <w:proofErr w:type="gramStart"/>
            <w:r w:rsidRPr="00B601EF">
              <w:t>58/2014</w:t>
            </w:r>
            <w:proofErr w:type="gramEnd"/>
          </w:p>
          <w:p w:rsidR="00B31AC9" w:rsidRPr="00B601EF" w:rsidRDefault="00B31AC9" w:rsidP="00B31AC9"/>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060C65">
            <w:pPr>
              <w:spacing w:before="120"/>
              <w:ind w:left="130" w:right="125"/>
              <w:jc w:val="both"/>
            </w:pPr>
            <w:r w:rsidRPr="00B601EF">
              <w:t xml:space="preserve">A demora em informar à Agência o encerramento de um Contrato de Cessão de Espaço não implicará em prejuízo efetivo para a cadeia de distribuição, para os agentes regulados, consumidores, nem mesmo para a Agência. Dessa forma, </w:t>
            </w:r>
            <w:r w:rsidRPr="00B601EF">
              <w:lastRenderedPageBreak/>
              <w:t>entendemos razoável oportunizar a manifestação / informação sobre o encerramento do contrato sem necessidade da lavratura de um AI.</w:t>
            </w:r>
          </w:p>
        </w:tc>
      </w:tr>
      <w:tr w:rsidR="00B31AC9"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B31AC9" w:rsidRPr="00B601EF" w:rsidRDefault="00B31AC9" w:rsidP="00440A61">
            <w:pPr>
              <w:jc w:val="center"/>
              <w:rPr>
                <w:b/>
              </w:rPr>
            </w:pPr>
            <w:r w:rsidRPr="00B601EF">
              <w:rPr>
                <w:b/>
              </w:rPr>
              <w:lastRenderedPageBreak/>
              <w:t>SINDICOM</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pPr>
              <w:rPr>
                <w:b/>
              </w:rPr>
            </w:pPr>
            <w:r w:rsidRPr="00B601EF">
              <w:rPr>
                <w:b/>
              </w:rPr>
              <w:t>Art.11</w:t>
            </w:r>
          </w:p>
          <w:p w:rsidR="00B31AC9" w:rsidRPr="00B601EF" w:rsidRDefault="00B31AC9" w:rsidP="00B31AC9">
            <w:pPr>
              <w:rPr>
                <w:b/>
              </w:rPr>
            </w:pPr>
            <w:r w:rsidRPr="00B601EF">
              <w:rPr>
                <w:b/>
              </w:rPr>
              <w:t>(Incluir inciso)</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r w:rsidRPr="00B601EF">
              <w:t xml:space="preserve">Art. 6º, §2º, da Resolução ANP </w:t>
            </w:r>
            <w:proofErr w:type="gramStart"/>
            <w:r w:rsidRPr="00B601EF">
              <w:t>09/2007</w:t>
            </w:r>
            <w:proofErr w:type="gramEnd"/>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060C65">
            <w:pPr>
              <w:spacing w:before="120"/>
              <w:ind w:left="130" w:right="125"/>
              <w:jc w:val="both"/>
            </w:pPr>
            <w:r w:rsidRPr="00B601EF">
              <w:t xml:space="preserve">Eventual falha na indicação do nº. </w:t>
            </w:r>
            <w:proofErr w:type="gramStart"/>
            <w:r w:rsidRPr="00B601EF">
              <w:t>do</w:t>
            </w:r>
            <w:proofErr w:type="gramEnd"/>
            <w:r w:rsidRPr="00B601EF">
              <w:t xml:space="preserve"> Envelope de Segurança na Nota Fiscal não implica, necessariamente, na desconformidade do produto. Entendemos, portanto, que pode se trata de questão meramente formal, sem prejuízo da qualidade do combustível.</w:t>
            </w:r>
          </w:p>
        </w:tc>
      </w:tr>
      <w:tr w:rsidR="00B31AC9"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B31AC9" w:rsidRPr="00B601EF" w:rsidRDefault="00B31AC9" w:rsidP="00440A61">
            <w:pPr>
              <w:jc w:val="center"/>
              <w:rPr>
                <w:b/>
              </w:rPr>
            </w:pPr>
            <w:r w:rsidRPr="00B601EF">
              <w:rPr>
                <w:b/>
              </w:rPr>
              <w:t>SINDICOM</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pPr>
              <w:rPr>
                <w:b/>
              </w:rPr>
            </w:pPr>
            <w:r w:rsidRPr="00B601EF">
              <w:rPr>
                <w:b/>
              </w:rPr>
              <w:t>Art.11</w:t>
            </w:r>
          </w:p>
          <w:p w:rsidR="00B31AC9" w:rsidRPr="00B601EF" w:rsidRDefault="00B31AC9" w:rsidP="00B31AC9">
            <w:pPr>
              <w:rPr>
                <w:b/>
              </w:rPr>
            </w:pPr>
            <w:r w:rsidRPr="00B601EF">
              <w:rPr>
                <w:b/>
              </w:rPr>
              <w:t>(Incluir inciso)</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r w:rsidRPr="00B601EF">
              <w:t xml:space="preserve">Art. 2º, §§ 1º, 3º e 4º II, da Resolução ANP </w:t>
            </w:r>
            <w:proofErr w:type="gramStart"/>
            <w:r w:rsidRPr="00B601EF">
              <w:t>44/2013</w:t>
            </w:r>
            <w:proofErr w:type="gramEnd"/>
          </w:p>
          <w:p w:rsidR="00B31AC9" w:rsidRPr="00B601EF" w:rsidRDefault="00B31AC9" w:rsidP="00B31AC9"/>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060C65">
            <w:pPr>
              <w:spacing w:before="120"/>
              <w:ind w:left="130" w:right="125"/>
              <w:jc w:val="both"/>
            </w:pPr>
            <w:r w:rsidRPr="00B601EF">
              <w:t xml:space="preserve">Eventual falha na indicação dos </w:t>
            </w:r>
            <w:proofErr w:type="spellStart"/>
            <w:r w:rsidRPr="00B601EF">
              <w:t>nº.</w:t>
            </w:r>
            <w:proofErr w:type="spellEnd"/>
            <w:r w:rsidRPr="00B601EF">
              <w:t>s dos lacres e códigos SIMP na documentação fiscal não implica, necessariamente, na desconformidade do produto. O atendimento às especificações poderá ser confirmado em simples análise do mesmo, de modo que um equívoco na documentação deve ser considerado meramente formal, uma vez que não implicará em prejuízo à qualidade do combustível.</w:t>
            </w:r>
          </w:p>
        </w:tc>
      </w:tr>
      <w:tr w:rsidR="00B31AC9"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B31AC9" w:rsidRPr="00B601EF" w:rsidRDefault="00B31AC9" w:rsidP="00440A61">
            <w:pPr>
              <w:jc w:val="center"/>
              <w:rPr>
                <w:b/>
              </w:rPr>
            </w:pPr>
            <w:r w:rsidRPr="00B601EF">
              <w:rPr>
                <w:b/>
              </w:rPr>
              <w:t>SINDICOM</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pPr>
              <w:rPr>
                <w:b/>
              </w:rPr>
            </w:pPr>
            <w:r w:rsidRPr="00B601EF">
              <w:rPr>
                <w:b/>
              </w:rPr>
              <w:t>Art.11</w:t>
            </w:r>
          </w:p>
          <w:p w:rsidR="00B31AC9" w:rsidRPr="00B601EF" w:rsidRDefault="00B31AC9" w:rsidP="00B31AC9">
            <w:pPr>
              <w:rPr>
                <w:b/>
              </w:rPr>
            </w:pPr>
            <w:r w:rsidRPr="00B601EF">
              <w:rPr>
                <w:b/>
              </w:rPr>
              <w:t>(Incluir inciso)</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r w:rsidRPr="00B601EF">
              <w:t xml:space="preserve">Art. 2º, § 2º, da Resolução ANP </w:t>
            </w:r>
            <w:proofErr w:type="gramStart"/>
            <w:r w:rsidRPr="00B601EF">
              <w:t>44/2013</w:t>
            </w:r>
            <w:proofErr w:type="gramEnd"/>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060C65">
            <w:pPr>
              <w:spacing w:before="120"/>
              <w:ind w:left="130" w:right="125"/>
              <w:jc w:val="both"/>
            </w:pPr>
            <w:r w:rsidRPr="00B601EF">
              <w:t xml:space="preserve">A responsabilidade pela </w:t>
            </w:r>
            <w:proofErr w:type="spellStart"/>
            <w:r w:rsidRPr="00B601EF">
              <w:t>lacração</w:t>
            </w:r>
            <w:proofErr w:type="spellEnd"/>
            <w:r w:rsidRPr="00B601EF">
              <w:t xml:space="preserve"> dos veículos será do distribuidor fornecedor do produto embarcado, o que é natural e aceitável. É essencial distinguir, porém, a responsabilidade da obrigação de fazer. É possível haver a responsabilidade por ato de terceiro, de modo que se torna dispensável vincular a operação (</w:t>
            </w:r>
            <w:proofErr w:type="spellStart"/>
            <w:r w:rsidRPr="00B601EF">
              <w:t>lacração</w:t>
            </w:r>
            <w:proofErr w:type="spellEnd"/>
            <w:r w:rsidRPr="00B601EF">
              <w:t xml:space="preserve"> dos caminhões tanque) aos funcionários de cada distribuidora.</w:t>
            </w:r>
          </w:p>
        </w:tc>
      </w:tr>
      <w:tr w:rsidR="00B31AC9"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B31AC9" w:rsidRPr="00B601EF" w:rsidRDefault="00B31AC9" w:rsidP="00440A61">
            <w:pPr>
              <w:jc w:val="center"/>
              <w:rPr>
                <w:b/>
              </w:rPr>
            </w:pPr>
            <w:r w:rsidRPr="00B601EF">
              <w:rPr>
                <w:b/>
              </w:rPr>
              <w:t>SINDICOM</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pPr>
              <w:rPr>
                <w:b/>
              </w:rPr>
            </w:pPr>
            <w:r w:rsidRPr="00B601EF">
              <w:rPr>
                <w:b/>
              </w:rPr>
              <w:t>Art.11</w:t>
            </w:r>
          </w:p>
          <w:p w:rsidR="00B31AC9" w:rsidRPr="00B601EF" w:rsidRDefault="00B31AC9" w:rsidP="00B31AC9">
            <w:pPr>
              <w:rPr>
                <w:b/>
              </w:rPr>
            </w:pPr>
            <w:r w:rsidRPr="00B601EF">
              <w:rPr>
                <w:b/>
              </w:rPr>
              <w:t>(Incluir inciso)</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r w:rsidRPr="00B601EF">
              <w:t>Inciso I do Art. 14 da Resolução ANP 42/2011</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060C65">
            <w:pPr>
              <w:spacing w:before="120"/>
              <w:ind w:left="130" w:right="125"/>
              <w:jc w:val="both"/>
            </w:pPr>
            <w:r w:rsidRPr="00B601EF">
              <w:t>A manutenção da documentação não representa falha na operação e não expõe a riscos a instalação, as pessoas ou o meio ambiente. É razoável, portanto, a concessão de prazo para apresentação de documentação que, eventualmente, não tenha sido disponibilizada em ato de fiscalização. Entendemos que se trata de questão meramente formal, admitindo a aplicação de MRC.</w:t>
            </w:r>
          </w:p>
        </w:tc>
      </w:tr>
      <w:tr w:rsidR="00B31AC9"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B31AC9" w:rsidRPr="00B601EF" w:rsidRDefault="00B31AC9" w:rsidP="00440A61">
            <w:pPr>
              <w:jc w:val="center"/>
              <w:rPr>
                <w:b/>
              </w:rPr>
            </w:pPr>
            <w:r w:rsidRPr="00B601EF">
              <w:rPr>
                <w:b/>
              </w:rPr>
              <w:t>SINDICOM</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pPr>
              <w:rPr>
                <w:b/>
              </w:rPr>
            </w:pPr>
            <w:r w:rsidRPr="00B601EF">
              <w:rPr>
                <w:b/>
              </w:rPr>
              <w:t>Art.11</w:t>
            </w:r>
          </w:p>
          <w:p w:rsidR="00B31AC9" w:rsidRPr="00B601EF" w:rsidRDefault="00B31AC9" w:rsidP="00B31AC9">
            <w:pPr>
              <w:rPr>
                <w:b/>
              </w:rPr>
            </w:pPr>
            <w:r w:rsidRPr="00B601EF">
              <w:rPr>
                <w:b/>
              </w:rPr>
              <w:t>(Incluir inciso)</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r w:rsidRPr="00B601EF">
              <w:t>§2º do Art. 3º da Resolução ANP 42/2011;</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060C65">
            <w:pPr>
              <w:spacing w:before="120"/>
              <w:ind w:left="130" w:right="125"/>
              <w:jc w:val="both"/>
            </w:pPr>
            <w:r w:rsidRPr="00B601EF">
              <w:t xml:space="preserve">A Norma NBR 17505, bem como as regras do INMETRO e ISO </w:t>
            </w:r>
            <w:proofErr w:type="gramStart"/>
            <w:r w:rsidRPr="00B601EF">
              <w:t>devem ser observadas</w:t>
            </w:r>
            <w:proofErr w:type="gramEnd"/>
            <w:r w:rsidRPr="00B601EF">
              <w:t>. No entanto, há momentos em que a fiscalização exige posturas que não estão descritas nas normas técnicas, utilizando-as como fundamento para as autuações. Tratando-se de questões formais ou de menor relevância, ainda que amplamente aplicável o conjunto normativo técnico-complementar, é razoável que haja notificação para ajuste de eventual não conformidade antes da lavratura de auto de infração.</w:t>
            </w:r>
          </w:p>
          <w:p w:rsidR="00B31AC9" w:rsidRPr="00B601EF" w:rsidRDefault="00B31AC9" w:rsidP="00060C65">
            <w:pPr>
              <w:spacing w:before="120"/>
              <w:ind w:left="130" w:right="125"/>
              <w:jc w:val="both"/>
            </w:pPr>
            <w:r w:rsidRPr="00B601EF">
              <w:lastRenderedPageBreak/>
              <w:t xml:space="preserve">Nesta linha, é defensável que autuações em razão de problemas estruturais ou de segurança não são passiveis de solução no prazo concedido pelas </w:t>
            </w:r>
            <w:proofErr w:type="spellStart"/>
            <w:r w:rsidRPr="00B601EF">
              <w:t>MRC’s</w:t>
            </w:r>
            <w:proofErr w:type="spellEnd"/>
            <w:r w:rsidRPr="00B601EF">
              <w:t>.</w:t>
            </w:r>
          </w:p>
          <w:p w:rsidR="00B31AC9" w:rsidRPr="00B601EF" w:rsidRDefault="00B31AC9" w:rsidP="00060C65">
            <w:pPr>
              <w:spacing w:before="120"/>
              <w:ind w:left="130" w:right="125"/>
              <w:jc w:val="both"/>
            </w:pPr>
            <w:r w:rsidRPr="00B601EF">
              <w:t>Logo, se a irregularidade apontada pela Agência for sanável no prazo da presente proposta, a conduta será de menor potencial lesivo tornando admissível, então, a aplicação da MRC.</w:t>
            </w:r>
          </w:p>
        </w:tc>
      </w:tr>
      <w:tr w:rsidR="00B31AC9"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B31AC9" w:rsidRPr="00B601EF" w:rsidRDefault="00B31AC9" w:rsidP="00440A61">
            <w:pPr>
              <w:jc w:val="center"/>
              <w:rPr>
                <w:b/>
              </w:rPr>
            </w:pPr>
            <w:r w:rsidRPr="00B601EF">
              <w:rPr>
                <w:b/>
              </w:rPr>
              <w:lastRenderedPageBreak/>
              <w:t>SINDICOM</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pPr>
              <w:rPr>
                <w:b/>
              </w:rPr>
            </w:pPr>
            <w:r w:rsidRPr="00B601EF">
              <w:rPr>
                <w:b/>
              </w:rPr>
              <w:t>Art.11</w:t>
            </w:r>
          </w:p>
          <w:p w:rsidR="00B31AC9" w:rsidRPr="00B601EF" w:rsidRDefault="00B31AC9" w:rsidP="00B31AC9">
            <w:pPr>
              <w:rPr>
                <w:b/>
              </w:rPr>
            </w:pPr>
            <w:r w:rsidRPr="00B601EF">
              <w:rPr>
                <w:b/>
              </w:rPr>
              <w:t>(Incluir inciso)</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r w:rsidRPr="00B601EF">
              <w:t>Art. 1º da Resolução ANP 30/2006;</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060C65">
            <w:pPr>
              <w:spacing w:before="120"/>
              <w:ind w:left="130" w:right="125"/>
              <w:jc w:val="both"/>
            </w:pPr>
            <w:r w:rsidRPr="00B601EF">
              <w:t xml:space="preserve">A Norma NBR 17505, bem como as regras do INMETRO e ISO </w:t>
            </w:r>
            <w:proofErr w:type="gramStart"/>
            <w:r w:rsidRPr="00B601EF">
              <w:t>devem ser observadas</w:t>
            </w:r>
            <w:proofErr w:type="gramEnd"/>
            <w:r w:rsidRPr="00B601EF">
              <w:t>. No entanto, há momentos em que a fiscalização exige posturas que não estão descritas nas normas técnicas, utilizando-as como fundamento para as autuações. Tratando-se de questões formais ou de menor relevância, ainda que amplamente aplicável o conjunto normativo técnico-complementar, é razoável que haja notificação para ajuste de eventual não conformidade antes da lavratura de auto de infração.</w:t>
            </w:r>
          </w:p>
          <w:p w:rsidR="00B31AC9" w:rsidRPr="00B601EF" w:rsidRDefault="00B31AC9" w:rsidP="00060C65">
            <w:pPr>
              <w:spacing w:before="120"/>
              <w:ind w:left="130" w:right="125"/>
              <w:jc w:val="both"/>
            </w:pPr>
            <w:r w:rsidRPr="00B601EF">
              <w:t xml:space="preserve">Nesta linha, é defensável que autuações em razão de problemas estruturais ou de segurança não são passiveis de solução no prazo concedido pelas </w:t>
            </w:r>
            <w:proofErr w:type="spellStart"/>
            <w:r w:rsidRPr="00B601EF">
              <w:t>MRC’s</w:t>
            </w:r>
            <w:proofErr w:type="spellEnd"/>
            <w:r w:rsidRPr="00B601EF">
              <w:t>.</w:t>
            </w:r>
          </w:p>
          <w:p w:rsidR="00B31AC9" w:rsidRPr="00B601EF" w:rsidRDefault="00B31AC9" w:rsidP="00060C65">
            <w:pPr>
              <w:spacing w:before="120"/>
              <w:ind w:left="130" w:right="125"/>
              <w:jc w:val="both"/>
            </w:pPr>
            <w:r w:rsidRPr="00B601EF">
              <w:t>Logo, se a irregularidade apontada pela Agência for sanável no prazo da presente proposta, a conduta será de menor potencial lesivo tornando admissível, então, a aplicação da MRC.</w:t>
            </w:r>
          </w:p>
        </w:tc>
      </w:tr>
      <w:tr w:rsidR="00B31AC9"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B31AC9" w:rsidRPr="00B601EF" w:rsidRDefault="00B31AC9" w:rsidP="00440A61">
            <w:pPr>
              <w:jc w:val="center"/>
              <w:rPr>
                <w:b/>
              </w:rPr>
            </w:pPr>
            <w:r w:rsidRPr="00B601EF">
              <w:rPr>
                <w:b/>
              </w:rPr>
              <w:t>SINDICOM</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4137AA">
            <w:pPr>
              <w:rPr>
                <w:b/>
              </w:rPr>
            </w:pPr>
            <w:r w:rsidRPr="00B601EF">
              <w:rPr>
                <w:b/>
              </w:rPr>
              <w:t> </w:t>
            </w:r>
          </w:p>
          <w:p w:rsidR="00B31AC9" w:rsidRPr="00B601EF" w:rsidRDefault="00B31AC9" w:rsidP="004137AA">
            <w:pPr>
              <w:jc w:val="center"/>
              <w:rPr>
                <w:b/>
              </w:rPr>
            </w:pPr>
            <w:r w:rsidRPr="00B601EF">
              <w:rPr>
                <w:b/>
              </w:rPr>
              <w:t> Art.16</w:t>
            </w:r>
          </w:p>
          <w:p w:rsidR="00B31AC9" w:rsidRPr="00B601EF" w:rsidRDefault="00B31AC9" w:rsidP="004137AA">
            <w:pPr>
              <w:jc w:val="center"/>
              <w:rPr>
                <w:b/>
              </w:rPr>
            </w:pPr>
            <w:r w:rsidRPr="00B601EF">
              <w:rPr>
                <w:b/>
              </w:rPr>
              <w:t>(Incluir inciso)</w:t>
            </w:r>
          </w:p>
          <w:p w:rsidR="00B31AC9" w:rsidRPr="00B601EF" w:rsidRDefault="00B31AC9" w:rsidP="004137AA">
            <w:pPr>
              <w:rPr>
                <w:b/>
              </w:rPr>
            </w:pP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B31AC9">
            <w:r w:rsidRPr="00B601EF">
              <w:t>Envio de informações pelos produtores e distribuidoras de derivados de petróleo à ANP.</w:t>
            </w:r>
          </w:p>
          <w:p w:rsidR="00B31AC9" w:rsidRPr="00B601EF" w:rsidRDefault="00B31AC9" w:rsidP="00B31AC9">
            <w:r w:rsidRPr="00B601EF">
              <w:t xml:space="preserve">V- </w:t>
            </w:r>
            <w:proofErr w:type="spellStart"/>
            <w:r w:rsidRPr="00B601EF">
              <w:t>art</w:t>
            </w:r>
            <w:proofErr w:type="spellEnd"/>
            <w:r w:rsidRPr="00B601EF">
              <w:t xml:space="preserve"> 2º da Resolução ANP nº 17/2004</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060C65">
            <w:pPr>
              <w:spacing w:before="120"/>
              <w:ind w:left="130" w:right="125"/>
              <w:jc w:val="both"/>
            </w:pPr>
            <w:r w:rsidRPr="00B601EF">
              <w:t> A inclusão do inciso V ao art. 16 coaduna-se com o objetivo da resolução ANP 32/2012 uma vez que possibilitará que</w:t>
            </w:r>
            <w:proofErr w:type="gramStart"/>
            <w:r w:rsidRPr="00B601EF">
              <w:t xml:space="preserve">  </w:t>
            </w:r>
            <w:proofErr w:type="gramEnd"/>
            <w:r w:rsidRPr="00B601EF">
              <w:t>os agentes econômicos possam adotar medidas reparadoras de forma a ajustar sua conduta ao disposto na legislação aplicável, notadamente  o art. 2º da Resolução ANP nº 17/2004, uma vez que a conduta descrita em tal dispositivo possui menor potencial de risco ao consumidor e ao mercado em geral e não consiste em vícios qualidade, quantidade e segurança nem se relaciona às autorizações necessárias para o exercício das atividades sujeitas à regulação da Agência.</w:t>
            </w:r>
          </w:p>
        </w:tc>
      </w:tr>
      <w:tr w:rsidR="00B31AC9"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B31AC9" w:rsidRPr="00B601EF" w:rsidRDefault="00B31AC9" w:rsidP="00440A61">
            <w:pPr>
              <w:jc w:val="center"/>
              <w:rPr>
                <w:b/>
              </w:rPr>
            </w:pPr>
            <w:r w:rsidRPr="00B601EF">
              <w:rPr>
                <w:b/>
              </w:rPr>
              <w:t>SINDICOM</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4137AA">
            <w:pPr>
              <w:rPr>
                <w:b/>
              </w:rPr>
            </w:pPr>
            <w:r w:rsidRPr="00B601EF">
              <w:rPr>
                <w:b/>
              </w:rPr>
              <w:t> </w:t>
            </w:r>
          </w:p>
          <w:p w:rsidR="00B31AC9" w:rsidRPr="00B601EF" w:rsidRDefault="00B31AC9" w:rsidP="004137AA">
            <w:pPr>
              <w:rPr>
                <w:b/>
              </w:rPr>
            </w:pPr>
            <w:r w:rsidRPr="00B601EF">
              <w:rPr>
                <w:b/>
              </w:rPr>
              <w:t> Art. 16 inciso V</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4137AA">
            <w:r w:rsidRPr="00B601EF">
              <w:t xml:space="preserve">Inclusão: Manter nas suas instalações documentação comprobatória das análises laboratoriais de desenvolvimento do produto, inciso VIII, Art. 26, da </w:t>
            </w:r>
            <w:proofErr w:type="spellStart"/>
            <w:r w:rsidRPr="00B601EF">
              <w:t>Res</w:t>
            </w:r>
            <w:proofErr w:type="spellEnd"/>
            <w:r w:rsidRPr="00B601EF">
              <w:t xml:space="preserve"> 18/09.</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060C65">
            <w:pPr>
              <w:spacing w:before="120"/>
              <w:ind w:left="130" w:right="125"/>
              <w:jc w:val="both"/>
            </w:pPr>
            <w:r w:rsidRPr="00B601EF">
              <w:t xml:space="preserve"> Atende plenamente aos </w:t>
            </w:r>
            <w:proofErr w:type="spellStart"/>
            <w:r w:rsidRPr="00B601EF">
              <w:t>considerandos</w:t>
            </w:r>
            <w:proofErr w:type="spellEnd"/>
            <w:r w:rsidRPr="00B601EF">
              <w:t xml:space="preserve"> e princípios orientadores desta Resolução;</w:t>
            </w:r>
          </w:p>
        </w:tc>
      </w:tr>
      <w:tr w:rsidR="00B31AC9"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B31AC9" w:rsidRPr="00B601EF" w:rsidRDefault="00B31AC9" w:rsidP="00440A61">
            <w:pPr>
              <w:jc w:val="center"/>
              <w:rPr>
                <w:b/>
              </w:rPr>
            </w:pPr>
            <w:r w:rsidRPr="00B601EF">
              <w:rPr>
                <w:b/>
              </w:rPr>
              <w:t>SINDICOM</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4137AA">
            <w:pPr>
              <w:rPr>
                <w:b/>
              </w:rPr>
            </w:pPr>
            <w:r w:rsidRPr="00B601EF">
              <w:rPr>
                <w:b/>
              </w:rPr>
              <w:t xml:space="preserve"> Art. 16 inciso VI </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4137AA">
            <w:r w:rsidRPr="00B601EF">
              <w:t xml:space="preserve">Inclusão: Alterações no Registro Art. 8 e 9, </w:t>
            </w:r>
            <w:proofErr w:type="spellStart"/>
            <w:r w:rsidRPr="00B601EF">
              <w:t>Res</w:t>
            </w:r>
            <w:proofErr w:type="spellEnd"/>
            <w:r w:rsidRPr="00B601EF">
              <w:t xml:space="preserve"> 22/2014.</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060C65">
            <w:pPr>
              <w:spacing w:before="120"/>
              <w:ind w:left="130" w:right="125"/>
              <w:jc w:val="both"/>
            </w:pPr>
            <w:r w:rsidRPr="00B601EF">
              <w:t xml:space="preserve"> Atende plenamente aos </w:t>
            </w:r>
            <w:proofErr w:type="spellStart"/>
            <w:r w:rsidRPr="00B601EF">
              <w:t>considerandos</w:t>
            </w:r>
            <w:proofErr w:type="spellEnd"/>
            <w:r w:rsidRPr="00B601EF">
              <w:t xml:space="preserve"> e princípios orientadores desta Resolução;</w:t>
            </w:r>
          </w:p>
        </w:tc>
      </w:tr>
      <w:tr w:rsidR="00B31AC9"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B31AC9" w:rsidRPr="00B601EF" w:rsidRDefault="00B31AC9" w:rsidP="00440A61">
            <w:pPr>
              <w:jc w:val="center"/>
              <w:rPr>
                <w:b/>
              </w:rPr>
            </w:pPr>
            <w:r w:rsidRPr="00B601EF">
              <w:rPr>
                <w:b/>
              </w:rPr>
              <w:lastRenderedPageBreak/>
              <w:t>SINDICOM</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4137AA">
            <w:pPr>
              <w:rPr>
                <w:b/>
              </w:rPr>
            </w:pPr>
            <w:r w:rsidRPr="00B601EF">
              <w:rPr>
                <w:b/>
              </w:rPr>
              <w:t>Art. 16 inciso VII</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4137AA">
            <w:r w:rsidRPr="00B601EF">
              <w:t xml:space="preserve">Inclusão: Rotulagem. Incisos I a XVII, inclusive § 1°, do </w:t>
            </w:r>
            <w:proofErr w:type="spellStart"/>
            <w:r w:rsidRPr="00B601EF">
              <w:t>Art</w:t>
            </w:r>
            <w:proofErr w:type="spellEnd"/>
            <w:r w:rsidRPr="00B601EF">
              <w:t xml:space="preserve"> 12, da </w:t>
            </w:r>
            <w:proofErr w:type="spellStart"/>
            <w:r w:rsidRPr="00B601EF">
              <w:t>Res</w:t>
            </w:r>
            <w:proofErr w:type="spellEnd"/>
            <w:r w:rsidRPr="00B601EF">
              <w:t xml:space="preserve"> 22/2014.</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060C65">
            <w:pPr>
              <w:spacing w:before="120"/>
              <w:ind w:left="130" w:right="125"/>
              <w:jc w:val="both"/>
            </w:pPr>
            <w:r w:rsidRPr="00B601EF">
              <w:t xml:space="preserve"> Atende plenamente aos </w:t>
            </w:r>
            <w:proofErr w:type="spellStart"/>
            <w:r w:rsidRPr="00B601EF">
              <w:t>considerandos</w:t>
            </w:r>
            <w:proofErr w:type="spellEnd"/>
            <w:r w:rsidRPr="00B601EF">
              <w:t xml:space="preserve"> e princípios orientadores desta Resolução;</w:t>
            </w:r>
          </w:p>
        </w:tc>
      </w:tr>
      <w:tr w:rsidR="00B31AC9"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B31AC9" w:rsidRPr="00B601EF" w:rsidRDefault="00B31AC9" w:rsidP="00440A61">
            <w:pPr>
              <w:jc w:val="center"/>
              <w:rPr>
                <w:b/>
              </w:rPr>
            </w:pPr>
            <w:r w:rsidRPr="00B601EF">
              <w:rPr>
                <w:b/>
              </w:rPr>
              <w:t>SINDICOM</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4137AA">
            <w:pPr>
              <w:rPr>
                <w:b/>
              </w:rPr>
            </w:pPr>
            <w:r w:rsidRPr="00B601EF">
              <w:rPr>
                <w:b/>
              </w:rPr>
              <w:t>Art. 17 inciso II</w:t>
            </w:r>
          </w:p>
          <w:p w:rsidR="00B31AC9" w:rsidRPr="00B601EF" w:rsidRDefault="00B31AC9" w:rsidP="004137AA">
            <w:pPr>
              <w:rPr>
                <w:b/>
              </w:rPr>
            </w:pP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4137AA">
            <w:r w:rsidRPr="00B601EF">
              <w:t>Inclusão: Alterações Cadastrais</w:t>
            </w:r>
            <w:proofErr w:type="gramStart"/>
            <w:r w:rsidRPr="00B601EF">
              <w:t xml:space="preserve">  </w:t>
            </w:r>
            <w:proofErr w:type="gramEnd"/>
            <w:r w:rsidRPr="00B601EF">
              <w:t xml:space="preserve">(incisos I, II, III e V, do Art. 9°, </w:t>
            </w:r>
            <w:proofErr w:type="spellStart"/>
            <w:r w:rsidRPr="00B601EF">
              <w:t>Res</w:t>
            </w:r>
            <w:proofErr w:type="spellEnd"/>
            <w:r w:rsidRPr="00B601EF">
              <w:t xml:space="preserve"> 17/09)</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060C65">
            <w:pPr>
              <w:spacing w:before="120"/>
              <w:ind w:left="130" w:right="125"/>
              <w:jc w:val="both"/>
            </w:pPr>
            <w:r w:rsidRPr="00B601EF">
              <w:t xml:space="preserve">Atende plenamente aos </w:t>
            </w:r>
            <w:proofErr w:type="spellStart"/>
            <w:r w:rsidRPr="00B601EF">
              <w:t>considerandos</w:t>
            </w:r>
            <w:proofErr w:type="spellEnd"/>
            <w:r w:rsidRPr="00B601EF">
              <w:t xml:space="preserve"> e princípios orientadores desta Resolução;</w:t>
            </w:r>
          </w:p>
        </w:tc>
      </w:tr>
      <w:tr w:rsidR="00B31AC9"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B31AC9" w:rsidRPr="00B601EF" w:rsidRDefault="00B31AC9" w:rsidP="00440A61">
            <w:pPr>
              <w:jc w:val="center"/>
              <w:rPr>
                <w:b/>
              </w:rPr>
            </w:pPr>
            <w:r w:rsidRPr="00B601EF">
              <w:rPr>
                <w:b/>
              </w:rPr>
              <w:t>SINDICOM</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4137AA">
            <w:pPr>
              <w:rPr>
                <w:b/>
              </w:rPr>
            </w:pPr>
            <w:r w:rsidRPr="00B601EF">
              <w:rPr>
                <w:b/>
              </w:rPr>
              <w:t>Art. 17 inciso III</w:t>
            </w:r>
          </w:p>
          <w:p w:rsidR="00B31AC9" w:rsidRPr="00B601EF" w:rsidRDefault="00B31AC9" w:rsidP="004137AA">
            <w:pPr>
              <w:rPr>
                <w:b/>
              </w:rPr>
            </w:pP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4137AA">
            <w:r w:rsidRPr="00B601EF">
              <w:t xml:space="preserve">Inclusão: Alterações Cadastrais </w:t>
            </w:r>
            <w:proofErr w:type="gramStart"/>
            <w:r w:rsidRPr="00B601EF">
              <w:t xml:space="preserve">( </w:t>
            </w:r>
            <w:proofErr w:type="gramEnd"/>
            <w:r w:rsidRPr="00B601EF">
              <w:t xml:space="preserve">inciso IV, do Art. 9°, </w:t>
            </w:r>
            <w:proofErr w:type="spellStart"/>
            <w:r w:rsidRPr="00B601EF">
              <w:t>Res</w:t>
            </w:r>
            <w:proofErr w:type="spellEnd"/>
            <w:r w:rsidRPr="00B601EF">
              <w:t xml:space="preserve"> 17/09, Somente exclusão)</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31AC9" w:rsidRPr="00B601EF" w:rsidRDefault="00B31AC9" w:rsidP="00060C65">
            <w:pPr>
              <w:spacing w:before="120"/>
              <w:ind w:left="130" w:right="125"/>
              <w:jc w:val="both"/>
            </w:pPr>
            <w:r w:rsidRPr="00B601EF">
              <w:t xml:space="preserve">Atende plenamente aos </w:t>
            </w:r>
            <w:proofErr w:type="spellStart"/>
            <w:r w:rsidRPr="00B601EF">
              <w:t>considerandos</w:t>
            </w:r>
            <w:proofErr w:type="spellEnd"/>
            <w:r w:rsidRPr="00B601EF">
              <w:t xml:space="preserve"> e princípios orientadores desta Resolução;</w:t>
            </w:r>
          </w:p>
        </w:tc>
      </w:tr>
      <w:tr w:rsidR="00C62E7F"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C62E7F" w:rsidRPr="00B601EF" w:rsidRDefault="00C62E7F" w:rsidP="00440A61">
            <w:pPr>
              <w:jc w:val="center"/>
              <w:rPr>
                <w:b/>
              </w:rPr>
            </w:pPr>
            <w:r w:rsidRPr="00B601EF">
              <w:rPr>
                <w:b/>
              </w:rPr>
              <w:t>PETROBRAS PETRÓLEO BRASILEIRO S.A</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C62E7F" w:rsidRPr="00B601EF" w:rsidRDefault="00C62E7F" w:rsidP="004137AA">
            <w:pPr>
              <w:autoSpaceDE w:val="0"/>
              <w:autoSpaceDN w:val="0"/>
              <w:adjustRightInd w:val="0"/>
              <w:spacing w:line="360" w:lineRule="auto"/>
              <w:ind w:left="709" w:hanging="1"/>
              <w:jc w:val="both"/>
              <w:rPr>
                <w:rFonts w:ascii="Arial" w:hAnsi="Arial" w:cs="Arial"/>
                <w:b/>
                <w:bCs/>
                <w:color w:val="000000"/>
              </w:rPr>
            </w:pPr>
          </w:p>
          <w:p w:rsidR="00C62E7F" w:rsidRPr="00B601EF" w:rsidRDefault="00C62E7F" w:rsidP="004137AA">
            <w:pPr>
              <w:autoSpaceDE w:val="0"/>
              <w:autoSpaceDN w:val="0"/>
              <w:adjustRightInd w:val="0"/>
              <w:spacing w:line="360" w:lineRule="auto"/>
              <w:ind w:left="709" w:hanging="1"/>
              <w:jc w:val="both"/>
              <w:rPr>
                <w:rFonts w:ascii="Arial" w:hAnsi="Arial" w:cs="Arial"/>
                <w:b/>
                <w:bCs/>
                <w:color w:val="000000"/>
              </w:rPr>
            </w:pPr>
          </w:p>
          <w:p w:rsidR="00C62E7F" w:rsidRPr="00B601EF" w:rsidRDefault="00C62E7F" w:rsidP="004137AA">
            <w:pPr>
              <w:autoSpaceDE w:val="0"/>
              <w:autoSpaceDN w:val="0"/>
              <w:adjustRightInd w:val="0"/>
              <w:spacing w:line="360" w:lineRule="auto"/>
              <w:ind w:left="709" w:hanging="1"/>
              <w:jc w:val="both"/>
              <w:rPr>
                <w:rFonts w:ascii="Arial" w:hAnsi="Arial" w:cs="Arial"/>
                <w:b/>
                <w:bCs/>
                <w:color w:val="000000"/>
              </w:rPr>
            </w:pPr>
          </w:p>
          <w:p w:rsidR="00C62E7F" w:rsidRPr="00B601EF" w:rsidRDefault="00C62E7F" w:rsidP="004137AA">
            <w:pPr>
              <w:autoSpaceDE w:val="0"/>
              <w:autoSpaceDN w:val="0"/>
              <w:adjustRightInd w:val="0"/>
              <w:spacing w:line="360" w:lineRule="auto"/>
              <w:ind w:left="709" w:hanging="1"/>
              <w:jc w:val="both"/>
              <w:rPr>
                <w:rFonts w:ascii="Arial" w:hAnsi="Arial" w:cs="Arial"/>
                <w:b/>
                <w:bCs/>
                <w:color w:val="000000"/>
              </w:rPr>
            </w:pPr>
          </w:p>
          <w:p w:rsidR="00C62E7F" w:rsidRPr="00B601EF" w:rsidRDefault="00C62E7F" w:rsidP="004137AA">
            <w:pPr>
              <w:autoSpaceDE w:val="0"/>
              <w:autoSpaceDN w:val="0"/>
              <w:adjustRightInd w:val="0"/>
              <w:spacing w:line="360" w:lineRule="auto"/>
              <w:ind w:left="709" w:hanging="1"/>
              <w:jc w:val="both"/>
              <w:rPr>
                <w:rFonts w:ascii="Arial" w:hAnsi="Arial" w:cs="Arial"/>
                <w:b/>
                <w:bCs/>
                <w:color w:val="000000"/>
              </w:rPr>
            </w:pPr>
          </w:p>
          <w:p w:rsidR="00C62E7F" w:rsidRPr="00B601EF" w:rsidRDefault="00C62E7F" w:rsidP="004137AA">
            <w:pPr>
              <w:rPr>
                <w:rFonts w:ascii="Arial" w:hAnsi="Arial" w:cs="Arial"/>
                <w:b/>
                <w:bCs/>
              </w:rPr>
            </w:pPr>
          </w:p>
          <w:p w:rsidR="00C62E7F" w:rsidRPr="00B601EF" w:rsidRDefault="00C62E7F" w:rsidP="004137AA">
            <w:pPr>
              <w:rPr>
                <w:rFonts w:ascii="Arial" w:eastAsia="Arial Unicode MS" w:hAnsi="Arial" w:cs="Arial"/>
                <w:b/>
                <w:bCs/>
                <w:sz w:val="24"/>
                <w:szCs w:val="24"/>
              </w:rPr>
            </w:pPr>
            <w:r w:rsidRPr="00B601EF">
              <w:rPr>
                <w:b/>
              </w:rPr>
              <w:t>Inserção de artigo.</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C62E7F" w:rsidRPr="00B601EF" w:rsidRDefault="00C62E7F" w:rsidP="00C62E7F"/>
          <w:p w:rsidR="00C62E7F" w:rsidRPr="00B601EF" w:rsidRDefault="00C62E7F" w:rsidP="00C62E7F"/>
          <w:p w:rsidR="00C62E7F" w:rsidRPr="00B601EF" w:rsidRDefault="00C62E7F" w:rsidP="00C62E7F"/>
          <w:p w:rsidR="00C62E7F" w:rsidRPr="00B601EF" w:rsidRDefault="00C62E7F" w:rsidP="00C62E7F"/>
          <w:p w:rsidR="00C62E7F" w:rsidRPr="00B601EF" w:rsidRDefault="00C62E7F" w:rsidP="00C62E7F"/>
          <w:p w:rsidR="00C62E7F" w:rsidRPr="00B601EF" w:rsidRDefault="00C62E7F" w:rsidP="00C62E7F"/>
          <w:p w:rsidR="00C62E7F" w:rsidRPr="00B601EF" w:rsidRDefault="00C62E7F" w:rsidP="00C62E7F"/>
          <w:p w:rsidR="00C62E7F" w:rsidRPr="00B601EF" w:rsidRDefault="00C62E7F" w:rsidP="00C62E7F"/>
          <w:p w:rsidR="00C62E7F" w:rsidRPr="00B601EF" w:rsidRDefault="00C62E7F" w:rsidP="00C62E7F"/>
          <w:p w:rsidR="00C62E7F" w:rsidRPr="00B601EF" w:rsidRDefault="00C62E7F" w:rsidP="00C62E7F"/>
          <w:p w:rsidR="00C62E7F" w:rsidRPr="00B601EF" w:rsidRDefault="00C62E7F" w:rsidP="00C62E7F"/>
          <w:p w:rsidR="00C62E7F" w:rsidRPr="00B601EF" w:rsidRDefault="00C62E7F" w:rsidP="00C62E7F"/>
          <w:p w:rsidR="00C62E7F" w:rsidRPr="00B601EF" w:rsidRDefault="00C62E7F" w:rsidP="00C62E7F"/>
          <w:p w:rsidR="00C62E7F" w:rsidRPr="00B601EF" w:rsidRDefault="00C62E7F" w:rsidP="00C62E7F"/>
          <w:p w:rsidR="00C62E7F" w:rsidRPr="00B601EF" w:rsidRDefault="00C62E7F" w:rsidP="00C62E7F">
            <w:r w:rsidRPr="00B601EF">
              <w:t>DO REFINADOR</w:t>
            </w:r>
          </w:p>
          <w:p w:rsidR="00C62E7F" w:rsidRPr="00B601EF" w:rsidRDefault="00C62E7F" w:rsidP="00C62E7F"/>
          <w:p w:rsidR="00C62E7F" w:rsidRPr="00B601EF" w:rsidRDefault="00C62E7F" w:rsidP="00C62E7F"/>
          <w:p w:rsidR="00C62E7F" w:rsidRPr="00B601EF" w:rsidRDefault="00C62E7F" w:rsidP="00C62E7F"/>
          <w:p w:rsidR="00C62E7F" w:rsidRPr="00B601EF" w:rsidRDefault="00C62E7F" w:rsidP="00C62E7F">
            <w:r w:rsidRPr="00B601EF">
              <w:t>Art. 20 A. O refinador poderá adotar MRC quando ficar caracterizado o não atendimento aos seguintes dispositivos:</w:t>
            </w:r>
          </w:p>
          <w:p w:rsidR="00C62E7F" w:rsidRPr="00B601EF" w:rsidRDefault="00C62E7F" w:rsidP="00C62E7F"/>
          <w:p w:rsidR="00C62E7F" w:rsidRPr="00B601EF" w:rsidRDefault="00C62E7F" w:rsidP="00C62E7F">
            <w:r w:rsidRPr="00B601EF">
              <w:t>Envio da Licença de Operação, da cópia autenticada do protocolo de solicitação da renovação da Licença de Operação emitido pelo órgão ambiental e da cópia autenticada da renovação de Licença de Operação, em até 15 dias após sua renovação:</w:t>
            </w:r>
          </w:p>
          <w:p w:rsidR="00C62E7F" w:rsidRPr="00B601EF" w:rsidRDefault="00C62E7F" w:rsidP="00C62E7F"/>
          <w:p w:rsidR="00C62E7F" w:rsidRPr="00B601EF" w:rsidRDefault="00C62E7F" w:rsidP="00C62E7F">
            <w:pPr>
              <w:pStyle w:val="PargrafodaLista"/>
              <w:numPr>
                <w:ilvl w:val="0"/>
                <w:numId w:val="3"/>
              </w:numPr>
              <w:spacing w:after="0" w:line="240" w:lineRule="auto"/>
              <w:ind w:left="0" w:firstLine="0"/>
              <w:rPr>
                <w:rFonts w:ascii="Times New Roman" w:eastAsia="Times New Roman" w:hAnsi="Times New Roman" w:cs="Times New Roman"/>
                <w:sz w:val="20"/>
                <w:szCs w:val="20"/>
                <w:lang w:eastAsia="pt-BR"/>
              </w:rPr>
            </w:pPr>
            <w:r w:rsidRPr="00B601EF">
              <w:rPr>
                <w:rFonts w:ascii="Times New Roman" w:eastAsia="Times New Roman" w:hAnsi="Times New Roman" w:cs="Times New Roman"/>
                <w:sz w:val="20"/>
                <w:szCs w:val="20"/>
                <w:lang w:eastAsia="pt-BR"/>
              </w:rPr>
              <w:t>Inc. IV do art. 14 da Resolução ANP n.º 16/2010.</w:t>
            </w:r>
          </w:p>
          <w:p w:rsidR="00C62E7F" w:rsidRPr="00B601EF" w:rsidRDefault="00C62E7F" w:rsidP="00C62E7F"/>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C62E7F" w:rsidRPr="00B601EF" w:rsidRDefault="00C62E7F" w:rsidP="00060C65">
            <w:pPr>
              <w:spacing w:before="120"/>
              <w:ind w:left="130" w:right="125"/>
              <w:jc w:val="both"/>
            </w:pPr>
            <w:r w:rsidRPr="00B601EF">
              <w:t>A PETROBRAS entende ser de grande valia a proposta de ampliação do escopo da Resolução ANP n.º 32/2012, a qual permite a adoção, pela Agência, de uma fiscalização com caráter mais pedagógico no que tange às infrações consideradas de menor relevância.</w:t>
            </w:r>
          </w:p>
          <w:p w:rsidR="00C62E7F" w:rsidRPr="00B601EF" w:rsidRDefault="00C62E7F" w:rsidP="00060C65">
            <w:pPr>
              <w:spacing w:before="120"/>
              <w:ind w:left="130" w:right="125"/>
              <w:jc w:val="both"/>
            </w:pPr>
            <w:r w:rsidRPr="00B601EF">
              <w:t xml:space="preserve">Nessa esteira, </w:t>
            </w:r>
            <w:proofErr w:type="gramStart"/>
            <w:r w:rsidRPr="00B601EF">
              <w:t>pretende</w:t>
            </w:r>
            <w:proofErr w:type="gramEnd"/>
            <w:r w:rsidRPr="00B601EF">
              <w:t xml:space="preserve"> a PETROBRAS sugerir a inserção, no rol de medidas reparadoras de conduta previstas na minuta da nova resolução, condutas relacionadas à sua atividade, que não estejam vinculadas à segurança, qualidade, quantidade e de autorização para o exercício das atividades sujeitas à regulação da ANP.</w:t>
            </w:r>
          </w:p>
          <w:p w:rsidR="00C62E7F" w:rsidRPr="00B601EF" w:rsidRDefault="00C62E7F" w:rsidP="00060C65">
            <w:pPr>
              <w:spacing w:before="120"/>
              <w:ind w:left="130" w:right="125"/>
              <w:jc w:val="both"/>
            </w:pPr>
          </w:p>
          <w:p w:rsidR="00C62E7F" w:rsidRPr="00B601EF" w:rsidRDefault="00C62E7F" w:rsidP="00060C65">
            <w:pPr>
              <w:spacing w:before="120"/>
              <w:ind w:left="130" w:right="125"/>
              <w:jc w:val="both"/>
            </w:pPr>
          </w:p>
          <w:p w:rsidR="00C62E7F" w:rsidRPr="00B601EF" w:rsidRDefault="00C62E7F" w:rsidP="00060C65">
            <w:pPr>
              <w:spacing w:before="120"/>
              <w:ind w:left="130" w:right="125"/>
              <w:jc w:val="both"/>
            </w:pPr>
          </w:p>
          <w:p w:rsidR="00C62E7F" w:rsidRPr="00B601EF" w:rsidRDefault="00C62E7F" w:rsidP="00060C65">
            <w:pPr>
              <w:spacing w:before="120"/>
              <w:ind w:left="130" w:right="125"/>
              <w:jc w:val="both"/>
            </w:pPr>
          </w:p>
          <w:p w:rsidR="00C62E7F" w:rsidRPr="00B601EF" w:rsidRDefault="00C62E7F" w:rsidP="00060C65">
            <w:pPr>
              <w:spacing w:before="120"/>
              <w:ind w:left="130" w:right="125"/>
              <w:jc w:val="both"/>
            </w:pPr>
          </w:p>
          <w:p w:rsidR="00C62E7F" w:rsidRPr="00B601EF" w:rsidRDefault="00C62E7F" w:rsidP="00060C65">
            <w:pPr>
              <w:spacing w:before="120"/>
              <w:ind w:left="130" w:right="125"/>
              <w:jc w:val="both"/>
            </w:pPr>
            <w:r w:rsidRPr="00B601EF">
              <w:t xml:space="preserve"> A PETROBRAS entende que o envio da cópia autenticada da renovação da Licença de Operação poderia ser </w:t>
            </w:r>
            <w:proofErr w:type="gramStart"/>
            <w:r w:rsidRPr="00B601EF">
              <w:t xml:space="preserve">incluída no rol das </w:t>
            </w:r>
            <w:proofErr w:type="spellStart"/>
            <w:r w:rsidRPr="00B601EF">
              <w:t>MCRs</w:t>
            </w:r>
            <w:proofErr w:type="spellEnd"/>
            <w:r w:rsidRPr="00B601EF">
              <w:t>, tendo em vista</w:t>
            </w:r>
            <w:proofErr w:type="gramEnd"/>
            <w:r w:rsidRPr="00B601EF">
              <w:t xml:space="preserve"> que, por diversas vezes, há demora na emissão da LO pelo órgão Ambiental e a Companhia fica prejudicada no cumprimento da obrigação, dentro do prazo estabelecido pela Agência. </w:t>
            </w:r>
          </w:p>
          <w:p w:rsidR="00C62E7F" w:rsidRPr="00B601EF" w:rsidRDefault="00C62E7F" w:rsidP="00060C65">
            <w:pPr>
              <w:ind w:left="130" w:right="125"/>
              <w:jc w:val="both"/>
            </w:pPr>
            <w:r w:rsidRPr="00B601EF">
              <w:t xml:space="preserve"> É importante esclarecer que a medida reparadora englobaria apenas o prazo para o envio, e não a obrigatoriedade de que o agente regulado tenha uma licença de operação válida.  </w:t>
            </w:r>
          </w:p>
        </w:tc>
      </w:tr>
      <w:tr w:rsidR="00C62E7F"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C62E7F" w:rsidRPr="00B601EF" w:rsidRDefault="00C62E7F" w:rsidP="00440A61">
            <w:pPr>
              <w:jc w:val="center"/>
              <w:rPr>
                <w:b/>
              </w:rPr>
            </w:pPr>
            <w:r w:rsidRPr="00B601EF">
              <w:rPr>
                <w:b/>
              </w:rPr>
              <w:t>PETROBRAS PETRÓLEO BRASILEIRO S.A</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C62E7F" w:rsidRPr="00B601EF" w:rsidRDefault="00C62E7F" w:rsidP="00C62E7F">
            <w:pPr>
              <w:rPr>
                <w:b/>
              </w:rPr>
            </w:pPr>
          </w:p>
          <w:p w:rsidR="00C62E7F" w:rsidRPr="00B601EF" w:rsidRDefault="00C62E7F" w:rsidP="00C62E7F">
            <w:pPr>
              <w:rPr>
                <w:b/>
              </w:rPr>
            </w:pPr>
            <w:r w:rsidRPr="00B601EF">
              <w:rPr>
                <w:b/>
              </w:rPr>
              <w:t>Inserção de artigo.</w:t>
            </w:r>
          </w:p>
          <w:p w:rsidR="00C62E7F" w:rsidRPr="00B601EF" w:rsidRDefault="00C62E7F" w:rsidP="00C62E7F">
            <w:pPr>
              <w:rPr>
                <w:b/>
              </w:rPr>
            </w:pPr>
            <w:r w:rsidRPr="00B601EF">
              <w:rPr>
                <w:b/>
              </w:rPr>
              <w:t> </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C62E7F" w:rsidRPr="00B601EF" w:rsidRDefault="00C62E7F" w:rsidP="00C62E7F">
            <w:r w:rsidRPr="00B601EF">
              <w:t>Art. 20 B. O refinador poderá adotar MRC quando ficar caracterizado o não atendimento aos seguintes dispositivos:</w:t>
            </w:r>
          </w:p>
          <w:p w:rsidR="00C62E7F" w:rsidRPr="00B601EF" w:rsidRDefault="00C62E7F" w:rsidP="00C62E7F"/>
          <w:p w:rsidR="00C62E7F" w:rsidRPr="00B601EF" w:rsidRDefault="00C62E7F" w:rsidP="00C62E7F">
            <w:r w:rsidRPr="00B601EF">
              <w:t>Envio de relatórios anuais:</w:t>
            </w:r>
          </w:p>
          <w:p w:rsidR="00C62E7F" w:rsidRPr="00B601EF" w:rsidRDefault="00C62E7F" w:rsidP="00C62E7F"/>
          <w:p w:rsidR="00C62E7F" w:rsidRPr="00B601EF" w:rsidRDefault="00C62E7F" w:rsidP="00C62E7F">
            <w:pPr>
              <w:pStyle w:val="PargrafodaLista"/>
              <w:numPr>
                <w:ilvl w:val="0"/>
                <w:numId w:val="4"/>
              </w:numPr>
              <w:spacing w:after="0" w:line="240" w:lineRule="auto"/>
              <w:ind w:left="0" w:firstLine="0"/>
              <w:rPr>
                <w:rFonts w:ascii="Times New Roman" w:eastAsia="Times New Roman" w:hAnsi="Times New Roman" w:cs="Times New Roman"/>
                <w:sz w:val="20"/>
                <w:szCs w:val="20"/>
                <w:lang w:eastAsia="pt-BR"/>
              </w:rPr>
            </w:pPr>
            <w:r w:rsidRPr="00B601EF">
              <w:rPr>
                <w:rFonts w:ascii="Times New Roman" w:eastAsia="Times New Roman" w:hAnsi="Times New Roman" w:cs="Times New Roman"/>
                <w:sz w:val="20"/>
                <w:szCs w:val="20"/>
                <w:lang w:eastAsia="pt-BR"/>
              </w:rPr>
              <w:t>Item 7.1 do Regulamento Técnico nº 1 da Resolução ANP n.º 16/2010.</w:t>
            </w:r>
          </w:p>
          <w:p w:rsidR="00C62E7F" w:rsidRPr="00B601EF" w:rsidRDefault="00C62E7F" w:rsidP="00C62E7F"/>
          <w:p w:rsidR="00C62E7F" w:rsidRPr="00B601EF" w:rsidRDefault="00C62E7F" w:rsidP="00C62E7F"/>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C62E7F" w:rsidRPr="00B601EF" w:rsidRDefault="00C62E7F" w:rsidP="00060C65">
            <w:pPr>
              <w:spacing w:before="120"/>
              <w:ind w:left="130" w:right="125"/>
              <w:jc w:val="both"/>
            </w:pPr>
            <w:r w:rsidRPr="00B601EF">
              <w:lastRenderedPageBreak/>
              <w:t xml:space="preserve"> Quanto aos itens (a) e (b), as informações solicitadas pela Agência já são fiscalizadas pelas entidades governamentais relacionadas ao meio ambiente, água e energia, razão pela qual a </w:t>
            </w:r>
            <w:r w:rsidRPr="00B601EF">
              <w:lastRenderedPageBreak/>
              <w:t>PETROBRAS sugere que tais obrigações de envio de relatório sejam inseridas no rol da nova Resolução.</w:t>
            </w:r>
          </w:p>
          <w:p w:rsidR="00C62E7F" w:rsidRPr="00B601EF" w:rsidRDefault="00C62E7F" w:rsidP="00060C65">
            <w:pPr>
              <w:spacing w:before="120"/>
              <w:ind w:left="130" w:right="125"/>
              <w:jc w:val="both"/>
            </w:pPr>
            <w:r w:rsidRPr="00B601EF">
              <w:t>Em relação aos itens (c) (d) (e), os referidos relatórios tratam apenas de compilação de informações prestadas pelos agentes regulados ao longo do ano, razão pela qual, a PETROBRAS entende que podem ser consideradas infrações de menor relevância e incluídas no rol da nova resolução.</w:t>
            </w:r>
          </w:p>
          <w:p w:rsidR="00C62E7F" w:rsidRPr="00B601EF" w:rsidRDefault="00C62E7F" w:rsidP="00C62E7F"/>
        </w:tc>
      </w:tr>
      <w:tr w:rsidR="00C62E7F"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C62E7F" w:rsidRPr="00B601EF" w:rsidRDefault="00C62E7F" w:rsidP="00440A61">
            <w:pPr>
              <w:jc w:val="center"/>
              <w:rPr>
                <w:b/>
              </w:rPr>
            </w:pPr>
            <w:r w:rsidRPr="00B601EF">
              <w:rPr>
                <w:b/>
              </w:rPr>
              <w:lastRenderedPageBreak/>
              <w:t>PETROBRAS PETRÓLEO BRASILEIRO S.A</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C62E7F" w:rsidRPr="00B601EF" w:rsidRDefault="00C62E7F" w:rsidP="00C62E7F">
            <w:pPr>
              <w:rPr>
                <w:b/>
              </w:rPr>
            </w:pPr>
            <w:r w:rsidRPr="00B601EF">
              <w:rPr>
                <w:b/>
              </w:rPr>
              <w:t>Inserção de artigo.</w:t>
            </w:r>
          </w:p>
          <w:p w:rsidR="00C62E7F" w:rsidRPr="00B601EF" w:rsidRDefault="00C62E7F" w:rsidP="00C62E7F">
            <w:pPr>
              <w:rPr>
                <w:b/>
              </w:rPr>
            </w:pPr>
          </w:p>
          <w:p w:rsidR="00C62E7F" w:rsidRPr="00B601EF" w:rsidRDefault="00C62E7F" w:rsidP="004137AA">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s>
              <w:autoSpaceDE w:val="0"/>
              <w:autoSpaceDN w:val="0"/>
              <w:adjustRightInd w:val="0"/>
              <w:spacing w:before="120"/>
              <w:ind w:left="709"/>
              <w:jc w:val="both"/>
              <w:rPr>
                <w:rFonts w:ascii="Arial" w:eastAsia="Arial Unicode MS" w:hAnsi="Arial" w:cs="Arial"/>
                <w:b/>
                <w:bCs/>
                <w:sz w:val="24"/>
                <w:szCs w:val="24"/>
              </w:rPr>
            </w:pP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C62E7F" w:rsidRPr="00B601EF" w:rsidRDefault="00C62E7F" w:rsidP="00C62E7F">
            <w:r w:rsidRPr="00B601EF">
              <w:t>DOS CONCESSIONÁRIOS E EMPRESAS AUTORIZADAS PELA ANP</w:t>
            </w:r>
          </w:p>
          <w:p w:rsidR="00C62E7F" w:rsidRPr="00B601EF" w:rsidRDefault="00C62E7F" w:rsidP="00C62E7F"/>
          <w:p w:rsidR="00C62E7F" w:rsidRPr="00B601EF" w:rsidRDefault="00C62E7F" w:rsidP="00C62E7F"/>
          <w:p w:rsidR="00C62E7F" w:rsidRPr="00B601EF" w:rsidRDefault="00C62E7F" w:rsidP="00C62E7F">
            <w:pPr>
              <w:spacing w:line="360" w:lineRule="auto"/>
            </w:pPr>
            <w:r w:rsidRPr="00B601EF">
              <w:t>Art. 20 C. O concessionário ou empresa autorizada poderá adotar MRC quando ficar caracterizado o não atendimento aos seguintes dispositivos:</w:t>
            </w:r>
          </w:p>
          <w:p w:rsidR="00C62E7F" w:rsidRPr="00B601EF" w:rsidRDefault="00C62E7F" w:rsidP="00C62E7F">
            <w:pPr>
              <w:spacing w:line="360" w:lineRule="auto"/>
            </w:pPr>
          </w:p>
          <w:p w:rsidR="00C62E7F" w:rsidRPr="00B601EF" w:rsidRDefault="00C62E7F" w:rsidP="00C62E7F">
            <w:pPr>
              <w:spacing w:line="360" w:lineRule="auto"/>
            </w:pPr>
            <w:r w:rsidRPr="00B601EF">
              <w:t>Envio do Relatório Detalhado de Incidentes.</w:t>
            </w:r>
          </w:p>
          <w:p w:rsidR="00C62E7F" w:rsidRPr="00B601EF" w:rsidRDefault="00C62E7F" w:rsidP="00C62E7F">
            <w:pPr>
              <w:spacing w:line="360" w:lineRule="auto"/>
            </w:pPr>
          </w:p>
          <w:p w:rsidR="00C62E7F" w:rsidRPr="00B601EF" w:rsidRDefault="00C62E7F" w:rsidP="00C62E7F">
            <w:pPr>
              <w:pStyle w:val="PargrafodaLista"/>
              <w:numPr>
                <w:ilvl w:val="0"/>
                <w:numId w:val="5"/>
              </w:numPr>
              <w:spacing w:after="0" w:line="360" w:lineRule="auto"/>
              <w:ind w:hanging="1036"/>
              <w:rPr>
                <w:rFonts w:ascii="Times New Roman" w:eastAsia="Times New Roman" w:hAnsi="Times New Roman" w:cs="Times New Roman"/>
                <w:sz w:val="20"/>
                <w:szCs w:val="20"/>
                <w:lang w:eastAsia="pt-BR"/>
              </w:rPr>
            </w:pPr>
            <w:r w:rsidRPr="00B601EF">
              <w:rPr>
                <w:rFonts w:ascii="Times New Roman" w:eastAsia="Times New Roman" w:hAnsi="Times New Roman" w:cs="Times New Roman"/>
                <w:sz w:val="20"/>
                <w:szCs w:val="20"/>
                <w:lang w:eastAsia="pt-BR"/>
              </w:rPr>
              <w:t>Art. 3º, caput, da Resolução ANP n.º 44/2009;</w:t>
            </w:r>
          </w:p>
          <w:p w:rsidR="00C62E7F" w:rsidRPr="00B601EF" w:rsidRDefault="00C62E7F" w:rsidP="00C62E7F">
            <w:pPr>
              <w:pStyle w:val="PargrafodaLista"/>
              <w:numPr>
                <w:ilvl w:val="0"/>
                <w:numId w:val="5"/>
              </w:numPr>
              <w:spacing w:after="0" w:line="360" w:lineRule="auto"/>
              <w:ind w:hanging="1036"/>
              <w:rPr>
                <w:rFonts w:ascii="Times New Roman" w:eastAsia="Times New Roman" w:hAnsi="Times New Roman" w:cs="Times New Roman"/>
                <w:sz w:val="20"/>
                <w:szCs w:val="20"/>
                <w:lang w:eastAsia="pt-BR"/>
              </w:rPr>
            </w:pPr>
            <w:r w:rsidRPr="00B601EF">
              <w:rPr>
                <w:rFonts w:ascii="Times New Roman" w:eastAsia="Times New Roman" w:hAnsi="Times New Roman" w:cs="Times New Roman"/>
                <w:sz w:val="20"/>
                <w:szCs w:val="20"/>
                <w:lang w:eastAsia="pt-BR"/>
              </w:rPr>
              <w:t>Art. 3º, § 2º da Resolução ANP n.º 44/2009.</w:t>
            </w:r>
          </w:p>
          <w:p w:rsidR="00C62E7F" w:rsidRPr="00B601EF" w:rsidRDefault="00C62E7F" w:rsidP="00C62E7F">
            <w:pPr>
              <w:pStyle w:val="PargrafodaLista"/>
              <w:ind w:left="1080"/>
              <w:rPr>
                <w:rFonts w:ascii="Times New Roman" w:eastAsia="Times New Roman" w:hAnsi="Times New Roman" w:cs="Times New Roman"/>
                <w:sz w:val="20"/>
                <w:szCs w:val="20"/>
                <w:lang w:eastAsia="pt-BR"/>
              </w:rPr>
            </w:pP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C62E7F" w:rsidRPr="00B601EF" w:rsidRDefault="00C62E7F" w:rsidP="00060C65">
            <w:pPr>
              <w:spacing w:before="120"/>
              <w:ind w:left="130" w:right="125"/>
              <w:jc w:val="both"/>
            </w:pPr>
            <w:r w:rsidRPr="00B601EF">
              <w:t xml:space="preserve"> A PETROBRAS não pretende se furtar de apresentar à Agência as informações relativas aos incidentes ocorridos em suas unidades. Inclusive, por força da Resolução ANP n.º 5/2014, a realização do Relatório Detalhado é obrigatória. No entanto, a Companhia entende que a obrigação de encaminhamento do Relatório Detalhado pode se valer do benefício previsto pela nova Resolução, posto que o próprio artigo </w:t>
            </w:r>
            <w:proofErr w:type="gramStart"/>
            <w:r w:rsidRPr="00B601EF">
              <w:t>prevê</w:t>
            </w:r>
            <w:proofErr w:type="gramEnd"/>
            <w:r w:rsidRPr="00B601EF">
              <w:t xml:space="preserve">, em seu § 4º, a possibilidade de maior prazo para envio. Além disso, em diversos momentos, após a comunicação do incidente, a própria Agência dispensa o envio do Relatório, demonstrando assim, que a obrigação do Art. 3º pode ser </w:t>
            </w:r>
            <w:proofErr w:type="gramStart"/>
            <w:r w:rsidRPr="00B601EF">
              <w:t>flexibilizada</w:t>
            </w:r>
            <w:proofErr w:type="gramEnd"/>
            <w:r w:rsidRPr="00B601EF">
              <w:t>.</w:t>
            </w:r>
          </w:p>
        </w:tc>
      </w:tr>
      <w:tr w:rsidR="00C62E7F"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C62E7F" w:rsidRPr="00B601EF" w:rsidRDefault="00C62E7F" w:rsidP="00440A61">
            <w:pPr>
              <w:jc w:val="center"/>
              <w:rPr>
                <w:b/>
              </w:rPr>
            </w:pPr>
            <w:r w:rsidRPr="00B601EF">
              <w:rPr>
                <w:b/>
              </w:rPr>
              <w:t>PETROBRAS PETRÓLEO BRASILEIRO S.A</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C62E7F" w:rsidRPr="00B601EF" w:rsidRDefault="00C62E7F" w:rsidP="00C62E7F">
            <w:pPr>
              <w:rPr>
                <w:b/>
              </w:rPr>
            </w:pPr>
            <w:r w:rsidRPr="00B601EF">
              <w:rPr>
                <w:b/>
              </w:rPr>
              <w:t>Inserção de artigo.</w:t>
            </w:r>
          </w:p>
          <w:p w:rsidR="00C62E7F" w:rsidRPr="00B601EF" w:rsidRDefault="00C62E7F" w:rsidP="00C62E7F">
            <w:pPr>
              <w:rPr>
                <w:b/>
              </w:rPr>
            </w:pPr>
          </w:p>
          <w:p w:rsidR="00C62E7F" w:rsidRPr="00B601EF" w:rsidRDefault="00C62E7F" w:rsidP="004137AA">
            <w:pPr>
              <w:rPr>
                <w:rFonts w:ascii="Arial" w:eastAsia="Arial Unicode MS" w:hAnsi="Arial" w:cs="Arial"/>
                <w:b/>
                <w:bCs/>
                <w:color w:val="000000"/>
                <w:sz w:val="24"/>
                <w:szCs w:val="24"/>
              </w:rPr>
            </w:pPr>
            <w:r w:rsidRPr="00B601EF">
              <w:rPr>
                <w:rFonts w:ascii="Arial" w:hAnsi="Arial" w:cs="Arial"/>
                <w:b/>
                <w:bCs/>
                <w:color w:val="000000"/>
              </w:rPr>
              <w:t> </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C62E7F" w:rsidRPr="00B601EF" w:rsidRDefault="00C62E7F" w:rsidP="00C62E7F">
            <w:r w:rsidRPr="00B601EF">
              <w:t xml:space="preserve">PRODUTORES, COMPRADORES, VENDEDORES E IMPORTADORES DE GÁS </w:t>
            </w:r>
            <w:proofErr w:type="gramStart"/>
            <w:r w:rsidRPr="00B601EF">
              <w:t>NATURAL</w:t>
            </w:r>
            <w:proofErr w:type="gramEnd"/>
          </w:p>
          <w:p w:rsidR="00C62E7F" w:rsidRPr="00B601EF" w:rsidRDefault="00C62E7F" w:rsidP="00C62E7F"/>
          <w:p w:rsidR="00C62E7F" w:rsidRPr="00B601EF" w:rsidRDefault="00C62E7F" w:rsidP="00C62E7F">
            <w:pPr>
              <w:spacing w:line="360" w:lineRule="auto"/>
            </w:pPr>
            <w:r w:rsidRPr="00B601EF">
              <w:t>Art. 20 D. O produtor de gás natural poderá adotar MRC quando ficar caracterizado o não atendimento aos seguintes dispositivos:</w:t>
            </w:r>
          </w:p>
          <w:p w:rsidR="00C62E7F" w:rsidRPr="00B601EF" w:rsidRDefault="00C62E7F" w:rsidP="00C62E7F">
            <w:pPr>
              <w:spacing w:line="360" w:lineRule="auto"/>
            </w:pPr>
          </w:p>
          <w:p w:rsidR="00C62E7F" w:rsidRPr="00B601EF" w:rsidRDefault="00C62E7F" w:rsidP="00C62E7F">
            <w:pPr>
              <w:spacing w:line="360" w:lineRule="auto"/>
            </w:pPr>
            <w:r w:rsidRPr="00B601EF">
              <w:t>Enviar contratos de compra e venda de gás natural para registro na ANP:</w:t>
            </w:r>
          </w:p>
          <w:p w:rsidR="00C62E7F" w:rsidRPr="00B601EF" w:rsidRDefault="00C62E7F" w:rsidP="00C62E7F">
            <w:pPr>
              <w:spacing w:line="360" w:lineRule="auto"/>
            </w:pPr>
          </w:p>
          <w:p w:rsidR="00C62E7F" w:rsidRPr="00B601EF" w:rsidRDefault="00C62E7F" w:rsidP="00C62E7F">
            <w:pPr>
              <w:pStyle w:val="PargrafodaLista"/>
              <w:numPr>
                <w:ilvl w:val="0"/>
                <w:numId w:val="6"/>
              </w:numPr>
              <w:spacing w:after="0" w:line="360" w:lineRule="auto"/>
              <w:rPr>
                <w:rFonts w:ascii="Times New Roman" w:eastAsia="Times New Roman" w:hAnsi="Times New Roman" w:cs="Times New Roman"/>
                <w:sz w:val="20"/>
                <w:szCs w:val="20"/>
                <w:lang w:eastAsia="pt-BR"/>
              </w:rPr>
            </w:pPr>
            <w:r w:rsidRPr="00B601EF">
              <w:rPr>
                <w:rFonts w:ascii="Times New Roman" w:eastAsia="Times New Roman" w:hAnsi="Times New Roman" w:cs="Times New Roman"/>
                <w:sz w:val="20"/>
                <w:szCs w:val="20"/>
                <w:lang w:eastAsia="pt-BR"/>
              </w:rPr>
              <w:lastRenderedPageBreak/>
              <w:t>Art. 11, caput, da Resolução ANP n.º 52/2011.</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C62E7F" w:rsidRPr="00B601EF" w:rsidRDefault="00C62E7F" w:rsidP="00060C65">
            <w:pPr>
              <w:spacing w:before="120"/>
              <w:ind w:left="130" w:right="125"/>
              <w:jc w:val="both"/>
            </w:pPr>
            <w:r w:rsidRPr="00B601EF">
              <w:lastRenderedPageBreak/>
              <w:t> A PETROBRAS entende a importância do envio dos referidos contratos para registro na ANP. Contudo, entende que tal obrigação poderia ser considerada uma infração de menor relevância, uma vez que considera que o envio fora do prazo de 30 (trinta) dias não causaria prejuízo à indústria do gás.</w:t>
            </w:r>
          </w:p>
          <w:p w:rsidR="00C62E7F" w:rsidRPr="00B601EF" w:rsidRDefault="00C62E7F" w:rsidP="00C62E7F"/>
        </w:tc>
      </w:tr>
      <w:tr w:rsidR="00C62E7F"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C62E7F" w:rsidRPr="00B601EF" w:rsidRDefault="00C62E7F" w:rsidP="00440A61">
            <w:pPr>
              <w:jc w:val="center"/>
              <w:rPr>
                <w:b/>
              </w:rPr>
            </w:pPr>
            <w:r w:rsidRPr="00B601EF">
              <w:rPr>
                <w:b/>
              </w:rPr>
              <w:lastRenderedPageBreak/>
              <w:t>PETROBRAS PETRÓLEO BRASILEIRO S.A</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C62E7F" w:rsidRPr="00B601EF" w:rsidRDefault="00C62E7F" w:rsidP="004137AA">
            <w:pPr>
              <w:rPr>
                <w:rFonts w:ascii="Arial" w:eastAsia="Arial Unicode MS" w:hAnsi="Arial" w:cs="Arial"/>
              </w:rPr>
            </w:pPr>
            <w:r w:rsidRPr="00B601EF">
              <w:rPr>
                <w:rFonts w:ascii="Arial" w:hAnsi="Arial" w:cs="Arial"/>
              </w:rPr>
              <w:t> </w:t>
            </w:r>
            <w:r w:rsidRPr="00B601EF">
              <w:rPr>
                <w:b/>
              </w:rPr>
              <w:t>Inserção de item</w:t>
            </w:r>
          </w:p>
          <w:p w:rsidR="00C62E7F" w:rsidRPr="00B601EF" w:rsidRDefault="00C62E7F" w:rsidP="004137AA">
            <w:pPr>
              <w:rPr>
                <w:rFonts w:ascii="Arial" w:eastAsia="Arial Unicode MS" w:hAnsi="Arial" w:cs="Arial"/>
                <w:b/>
                <w:bCs/>
              </w:rPr>
            </w:pPr>
            <w:r w:rsidRPr="00B601EF">
              <w:rPr>
                <w:rFonts w:ascii="Arial" w:hAnsi="Arial" w:cs="Arial"/>
                <w:b/>
                <w:bCs/>
              </w:rPr>
              <w:t> </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C62E7F" w:rsidRPr="00B601EF" w:rsidRDefault="00C62E7F" w:rsidP="004137AA">
            <w:r w:rsidRPr="00B601EF">
              <w:t>Os atos normativos abaixo listados também são</w:t>
            </w:r>
            <w:proofErr w:type="gramStart"/>
            <w:r w:rsidRPr="00B601EF">
              <w:t xml:space="preserve">  </w:t>
            </w:r>
            <w:proofErr w:type="gramEnd"/>
            <w:r w:rsidRPr="00B601EF">
              <w:t xml:space="preserve">abrangidos pelas medidas reparadoras, aplicando-se, </w:t>
            </w:r>
            <w:proofErr w:type="spellStart"/>
            <w:r w:rsidRPr="00B601EF">
              <w:t>mutatis</w:t>
            </w:r>
            <w:proofErr w:type="spellEnd"/>
            <w:r w:rsidRPr="00B601EF">
              <w:t xml:space="preserve"> </w:t>
            </w:r>
            <w:proofErr w:type="spellStart"/>
            <w:r w:rsidRPr="00B601EF">
              <w:t>mutandis</w:t>
            </w:r>
            <w:proofErr w:type="spellEnd"/>
            <w:r w:rsidRPr="00B601EF">
              <w:t>, as normas desta resolução:</w:t>
            </w:r>
          </w:p>
          <w:p w:rsidR="00C62E7F" w:rsidRPr="00B601EF" w:rsidRDefault="00C62E7F" w:rsidP="004137AA"/>
          <w:p w:rsidR="00C62E7F" w:rsidRPr="00B601EF" w:rsidRDefault="00C62E7F" w:rsidP="004137AA">
            <w:r w:rsidRPr="00B601EF">
              <w:t>Portaria ANP 249/2000 (Queimas e Perdas de Petróleo e Gás)</w:t>
            </w:r>
          </w:p>
          <w:p w:rsidR="00C62E7F" w:rsidRPr="00B601EF" w:rsidRDefault="00C62E7F" w:rsidP="004137AA">
            <w:r w:rsidRPr="00B601EF">
              <w:t>Resolução ANP 43/2007 (SGSO)</w:t>
            </w:r>
          </w:p>
          <w:p w:rsidR="00C62E7F" w:rsidRPr="00B601EF" w:rsidRDefault="00C62E7F" w:rsidP="004137AA">
            <w:r w:rsidRPr="00B601EF">
              <w:t>Resolução ANP 44/2009 (Comunicação de Incidentes)</w:t>
            </w:r>
          </w:p>
          <w:p w:rsidR="00C62E7F" w:rsidRPr="00B601EF" w:rsidRDefault="00C62E7F" w:rsidP="004137AA">
            <w:r w:rsidRPr="00B601EF">
              <w:t>Resolução ANP 02/2010 (RTSGI)</w:t>
            </w:r>
          </w:p>
          <w:p w:rsidR="00C62E7F" w:rsidRPr="00B601EF" w:rsidRDefault="00C62E7F" w:rsidP="004137AA">
            <w:r w:rsidRPr="00B601EF">
              <w:t>Resolução ANP 06/2011 (RTDT)</w:t>
            </w:r>
          </w:p>
          <w:p w:rsidR="00C62E7F" w:rsidRPr="00B601EF" w:rsidRDefault="00C62E7F" w:rsidP="004137AA">
            <w:r w:rsidRPr="00B601EF">
              <w:t>Resolução ANP 52/2013 (Análises Físico-Químicas)</w:t>
            </w:r>
          </w:p>
          <w:p w:rsidR="00C62E7F" w:rsidRPr="00B601EF" w:rsidRDefault="00C62E7F" w:rsidP="004137AA">
            <w:r w:rsidRPr="00B601EF">
              <w:t>Resolução ANP 18/2014 (Falha de Medição)</w:t>
            </w:r>
          </w:p>
          <w:p w:rsidR="00C62E7F" w:rsidRPr="00B601EF" w:rsidRDefault="00C62E7F" w:rsidP="004137AA">
            <w:r w:rsidRPr="00B601EF">
              <w:t>Resolução ANP 65/2014 (Envio de Dados SFP)</w:t>
            </w:r>
          </w:p>
          <w:p w:rsidR="00C62E7F" w:rsidRPr="00B601EF" w:rsidRDefault="00C62E7F" w:rsidP="004137AA">
            <w:r w:rsidRPr="00B601EF">
              <w:t>Resolução ANP 41/2015 (SGSS)</w:t>
            </w:r>
          </w:p>
          <w:p w:rsidR="00C62E7F" w:rsidRPr="00B601EF" w:rsidRDefault="00C62E7F" w:rsidP="004137AA">
            <w:r w:rsidRPr="00B601EF">
              <w:t>Resolução ANP 46/2016 (SGIP)</w:t>
            </w:r>
          </w:p>
          <w:p w:rsidR="00C62E7F" w:rsidRPr="00B601EF" w:rsidRDefault="00C62E7F" w:rsidP="004137AA">
            <w:r w:rsidRPr="00B601EF">
              <w:t>Portaria ANP 100/2000 (PAP)</w:t>
            </w:r>
          </w:p>
          <w:p w:rsidR="00C62E7F" w:rsidRPr="00B601EF" w:rsidRDefault="00C62E7F" w:rsidP="004137AA">
            <w:r w:rsidRPr="00B601EF">
              <w:t>Portaria ANP 123/2000 (PAT)</w:t>
            </w:r>
          </w:p>
          <w:p w:rsidR="00C62E7F" w:rsidRPr="00B601EF" w:rsidRDefault="00C62E7F" w:rsidP="004137AA">
            <w:r w:rsidRPr="00B601EF">
              <w:t>Portaria ANP 29/2001 (IED)</w:t>
            </w:r>
          </w:p>
          <w:p w:rsidR="00C62E7F" w:rsidRPr="00B601EF" w:rsidRDefault="00C62E7F" w:rsidP="004137AA">
            <w:r w:rsidRPr="00B601EF">
              <w:t>Resolução ANP 27/2006 (Desativação de Instalações)</w:t>
            </w:r>
          </w:p>
          <w:p w:rsidR="00C62E7F" w:rsidRPr="00B601EF" w:rsidRDefault="00C62E7F" w:rsidP="004137AA">
            <w:r w:rsidRPr="00B601EF">
              <w:t>Resolução ANP 03/2007 (Início de Atividades)</w:t>
            </w:r>
          </w:p>
          <w:p w:rsidR="00C62E7F" w:rsidRPr="00B601EF" w:rsidRDefault="00C62E7F" w:rsidP="004137AA">
            <w:r w:rsidRPr="00B601EF">
              <w:t>Resolução ANP 40/2009 (Preço do Gás)</w:t>
            </w:r>
          </w:p>
          <w:p w:rsidR="00C62E7F" w:rsidRPr="00B601EF" w:rsidRDefault="00C62E7F" w:rsidP="004137AA">
            <w:r w:rsidRPr="00B601EF">
              <w:t>Resolução ANP 11/2011 (Empresas de Aquisição de Dados)</w:t>
            </w:r>
          </w:p>
          <w:p w:rsidR="00C62E7F" w:rsidRPr="00B601EF" w:rsidRDefault="00C62E7F" w:rsidP="004137AA">
            <w:r w:rsidRPr="00B601EF">
              <w:t>Resolução ANP 19/2013 (Certificação de Conteúdo Local)</w:t>
            </w:r>
          </w:p>
          <w:p w:rsidR="00C62E7F" w:rsidRPr="00B601EF" w:rsidRDefault="00C62E7F" w:rsidP="004137AA">
            <w:r w:rsidRPr="00B601EF">
              <w:t>Resolução ANP 25/2013 (Individualização da Produção)</w:t>
            </w:r>
          </w:p>
          <w:p w:rsidR="00C62E7F" w:rsidRPr="00B601EF" w:rsidRDefault="00C62E7F" w:rsidP="004137AA">
            <w:r w:rsidRPr="00B601EF">
              <w:t>Resolução ANP 12/2014 (PE)</w:t>
            </w:r>
          </w:p>
          <w:p w:rsidR="00C62E7F" w:rsidRPr="00B601EF" w:rsidRDefault="00C62E7F" w:rsidP="004137AA">
            <w:r w:rsidRPr="00B601EF">
              <w:t>Resolução ANP 21/2014 (</w:t>
            </w:r>
            <w:proofErr w:type="spellStart"/>
            <w:r w:rsidRPr="00B601EF">
              <w:t>Fraturamento</w:t>
            </w:r>
            <w:proofErr w:type="spellEnd"/>
            <w:r w:rsidRPr="00B601EF">
              <w:t xml:space="preserve"> Hidráulico)</w:t>
            </w:r>
          </w:p>
          <w:p w:rsidR="00C62E7F" w:rsidRPr="00B601EF" w:rsidRDefault="00C62E7F" w:rsidP="004137AA">
            <w:r w:rsidRPr="00B601EF">
              <w:t>Resolução ANP 25/2014 (Devolução de Áreas Exploratórias)</w:t>
            </w:r>
          </w:p>
          <w:p w:rsidR="00C62E7F" w:rsidRPr="00B601EF" w:rsidRDefault="00C62E7F" w:rsidP="004137AA">
            <w:r w:rsidRPr="00B601EF">
              <w:t>Resolução ANP 30/2014 (PAD)</w:t>
            </w:r>
          </w:p>
          <w:p w:rsidR="00C62E7F" w:rsidRPr="00B601EF" w:rsidRDefault="00C62E7F" w:rsidP="004137AA">
            <w:r w:rsidRPr="00B601EF">
              <w:t>Resolução ANP 47/2014 (BAR)</w:t>
            </w:r>
          </w:p>
          <w:p w:rsidR="00C62E7F" w:rsidRPr="00B601EF" w:rsidRDefault="00C62E7F" w:rsidP="004137AA">
            <w:proofErr w:type="spellStart"/>
            <w:r w:rsidRPr="00B601EF">
              <w:t>Resolucao</w:t>
            </w:r>
            <w:proofErr w:type="spellEnd"/>
            <w:r w:rsidRPr="00B601EF">
              <w:t xml:space="preserve"> ANP 07/2014 (Coordenadas e Feições Geográficas)</w:t>
            </w:r>
          </w:p>
          <w:p w:rsidR="00C62E7F" w:rsidRPr="00B601EF" w:rsidRDefault="00C62E7F" w:rsidP="004137AA">
            <w:r w:rsidRPr="00B601EF">
              <w:t>Resolução ANP 71/2014 (Amostragem e Acesso)</w:t>
            </w:r>
          </w:p>
          <w:p w:rsidR="00C62E7F" w:rsidRPr="00B601EF" w:rsidRDefault="00C62E7F" w:rsidP="004137AA">
            <w:r w:rsidRPr="00B601EF">
              <w:t>Resolução ANP 17/2015 (PD)</w:t>
            </w:r>
          </w:p>
          <w:p w:rsidR="00C62E7F" w:rsidRPr="00B601EF" w:rsidRDefault="00C62E7F" w:rsidP="004137AA">
            <w:r w:rsidRPr="00B601EF">
              <w:t>Resolução ANP 44/2015 (Medição Multifásica)</w:t>
            </w:r>
          </w:p>
          <w:p w:rsidR="00C62E7F" w:rsidRPr="00B601EF" w:rsidRDefault="00C62E7F" w:rsidP="004137AA">
            <w:r w:rsidRPr="00B601EF">
              <w:t>Resolução ANP 50/2015 (</w:t>
            </w:r>
            <w:proofErr w:type="spellStart"/>
            <w:r w:rsidRPr="00B601EF">
              <w:t>P&amp;D</w:t>
            </w:r>
            <w:proofErr w:type="spellEnd"/>
            <w:r w:rsidRPr="00B601EF">
              <w:t>)</w:t>
            </w:r>
          </w:p>
          <w:p w:rsidR="00C62E7F" w:rsidRPr="00B601EF" w:rsidRDefault="00C62E7F" w:rsidP="004137AA">
            <w:r w:rsidRPr="00B601EF">
              <w:t>Resolução ANP 08/2016 (DAIA e DAPA)</w:t>
            </w:r>
          </w:p>
          <w:p w:rsidR="00C62E7F" w:rsidRPr="00B601EF" w:rsidRDefault="00C62E7F" w:rsidP="004137AA">
            <w:r w:rsidRPr="00B601EF">
              <w:t>Resolução ANP 20/2016 (Conteúdo Local Global Equivalente)</w:t>
            </w:r>
          </w:p>
          <w:p w:rsidR="00C62E7F" w:rsidRPr="00B601EF" w:rsidRDefault="00C62E7F" w:rsidP="004137AA">
            <w:r w:rsidRPr="00B601EF">
              <w:t>Resolução ANP 27/2016 (Relatório de CL)</w:t>
            </w:r>
          </w:p>
          <w:p w:rsidR="00C62E7F" w:rsidRPr="00B601EF" w:rsidRDefault="00C62E7F" w:rsidP="004137AA">
            <w:r w:rsidRPr="00B601EF">
              <w:lastRenderedPageBreak/>
              <w:t>Resolução ANP 33/2016 (Perfil Composto de Poço)</w:t>
            </w:r>
          </w:p>
          <w:p w:rsidR="00C62E7F" w:rsidRPr="00B601EF" w:rsidRDefault="00C62E7F" w:rsidP="004137AA">
            <w:r w:rsidRPr="00B601EF">
              <w:t>Resolução ANP 38/2016 (Anexação)</w:t>
            </w:r>
          </w:p>
          <w:p w:rsidR="00C62E7F" w:rsidRPr="00B601EF" w:rsidRDefault="00C62E7F" w:rsidP="004137AA">
            <w:proofErr w:type="spellStart"/>
            <w:r w:rsidRPr="00B601EF">
              <w:t>Resolucao</w:t>
            </w:r>
            <w:proofErr w:type="spellEnd"/>
            <w:r w:rsidRPr="00B601EF">
              <w:t xml:space="preserve"> ANP 39/2016 (Perfil de Poço)</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C62E7F" w:rsidRPr="00B601EF" w:rsidRDefault="00C62E7F" w:rsidP="00060C65">
            <w:pPr>
              <w:spacing w:before="120"/>
              <w:ind w:left="130" w:right="125"/>
              <w:jc w:val="both"/>
            </w:pPr>
            <w:r w:rsidRPr="00B601EF">
              <w:lastRenderedPageBreak/>
              <w:t>Apesar do escopo proposto pela ANP englobar neste momento somente as atividades de DOWNSTREAM, entendemos que as motivações explicitadas na Nota Técnica nº4 /2017/SFI se aplicam também às atividades de UPSTREAM, quais sejam:</w:t>
            </w:r>
          </w:p>
          <w:p w:rsidR="00C62E7F" w:rsidRPr="00B601EF" w:rsidRDefault="00C62E7F" w:rsidP="00060C65">
            <w:pPr>
              <w:spacing w:before="120"/>
              <w:ind w:left="130" w:right="125"/>
              <w:jc w:val="both"/>
            </w:pPr>
          </w:p>
          <w:p w:rsidR="00C62E7F" w:rsidRPr="00B601EF" w:rsidRDefault="00C62E7F" w:rsidP="00060C65">
            <w:pPr>
              <w:spacing w:before="120"/>
              <w:ind w:left="130" w:right="125"/>
              <w:jc w:val="both"/>
            </w:pPr>
            <w:r w:rsidRPr="00B601EF">
              <w:t>- a conveniência de dotar de maior razoabilidade o processo de correção de irregularidades de menor potencial de risco ao abastecimento nacional de combustíveis, preservados os direitos do consumidor;</w:t>
            </w:r>
          </w:p>
          <w:p w:rsidR="00C62E7F" w:rsidRPr="00B601EF" w:rsidRDefault="00C62E7F" w:rsidP="00060C65">
            <w:pPr>
              <w:spacing w:before="120"/>
              <w:ind w:left="130" w:right="125"/>
              <w:jc w:val="both"/>
            </w:pPr>
            <w:r w:rsidRPr="00B601EF">
              <w:t xml:space="preserve">- a conveniência de estabelecer procedimento de fiscalização de forma a que, previamente á aplicação das penalidades previstas na legislação pertinente, seja possibilitada ao agente econômico a oportunidade de reparação de conduta irregular de menor potencial de risco ao consumidor e ao abastecimento nacional de combustíveis; </w:t>
            </w:r>
            <w:proofErr w:type="gramStart"/>
            <w:r w:rsidRPr="00B601EF">
              <w:t>e</w:t>
            </w:r>
            <w:proofErr w:type="gramEnd"/>
          </w:p>
          <w:p w:rsidR="00C62E7F" w:rsidRPr="00B601EF" w:rsidRDefault="00C62E7F" w:rsidP="00060C65">
            <w:pPr>
              <w:spacing w:before="120"/>
              <w:ind w:left="130" w:right="125"/>
              <w:jc w:val="both"/>
            </w:pPr>
            <w:r w:rsidRPr="00B601EF">
              <w:t>- o direcionamento do esforço de fiscalização, em especial do julgamento de processos administrativos sancionadores, para infrações de maior potencial de risco, objetivando melhores resultados para o mercado e para o consumidor.</w:t>
            </w:r>
          </w:p>
        </w:tc>
      </w:tr>
      <w:tr w:rsidR="00F76EEE"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F76EEE" w:rsidRPr="00BE5899" w:rsidRDefault="00F76EEE" w:rsidP="00737691">
            <w:pPr>
              <w:rPr>
                <w:b/>
              </w:rPr>
            </w:pPr>
            <w:r w:rsidRPr="00F76EEE">
              <w:rPr>
                <w:b/>
              </w:rPr>
              <w:lastRenderedPageBreak/>
              <w:t>FECOMBUSTÍVEIS</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F76EEE" w:rsidRPr="0017178E" w:rsidRDefault="00F76EEE" w:rsidP="004137AA">
            <w:pPr>
              <w:rPr>
                <w:rFonts w:ascii="Arial" w:eastAsia="Arial Unicode MS" w:hAnsi="Arial" w:cs="Arial"/>
                <w:b/>
                <w:bCs/>
                <w:color w:val="000000"/>
                <w:sz w:val="24"/>
                <w:szCs w:val="24"/>
              </w:rPr>
            </w:pPr>
            <w:r w:rsidRPr="0017178E">
              <w:rPr>
                <w:rFonts w:ascii="Arial" w:hAnsi="Arial" w:cs="Arial"/>
                <w:b/>
                <w:bCs/>
                <w:color w:val="000000"/>
                <w:sz w:val="24"/>
                <w:szCs w:val="24"/>
              </w:rPr>
              <w:t> </w:t>
            </w:r>
          </w:p>
          <w:p w:rsidR="00F76EEE" w:rsidRPr="0017178E" w:rsidRDefault="00F76EEE" w:rsidP="004137AA">
            <w:pPr>
              <w:rPr>
                <w:rFonts w:ascii="Arial" w:eastAsia="Arial Unicode MS" w:hAnsi="Arial" w:cs="Arial"/>
                <w:b/>
                <w:bCs/>
                <w:sz w:val="24"/>
                <w:szCs w:val="24"/>
              </w:rPr>
            </w:pPr>
            <w:r w:rsidRPr="00F76EEE">
              <w:rPr>
                <w:b/>
              </w:rPr>
              <w:t>Art. 22</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F76EEE" w:rsidRPr="00F76EEE" w:rsidRDefault="00F76EEE" w:rsidP="00F76EEE">
            <w:r w:rsidRPr="00F76EEE">
              <w:t xml:space="preserve">Art. 22. A MRC de que trata a presente resolução não será aplicada novamente ao mesmo estabelecimento do agente econômico pelo período de </w:t>
            </w:r>
            <w:proofErr w:type="gramStart"/>
            <w:r w:rsidRPr="00F76EEE">
              <w:t>2</w:t>
            </w:r>
            <w:proofErr w:type="gramEnd"/>
            <w:r w:rsidRPr="00F76EEE">
              <w:t xml:space="preserve"> (dois) anos, desde que o novo inadimplemento flagrado seja relativo ao mesmo dispositivo que originou a adoção da MRC anterior.</w:t>
            </w:r>
          </w:p>
          <w:p w:rsidR="00F76EEE" w:rsidRPr="00F76EEE" w:rsidRDefault="00F76EEE" w:rsidP="00F76EEE"/>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F76EEE" w:rsidRPr="00F76EEE" w:rsidRDefault="00F76EEE" w:rsidP="00060C65">
            <w:pPr>
              <w:spacing w:before="120"/>
              <w:ind w:left="130" w:right="125"/>
              <w:jc w:val="both"/>
            </w:pPr>
            <w:r w:rsidRPr="00F76EEE">
              <w:t xml:space="preserve"> O prazo de </w:t>
            </w:r>
            <w:proofErr w:type="gramStart"/>
            <w:r w:rsidRPr="00F76EEE">
              <w:t>2</w:t>
            </w:r>
            <w:proofErr w:type="gramEnd"/>
            <w:r w:rsidRPr="00F76EEE">
              <w:t xml:space="preserve"> (dois) anos é bastante razoável para que o agente econômico possa ser novamente beneficiado, visto que os itens passíveis da aplicação deste benefício são de pequena gravidade e sem prejuízo para o consumidor final.</w:t>
            </w:r>
          </w:p>
        </w:tc>
      </w:tr>
      <w:tr w:rsidR="00F76EEE"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F76EEE" w:rsidRPr="00BE5899" w:rsidRDefault="00F76EEE" w:rsidP="00737691">
            <w:pPr>
              <w:rPr>
                <w:b/>
              </w:rPr>
            </w:pPr>
            <w:r w:rsidRPr="00F76EEE">
              <w:rPr>
                <w:b/>
              </w:rPr>
              <w:t>FECOMBUSTÍVEIS</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F76EEE" w:rsidRDefault="00F76EEE" w:rsidP="004137AA">
            <w:pPr>
              <w:rPr>
                <w:rFonts w:ascii="Arial" w:hAnsi="Arial" w:cs="Arial"/>
                <w:b/>
                <w:bCs/>
                <w:sz w:val="24"/>
                <w:szCs w:val="24"/>
              </w:rPr>
            </w:pPr>
            <w:r>
              <w:rPr>
                <w:rFonts w:ascii="Arial" w:hAnsi="Arial" w:cs="Arial"/>
                <w:b/>
                <w:bCs/>
                <w:sz w:val="24"/>
                <w:szCs w:val="24"/>
              </w:rPr>
              <w:t> </w:t>
            </w:r>
            <w:r w:rsidRPr="00F76EEE">
              <w:rPr>
                <w:b/>
              </w:rPr>
              <w:t>Art. 4º</w:t>
            </w:r>
            <w:r>
              <w:rPr>
                <w:rFonts w:ascii="Arial" w:hAnsi="Arial" w:cs="Arial"/>
                <w:b/>
                <w:bCs/>
                <w:sz w:val="24"/>
                <w:szCs w:val="24"/>
              </w:rPr>
              <w:t xml:space="preserve"> </w:t>
            </w:r>
          </w:p>
          <w:p w:rsidR="00F76EEE" w:rsidRPr="00F76EEE" w:rsidRDefault="00F76EEE" w:rsidP="004137AA">
            <w:pPr>
              <w:rPr>
                <w:b/>
              </w:rPr>
            </w:pPr>
          </w:p>
          <w:p w:rsidR="00F76EEE" w:rsidRPr="00F76EEE" w:rsidRDefault="00F76EEE" w:rsidP="004137AA">
            <w:pPr>
              <w:rPr>
                <w:b/>
              </w:rPr>
            </w:pPr>
            <w:r w:rsidRPr="00F76EEE">
              <w:rPr>
                <w:b/>
              </w:rPr>
              <w:t>(acrescentar um inciso)</w:t>
            </w:r>
          </w:p>
          <w:p w:rsidR="00F76EEE" w:rsidRPr="0017178E" w:rsidRDefault="00F76EEE" w:rsidP="004137AA">
            <w:pPr>
              <w:rPr>
                <w:rFonts w:ascii="Arial" w:eastAsia="Arial Unicode MS" w:hAnsi="Arial" w:cs="Arial"/>
                <w:b/>
                <w:bCs/>
                <w:sz w:val="24"/>
                <w:szCs w:val="24"/>
              </w:rPr>
            </w:pPr>
            <w:r w:rsidRPr="0017178E">
              <w:rPr>
                <w:rFonts w:ascii="Arial" w:hAnsi="Arial" w:cs="Arial"/>
                <w:b/>
                <w:bCs/>
                <w:sz w:val="24"/>
                <w:szCs w:val="24"/>
              </w:rPr>
              <w:t> </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F76EEE" w:rsidRPr="00F76EEE" w:rsidRDefault="00F76EEE" w:rsidP="00F76EEE">
            <w:r w:rsidRPr="00F76EEE">
              <w:t>Solicitação de cancelamento da autorização, quando da desativação do posto revendedor de combustíveis, sem que outra pessoa jurídica continue a operar no mesmo endereço.</w:t>
            </w:r>
          </w:p>
          <w:p w:rsidR="00F76EEE" w:rsidRPr="00F76EEE" w:rsidRDefault="00F76EEE" w:rsidP="00F76EEE"/>
          <w:p w:rsidR="00F76EEE" w:rsidRPr="00F76EEE" w:rsidRDefault="00F76EEE" w:rsidP="00F76EEE">
            <w:r w:rsidRPr="00F76EEE">
              <w:sym w:font="Wingdings" w:char="F0E8"/>
            </w:r>
            <w:r w:rsidRPr="00F76EEE">
              <w:t xml:space="preserve">  </w:t>
            </w:r>
            <w:proofErr w:type="gramStart"/>
            <w:r w:rsidRPr="00F76EEE">
              <w:t>art.</w:t>
            </w:r>
            <w:proofErr w:type="gramEnd"/>
            <w:r w:rsidRPr="00F76EEE">
              <w:t xml:space="preserve"> 27 da Resolução ANP nº 41/2013.</w:t>
            </w:r>
          </w:p>
          <w:p w:rsidR="00F76EEE" w:rsidRPr="00F76EEE" w:rsidRDefault="00F76EEE" w:rsidP="00F76EEE"/>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F76EEE" w:rsidRPr="00F76EEE" w:rsidRDefault="00F76EEE" w:rsidP="00060C65">
            <w:pPr>
              <w:spacing w:before="120"/>
              <w:ind w:left="130" w:right="125"/>
              <w:jc w:val="both"/>
            </w:pPr>
            <w:r w:rsidRPr="00F76EEE">
              <w:t xml:space="preserve">Faz-se necessário acrescentar este inciso, para que a comunicação de cancelamento da autorização do revendedor entre no rol das infrações que permitem a MRC, como já consta para a revenda de GLP. </w:t>
            </w:r>
          </w:p>
        </w:tc>
      </w:tr>
      <w:tr w:rsidR="00F76EEE"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F76EEE" w:rsidRPr="00BE5899" w:rsidRDefault="00F76EEE" w:rsidP="00737691">
            <w:pPr>
              <w:rPr>
                <w:b/>
              </w:rPr>
            </w:pPr>
            <w:r w:rsidRPr="00F76EEE">
              <w:rPr>
                <w:b/>
              </w:rPr>
              <w:t>FECOMBUSTÍVEIS</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F76EEE" w:rsidRPr="00F76EEE" w:rsidRDefault="00F76EEE" w:rsidP="004137AA">
            <w:pPr>
              <w:rPr>
                <w:b/>
              </w:rPr>
            </w:pPr>
            <w:r w:rsidRPr="0017178E">
              <w:rPr>
                <w:rFonts w:ascii="Arial" w:hAnsi="Arial" w:cs="Arial"/>
                <w:b/>
                <w:bCs/>
                <w:sz w:val="24"/>
                <w:szCs w:val="24"/>
              </w:rPr>
              <w:t> </w:t>
            </w:r>
            <w:r w:rsidRPr="00F76EEE">
              <w:rPr>
                <w:b/>
              </w:rPr>
              <w:t xml:space="preserve">Art. 4º </w:t>
            </w:r>
          </w:p>
          <w:p w:rsidR="00F76EEE" w:rsidRPr="00F76EEE" w:rsidRDefault="00F76EEE" w:rsidP="004137AA">
            <w:pPr>
              <w:rPr>
                <w:b/>
              </w:rPr>
            </w:pPr>
          </w:p>
          <w:p w:rsidR="00F76EEE" w:rsidRPr="00F76EEE" w:rsidRDefault="00F76EEE" w:rsidP="004137AA">
            <w:pPr>
              <w:rPr>
                <w:b/>
              </w:rPr>
            </w:pPr>
            <w:r w:rsidRPr="00F76EEE">
              <w:rPr>
                <w:b/>
              </w:rPr>
              <w:t>(acrescentar um inciso)</w:t>
            </w:r>
          </w:p>
          <w:p w:rsidR="00F76EEE" w:rsidRPr="0017178E" w:rsidRDefault="00F76EEE" w:rsidP="004137AA">
            <w:pPr>
              <w:rPr>
                <w:rFonts w:ascii="Arial" w:eastAsia="Arial Unicode MS" w:hAnsi="Arial" w:cs="Arial"/>
                <w:b/>
                <w:bCs/>
                <w:sz w:val="24"/>
                <w:szCs w:val="24"/>
              </w:rPr>
            </w:pPr>
            <w:r w:rsidRPr="0017178E">
              <w:rPr>
                <w:rFonts w:ascii="Arial" w:hAnsi="Arial" w:cs="Arial"/>
                <w:b/>
                <w:bCs/>
                <w:sz w:val="24"/>
                <w:szCs w:val="24"/>
              </w:rPr>
              <w:t> </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F76EEE" w:rsidRPr="00F76EEE" w:rsidRDefault="00F76EEE" w:rsidP="004137AA">
            <w:r w:rsidRPr="00F76EEE">
              <w:t xml:space="preserve">Manutenção do Certificado de Coleta de Óleo Usado ou Contaminado, referente à alienação mencionada no inciso XV do art. 22 da Resolução ANP 41/2013, pelo período de </w:t>
            </w:r>
            <w:proofErr w:type="gramStart"/>
            <w:r w:rsidRPr="00F76EEE">
              <w:t>6</w:t>
            </w:r>
            <w:proofErr w:type="gramEnd"/>
            <w:r w:rsidRPr="00F76EEE">
              <w:t xml:space="preserve"> (seis) meses.</w:t>
            </w:r>
          </w:p>
          <w:p w:rsidR="00F76EEE" w:rsidRPr="00F76EEE" w:rsidRDefault="00F76EEE" w:rsidP="004137AA">
            <w:r w:rsidRPr="00F76EEE">
              <w:sym w:font="Wingdings" w:char="F0E8"/>
            </w:r>
            <w:r w:rsidRPr="00F76EEE">
              <w:t xml:space="preserve">  </w:t>
            </w:r>
            <w:proofErr w:type="gramStart"/>
            <w:r w:rsidRPr="00F76EEE">
              <w:t>inc.</w:t>
            </w:r>
            <w:proofErr w:type="gramEnd"/>
            <w:r w:rsidRPr="00F76EEE">
              <w:t xml:space="preserve"> XVI do art. 22 da Resolução ANP n.º 41/2013.</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F76EEE" w:rsidRPr="00F76EEE" w:rsidRDefault="00F76EEE" w:rsidP="00060C65">
            <w:pPr>
              <w:spacing w:before="120"/>
              <w:ind w:left="130" w:right="125"/>
              <w:jc w:val="both"/>
            </w:pPr>
            <w:r w:rsidRPr="00F76EEE">
              <w:t xml:space="preserve">Faz-se necessário acrescentar este inciso, vez que se trata de um documento obrigatório como é no caso da FISPQ, planta simplificada, boletim de conformidade e Registro de Análise, onde </w:t>
            </w:r>
            <w:proofErr w:type="gramStart"/>
            <w:r w:rsidRPr="00F76EEE">
              <w:t>a ausência destes últimos já estão</w:t>
            </w:r>
            <w:proofErr w:type="gramEnd"/>
            <w:r w:rsidRPr="00F76EEE">
              <w:t xml:space="preserve"> contemplados como MRC.</w:t>
            </w:r>
          </w:p>
        </w:tc>
      </w:tr>
      <w:tr w:rsidR="00F76EEE"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F76EEE" w:rsidRPr="00BE5899" w:rsidRDefault="00F76EEE" w:rsidP="00737691">
            <w:pPr>
              <w:rPr>
                <w:b/>
              </w:rPr>
            </w:pPr>
            <w:r w:rsidRPr="00F76EEE">
              <w:rPr>
                <w:b/>
              </w:rPr>
              <w:t>FECOMBUSTÍVEIS</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F76EEE" w:rsidRPr="00F76EEE" w:rsidRDefault="00F76EEE" w:rsidP="004137AA">
            <w:pPr>
              <w:rPr>
                <w:b/>
              </w:rPr>
            </w:pPr>
            <w:r w:rsidRPr="00F76EEE">
              <w:rPr>
                <w:b/>
              </w:rPr>
              <w:t xml:space="preserve"> Art. 4º </w:t>
            </w:r>
          </w:p>
          <w:p w:rsidR="00F76EEE" w:rsidRPr="00F76EEE" w:rsidRDefault="00F76EEE" w:rsidP="004137AA">
            <w:pPr>
              <w:rPr>
                <w:b/>
              </w:rPr>
            </w:pPr>
          </w:p>
          <w:p w:rsidR="00F76EEE" w:rsidRPr="00F76EEE" w:rsidRDefault="00F76EEE" w:rsidP="004137AA">
            <w:pPr>
              <w:rPr>
                <w:b/>
              </w:rPr>
            </w:pPr>
            <w:r w:rsidRPr="00F76EEE">
              <w:rPr>
                <w:b/>
              </w:rPr>
              <w:t>(acrescentar um inciso)</w:t>
            </w:r>
          </w:p>
          <w:p w:rsidR="00F76EEE" w:rsidRPr="00F76EEE" w:rsidRDefault="00F76EEE" w:rsidP="004137AA">
            <w:pPr>
              <w:rPr>
                <w:b/>
              </w:rPr>
            </w:pPr>
            <w:r w:rsidRPr="00F76EEE">
              <w:rPr>
                <w:b/>
              </w:rPr>
              <w:t> </w:t>
            </w:r>
          </w:p>
          <w:p w:rsidR="00F76EEE" w:rsidRPr="00F76EEE" w:rsidRDefault="00F76EEE" w:rsidP="004137AA">
            <w:pPr>
              <w:rPr>
                <w:b/>
              </w:rPr>
            </w:pPr>
            <w:r w:rsidRPr="00F76EEE">
              <w:rPr>
                <w:b/>
              </w:rPr>
              <w:t> </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F76EEE" w:rsidRPr="00F76EEE" w:rsidRDefault="00F76EEE" w:rsidP="00F76EEE">
            <w:r w:rsidRPr="00F76EEE">
              <w:t xml:space="preserve">Exibição do adesivo do </w:t>
            </w:r>
            <w:proofErr w:type="spellStart"/>
            <w:r w:rsidRPr="00F76EEE">
              <w:t>Termodensímetro</w:t>
            </w:r>
            <w:proofErr w:type="spellEnd"/>
            <w:r w:rsidRPr="00F76EEE">
              <w:t xml:space="preserve"> instalado nas bombas medidoras de AEHC, contendo as instruções de funcionamento.</w:t>
            </w:r>
          </w:p>
          <w:p w:rsidR="00F76EEE" w:rsidRPr="00F76EEE" w:rsidRDefault="00F76EEE" w:rsidP="00F76EEE"/>
          <w:p w:rsidR="00F76EEE" w:rsidRPr="00F76EEE" w:rsidRDefault="00F76EEE" w:rsidP="00F76EEE">
            <w:r w:rsidRPr="00F76EEE">
              <w:sym w:font="Wingdings" w:char="F0E8"/>
            </w:r>
            <w:r w:rsidRPr="00F76EEE">
              <w:t xml:space="preserve"> </w:t>
            </w:r>
            <w:proofErr w:type="gramStart"/>
            <w:r w:rsidRPr="00F76EEE">
              <w:t>item</w:t>
            </w:r>
            <w:proofErr w:type="gramEnd"/>
            <w:r w:rsidRPr="00F76EEE">
              <w:t xml:space="preserve"> 4.2 do Regulamento Técnico ANP nº 1/2007, anexo à Resolução ANP nº 9/2007.</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F76EEE" w:rsidRPr="00F76EEE" w:rsidRDefault="00F76EEE" w:rsidP="00060C65">
            <w:pPr>
              <w:spacing w:before="120"/>
              <w:ind w:left="130" w:right="125"/>
              <w:jc w:val="both"/>
            </w:pPr>
            <w:r w:rsidRPr="00F76EEE">
              <w:t> Faz-se necessário acrescentar este inciso, por se tratar de um adesivo obrigatório, cujos outros modelos já foram contemplados pela MRC.</w:t>
            </w:r>
          </w:p>
          <w:p w:rsidR="00F76EEE" w:rsidRPr="00F76EEE" w:rsidRDefault="00F76EEE" w:rsidP="00F76EEE"/>
        </w:tc>
      </w:tr>
      <w:tr w:rsidR="00F76EEE"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F76EEE" w:rsidRPr="00BE5899" w:rsidRDefault="00F76EEE" w:rsidP="00737691">
            <w:pPr>
              <w:rPr>
                <w:b/>
              </w:rPr>
            </w:pPr>
            <w:r w:rsidRPr="00F76EEE">
              <w:rPr>
                <w:b/>
              </w:rPr>
              <w:t>FECOMBUSTÍVEIS</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F76EEE" w:rsidRPr="00F76EEE" w:rsidRDefault="00F76EEE" w:rsidP="004137AA">
            <w:pPr>
              <w:rPr>
                <w:b/>
              </w:rPr>
            </w:pPr>
            <w:r w:rsidRPr="00F76EEE">
              <w:rPr>
                <w:b/>
              </w:rPr>
              <w:t xml:space="preserve">Art. 4º </w:t>
            </w:r>
          </w:p>
          <w:p w:rsidR="00F76EEE" w:rsidRPr="00F76EEE" w:rsidRDefault="00F76EEE" w:rsidP="004137AA">
            <w:pPr>
              <w:rPr>
                <w:b/>
              </w:rPr>
            </w:pPr>
          </w:p>
          <w:p w:rsidR="00F76EEE" w:rsidRPr="00F76EEE" w:rsidRDefault="00F76EEE" w:rsidP="004137AA">
            <w:pPr>
              <w:rPr>
                <w:b/>
              </w:rPr>
            </w:pPr>
            <w:r w:rsidRPr="00F76EEE">
              <w:rPr>
                <w:b/>
              </w:rPr>
              <w:t>(acrescentar um inciso)</w:t>
            </w:r>
          </w:p>
          <w:p w:rsidR="00F76EEE" w:rsidRPr="00F76EEE" w:rsidRDefault="00F76EEE" w:rsidP="004137AA">
            <w:pPr>
              <w:rPr>
                <w:b/>
              </w:rPr>
            </w:pPr>
            <w:r w:rsidRPr="00F76EEE">
              <w:rPr>
                <w:b/>
              </w:rPr>
              <w:t> </w:t>
            </w:r>
          </w:p>
          <w:p w:rsidR="00F76EEE" w:rsidRPr="00F76EEE" w:rsidRDefault="00F76EEE" w:rsidP="004137AA">
            <w:pPr>
              <w:rPr>
                <w:b/>
              </w:rPr>
            </w:pP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F76EEE" w:rsidRPr="00F76EEE" w:rsidRDefault="00F76EEE" w:rsidP="004137AA">
            <w:r w:rsidRPr="00F76EEE">
              <w:t xml:space="preserve">Localização do painel de preços </w:t>
            </w:r>
          </w:p>
          <w:p w:rsidR="00F76EEE" w:rsidRPr="00F76EEE" w:rsidRDefault="00F76EEE" w:rsidP="004137AA"/>
          <w:p w:rsidR="00F76EEE" w:rsidRPr="00F76EEE" w:rsidRDefault="00F76EEE" w:rsidP="004137AA">
            <w:r w:rsidRPr="00F76EEE">
              <w:sym w:font="Wingdings" w:char="F0E8"/>
            </w:r>
            <w:r w:rsidRPr="00F76EEE">
              <w:t xml:space="preserve"> </w:t>
            </w:r>
            <w:proofErr w:type="gramStart"/>
            <w:r w:rsidRPr="00F76EEE">
              <w:t>caput</w:t>
            </w:r>
            <w:proofErr w:type="gramEnd"/>
            <w:r w:rsidRPr="00F76EEE">
              <w:t xml:space="preserve"> do art. 18 da Resolução ANP nº 41/2013</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F76EEE" w:rsidRPr="00F76EEE" w:rsidRDefault="00F76EEE" w:rsidP="00060C65">
            <w:pPr>
              <w:spacing w:before="120"/>
              <w:ind w:left="130" w:right="125"/>
              <w:jc w:val="both"/>
            </w:pPr>
            <w:r w:rsidRPr="00F76EEE">
              <w:t xml:space="preserve">Por se tratar de matéria sujeita </w:t>
            </w:r>
            <w:proofErr w:type="gramStart"/>
            <w:r w:rsidRPr="00F76EEE">
              <w:t>à</w:t>
            </w:r>
            <w:proofErr w:type="gramEnd"/>
            <w:r w:rsidRPr="00F76EEE">
              <w:t xml:space="preserve"> analise subjetiva do fiscal – de modo destacado e de fácil visualização – as empresas ficam sujeitas ao arbítrio do fiscal. Entendemos que não se trata de medida prejudicial aos consumidores, sendo justo permitir ao Posto que em </w:t>
            </w:r>
            <w:proofErr w:type="gramStart"/>
            <w:r w:rsidRPr="00F76EEE">
              <w:t>5</w:t>
            </w:r>
            <w:proofErr w:type="gramEnd"/>
            <w:r w:rsidRPr="00F76EEE">
              <w:t xml:space="preserve"> dias </w:t>
            </w:r>
            <w:proofErr w:type="spellStart"/>
            <w:r w:rsidRPr="00F76EEE">
              <w:t>adeque</w:t>
            </w:r>
            <w:proofErr w:type="spellEnd"/>
            <w:r w:rsidRPr="00F76EEE">
              <w:t xml:space="preserve"> a localização de seu painel de preços.</w:t>
            </w: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BE5899" w:rsidRDefault="005E7D2F" w:rsidP="00737691">
            <w:pPr>
              <w:rPr>
                <w:b/>
              </w:rPr>
            </w:pPr>
            <w:r>
              <w:rPr>
                <w:b/>
              </w:rPr>
              <w:t>ABEDA</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5E7D2F" w:rsidRPr="005E7D2F" w:rsidRDefault="005E7D2F" w:rsidP="005E7D2F">
            <w:pPr>
              <w:autoSpaceDE w:val="0"/>
              <w:autoSpaceDN w:val="0"/>
              <w:adjustRightInd w:val="0"/>
              <w:rPr>
                <w:color w:val="000000"/>
                <w:sz w:val="24"/>
                <w:szCs w:val="24"/>
              </w:rPr>
            </w:pPr>
          </w:p>
          <w:tbl>
            <w:tblPr>
              <w:tblW w:w="0" w:type="auto"/>
              <w:tblBorders>
                <w:top w:val="nil"/>
                <w:left w:val="nil"/>
                <w:bottom w:val="nil"/>
                <w:right w:val="nil"/>
              </w:tblBorders>
              <w:tblLook w:val="0000"/>
            </w:tblPr>
            <w:tblGrid>
              <w:gridCol w:w="866"/>
            </w:tblGrid>
            <w:tr w:rsidR="005E7D2F" w:rsidRPr="005E7D2F">
              <w:trPr>
                <w:trHeight w:val="109"/>
              </w:trPr>
              <w:tc>
                <w:tcPr>
                  <w:tcW w:w="0" w:type="auto"/>
                </w:tcPr>
                <w:p w:rsidR="005E7D2F" w:rsidRPr="005E7D2F" w:rsidRDefault="005E7D2F" w:rsidP="00D5391F">
                  <w:pPr>
                    <w:rPr>
                      <w:b/>
                    </w:rPr>
                  </w:pPr>
                  <w:r w:rsidRPr="005E7D2F">
                    <w:rPr>
                      <w:b/>
                    </w:rPr>
                    <w:t xml:space="preserve"> Art. 14 </w:t>
                  </w:r>
                </w:p>
              </w:tc>
            </w:tr>
          </w:tbl>
          <w:p w:rsidR="00737691" w:rsidRPr="00737691" w:rsidRDefault="00737691" w:rsidP="00737691">
            <w:pPr>
              <w:rPr>
                <w:rFonts w:ascii="Arial-BoldMT" w:hAnsi="Arial-BoldMT" w:cs="Arial-BoldMT"/>
                <w:b/>
                <w:bCs/>
              </w:rPr>
            </w:pP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5E7D2F" w:rsidRPr="005E7D2F" w:rsidRDefault="005E7D2F" w:rsidP="005E7D2F">
            <w:pPr>
              <w:autoSpaceDE w:val="0"/>
              <w:autoSpaceDN w:val="0"/>
              <w:adjustRightInd w:val="0"/>
            </w:pPr>
          </w:p>
          <w:tbl>
            <w:tblPr>
              <w:tblW w:w="0" w:type="auto"/>
              <w:tblBorders>
                <w:top w:val="nil"/>
                <w:left w:val="nil"/>
                <w:bottom w:val="nil"/>
                <w:right w:val="nil"/>
              </w:tblBorders>
              <w:tblLook w:val="0000"/>
            </w:tblPr>
            <w:tblGrid>
              <w:gridCol w:w="5025"/>
            </w:tblGrid>
            <w:tr w:rsidR="005E7D2F" w:rsidRPr="005E7D2F">
              <w:trPr>
                <w:trHeight w:val="253"/>
              </w:trPr>
              <w:tc>
                <w:tcPr>
                  <w:tcW w:w="0" w:type="auto"/>
                </w:tcPr>
                <w:p w:rsidR="005E7D2F" w:rsidRPr="005E7D2F" w:rsidRDefault="005E7D2F" w:rsidP="005E7D2F">
                  <w:pPr>
                    <w:autoSpaceDE w:val="0"/>
                    <w:autoSpaceDN w:val="0"/>
                    <w:adjustRightInd w:val="0"/>
                  </w:pPr>
                  <w:r w:rsidRPr="005E7D2F">
                    <w:t xml:space="preserve"> II - caput e incisos I, II, IV, </w:t>
                  </w:r>
                  <w:proofErr w:type="gramStart"/>
                  <w:r w:rsidRPr="005E7D2F">
                    <w:t>VI</w:t>
                  </w:r>
                  <w:proofErr w:type="gramEnd"/>
                  <w:r w:rsidRPr="005E7D2F">
                    <w:t xml:space="preserve"> e IX do art. 19 da Resolução ANP nº 2, de 14 de janeiro de 2005; </w:t>
                  </w:r>
                </w:p>
              </w:tc>
            </w:tr>
          </w:tbl>
          <w:p w:rsidR="00737691" w:rsidRPr="004137AA" w:rsidRDefault="00737691" w:rsidP="00737691">
            <w:pPr>
              <w:autoSpaceDE w:val="0"/>
              <w:autoSpaceDN w:val="0"/>
              <w:adjustRightInd w:val="0"/>
              <w:jc w:val="both"/>
            </w:pP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5E7D2F" w:rsidRPr="005E7D2F" w:rsidRDefault="005E7D2F" w:rsidP="005E7D2F"/>
          <w:tbl>
            <w:tblPr>
              <w:tblW w:w="0" w:type="auto"/>
              <w:tblBorders>
                <w:top w:val="nil"/>
                <w:left w:val="nil"/>
                <w:bottom w:val="nil"/>
                <w:right w:val="nil"/>
              </w:tblBorders>
              <w:tblLook w:val="0000"/>
            </w:tblPr>
            <w:tblGrid>
              <w:gridCol w:w="5431"/>
            </w:tblGrid>
            <w:tr w:rsidR="005E7D2F" w:rsidRPr="005E7D2F">
              <w:trPr>
                <w:trHeight w:val="391"/>
              </w:trPr>
              <w:tc>
                <w:tcPr>
                  <w:tcW w:w="0" w:type="auto"/>
                </w:tcPr>
                <w:p w:rsidR="005E7D2F" w:rsidRPr="005E7D2F" w:rsidRDefault="005E7D2F" w:rsidP="00060C65">
                  <w:pPr>
                    <w:spacing w:before="120"/>
                    <w:ind w:left="130" w:right="125"/>
                    <w:jc w:val="both"/>
                  </w:pPr>
                  <w:r w:rsidRPr="005E7D2F">
                    <w:t xml:space="preserve"> Obrigações de cunho informativo perante ANP, cujo grau de gravidade é considerado baixo, eis que eventualmente puníveis no máximo com advertência. </w:t>
                  </w:r>
                </w:p>
              </w:tc>
            </w:tr>
          </w:tbl>
          <w:p w:rsidR="00737691" w:rsidRPr="00BE5899" w:rsidRDefault="00737691" w:rsidP="00737691">
            <w:pPr>
              <w:autoSpaceDE w:val="0"/>
              <w:autoSpaceDN w:val="0"/>
              <w:adjustRightInd w:val="0"/>
              <w:jc w:val="both"/>
            </w:pP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BE5899" w:rsidRDefault="00D5391F" w:rsidP="00737691">
            <w:pPr>
              <w:rPr>
                <w:b/>
              </w:rPr>
            </w:pPr>
            <w:r>
              <w:rPr>
                <w:b/>
              </w:rPr>
              <w:t>ABEDA</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D5391F" w:rsidRPr="005E7D2F" w:rsidRDefault="00D5391F" w:rsidP="00D5391F">
            <w:pPr>
              <w:rPr>
                <w:b/>
              </w:rPr>
            </w:pPr>
            <w:r w:rsidRPr="005E7D2F">
              <w:rPr>
                <w:b/>
              </w:rPr>
              <w:t xml:space="preserve">Art. 14 </w:t>
            </w:r>
          </w:p>
          <w:p w:rsidR="00737691" w:rsidRPr="00737691" w:rsidRDefault="00737691" w:rsidP="00737691">
            <w:pPr>
              <w:rPr>
                <w:rFonts w:ascii="Arial-BoldMT" w:hAnsi="Arial-BoldMT" w:cs="Arial-BoldMT"/>
                <w:b/>
                <w:bCs/>
              </w:rPr>
            </w:pP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5E7D2F" w:rsidRPr="005E7D2F" w:rsidRDefault="005E7D2F" w:rsidP="005E7D2F">
            <w:pPr>
              <w:autoSpaceDE w:val="0"/>
              <w:autoSpaceDN w:val="0"/>
              <w:adjustRightInd w:val="0"/>
            </w:pPr>
          </w:p>
          <w:tbl>
            <w:tblPr>
              <w:tblW w:w="0" w:type="auto"/>
              <w:tblBorders>
                <w:top w:val="nil"/>
                <w:left w:val="nil"/>
                <w:bottom w:val="nil"/>
                <w:right w:val="nil"/>
              </w:tblBorders>
              <w:tblLook w:val="0000"/>
            </w:tblPr>
            <w:tblGrid>
              <w:gridCol w:w="4803"/>
              <w:gridCol w:w="222"/>
            </w:tblGrid>
            <w:tr w:rsidR="005E7D2F" w:rsidRPr="005E7D2F">
              <w:trPr>
                <w:trHeight w:val="391"/>
              </w:trPr>
              <w:tc>
                <w:tcPr>
                  <w:tcW w:w="0" w:type="auto"/>
                </w:tcPr>
                <w:p w:rsidR="005E7D2F" w:rsidRPr="005E7D2F" w:rsidRDefault="005E7D2F" w:rsidP="005E7D2F">
                  <w:pPr>
                    <w:autoSpaceDE w:val="0"/>
                    <w:autoSpaceDN w:val="0"/>
                    <w:adjustRightInd w:val="0"/>
                  </w:pPr>
                  <w:r w:rsidRPr="005E7D2F">
                    <w:t xml:space="preserve"> III – prazos e forma de comunicação </w:t>
                  </w:r>
                  <w:proofErr w:type="gramStart"/>
                  <w:r w:rsidRPr="005E7D2F">
                    <w:t>estabelecidos nos artigos 2º e 3º e Anexo I e II da Resolução ANP</w:t>
                  </w:r>
                  <w:proofErr w:type="gramEnd"/>
                  <w:r w:rsidRPr="005E7D2F">
                    <w:t xml:space="preserve"> nº 44, </w:t>
                  </w:r>
                  <w:r w:rsidRPr="005E7D2F">
                    <w:lastRenderedPageBreak/>
                    <w:t xml:space="preserve">de 22 de dezembro de 2009; </w:t>
                  </w:r>
                </w:p>
              </w:tc>
              <w:tc>
                <w:tcPr>
                  <w:tcW w:w="0" w:type="auto"/>
                </w:tcPr>
                <w:p w:rsidR="005E7D2F" w:rsidRPr="005E7D2F" w:rsidRDefault="005E7D2F" w:rsidP="005E7D2F">
                  <w:pPr>
                    <w:autoSpaceDE w:val="0"/>
                    <w:autoSpaceDN w:val="0"/>
                    <w:adjustRightInd w:val="0"/>
                  </w:pPr>
                </w:p>
              </w:tc>
            </w:tr>
          </w:tbl>
          <w:p w:rsidR="00737691" w:rsidRPr="004137AA" w:rsidRDefault="00737691" w:rsidP="00737691">
            <w:pPr>
              <w:autoSpaceDE w:val="0"/>
              <w:autoSpaceDN w:val="0"/>
              <w:adjustRightInd w:val="0"/>
              <w:jc w:val="both"/>
            </w:pP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5E7D2F" w:rsidRPr="005E7D2F" w:rsidRDefault="005E7D2F" w:rsidP="005E7D2F">
            <w:pPr>
              <w:autoSpaceDE w:val="0"/>
              <w:autoSpaceDN w:val="0"/>
              <w:adjustRightInd w:val="0"/>
              <w:rPr>
                <w:color w:val="000000"/>
                <w:sz w:val="24"/>
                <w:szCs w:val="24"/>
              </w:rPr>
            </w:pPr>
          </w:p>
          <w:tbl>
            <w:tblPr>
              <w:tblW w:w="0" w:type="auto"/>
              <w:tblBorders>
                <w:top w:val="nil"/>
                <w:left w:val="nil"/>
                <w:bottom w:val="nil"/>
                <w:right w:val="nil"/>
              </w:tblBorders>
              <w:tblLook w:val="0000"/>
            </w:tblPr>
            <w:tblGrid>
              <w:gridCol w:w="5431"/>
            </w:tblGrid>
            <w:tr w:rsidR="005E7D2F" w:rsidRPr="005E7D2F">
              <w:trPr>
                <w:trHeight w:val="391"/>
              </w:trPr>
              <w:tc>
                <w:tcPr>
                  <w:tcW w:w="0" w:type="auto"/>
                </w:tcPr>
                <w:p w:rsidR="005E7D2F" w:rsidRPr="005E7D2F" w:rsidRDefault="005E7D2F" w:rsidP="00060C65">
                  <w:pPr>
                    <w:spacing w:before="120"/>
                    <w:ind w:left="130" w:right="125"/>
                    <w:jc w:val="both"/>
                    <w:rPr>
                      <w:color w:val="000000"/>
                      <w:sz w:val="23"/>
                      <w:szCs w:val="23"/>
                    </w:rPr>
                  </w:pPr>
                  <w:r w:rsidRPr="005E7D2F">
                    <w:rPr>
                      <w:color w:val="000000"/>
                      <w:sz w:val="24"/>
                      <w:szCs w:val="24"/>
                    </w:rPr>
                    <w:t xml:space="preserve"> </w:t>
                  </w:r>
                  <w:r w:rsidRPr="005E7D2F">
                    <w:t xml:space="preserve">A demora em comunicar o incidente ou o envio de relatórios </w:t>
                  </w:r>
                  <w:r w:rsidRPr="005E7D2F">
                    <w:lastRenderedPageBreak/>
                    <w:t xml:space="preserve">incompletos não </w:t>
                  </w:r>
                  <w:proofErr w:type="gramStart"/>
                  <w:r w:rsidRPr="005E7D2F">
                    <w:t>podem ser consideradas</w:t>
                  </w:r>
                  <w:proofErr w:type="gramEnd"/>
                  <w:r w:rsidRPr="005E7D2F">
                    <w:t xml:space="preserve"> condutas graves, capazes de afastar a adoção da MRC.</w:t>
                  </w:r>
                  <w:r w:rsidRPr="005E7D2F">
                    <w:rPr>
                      <w:color w:val="000000"/>
                      <w:sz w:val="23"/>
                      <w:szCs w:val="23"/>
                    </w:rPr>
                    <w:t xml:space="preserve"> </w:t>
                  </w:r>
                </w:p>
              </w:tc>
            </w:tr>
          </w:tbl>
          <w:p w:rsidR="00737691" w:rsidRPr="00BE5899" w:rsidRDefault="00737691" w:rsidP="00737691">
            <w:pPr>
              <w:autoSpaceDE w:val="0"/>
              <w:autoSpaceDN w:val="0"/>
              <w:adjustRightInd w:val="0"/>
              <w:jc w:val="both"/>
            </w:pP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BE5899" w:rsidRDefault="00D5391F" w:rsidP="00737691">
            <w:pPr>
              <w:rPr>
                <w:b/>
              </w:rPr>
            </w:pPr>
            <w:r>
              <w:rPr>
                <w:b/>
              </w:rPr>
              <w:lastRenderedPageBreak/>
              <w:t>ABEDA</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D5391F" w:rsidRPr="005E7D2F" w:rsidRDefault="00D5391F" w:rsidP="00D5391F">
            <w:pPr>
              <w:rPr>
                <w:b/>
              </w:rPr>
            </w:pPr>
            <w:r w:rsidRPr="005E7D2F">
              <w:rPr>
                <w:b/>
              </w:rPr>
              <w:t xml:space="preserve">Art. 14 </w:t>
            </w:r>
          </w:p>
          <w:p w:rsidR="00737691" w:rsidRPr="00737691" w:rsidRDefault="00737691" w:rsidP="00737691">
            <w:pPr>
              <w:rPr>
                <w:rFonts w:ascii="Arial-BoldMT" w:hAnsi="Arial-BoldMT" w:cs="Arial-BoldMT"/>
                <w:b/>
                <w:bCs/>
              </w:rPr>
            </w:pP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5E7D2F" w:rsidRPr="005E7D2F" w:rsidRDefault="005E7D2F" w:rsidP="005E7D2F">
            <w:pPr>
              <w:autoSpaceDE w:val="0"/>
              <w:autoSpaceDN w:val="0"/>
              <w:adjustRightInd w:val="0"/>
            </w:pPr>
          </w:p>
          <w:tbl>
            <w:tblPr>
              <w:tblW w:w="0" w:type="auto"/>
              <w:tblBorders>
                <w:top w:val="nil"/>
                <w:left w:val="nil"/>
                <w:bottom w:val="nil"/>
                <w:right w:val="nil"/>
              </w:tblBorders>
              <w:tblLook w:val="0000"/>
            </w:tblPr>
            <w:tblGrid>
              <w:gridCol w:w="5025"/>
            </w:tblGrid>
            <w:tr w:rsidR="005E7D2F" w:rsidRPr="005E7D2F">
              <w:trPr>
                <w:trHeight w:val="253"/>
              </w:trPr>
              <w:tc>
                <w:tcPr>
                  <w:tcW w:w="0" w:type="auto"/>
                </w:tcPr>
                <w:p w:rsidR="005E7D2F" w:rsidRPr="005E7D2F" w:rsidRDefault="005E7D2F" w:rsidP="005E7D2F">
                  <w:pPr>
                    <w:autoSpaceDE w:val="0"/>
                    <w:autoSpaceDN w:val="0"/>
                    <w:adjustRightInd w:val="0"/>
                  </w:pPr>
                  <w:r w:rsidRPr="005E7D2F">
                    <w:t xml:space="preserve"> IV – artigos 4º a 7º da Resolução ANP nº 36, de 13 de novembro de 2012; </w:t>
                  </w:r>
                </w:p>
              </w:tc>
            </w:tr>
          </w:tbl>
          <w:p w:rsidR="00737691" w:rsidRPr="004137AA" w:rsidRDefault="00737691" w:rsidP="00737691">
            <w:pPr>
              <w:autoSpaceDE w:val="0"/>
              <w:autoSpaceDN w:val="0"/>
              <w:adjustRightInd w:val="0"/>
              <w:jc w:val="both"/>
            </w:pP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5E7D2F" w:rsidRPr="005E7D2F" w:rsidRDefault="005E7D2F" w:rsidP="005E7D2F">
            <w:pPr>
              <w:autoSpaceDE w:val="0"/>
              <w:autoSpaceDN w:val="0"/>
              <w:adjustRightInd w:val="0"/>
              <w:rPr>
                <w:color w:val="000000"/>
                <w:sz w:val="24"/>
                <w:szCs w:val="24"/>
              </w:rPr>
            </w:pPr>
          </w:p>
          <w:tbl>
            <w:tblPr>
              <w:tblW w:w="0" w:type="auto"/>
              <w:tblBorders>
                <w:top w:val="nil"/>
                <w:left w:val="nil"/>
                <w:bottom w:val="nil"/>
                <w:right w:val="nil"/>
              </w:tblBorders>
              <w:tblLook w:val="0000"/>
            </w:tblPr>
            <w:tblGrid>
              <w:gridCol w:w="3130"/>
            </w:tblGrid>
            <w:tr w:rsidR="005E7D2F" w:rsidRPr="005E7D2F">
              <w:trPr>
                <w:trHeight w:val="109"/>
              </w:trPr>
              <w:tc>
                <w:tcPr>
                  <w:tcW w:w="0" w:type="auto"/>
                </w:tcPr>
                <w:p w:rsidR="005E7D2F" w:rsidRPr="005E7D2F" w:rsidRDefault="005E7D2F" w:rsidP="00060C65">
                  <w:pPr>
                    <w:spacing w:before="120"/>
                    <w:ind w:left="130" w:right="125"/>
                    <w:jc w:val="both"/>
                    <w:rPr>
                      <w:color w:val="000000"/>
                      <w:sz w:val="23"/>
                      <w:szCs w:val="23"/>
                    </w:rPr>
                  </w:pPr>
                  <w:r w:rsidRPr="005E7D2F">
                    <w:rPr>
                      <w:color w:val="000000"/>
                      <w:sz w:val="24"/>
                      <w:szCs w:val="24"/>
                    </w:rPr>
                    <w:t xml:space="preserve"> </w:t>
                  </w:r>
                  <w:r w:rsidRPr="005E7D2F">
                    <w:t>Obrigações de menor gravidade.</w:t>
                  </w:r>
                  <w:r w:rsidRPr="005E7D2F">
                    <w:rPr>
                      <w:color w:val="000000"/>
                      <w:sz w:val="23"/>
                      <w:szCs w:val="23"/>
                    </w:rPr>
                    <w:t xml:space="preserve"> </w:t>
                  </w:r>
                </w:p>
              </w:tc>
            </w:tr>
          </w:tbl>
          <w:p w:rsidR="00737691" w:rsidRPr="00BE5899" w:rsidRDefault="00737691" w:rsidP="00737691">
            <w:pPr>
              <w:autoSpaceDE w:val="0"/>
              <w:autoSpaceDN w:val="0"/>
              <w:adjustRightInd w:val="0"/>
              <w:jc w:val="both"/>
            </w:pP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BE5899" w:rsidRDefault="00D5391F" w:rsidP="00737691">
            <w:pPr>
              <w:rPr>
                <w:b/>
              </w:rPr>
            </w:pPr>
            <w:r>
              <w:rPr>
                <w:b/>
              </w:rPr>
              <w:t>ABEDA</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D5391F" w:rsidRPr="005E7D2F" w:rsidRDefault="00D5391F" w:rsidP="00D5391F">
            <w:pPr>
              <w:rPr>
                <w:b/>
              </w:rPr>
            </w:pPr>
            <w:r w:rsidRPr="005E7D2F">
              <w:rPr>
                <w:b/>
              </w:rPr>
              <w:t xml:space="preserve">Art. 14 </w:t>
            </w:r>
          </w:p>
          <w:p w:rsidR="00737691" w:rsidRPr="00737691" w:rsidRDefault="00737691" w:rsidP="00737691">
            <w:pPr>
              <w:rPr>
                <w:rFonts w:ascii="Arial-BoldMT" w:hAnsi="Arial-BoldMT" w:cs="Arial-BoldMT"/>
                <w:b/>
                <w:bCs/>
              </w:rPr>
            </w:pP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5E7D2F" w:rsidRPr="005E7D2F" w:rsidRDefault="005E7D2F" w:rsidP="005E7D2F">
            <w:pPr>
              <w:autoSpaceDE w:val="0"/>
              <w:autoSpaceDN w:val="0"/>
              <w:adjustRightInd w:val="0"/>
            </w:pPr>
          </w:p>
          <w:tbl>
            <w:tblPr>
              <w:tblW w:w="0" w:type="auto"/>
              <w:tblBorders>
                <w:top w:val="nil"/>
                <w:left w:val="nil"/>
                <w:bottom w:val="nil"/>
                <w:right w:val="nil"/>
              </w:tblBorders>
              <w:tblLook w:val="0000"/>
            </w:tblPr>
            <w:tblGrid>
              <w:gridCol w:w="5025"/>
            </w:tblGrid>
            <w:tr w:rsidR="005E7D2F" w:rsidRPr="005E7D2F">
              <w:trPr>
                <w:trHeight w:val="109"/>
              </w:trPr>
              <w:tc>
                <w:tcPr>
                  <w:tcW w:w="0" w:type="auto"/>
                </w:tcPr>
                <w:p w:rsidR="005E7D2F" w:rsidRPr="005E7D2F" w:rsidRDefault="005E7D2F" w:rsidP="005E7D2F">
                  <w:pPr>
                    <w:autoSpaceDE w:val="0"/>
                    <w:autoSpaceDN w:val="0"/>
                    <w:adjustRightInd w:val="0"/>
                  </w:pPr>
                  <w:r w:rsidRPr="005E7D2F">
                    <w:t xml:space="preserve"> V – artigos 14 e 19 da Resolução ANP nº 42, de 18 de agosto de 2011; </w:t>
                  </w:r>
                </w:p>
              </w:tc>
            </w:tr>
          </w:tbl>
          <w:p w:rsidR="00737691" w:rsidRPr="004137AA" w:rsidRDefault="00737691" w:rsidP="00737691">
            <w:pPr>
              <w:autoSpaceDE w:val="0"/>
              <w:autoSpaceDN w:val="0"/>
              <w:adjustRightInd w:val="0"/>
              <w:jc w:val="both"/>
            </w:pP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5E7D2F" w:rsidRPr="005E7D2F" w:rsidRDefault="005E7D2F" w:rsidP="00060C65">
            <w:pPr>
              <w:spacing w:before="120"/>
              <w:ind w:left="130" w:right="125"/>
              <w:jc w:val="both"/>
            </w:pPr>
          </w:p>
          <w:tbl>
            <w:tblPr>
              <w:tblW w:w="0" w:type="auto"/>
              <w:tblBorders>
                <w:top w:val="nil"/>
                <w:left w:val="nil"/>
                <w:bottom w:val="nil"/>
                <w:right w:val="nil"/>
              </w:tblBorders>
              <w:tblLook w:val="0000"/>
            </w:tblPr>
            <w:tblGrid>
              <w:gridCol w:w="5431"/>
            </w:tblGrid>
            <w:tr w:rsidR="005E7D2F" w:rsidRPr="005E7D2F">
              <w:trPr>
                <w:trHeight w:val="253"/>
              </w:trPr>
              <w:tc>
                <w:tcPr>
                  <w:tcW w:w="0" w:type="auto"/>
                </w:tcPr>
                <w:p w:rsidR="005E7D2F" w:rsidRPr="005E7D2F" w:rsidRDefault="005E7D2F" w:rsidP="00060C65">
                  <w:pPr>
                    <w:spacing w:before="120"/>
                    <w:ind w:left="130" w:right="125"/>
                    <w:jc w:val="both"/>
                  </w:pPr>
                  <w:r w:rsidRPr="005E7D2F">
                    <w:t xml:space="preserve"> Obrigações de cunho informativo perante ANP, cujo grau de gravidade é considerado baixo. </w:t>
                  </w:r>
                </w:p>
              </w:tc>
            </w:tr>
          </w:tbl>
          <w:p w:rsidR="00737691" w:rsidRPr="00BE5899" w:rsidRDefault="00737691" w:rsidP="00060C65">
            <w:pPr>
              <w:spacing w:before="120"/>
              <w:ind w:left="130" w:right="125"/>
              <w:jc w:val="both"/>
            </w:pP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BE5899" w:rsidRDefault="00D5391F" w:rsidP="00737691">
            <w:pPr>
              <w:rPr>
                <w:b/>
              </w:rPr>
            </w:pPr>
            <w:r>
              <w:rPr>
                <w:b/>
              </w:rPr>
              <w:t>ABEDA</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D5391F" w:rsidRPr="005E7D2F" w:rsidRDefault="00D5391F" w:rsidP="00D5391F">
            <w:pPr>
              <w:rPr>
                <w:b/>
              </w:rPr>
            </w:pPr>
            <w:r w:rsidRPr="005E7D2F">
              <w:rPr>
                <w:b/>
              </w:rPr>
              <w:t xml:space="preserve">Art. 14 </w:t>
            </w:r>
          </w:p>
          <w:p w:rsidR="00737691" w:rsidRPr="00737691" w:rsidRDefault="00737691" w:rsidP="00737691">
            <w:pPr>
              <w:rPr>
                <w:rFonts w:ascii="Arial-BoldMT" w:hAnsi="Arial-BoldMT" w:cs="Arial-BoldMT"/>
                <w:b/>
                <w:bCs/>
              </w:rPr>
            </w:pP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60C65" w:rsidRPr="00060C65" w:rsidRDefault="00060C65" w:rsidP="00060C65">
            <w:pPr>
              <w:autoSpaceDE w:val="0"/>
              <w:autoSpaceDN w:val="0"/>
              <w:adjustRightInd w:val="0"/>
            </w:pPr>
          </w:p>
          <w:tbl>
            <w:tblPr>
              <w:tblW w:w="0" w:type="auto"/>
              <w:tblBorders>
                <w:top w:val="nil"/>
                <w:left w:val="nil"/>
                <w:bottom w:val="nil"/>
                <w:right w:val="nil"/>
              </w:tblBorders>
              <w:tblLook w:val="0000"/>
            </w:tblPr>
            <w:tblGrid>
              <w:gridCol w:w="5025"/>
            </w:tblGrid>
            <w:tr w:rsidR="00060C65" w:rsidRPr="00060C65">
              <w:trPr>
                <w:trHeight w:val="253"/>
              </w:trPr>
              <w:tc>
                <w:tcPr>
                  <w:tcW w:w="0" w:type="auto"/>
                </w:tcPr>
                <w:p w:rsidR="00060C65" w:rsidRPr="00060C65" w:rsidRDefault="00060C65" w:rsidP="00060C65">
                  <w:pPr>
                    <w:autoSpaceDE w:val="0"/>
                    <w:autoSpaceDN w:val="0"/>
                    <w:adjustRightInd w:val="0"/>
                  </w:pPr>
                  <w:r w:rsidRPr="00060C65">
                    <w:t xml:space="preserve"> VI – artigos 4º a 6º da Resolução ANP nº 32, de 21 de setembro de 2010; </w:t>
                  </w:r>
                </w:p>
              </w:tc>
            </w:tr>
          </w:tbl>
          <w:p w:rsidR="00737691" w:rsidRPr="004137AA" w:rsidRDefault="00737691" w:rsidP="00737691">
            <w:pPr>
              <w:autoSpaceDE w:val="0"/>
              <w:autoSpaceDN w:val="0"/>
              <w:adjustRightInd w:val="0"/>
              <w:jc w:val="both"/>
            </w:pP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60C65" w:rsidRPr="00060C65" w:rsidRDefault="00060C65" w:rsidP="00060C65">
            <w:pPr>
              <w:spacing w:before="120"/>
              <w:ind w:left="130" w:right="125"/>
              <w:jc w:val="both"/>
            </w:pPr>
          </w:p>
          <w:tbl>
            <w:tblPr>
              <w:tblW w:w="0" w:type="auto"/>
              <w:tblBorders>
                <w:top w:val="nil"/>
                <w:left w:val="nil"/>
                <w:bottom w:val="nil"/>
                <w:right w:val="nil"/>
              </w:tblBorders>
              <w:tblLook w:val="0000"/>
            </w:tblPr>
            <w:tblGrid>
              <w:gridCol w:w="3120"/>
            </w:tblGrid>
            <w:tr w:rsidR="00060C65" w:rsidRPr="00060C65">
              <w:trPr>
                <w:trHeight w:val="109"/>
              </w:trPr>
              <w:tc>
                <w:tcPr>
                  <w:tcW w:w="0" w:type="auto"/>
                </w:tcPr>
                <w:p w:rsidR="00060C65" w:rsidRPr="00060C65" w:rsidRDefault="00060C65" w:rsidP="00060C65">
                  <w:pPr>
                    <w:spacing w:before="120"/>
                    <w:ind w:left="130" w:right="125"/>
                    <w:jc w:val="both"/>
                  </w:pPr>
                  <w:r w:rsidRPr="00060C65">
                    <w:t xml:space="preserve"> Obrigações de menor gravidade. </w:t>
                  </w:r>
                </w:p>
              </w:tc>
            </w:tr>
          </w:tbl>
          <w:p w:rsidR="00737691" w:rsidRPr="00BE5899" w:rsidRDefault="00737691" w:rsidP="00060C65">
            <w:pPr>
              <w:spacing w:before="120"/>
              <w:ind w:left="130" w:right="125"/>
              <w:jc w:val="both"/>
            </w:pP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BE5899" w:rsidRDefault="00D5391F" w:rsidP="00737691">
            <w:pPr>
              <w:rPr>
                <w:b/>
              </w:rPr>
            </w:pPr>
            <w:r>
              <w:rPr>
                <w:b/>
              </w:rPr>
              <w:t>ABEDA</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D5391F" w:rsidRPr="005E7D2F" w:rsidRDefault="00D5391F" w:rsidP="00D5391F">
            <w:pPr>
              <w:rPr>
                <w:b/>
              </w:rPr>
            </w:pPr>
            <w:r w:rsidRPr="005E7D2F">
              <w:rPr>
                <w:b/>
              </w:rPr>
              <w:t xml:space="preserve">Art. 14 </w:t>
            </w:r>
          </w:p>
          <w:p w:rsidR="00737691" w:rsidRPr="00737691" w:rsidRDefault="00737691" w:rsidP="00737691">
            <w:pPr>
              <w:rPr>
                <w:rFonts w:ascii="Arial-BoldMT" w:hAnsi="Arial-BoldMT" w:cs="Arial-BoldMT"/>
                <w:b/>
                <w:bCs/>
              </w:rPr>
            </w:pP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60C65" w:rsidRPr="00060C65" w:rsidRDefault="00060C65" w:rsidP="00060C65">
            <w:pPr>
              <w:autoSpaceDE w:val="0"/>
              <w:autoSpaceDN w:val="0"/>
              <w:adjustRightInd w:val="0"/>
            </w:pPr>
          </w:p>
          <w:tbl>
            <w:tblPr>
              <w:tblW w:w="0" w:type="auto"/>
              <w:tblBorders>
                <w:top w:val="nil"/>
                <w:left w:val="nil"/>
                <w:bottom w:val="nil"/>
                <w:right w:val="nil"/>
              </w:tblBorders>
              <w:tblLook w:val="0000"/>
            </w:tblPr>
            <w:tblGrid>
              <w:gridCol w:w="5025"/>
            </w:tblGrid>
            <w:tr w:rsidR="00060C65" w:rsidRPr="00060C65">
              <w:trPr>
                <w:trHeight w:val="109"/>
              </w:trPr>
              <w:tc>
                <w:tcPr>
                  <w:tcW w:w="0" w:type="auto"/>
                </w:tcPr>
                <w:p w:rsidR="00060C65" w:rsidRPr="00060C65" w:rsidRDefault="00060C65" w:rsidP="00060C65">
                  <w:pPr>
                    <w:autoSpaceDE w:val="0"/>
                    <w:autoSpaceDN w:val="0"/>
                    <w:adjustRightInd w:val="0"/>
                  </w:pPr>
                  <w:r w:rsidRPr="00060C65">
                    <w:t xml:space="preserve"> VII – artigo 1º da Resolução ANP nº 27, de 18 de setembro de 2008; </w:t>
                  </w:r>
                </w:p>
              </w:tc>
            </w:tr>
          </w:tbl>
          <w:p w:rsidR="00737691" w:rsidRPr="004137AA" w:rsidRDefault="00737691" w:rsidP="00737691">
            <w:pPr>
              <w:autoSpaceDE w:val="0"/>
              <w:autoSpaceDN w:val="0"/>
              <w:adjustRightInd w:val="0"/>
              <w:jc w:val="both"/>
            </w:pP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60C65" w:rsidRPr="00060C65" w:rsidRDefault="00060C65" w:rsidP="00060C65">
            <w:pPr>
              <w:spacing w:before="120"/>
              <w:ind w:left="130" w:right="125"/>
              <w:jc w:val="both"/>
            </w:pPr>
          </w:p>
          <w:tbl>
            <w:tblPr>
              <w:tblW w:w="0" w:type="auto"/>
              <w:tblBorders>
                <w:top w:val="nil"/>
                <w:left w:val="nil"/>
                <w:bottom w:val="nil"/>
                <w:right w:val="nil"/>
              </w:tblBorders>
              <w:tblLook w:val="0000"/>
            </w:tblPr>
            <w:tblGrid>
              <w:gridCol w:w="5431"/>
            </w:tblGrid>
            <w:tr w:rsidR="00060C65" w:rsidRPr="00060C65">
              <w:trPr>
                <w:trHeight w:val="253"/>
              </w:trPr>
              <w:tc>
                <w:tcPr>
                  <w:tcW w:w="0" w:type="auto"/>
                </w:tcPr>
                <w:p w:rsidR="00060C65" w:rsidRPr="00060C65" w:rsidRDefault="00060C65" w:rsidP="00060C65">
                  <w:pPr>
                    <w:spacing w:before="120"/>
                    <w:ind w:left="130" w:right="125"/>
                    <w:jc w:val="both"/>
                  </w:pPr>
                  <w:r w:rsidRPr="00060C65">
                    <w:t xml:space="preserve"> Obrigações de cunho informativo perante ANP, cujo grau de gravidade é considerado baixo. </w:t>
                  </w:r>
                </w:p>
              </w:tc>
            </w:tr>
          </w:tbl>
          <w:p w:rsidR="00737691" w:rsidRPr="00BE5899" w:rsidRDefault="00737691" w:rsidP="00060C65">
            <w:pPr>
              <w:spacing w:before="120"/>
              <w:ind w:left="130" w:right="125"/>
              <w:jc w:val="both"/>
            </w:pP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BE5899" w:rsidRDefault="00D5391F" w:rsidP="00737691">
            <w:pPr>
              <w:rPr>
                <w:b/>
              </w:rPr>
            </w:pPr>
            <w:r>
              <w:rPr>
                <w:b/>
              </w:rPr>
              <w:t>ABEDA</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D5391F" w:rsidRPr="005E7D2F" w:rsidRDefault="00D5391F" w:rsidP="00D5391F">
            <w:pPr>
              <w:rPr>
                <w:b/>
              </w:rPr>
            </w:pPr>
            <w:r w:rsidRPr="005E7D2F">
              <w:rPr>
                <w:b/>
              </w:rPr>
              <w:t xml:space="preserve">Art. 14 </w:t>
            </w:r>
          </w:p>
          <w:p w:rsidR="00737691" w:rsidRPr="00737691" w:rsidRDefault="00737691" w:rsidP="00737691">
            <w:pPr>
              <w:rPr>
                <w:rFonts w:ascii="Arial-BoldMT" w:hAnsi="Arial-BoldMT" w:cs="Arial-BoldMT"/>
                <w:b/>
                <w:bCs/>
              </w:rPr>
            </w:pP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60C65" w:rsidRPr="00060C65" w:rsidRDefault="00060C65" w:rsidP="00060C65">
            <w:pPr>
              <w:pStyle w:val="Default"/>
              <w:jc w:val="both"/>
              <w:rPr>
                <w:rFonts w:ascii="Times New Roman" w:hAnsi="Times New Roman" w:cs="Times New Roman"/>
                <w:color w:val="auto"/>
                <w:sz w:val="20"/>
                <w:szCs w:val="20"/>
              </w:rPr>
            </w:pPr>
            <w:r w:rsidRPr="00060C65">
              <w:rPr>
                <w:rFonts w:ascii="Times New Roman" w:hAnsi="Times New Roman" w:cs="Times New Roman"/>
                <w:color w:val="auto"/>
                <w:sz w:val="20"/>
                <w:szCs w:val="20"/>
              </w:rPr>
              <w:t xml:space="preserve">VIII - artigos 4º a 6º da Resolução ANP nº 39, de 24 de dezembro de 2008; </w:t>
            </w:r>
          </w:p>
          <w:p w:rsidR="00737691" w:rsidRPr="004137AA" w:rsidRDefault="00737691" w:rsidP="00737691">
            <w:pPr>
              <w:autoSpaceDE w:val="0"/>
              <w:autoSpaceDN w:val="0"/>
              <w:adjustRightInd w:val="0"/>
              <w:jc w:val="both"/>
            </w:pP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60C65" w:rsidRPr="00060C65" w:rsidRDefault="00060C65" w:rsidP="00060C65">
            <w:pPr>
              <w:spacing w:before="120"/>
              <w:ind w:left="130" w:right="125"/>
              <w:jc w:val="both"/>
            </w:pPr>
            <w:r w:rsidRPr="00060C65">
              <w:t xml:space="preserve">Obrigações de menor gravidade. </w:t>
            </w:r>
          </w:p>
          <w:p w:rsidR="00737691" w:rsidRPr="00BE5899" w:rsidRDefault="00737691" w:rsidP="00060C65">
            <w:pPr>
              <w:spacing w:before="120"/>
              <w:ind w:left="130" w:right="125"/>
              <w:jc w:val="both"/>
            </w:pP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BE5899" w:rsidRDefault="00D5391F" w:rsidP="00737691">
            <w:pPr>
              <w:rPr>
                <w:b/>
              </w:rPr>
            </w:pPr>
            <w:r>
              <w:rPr>
                <w:b/>
              </w:rPr>
              <w:t>ABEDA</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D5391F" w:rsidRPr="005E7D2F" w:rsidRDefault="00D5391F" w:rsidP="00D5391F">
            <w:pPr>
              <w:rPr>
                <w:b/>
              </w:rPr>
            </w:pPr>
            <w:r w:rsidRPr="005E7D2F">
              <w:rPr>
                <w:b/>
              </w:rPr>
              <w:t xml:space="preserve">Art. 14 </w:t>
            </w:r>
          </w:p>
          <w:p w:rsidR="00737691" w:rsidRPr="00737691" w:rsidRDefault="00737691" w:rsidP="00737691">
            <w:pPr>
              <w:rPr>
                <w:rFonts w:ascii="Arial-BoldMT" w:hAnsi="Arial-BoldMT" w:cs="Arial-BoldMT"/>
                <w:b/>
                <w:bCs/>
              </w:rPr>
            </w:pP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60C65" w:rsidRPr="00060C65" w:rsidRDefault="00060C65" w:rsidP="00060C65">
            <w:pPr>
              <w:pStyle w:val="Default"/>
              <w:jc w:val="both"/>
              <w:rPr>
                <w:rFonts w:ascii="Times New Roman" w:hAnsi="Times New Roman" w:cs="Times New Roman"/>
                <w:color w:val="auto"/>
                <w:sz w:val="20"/>
                <w:szCs w:val="20"/>
              </w:rPr>
            </w:pPr>
            <w:r w:rsidRPr="00060C65">
              <w:rPr>
                <w:rFonts w:ascii="Times New Roman" w:hAnsi="Times New Roman" w:cs="Times New Roman"/>
                <w:color w:val="auto"/>
                <w:sz w:val="20"/>
                <w:szCs w:val="20"/>
              </w:rPr>
              <w:t xml:space="preserve">IX - artigos 4º e 5º da Resolução ANP nº 30, de 09 de outubro de 2007; </w:t>
            </w:r>
          </w:p>
          <w:p w:rsidR="00737691" w:rsidRPr="004137AA" w:rsidRDefault="00737691" w:rsidP="00737691">
            <w:pPr>
              <w:autoSpaceDE w:val="0"/>
              <w:autoSpaceDN w:val="0"/>
              <w:adjustRightInd w:val="0"/>
              <w:jc w:val="both"/>
            </w:pP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60C65" w:rsidRPr="00060C65" w:rsidRDefault="00060C65" w:rsidP="00060C65">
            <w:pPr>
              <w:spacing w:before="120"/>
              <w:ind w:left="130" w:right="125"/>
              <w:jc w:val="both"/>
            </w:pPr>
            <w:r w:rsidRPr="00060C65">
              <w:t xml:space="preserve">Obrigações de menor gravidade. </w:t>
            </w:r>
          </w:p>
          <w:p w:rsidR="00737691" w:rsidRPr="00BE5899" w:rsidRDefault="00737691" w:rsidP="00060C65">
            <w:pPr>
              <w:spacing w:before="120"/>
              <w:ind w:left="130" w:right="125"/>
              <w:jc w:val="both"/>
            </w:pP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BE5899" w:rsidRDefault="00D5391F" w:rsidP="00737691">
            <w:pPr>
              <w:rPr>
                <w:b/>
              </w:rPr>
            </w:pPr>
            <w:r>
              <w:rPr>
                <w:b/>
              </w:rPr>
              <w:t>ABEDA</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D5391F" w:rsidRPr="005E7D2F" w:rsidRDefault="00D5391F" w:rsidP="00D5391F">
            <w:pPr>
              <w:rPr>
                <w:b/>
              </w:rPr>
            </w:pPr>
            <w:r w:rsidRPr="005E7D2F">
              <w:rPr>
                <w:b/>
              </w:rPr>
              <w:t xml:space="preserve">Art. 14 </w:t>
            </w:r>
          </w:p>
          <w:p w:rsidR="00737691" w:rsidRPr="00737691" w:rsidRDefault="00737691" w:rsidP="00737691">
            <w:pPr>
              <w:rPr>
                <w:rFonts w:ascii="Arial-BoldMT" w:hAnsi="Arial-BoldMT" w:cs="Arial-BoldMT"/>
                <w:b/>
                <w:bCs/>
              </w:rPr>
            </w:pP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60C65" w:rsidRPr="00060C65" w:rsidRDefault="00060C65" w:rsidP="00060C65">
            <w:pPr>
              <w:pStyle w:val="Default"/>
              <w:jc w:val="both"/>
              <w:rPr>
                <w:rFonts w:ascii="Times New Roman" w:hAnsi="Times New Roman" w:cs="Times New Roman"/>
                <w:color w:val="auto"/>
                <w:sz w:val="20"/>
                <w:szCs w:val="20"/>
              </w:rPr>
            </w:pPr>
            <w:r w:rsidRPr="00060C65">
              <w:rPr>
                <w:rFonts w:ascii="Times New Roman" w:hAnsi="Times New Roman" w:cs="Times New Roman"/>
                <w:color w:val="auto"/>
                <w:sz w:val="20"/>
                <w:szCs w:val="20"/>
              </w:rPr>
              <w:t xml:space="preserve">X - artigos 3º a 5º da Resolução ANP nº 19, de 11 de julho de 2005; </w:t>
            </w:r>
          </w:p>
          <w:p w:rsidR="00737691" w:rsidRPr="004137AA" w:rsidRDefault="00737691" w:rsidP="00737691">
            <w:pPr>
              <w:autoSpaceDE w:val="0"/>
              <w:autoSpaceDN w:val="0"/>
              <w:adjustRightInd w:val="0"/>
              <w:jc w:val="both"/>
            </w:pP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60C65" w:rsidRPr="00060C65" w:rsidRDefault="00060C65" w:rsidP="00060C65">
            <w:pPr>
              <w:spacing w:before="120"/>
              <w:ind w:left="130" w:right="125"/>
              <w:jc w:val="both"/>
            </w:pPr>
            <w:r w:rsidRPr="00060C65">
              <w:t xml:space="preserve">Obrigações de menor gravidade. </w:t>
            </w:r>
          </w:p>
          <w:p w:rsidR="00737691" w:rsidRPr="00BE5899" w:rsidRDefault="00737691" w:rsidP="00060C65">
            <w:pPr>
              <w:spacing w:before="120"/>
              <w:ind w:left="130" w:right="125"/>
              <w:jc w:val="both"/>
            </w:pPr>
          </w:p>
        </w:tc>
      </w:tr>
      <w:tr w:rsidR="00737691"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737691" w:rsidRPr="00BE5899" w:rsidRDefault="004137AA" w:rsidP="00737691">
            <w:pPr>
              <w:rPr>
                <w:b/>
              </w:rPr>
            </w:pPr>
            <w:r>
              <w:rPr>
                <w:b/>
              </w:rPr>
              <w:t>SINDIGAS</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37691" w:rsidRPr="00737691" w:rsidRDefault="004137AA" w:rsidP="004137AA">
            <w:pPr>
              <w:rPr>
                <w:rFonts w:ascii="Arial-BoldMT" w:hAnsi="Arial-BoldMT" w:cs="Arial-BoldMT"/>
                <w:b/>
                <w:bCs/>
              </w:rPr>
            </w:pPr>
            <w:r w:rsidRPr="00F76EEE">
              <w:rPr>
                <w:b/>
              </w:rPr>
              <w:t xml:space="preserve">Art. </w:t>
            </w:r>
            <w:r>
              <w:rPr>
                <w:b/>
              </w:rPr>
              <w:t>7</w:t>
            </w:r>
            <w:r w:rsidRPr="00F76EEE">
              <w:rPr>
                <w:b/>
              </w:rPr>
              <w:t>º</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137AA" w:rsidRPr="004137AA" w:rsidRDefault="004137AA" w:rsidP="00D94519">
            <w:pPr>
              <w:spacing w:before="120"/>
              <w:ind w:left="130" w:right="125"/>
              <w:jc w:val="both"/>
            </w:pPr>
            <w:r w:rsidRPr="004137AA">
              <w:t>DO REVENDEDOR DE GLP</w:t>
            </w:r>
          </w:p>
          <w:p w:rsidR="004137AA" w:rsidRPr="004137AA" w:rsidRDefault="004137AA" w:rsidP="00D94519">
            <w:pPr>
              <w:spacing w:before="120"/>
              <w:ind w:left="130" w:right="125"/>
              <w:jc w:val="both"/>
            </w:pPr>
            <w:r w:rsidRPr="004137AA">
              <w:t>Art. 7º O revendedor de GLP poderá adotar MRC quando ficar</w:t>
            </w:r>
            <w:r>
              <w:t xml:space="preserve"> </w:t>
            </w:r>
            <w:r w:rsidRPr="004137AA">
              <w:t>caracterizado o não atendimento aos seguintes dispositivos:</w:t>
            </w:r>
          </w:p>
          <w:p w:rsidR="004137AA" w:rsidRPr="004137AA" w:rsidRDefault="004137AA" w:rsidP="00D94519">
            <w:pPr>
              <w:spacing w:before="120"/>
              <w:ind w:left="130" w:right="125"/>
              <w:jc w:val="both"/>
            </w:pPr>
            <w:r w:rsidRPr="004137AA">
              <w:t>Afixação em local visível de aviso sobre lacre dos botijões de GLP,</w:t>
            </w:r>
            <w:r>
              <w:t xml:space="preserve"> </w:t>
            </w:r>
            <w:r w:rsidRPr="004137AA">
              <w:t xml:space="preserve">identificação e informações sobre o produto e sua </w:t>
            </w:r>
            <w:proofErr w:type="gramStart"/>
            <w:r w:rsidRPr="004137AA">
              <w:t>utilização</w:t>
            </w:r>
            <w:proofErr w:type="gramEnd"/>
          </w:p>
          <w:p w:rsidR="004137AA" w:rsidRPr="004137AA" w:rsidRDefault="004137AA" w:rsidP="00D94519">
            <w:pPr>
              <w:spacing w:before="120"/>
              <w:ind w:left="130" w:right="125"/>
              <w:jc w:val="both"/>
            </w:pPr>
            <w:r w:rsidRPr="004137AA">
              <w:t xml:space="preserve">I – parágrafo único do art. 11 da Resolução ANP nº 18, de </w:t>
            </w:r>
            <w:proofErr w:type="gramStart"/>
            <w:r w:rsidRPr="004137AA">
              <w:t>2</w:t>
            </w:r>
            <w:proofErr w:type="gramEnd"/>
            <w:r w:rsidRPr="004137AA">
              <w:t xml:space="preserve"> de setembro</w:t>
            </w:r>
            <w:r>
              <w:t xml:space="preserve"> </w:t>
            </w:r>
            <w:r w:rsidRPr="004137AA">
              <w:t>de 2004;</w:t>
            </w:r>
          </w:p>
          <w:p w:rsidR="004137AA" w:rsidRPr="004137AA" w:rsidRDefault="004137AA" w:rsidP="00D94519">
            <w:pPr>
              <w:spacing w:before="120"/>
              <w:ind w:left="130" w:right="125"/>
              <w:jc w:val="both"/>
            </w:pPr>
            <w:r w:rsidRPr="004137AA">
              <w:t>Exibição de placa, no local de estacionamento do(s) veículo(s</w:t>
            </w:r>
            <w:proofErr w:type="gramStart"/>
            <w:r w:rsidRPr="004137AA">
              <w:t>)</w:t>
            </w:r>
            <w:proofErr w:type="gramEnd"/>
          </w:p>
          <w:p w:rsidR="00737691" w:rsidRPr="004137AA" w:rsidRDefault="004137AA" w:rsidP="00D94519">
            <w:pPr>
              <w:spacing w:before="120"/>
              <w:ind w:left="130" w:right="125"/>
              <w:jc w:val="both"/>
            </w:pPr>
            <w:proofErr w:type="gramStart"/>
            <w:r w:rsidRPr="004137AA">
              <w:lastRenderedPageBreak/>
              <w:t>transportador</w:t>
            </w:r>
            <w:proofErr w:type="gramEnd"/>
            <w:r w:rsidRPr="004137AA">
              <w:t>(</w:t>
            </w:r>
            <w:proofErr w:type="spellStart"/>
            <w:r w:rsidRPr="004137AA">
              <w:t>es</w:t>
            </w:r>
            <w:proofErr w:type="spellEnd"/>
            <w:r w:rsidRPr="004137AA">
              <w:t>) com o dizer "PROIBIDO O USO DE FOGO E DE</w:t>
            </w:r>
            <w:r>
              <w:t xml:space="preserve"> </w:t>
            </w:r>
            <w:r w:rsidRPr="004137AA">
              <w:t>QUALQUER INSTRUMENTO QUE PRODUZA FAÍSCA", com</w:t>
            </w:r>
            <w:r>
              <w:t xml:space="preserve"> </w:t>
            </w:r>
            <w:r w:rsidRPr="004137AA">
              <w:t>altura e forma adequadas</w:t>
            </w:r>
          </w:p>
          <w:p w:rsidR="004137AA" w:rsidRPr="004137AA" w:rsidRDefault="004137AA" w:rsidP="00D94519">
            <w:pPr>
              <w:spacing w:before="120"/>
              <w:ind w:left="130" w:right="125"/>
              <w:jc w:val="both"/>
            </w:pPr>
            <w:r w:rsidRPr="004137AA">
              <w:t>II – inc. VII do art. 2º da Resolução ANP nº 70, de 20 de dezembro de</w:t>
            </w:r>
            <w:r>
              <w:t xml:space="preserve"> </w:t>
            </w:r>
            <w:r w:rsidRPr="004137AA">
              <w:t>2011;</w:t>
            </w:r>
          </w:p>
          <w:p w:rsidR="004137AA" w:rsidRPr="004137AA" w:rsidRDefault="004137AA" w:rsidP="00D94519">
            <w:pPr>
              <w:spacing w:before="120"/>
              <w:ind w:left="130" w:right="125"/>
              <w:jc w:val="both"/>
            </w:pPr>
            <w:r w:rsidRPr="004137AA">
              <w:t>Efetuação de alterações cadastrais, exceto relativas a endereço, a classe</w:t>
            </w:r>
            <w:r>
              <w:t xml:space="preserve"> </w:t>
            </w:r>
            <w:r w:rsidRPr="004137AA">
              <w:t xml:space="preserve">de armazenamento e </w:t>
            </w:r>
            <w:proofErr w:type="spellStart"/>
            <w:proofErr w:type="gramStart"/>
            <w:r w:rsidRPr="004137AA">
              <w:t>ac</w:t>
            </w:r>
            <w:proofErr w:type="spellEnd"/>
            <w:proofErr w:type="gramEnd"/>
            <w:r w:rsidRPr="004137AA">
              <w:t xml:space="preserve"> de um distribuidor de GLP</w:t>
            </w:r>
          </w:p>
          <w:p w:rsidR="004137AA" w:rsidRPr="004137AA" w:rsidRDefault="004137AA" w:rsidP="00D94519">
            <w:pPr>
              <w:spacing w:before="120"/>
              <w:ind w:left="130" w:right="125"/>
              <w:jc w:val="both"/>
            </w:pPr>
            <w:r w:rsidRPr="004137AA">
              <w:t xml:space="preserve">III – caput do art. 9º da Resolução ANP nº 51, de </w:t>
            </w:r>
            <w:proofErr w:type="gramStart"/>
            <w:r w:rsidRPr="004137AA">
              <w:t>2</w:t>
            </w:r>
            <w:proofErr w:type="gramEnd"/>
            <w:r w:rsidRPr="004137AA">
              <w:t xml:space="preserve"> de dezembro de 2016,</w:t>
            </w:r>
            <w:r>
              <w:t xml:space="preserve"> </w:t>
            </w:r>
            <w:r w:rsidRPr="004137AA">
              <w:t>exceto alterações cadastrais relativas a endereço, a classe de</w:t>
            </w:r>
            <w:r>
              <w:t xml:space="preserve"> </w:t>
            </w:r>
            <w:r w:rsidRPr="004137AA">
              <w:t>armazenamento e a opção de exibir ou de não exibir a marca comercial</w:t>
            </w:r>
            <w:r>
              <w:t xml:space="preserve"> </w:t>
            </w:r>
            <w:r w:rsidRPr="004137AA">
              <w:t>de um distribuidor de GLP;</w:t>
            </w:r>
          </w:p>
          <w:p w:rsidR="004137AA" w:rsidRPr="004137AA" w:rsidRDefault="004137AA" w:rsidP="00D94519">
            <w:pPr>
              <w:spacing w:before="120"/>
              <w:ind w:left="130" w:right="125"/>
              <w:jc w:val="both"/>
            </w:pPr>
            <w:r w:rsidRPr="004137AA">
              <w:t>Exibição de placa que indique a(s) classe(s) de armazenamento</w:t>
            </w:r>
            <w:r>
              <w:t xml:space="preserve"> </w:t>
            </w:r>
            <w:r w:rsidRPr="004137AA">
              <w:t>existente(s) e a capacidade de armazenamento de GLP, em quilogramas,</w:t>
            </w:r>
            <w:r>
              <w:t xml:space="preserve"> </w:t>
            </w:r>
            <w:r w:rsidRPr="004137AA">
              <w:t xml:space="preserve">de cada </w:t>
            </w:r>
            <w:proofErr w:type="gramStart"/>
            <w:r w:rsidRPr="004137AA">
              <w:t>classe</w:t>
            </w:r>
            <w:proofErr w:type="gramEnd"/>
          </w:p>
          <w:p w:rsidR="004137AA" w:rsidRPr="004137AA" w:rsidRDefault="004137AA" w:rsidP="00D94519">
            <w:pPr>
              <w:spacing w:before="120"/>
              <w:ind w:left="130" w:right="125"/>
              <w:jc w:val="both"/>
            </w:pPr>
            <w:r w:rsidRPr="004137AA">
              <w:t>IV – item 4.25 da Norma Brasileira ABNT NBR 15514, adotada pelo</w:t>
            </w:r>
            <w:r>
              <w:t xml:space="preserve"> </w:t>
            </w:r>
            <w:r w:rsidRPr="004137AA">
              <w:t>caput do art. 19 da Resolução ANP nº 51/2016;</w:t>
            </w:r>
          </w:p>
          <w:p w:rsidR="004137AA" w:rsidRPr="004137AA" w:rsidRDefault="004137AA" w:rsidP="00D94519">
            <w:pPr>
              <w:spacing w:before="120"/>
              <w:ind w:left="130" w:right="125"/>
              <w:jc w:val="both"/>
            </w:pPr>
            <w:r w:rsidRPr="004137AA">
              <w:t>Exibição de placa com os dizeres "PERIGO-INFLAMÁVEL" e</w:t>
            </w:r>
            <w:r>
              <w:t xml:space="preserve"> </w:t>
            </w:r>
            <w:r w:rsidRPr="004137AA">
              <w:t>"PROIBIDO O USO DE FOGO E DE QUALQUER INSTRUMENTO</w:t>
            </w:r>
            <w:r>
              <w:t xml:space="preserve"> </w:t>
            </w:r>
            <w:r w:rsidRPr="004137AA">
              <w:t>QUE PRODUZA FAÍSCA", com dimensões, altura e distâncias</w:t>
            </w:r>
            <w:r>
              <w:t xml:space="preserve"> </w:t>
            </w:r>
            <w:proofErr w:type="gramStart"/>
            <w:r w:rsidRPr="004137AA">
              <w:t>adequadas</w:t>
            </w:r>
            <w:proofErr w:type="gramEnd"/>
          </w:p>
          <w:p w:rsidR="004137AA" w:rsidRPr="004137AA" w:rsidRDefault="004137AA" w:rsidP="00D94519">
            <w:pPr>
              <w:spacing w:before="120"/>
              <w:ind w:left="130" w:right="125"/>
              <w:jc w:val="both"/>
            </w:pPr>
            <w:r w:rsidRPr="004137AA">
              <w:t>V – item 4.26 da Norma Brasileira ABNT NBR 15514, adotada pelo</w:t>
            </w:r>
            <w:r>
              <w:t xml:space="preserve"> </w:t>
            </w:r>
            <w:r w:rsidRPr="004137AA">
              <w:t>caput do art. 19 da Resolução ANP nº 51/2016;</w:t>
            </w:r>
          </w:p>
          <w:p w:rsidR="004137AA" w:rsidRPr="004137AA" w:rsidRDefault="004137AA" w:rsidP="00D94519">
            <w:pPr>
              <w:spacing w:before="120"/>
              <w:ind w:left="130" w:right="125"/>
              <w:jc w:val="both"/>
            </w:pPr>
            <w:r w:rsidRPr="004137AA">
              <w:t>Separação dos recipientes transportáveis de GLP cheios em pilhas de</w:t>
            </w:r>
            <w:r>
              <w:t xml:space="preserve"> </w:t>
            </w:r>
            <w:r w:rsidRPr="004137AA">
              <w:t>acordo com a(s) marca(s) de cada distribuidor de GLP</w:t>
            </w:r>
          </w:p>
          <w:p w:rsidR="004137AA" w:rsidRPr="004137AA" w:rsidRDefault="004137AA" w:rsidP="00D94519">
            <w:pPr>
              <w:spacing w:before="120"/>
              <w:ind w:left="130" w:right="125"/>
              <w:jc w:val="both"/>
            </w:pPr>
            <w:r w:rsidRPr="004137AA">
              <w:t>VI – art. 23 da Resolução ANP nº 51/2016;</w:t>
            </w:r>
          </w:p>
          <w:p w:rsidR="004137AA" w:rsidRPr="004137AA" w:rsidRDefault="004137AA" w:rsidP="00D94519">
            <w:pPr>
              <w:spacing w:before="120"/>
              <w:ind w:left="130" w:right="125"/>
              <w:jc w:val="both"/>
            </w:pPr>
            <w:r w:rsidRPr="004137AA">
              <w:t>Exibição de quadro de aviso</w:t>
            </w:r>
          </w:p>
          <w:p w:rsidR="004137AA" w:rsidRPr="004137AA" w:rsidRDefault="004137AA" w:rsidP="00D94519">
            <w:pPr>
              <w:spacing w:before="120"/>
              <w:ind w:left="130" w:right="125"/>
              <w:jc w:val="both"/>
            </w:pPr>
            <w:r w:rsidRPr="004137AA">
              <w:t>VII – inc. V do art. 26 da Resolução ANP nº 51/2016;</w:t>
            </w:r>
          </w:p>
          <w:p w:rsidR="004137AA" w:rsidRPr="004137AA" w:rsidRDefault="004137AA" w:rsidP="00D94519">
            <w:pPr>
              <w:spacing w:before="120"/>
              <w:ind w:left="130" w:right="125"/>
              <w:jc w:val="both"/>
            </w:pPr>
            <w:r w:rsidRPr="004137AA">
              <w:t>Solicitação de cancelamento da autorização, quando da desativação do</w:t>
            </w:r>
            <w:r>
              <w:t xml:space="preserve"> </w:t>
            </w:r>
            <w:r w:rsidRPr="004137AA">
              <w:t xml:space="preserve">ponto de revenda de GLP, sem que outra </w:t>
            </w:r>
            <w:r w:rsidRPr="004137AA">
              <w:lastRenderedPageBreak/>
              <w:t>pessoa jurídica continue a</w:t>
            </w:r>
            <w:r>
              <w:t xml:space="preserve"> </w:t>
            </w:r>
            <w:r w:rsidRPr="004137AA">
              <w:t>operar no mesmo endereço</w:t>
            </w:r>
          </w:p>
          <w:p w:rsidR="004137AA" w:rsidRPr="004137AA" w:rsidRDefault="004137AA" w:rsidP="00D94519">
            <w:pPr>
              <w:spacing w:before="120"/>
              <w:ind w:left="130" w:right="125"/>
              <w:jc w:val="both"/>
            </w:pPr>
            <w:r w:rsidRPr="004137AA">
              <w:t xml:space="preserve">VIII – </w:t>
            </w:r>
            <w:proofErr w:type="spellStart"/>
            <w:r w:rsidRPr="004137AA">
              <w:t>arts</w:t>
            </w:r>
            <w:proofErr w:type="spellEnd"/>
            <w:r w:rsidRPr="004137AA">
              <w:t>. 28 ou 34 da Resolução ANP nº 51/2016.</w:t>
            </w:r>
          </w:p>
          <w:p w:rsidR="004137AA" w:rsidRPr="004137AA" w:rsidRDefault="004137AA" w:rsidP="00D94519">
            <w:pPr>
              <w:spacing w:before="120"/>
              <w:ind w:left="130" w:right="125"/>
              <w:jc w:val="both"/>
            </w:pPr>
            <w:r w:rsidRPr="004137AA">
              <w:t>Distância de segurança para os limites do imóvel, locais de reunião de</w:t>
            </w:r>
            <w:r w:rsidR="00160164">
              <w:t xml:space="preserve"> </w:t>
            </w:r>
            <w:r w:rsidRPr="004137AA">
              <w:t>público, edificações.</w:t>
            </w:r>
          </w:p>
          <w:p w:rsidR="004137AA" w:rsidRPr="004137AA" w:rsidRDefault="004137AA" w:rsidP="00D94519">
            <w:pPr>
              <w:spacing w:before="120"/>
              <w:ind w:left="130" w:right="125"/>
              <w:jc w:val="both"/>
            </w:pPr>
            <w:r w:rsidRPr="004137AA">
              <w:t>IX – Itens da Tabela 3 da Norma Brasileira ABNT NBR 15514, adotada</w:t>
            </w:r>
            <w:r w:rsidR="00160164">
              <w:t xml:space="preserve"> </w:t>
            </w:r>
            <w:r w:rsidRPr="004137AA">
              <w:t>pelo caput do art. 19 da Resolução ANP nº 51/2016;</w:t>
            </w:r>
          </w:p>
          <w:p w:rsidR="004137AA" w:rsidRPr="004137AA" w:rsidRDefault="004137AA" w:rsidP="00D94519">
            <w:pPr>
              <w:spacing w:before="120"/>
              <w:ind w:left="130" w:right="125"/>
              <w:jc w:val="both"/>
            </w:pPr>
            <w:r w:rsidRPr="004137AA">
              <w:t>Distância de segurança para aberturas para captação de águas pluviais,</w:t>
            </w:r>
            <w:r w:rsidR="00160164">
              <w:t xml:space="preserve"> </w:t>
            </w:r>
            <w:proofErr w:type="spellStart"/>
            <w:r w:rsidRPr="004137AA">
              <w:t>canaletas</w:t>
            </w:r>
            <w:proofErr w:type="spellEnd"/>
            <w:r w:rsidRPr="004137AA">
              <w:t>, ralos, rebaixos ou similares.</w:t>
            </w:r>
          </w:p>
          <w:p w:rsidR="004137AA" w:rsidRPr="004137AA" w:rsidRDefault="004137AA" w:rsidP="00D94519">
            <w:pPr>
              <w:spacing w:before="120"/>
              <w:ind w:left="130" w:right="125"/>
              <w:jc w:val="both"/>
            </w:pPr>
            <w:r w:rsidRPr="004137AA">
              <w:t>X - item 4.23 da Norma Brasileira ABNT NBR 15514, adotada pelo</w:t>
            </w:r>
            <w:r w:rsidR="00160164">
              <w:t xml:space="preserve"> </w:t>
            </w:r>
            <w:r w:rsidRPr="004137AA">
              <w:t>caput do art. 19 da Resolução ANP nº 51/2016;</w:t>
            </w:r>
          </w:p>
          <w:p w:rsidR="004137AA" w:rsidRPr="004137AA" w:rsidRDefault="004137AA" w:rsidP="00D94519">
            <w:pPr>
              <w:spacing w:before="120"/>
              <w:ind w:left="130" w:right="125"/>
              <w:jc w:val="both"/>
            </w:pPr>
            <w:r w:rsidRPr="004137AA">
              <w:t>Quantidade mínima de extintores e sistema preventivo fixo de combate</w:t>
            </w:r>
            <w:r w:rsidR="00160164">
              <w:t xml:space="preserve"> </w:t>
            </w:r>
            <w:r w:rsidRPr="004137AA">
              <w:t>a incêndios.</w:t>
            </w:r>
          </w:p>
          <w:p w:rsidR="004137AA" w:rsidRPr="004137AA" w:rsidRDefault="004137AA" w:rsidP="00D94519">
            <w:pPr>
              <w:spacing w:before="120"/>
              <w:ind w:left="130" w:right="125"/>
              <w:jc w:val="both"/>
            </w:pPr>
            <w:r w:rsidRPr="004137AA">
              <w:t>XI – itens 9.2, 9.3, 9.4 e Tabela 4 da Norma Brasileira ABNT NBR</w:t>
            </w:r>
            <w:r w:rsidR="00160164">
              <w:t xml:space="preserve"> </w:t>
            </w:r>
            <w:r w:rsidRPr="004137AA">
              <w:t>15514, adotada pelo caput do art. 19 da Resolução ANP nº 51/2016;</w:t>
            </w:r>
          </w:p>
          <w:p w:rsidR="004137AA" w:rsidRPr="004137AA" w:rsidRDefault="004137AA" w:rsidP="00D94519">
            <w:pPr>
              <w:spacing w:before="120"/>
              <w:ind w:left="130" w:right="125"/>
              <w:jc w:val="both"/>
            </w:pPr>
            <w:r w:rsidRPr="004137AA">
              <w:t>Previsão de líquido ou material para teste de vazamento na Revenda.</w:t>
            </w:r>
          </w:p>
          <w:p w:rsidR="004137AA" w:rsidRPr="004137AA" w:rsidRDefault="004137AA" w:rsidP="00D94519">
            <w:pPr>
              <w:spacing w:before="120"/>
              <w:ind w:left="130" w:right="125"/>
              <w:jc w:val="both"/>
            </w:pPr>
            <w:r w:rsidRPr="004137AA">
              <w:t>XII - item 4.27 da Norma Brasileira ABNT NBR 15514, adotada pelo</w:t>
            </w:r>
            <w:r w:rsidR="00633703">
              <w:t xml:space="preserve"> </w:t>
            </w:r>
            <w:r w:rsidRPr="004137AA">
              <w:t>caput do art. 19 da Resolução ANP nº 51/2016;</w:t>
            </w:r>
          </w:p>
          <w:p w:rsidR="004137AA" w:rsidRPr="004137AA" w:rsidRDefault="004137AA" w:rsidP="00D94519">
            <w:pPr>
              <w:spacing w:before="120"/>
              <w:ind w:left="130" w:right="125"/>
              <w:jc w:val="both"/>
            </w:pPr>
            <w:r w:rsidRPr="004137AA">
              <w:t>Delimitação no piso da área de armazenamento de recipientes de GLP e</w:t>
            </w:r>
            <w:r w:rsidR="00633703">
              <w:t xml:space="preserve"> </w:t>
            </w:r>
            <w:r w:rsidRPr="004137AA">
              <w:t>corredores de circulação.</w:t>
            </w:r>
          </w:p>
          <w:p w:rsidR="004137AA" w:rsidRPr="004137AA" w:rsidRDefault="004137AA" w:rsidP="00D94519">
            <w:pPr>
              <w:spacing w:before="120"/>
              <w:ind w:left="130" w:right="125"/>
              <w:jc w:val="both"/>
            </w:pPr>
            <w:r w:rsidRPr="004137AA">
              <w:t>XIII - item 4.10, 4.11 e 4.21 da Norma Brasileira ABNT NBR 15514,</w:t>
            </w:r>
            <w:r w:rsidR="00633703">
              <w:t xml:space="preserve"> </w:t>
            </w:r>
            <w:r w:rsidRPr="004137AA">
              <w:t>adotada pelo caput do art. 19 da Resolução ANP nº 51/2016;</w:t>
            </w:r>
          </w:p>
          <w:p w:rsidR="004137AA" w:rsidRPr="004137AA" w:rsidRDefault="004137AA" w:rsidP="00D94519">
            <w:pPr>
              <w:spacing w:before="120"/>
              <w:ind w:left="130" w:right="125"/>
              <w:jc w:val="both"/>
            </w:pPr>
            <w:r w:rsidRPr="004137AA">
              <w:t>Armazenamento de recipientes dentro da área de armazenamento e na</w:t>
            </w:r>
            <w:r w:rsidR="00633703">
              <w:t xml:space="preserve"> </w:t>
            </w:r>
            <w:r w:rsidRPr="004137AA">
              <w:t>posição vertical.</w:t>
            </w:r>
          </w:p>
          <w:p w:rsidR="004137AA" w:rsidRPr="004137AA" w:rsidRDefault="004137AA" w:rsidP="00D94519">
            <w:pPr>
              <w:spacing w:before="120"/>
              <w:ind w:left="130" w:right="125"/>
              <w:jc w:val="both"/>
            </w:pPr>
            <w:r w:rsidRPr="004137AA">
              <w:t>XIV – itens 4.20 e 4.24 da Norma Brasileira ABNT NBR 15514, adotada</w:t>
            </w:r>
            <w:r w:rsidR="00633703">
              <w:t xml:space="preserve"> </w:t>
            </w:r>
            <w:r w:rsidRPr="004137AA">
              <w:t>pelo caput do art. 19 da Resolução ANP nº 51/2016;</w:t>
            </w:r>
          </w:p>
          <w:p w:rsidR="004137AA" w:rsidRPr="004137AA" w:rsidRDefault="004137AA" w:rsidP="00D94519">
            <w:pPr>
              <w:spacing w:before="120"/>
              <w:ind w:left="130" w:right="125"/>
              <w:jc w:val="both"/>
            </w:pPr>
            <w:r w:rsidRPr="004137AA">
              <w:t>Prazo de Requalificação de recipientes cheios de GLP</w:t>
            </w:r>
          </w:p>
          <w:p w:rsidR="004137AA" w:rsidRPr="004137AA" w:rsidRDefault="004137AA" w:rsidP="00D94519">
            <w:pPr>
              <w:spacing w:before="120"/>
              <w:ind w:left="130" w:right="125"/>
              <w:jc w:val="both"/>
            </w:pPr>
            <w:r w:rsidRPr="004137AA">
              <w:lastRenderedPageBreak/>
              <w:t>XV – Inciso VI do Art. 25º da Resolução ANP nº 51/2016 e Art. 3º da</w:t>
            </w:r>
            <w:r w:rsidR="00633703">
              <w:t xml:space="preserve"> </w:t>
            </w:r>
            <w:r w:rsidRPr="004137AA">
              <w:t>Resolução ANP nº 40/2014;</w:t>
            </w:r>
          </w:p>
          <w:p w:rsidR="004137AA" w:rsidRPr="004137AA" w:rsidRDefault="004137AA" w:rsidP="00D94519">
            <w:pPr>
              <w:spacing w:before="120"/>
              <w:ind w:left="130" w:right="125"/>
              <w:jc w:val="both"/>
            </w:pPr>
            <w:r w:rsidRPr="004137AA">
              <w:t>Distância de veículos estacionados em imóvel que possui área de</w:t>
            </w:r>
            <w:r w:rsidR="00633703">
              <w:t xml:space="preserve"> </w:t>
            </w:r>
            <w:r w:rsidRPr="004137AA">
              <w:t>armazenamento de recipientes de Gás LP</w:t>
            </w:r>
          </w:p>
          <w:p w:rsidR="004137AA" w:rsidRPr="004137AA" w:rsidRDefault="004137AA" w:rsidP="00D94519">
            <w:pPr>
              <w:spacing w:before="120"/>
              <w:ind w:left="130" w:right="125"/>
              <w:jc w:val="both"/>
            </w:pPr>
            <w:r w:rsidRPr="004137AA">
              <w:t>XVI - item 6.2 da Norma Brasileira ABNT NBR 15514, adotada pelo</w:t>
            </w:r>
            <w:r w:rsidR="00633703">
              <w:t xml:space="preserve"> </w:t>
            </w:r>
            <w:r w:rsidRPr="004137AA">
              <w:t>caput do art. 19 da Resolução ANP nº 51/2016 e Incisos II, IV, V, VI e</w:t>
            </w:r>
            <w:r w:rsidR="00633703">
              <w:t xml:space="preserve"> </w:t>
            </w:r>
            <w:r w:rsidRPr="004137AA">
              <w:t>VII do Art. 2º, Art. 3º, Art. 5º e Art. 6º da Resolução ANP nº 70/2011;</w:t>
            </w:r>
          </w:p>
          <w:p w:rsidR="004137AA" w:rsidRPr="004137AA" w:rsidRDefault="004137AA" w:rsidP="00D94519">
            <w:pPr>
              <w:spacing w:before="120"/>
              <w:ind w:left="130" w:right="125"/>
              <w:jc w:val="both"/>
            </w:pPr>
            <w:r w:rsidRPr="004137AA">
              <w:t>Transporte de Recipientes de GLP na posição vertical</w:t>
            </w:r>
          </w:p>
          <w:p w:rsidR="004137AA" w:rsidRPr="004137AA" w:rsidRDefault="004137AA" w:rsidP="00D94519">
            <w:pPr>
              <w:spacing w:before="120"/>
              <w:ind w:left="130" w:right="125"/>
              <w:jc w:val="both"/>
            </w:pPr>
            <w:r w:rsidRPr="004137AA">
              <w:t>XVII – Art. 5º da Resolução ANP nº 26/2015;</w:t>
            </w:r>
          </w:p>
          <w:p w:rsidR="004137AA" w:rsidRPr="004137AA" w:rsidRDefault="004137AA" w:rsidP="00D94519">
            <w:pPr>
              <w:spacing w:before="120"/>
              <w:ind w:left="130" w:right="125"/>
              <w:jc w:val="both"/>
            </w:pPr>
            <w:r w:rsidRPr="004137AA">
              <w:t>Empilhamento de recipientes de GLP na área de armazenamento,</w:t>
            </w:r>
            <w:r w:rsidR="00633703">
              <w:t xml:space="preserve"> </w:t>
            </w:r>
            <w:r w:rsidRPr="004137AA">
              <w:t>estacionamento e transporte.</w:t>
            </w:r>
          </w:p>
          <w:p w:rsidR="004137AA" w:rsidRPr="004137AA" w:rsidRDefault="004137AA" w:rsidP="00D94519">
            <w:pPr>
              <w:spacing w:before="120"/>
              <w:ind w:left="130" w:right="125"/>
              <w:jc w:val="both"/>
            </w:pPr>
            <w:r w:rsidRPr="004137AA">
              <w:t>XVIII –Art. 6º e Art. 7º da Resolução ANP nº 26/2015, Tabela 2 e itens</w:t>
            </w:r>
            <w:r w:rsidR="00633703">
              <w:t xml:space="preserve"> </w:t>
            </w:r>
            <w:r w:rsidRPr="004137AA">
              <w:t>4,18 e 4.19 da ABNT NBR 15514, adotada pelo caput do art. 19 da</w:t>
            </w:r>
            <w:r w:rsidR="00633703">
              <w:t xml:space="preserve"> </w:t>
            </w:r>
            <w:r w:rsidRPr="004137AA">
              <w:t>Resolução ANP nº 51/2016, § 5º do Art. 1º, Tabela 1 e Inciso IV do Art.</w:t>
            </w:r>
          </w:p>
          <w:p w:rsidR="004137AA" w:rsidRPr="004137AA" w:rsidRDefault="004137AA" w:rsidP="00D94519">
            <w:pPr>
              <w:spacing w:before="120"/>
              <w:ind w:left="130" w:right="125"/>
              <w:jc w:val="both"/>
            </w:pPr>
            <w:r w:rsidRPr="004137AA">
              <w:t>2º da Resolução ANP nº 70/2011;</w:t>
            </w:r>
          </w:p>
          <w:p w:rsidR="004137AA" w:rsidRPr="004137AA" w:rsidRDefault="004137AA" w:rsidP="00D94519">
            <w:pPr>
              <w:spacing w:before="120"/>
              <w:ind w:left="130" w:right="125"/>
              <w:jc w:val="both"/>
            </w:pPr>
            <w:r w:rsidRPr="004137AA">
              <w:t>Piso da área de armazenamento de recipientes de GLP</w:t>
            </w:r>
          </w:p>
          <w:p w:rsidR="004137AA" w:rsidRPr="004137AA" w:rsidRDefault="004137AA" w:rsidP="00D94519">
            <w:pPr>
              <w:spacing w:before="120"/>
              <w:ind w:left="130" w:right="125"/>
              <w:jc w:val="both"/>
            </w:pPr>
            <w:r w:rsidRPr="004137AA">
              <w:t>XIX – Item 4.15 da ABNT NBR 15514, adotada pelo caput do art. 19 da</w:t>
            </w:r>
            <w:r w:rsidR="00633703">
              <w:t xml:space="preserve"> </w:t>
            </w:r>
            <w:r w:rsidRPr="004137AA">
              <w:t>Resolução ANP nº 51/2016;</w:t>
            </w:r>
          </w:p>
          <w:p w:rsidR="004137AA" w:rsidRPr="004137AA" w:rsidRDefault="004137AA" w:rsidP="00D94519">
            <w:pPr>
              <w:spacing w:before="120"/>
              <w:ind w:left="130" w:right="125"/>
              <w:jc w:val="both"/>
            </w:pPr>
            <w:r w:rsidRPr="004137AA">
              <w:t>Outros materiais na área de armazenamento de recipientes de GLP</w:t>
            </w:r>
          </w:p>
          <w:p w:rsidR="004137AA" w:rsidRPr="004137AA" w:rsidRDefault="004137AA" w:rsidP="00D94519">
            <w:pPr>
              <w:spacing w:before="120"/>
              <w:ind w:left="130" w:right="125"/>
              <w:jc w:val="both"/>
            </w:pPr>
            <w:r w:rsidRPr="004137AA">
              <w:t>XX - Item 4.7 da ABNT NBR 15514, adotada pelo caput do art. 19 da</w:t>
            </w:r>
            <w:r w:rsidR="00633703">
              <w:t xml:space="preserve"> </w:t>
            </w:r>
            <w:r w:rsidRPr="004137AA">
              <w:t>Resolução ANP nº 51/2016 e Art. 24 da mesma Resolução;</w:t>
            </w:r>
          </w:p>
          <w:p w:rsidR="004137AA" w:rsidRPr="004137AA" w:rsidRDefault="004137AA" w:rsidP="00D94519">
            <w:pPr>
              <w:spacing w:before="120"/>
              <w:ind w:left="130" w:right="125"/>
              <w:jc w:val="both"/>
            </w:pPr>
            <w:r w:rsidRPr="004137AA">
              <w:t>Rótulos de Risco e Painéis de Segurança de acordo com o padrão das</w:t>
            </w:r>
            <w:r w:rsidR="00633703">
              <w:t xml:space="preserve"> </w:t>
            </w:r>
            <w:r w:rsidRPr="004137AA">
              <w:t>normas ABNT</w:t>
            </w:r>
          </w:p>
          <w:p w:rsidR="004137AA" w:rsidRPr="004137AA" w:rsidRDefault="004137AA" w:rsidP="00D94519">
            <w:pPr>
              <w:spacing w:before="120"/>
              <w:ind w:left="130" w:right="125"/>
              <w:jc w:val="both"/>
            </w:pPr>
            <w:r w:rsidRPr="004137AA">
              <w:t>XXI – Art. 10 da Resolução ANP nº 26/2015;</w:t>
            </w:r>
          </w:p>
          <w:p w:rsidR="004137AA" w:rsidRPr="004137AA" w:rsidRDefault="004137AA" w:rsidP="00D94519">
            <w:pPr>
              <w:spacing w:before="120"/>
              <w:ind w:left="130" w:right="125"/>
              <w:jc w:val="both"/>
            </w:pPr>
            <w:r w:rsidRPr="004137AA">
              <w:t>Ficha de emergência, envelope de transporte e ficha de identificação da</w:t>
            </w:r>
            <w:r w:rsidR="00633703">
              <w:t xml:space="preserve"> </w:t>
            </w:r>
            <w:proofErr w:type="gramStart"/>
            <w:r w:rsidRPr="004137AA">
              <w:t>empresa</w:t>
            </w:r>
            <w:proofErr w:type="gramEnd"/>
          </w:p>
          <w:p w:rsidR="004137AA" w:rsidRPr="004137AA" w:rsidRDefault="004137AA" w:rsidP="00D94519">
            <w:pPr>
              <w:spacing w:before="120"/>
              <w:ind w:left="130" w:right="125"/>
              <w:jc w:val="both"/>
            </w:pPr>
            <w:r w:rsidRPr="004137AA">
              <w:t>XXII – alíneas a e b do Art. 9 da Resolução ANP nº 26/2015;</w:t>
            </w:r>
          </w:p>
          <w:p w:rsidR="004137AA" w:rsidRPr="004137AA" w:rsidRDefault="004137AA" w:rsidP="00D94519">
            <w:pPr>
              <w:spacing w:before="120"/>
              <w:ind w:left="130" w:right="125"/>
              <w:jc w:val="both"/>
            </w:pPr>
            <w:r w:rsidRPr="004137AA">
              <w:lastRenderedPageBreak/>
              <w:t>Balança decimal calibrada</w:t>
            </w:r>
          </w:p>
          <w:p w:rsidR="004137AA" w:rsidRPr="004137AA" w:rsidRDefault="004137AA" w:rsidP="00D94519">
            <w:pPr>
              <w:spacing w:before="120"/>
              <w:ind w:left="130" w:right="125"/>
              <w:jc w:val="both"/>
            </w:pPr>
            <w:r w:rsidRPr="004137AA">
              <w:t>XXIII – Inciso VI do Art. 26 da Resolução ANP nº 51/2016;</w:t>
            </w:r>
          </w:p>
          <w:p w:rsidR="004137AA" w:rsidRPr="004137AA" w:rsidRDefault="004137AA" w:rsidP="00D94519">
            <w:pPr>
              <w:spacing w:before="120"/>
              <w:ind w:left="130" w:right="125"/>
              <w:jc w:val="both"/>
            </w:pPr>
            <w:r w:rsidRPr="004137AA">
              <w:t>Placa de preço preenchida</w:t>
            </w:r>
          </w:p>
          <w:p w:rsidR="004137AA" w:rsidRPr="004137AA" w:rsidRDefault="004137AA" w:rsidP="00D94519">
            <w:pPr>
              <w:spacing w:before="120"/>
              <w:ind w:left="130" w:right="125"/>
              <w:jc w:val="both"/>
            </w:pPr>
            <w:r w:rsidRPr="004137AA">
              <w:t>XXIV – Inciso III do Art. 26 da Resolução ANP nº 51/2016;</w:t>
            </w:r>
          </w:p>
          <w:p w:rsidR="004137AA" w:rsidRPr="004137AA" w:rsidRDefault="004137AA" w:rsidP="00D94519">
            <w:pPr>
              <w:spacing w:before="120"/>
              <w:ind w:left="130" w:right="125"/>
              <w:jc w:val="both"/>
            </w:pPr>
            <w:r w:rsidRPr="004137AA">
              <w:t>Manter na revenda de GLP documentos de outorga</w:t>
            </w:r>
          </w:p>
          <w:p w:rsidR="004137AA" w:rsidRPr="004137AA" w:rsidRDefault="004137AA" w:rsidP="00D94519">
            <w:pPr>
              <w:spacing w:before="120"/>
              <w:ind w:left="130" w:right="125"/>
              <w:jc w:val="both"/>
            </w:pPr>
            <w:r w:rsidRPr="004137AA">
              <w:t>XXV – Inciso I do Art. 26 da Resolução ANP nº 51/2016;</w:t>
            </w:r>
          </w:p>
          <w:p w:rsidR="004137AA" w:rsidRPr="004137AA" w:rsidRDefault="004137AA" w:rsidP="00D94519">
            <w:pPr>
              <w:spacing w:before="120"/>
              <w:ind w:left="130" w:right="125"/>
              <w:jc w:val="both"/>
            </w:pPr>
            <w:r w:rsidRPr="004137AA">
              <w:t>Preenchimento</w:t>
            </w:r>
            <w:proofErr w:type="gramStart"/>
            <w:r w:rsidRPr="004137AA">
              <w:t>, guarda</w:t>
            </w:r>
            <w:proofErr w:type="gramEnd"/>
            <w:r w:rsidRPr="004137AA">
              <w:t xml:space="preserve"> bienal e acompanhamento de </w:t>
            </w:r>
            <w:proofErr w:type="spellStart"/>
            <w:r w:rsidRPr="004137AA">
              <w:t>NFs</w:t>
            </w:r>
            <w:proofErr w:type="spellEnd"/>
            <w:r w:rsidRPr="004137AA">
              <w:t xml:space="preserve"> do Mapa de</w:t>
            </w:r>
            <w:r w:rsidR="00633703">
              <w:t xml:space="preserve"> </w:t>
            </w:r>
            <w:r w:rsidRPr="004137AA">
              <w:t>Controle de Movimento Mensal – MCMM</w:t>
            </w:r>
          </w:p>
          <w:p w:rsidR="004137AA" w:rsidRPr="004137AA" w:rsidRDefault="004137AA" w:rsidP="00D94519">
            <w:pPr>
              <w:spacing w:before="120"/>
              <w:ind w:left="130" w:right="125"/>
              <w:jc w:val="both"/>
            </w:pPr>
            <w:r w:rsidRPr="004137AA">
              <w:t>XXVI – Art. 3 da Portaria CNP/DIFIS nº 395/82.</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137AA" w:rsidRPr="00E40863" w:rsidRDefault="004137AA" w:rsidP="00E40863">
            <w:pPr>
              <w:ind w:left="130" w:right="125"/>
              <w:jc w:val="both"/>
            </w:pPr>
            <w:r w:rsidRPr="00E40863">
              <w:lastRenderedPageBreak/>
              <w:t>Inicialmente é importante destacar que a atual legislação de</w:t>
            </w:r>
          </w:p>
          <w:p w:rsidR="004137AA" w:rsidRPr="00E40863" w:rsidRDefault="004137AA" w:rsidP="00E40863">
            <w:pPr>
              <w:ind w:left="130" w:right="125"/>
              <w:jc w:val="both"/>
            </w:pPr>
            <w:proofErr w:type="gramStart"/>
            <w:r w:rsidRPr="00E40863">
              <w:t>medidas</w:t>
            </w:r>
            <w:proofErr w:type="gramEnd"/>
            <w:r w:rsidRPr="00E40863">
              <w:t xml:space="preserve"> cautelares acaba tratando todo e qualquer requisito</w:t>
            </w:r>
          </w:p>
          <w:p w:rsidR="004137AA" w:rsidRPr="00E40863" w:rsidRDefault="004137AA" w:rsidP="00E40863">
            <w:pPr>
              <w:ind w:left="130" w:right="125"/>
              <w:jc w:val="both"/>
            </w:pPr>
            <w:proofErr w:type="gramStart"/>
            <w:r w:rsidRPr="00E40863">
              <w:t>de</w:t>
            </w:r>
            <w:proofErr w:type="gramEnd"/>
            <w:r w:rsidRPr="00E40863">
              <w:t xml:space="preserve"> segurança em distribuidoras e revendas de GLP como</w:t>
            </w:r>
          </w:p>
          <w:p w:rsidR="004137AA" w:rsidRPr="00E40863" w:rsidRDefault="004137AA" w:rsidP="00E40863">
            <w:pPr>
              <w:ind w:left="130" w:right="125"/>
              <w:jc w:val="both"/>
            </w:pPr>
            <w:proofErr w:type="gramStart"/>
            <w:r w:rsidRPr="00E40863">
              <w:t>situação</w:t>
            </w:r>
            <w:proofErr w:type="gramEnd"/>
            <w:r w:rsidRPr="00E40863">
              <w:t xml:space="preserve"> de grave e iminente risco. E outras palavras, se </w:t>
            </w:r>
            <w:proofErr w:type="gramStart"/>
            <w:r w:rsidRPr="00E40863">
              <w:t>o</w:t>
            </w:r>
            <w:proofErr w:type="gramEnd"/>
          </w:p>
          <w:p w:rsidR="004137AA" w:rsidRPr="00E40863" w:rsidRDefault="004137AA" w:rsidP="00E40863">
            <w:pPr>
              <w:ind w:left="130" w:right="125"/>
              <w:jc w:val="both"/>
            </w:pPr>
            <w:proofErr w:type="gramStart"/>
            <w:r w:rsidRPr="00E40863">
              <w:t>perigo</w:t>
            </w:r>
            <w:proofErr w:type="gramEnd"/>
            <w:r w:rsidRPr="00E40863">
              <w:t xml:space="preserve"> se transformar em ocorrência, as consequências são</w:t>
            </w:r>
          </w:p>
          <w:p w:rsidR="004137AA" w:rsidRPr="00E40863" w:rsidRDefault="004137AA" w:rsidP="00E40863">
            <w:pPr>
              <w:ind w:left="130" w:right="125"/>
              <w:jc w:val="both"/>
            </w:pPr>
            <w:proofErr w:type="gramStart"/>
            <w:r w:rsidRPr="00E40863">
              <w:t>consideradas</w:t>
            </w:r>
            <w:proofErr w:type="gramEnd"/>
            <w:r w:rsidRPr="00E40863">
              <w:t xml:space="preserve"> graves e iminentes, determinando interdição do</w:t>
            </w:r>
          </w:p>
          <w:p w:rsidR="004137AA" w:rsidRPr="00E40863" w:rsidRDefault="004137AA" w:rsidP="00E40863">
            <w:pPr>
              <w:ind w:left="130" w:right="125"/>
              <w:jc w:val="both"/>
            </w:pPr>
            <w:proofErr w:type="gramStart"/>
            <w:r w:rsidRPr="00E40863">
              <w:t>local</w:t>
            </w:r>
            <w:proofErr w:type="gramEnd"/>
            <w:r w:rsidRPr="00E40863">
              <w:t xml:space="preserve"> e apreensão de bens.</w:t>
            </w:r>
          </w:p>
          <w:p w:rsidR="004137AA" w:rsidRPr="00E40863" w:rsidRDefault="004137AA" w:rsidP="00E40863">
            <w:pPr>
              <w:ind w:left="130" w:right="125"/>
              <w:jc w:val="both"/>
            </w:pPr>
            <w:r w:rsidRPr="00E40863">
              <w:t xml:space="preserve">É notório que o GLP é um produto inflamável, podendo </w:t>
            </w:r>
            <w:proofErr w:type="gramStart"/>
            <w:r w:rsidRPr="00E40863">
              <w:t>em</w:t>
            </w:r>
            <w:proofErr w:type="gramEnd"/>
          </w:p>
          <w:p w:rsidR="004137AA" w:rsidRPr="00E40863" w:rsidRDefault="004137AA" w:rsidP="00E40863">
            <w:pPr>
              <w:ind w:left="130" w:right="125"/>
              <w:jc w:val="both"/>
            </w:pPr>
            <w:proofErr w:type="gramStart"/>
            <w:r w:rsidRPr="00E40863">
              <w:t>determinadas</w:t>
            </w:r>
            <w:proofErr w:type="gramEnd"/>
            <w:r w:rsidRPr="00E40863">
              <w:t xml:space="preserve"> condições explodir</w:t>
            </w:r>
            <w:r w:rsidRPr="00E40863">
              <w:rPr>
                <w:vertAlign w:val="superscript"/>
              </w:rPr>
              <w:t>1</w:t>
            </w:r>
            <w:r w:rsidRPr="00E40863">
              <w:t>, o que muitas vezes</w:t>
            </w:r>
          </w:p>
          <w:p w:rsidR="004137AA" w:rsidRPr="00E40863" w:rsidRDefault="004137AA" w:rsidP="00E40863">
            <w:pPr>
              <w:ind w:left="130" w:right="125"/>
              <w:jc w:val="both"/>
            </w:pPr>
            <w:proofErr w:type="gramStart"/>
            <w:r w:rsidRPr="00E40863">
              <w:t>acabou</w:t>
            </w:r>
            <w:proofErr w:type="gramEnd"/>
            <w:r w:rsidRPr="00E40863">
              <w:t xml:space="preserve"> por resultar em ocorrências com consequências</w:t>
            </w:r>
          </w:p>
          <w:p w:rsidR="004137AA" w:rsidRPr="00E40863" w:rsidRDefault="004137AA" w:rsidP="00E40863">
            <w:pPr>
              <w:ind w:left="130" w:right="125"/>
              <w:jc w:val="both"/>
            </w:pPr>
            <w:proofErr w:type="gramStart"/>
            <w:r w:rsidRPr="00E40863">
              <w:t>graves</w:t>
            </w:r>
            <w:proofErr w:type="gramEnd"/>
            <w:r w:rsidRPr="00E40863">
              <w:t xml:space="preserve">. Contudo, análises de riscos não devem </w:t>
            </w:r>
            <w:proofErr w:type="gramStart"/>
            <w:r w:rsidRPr="00E40863">
              <w:t>avaliar</w:t>
            </w:r>
            <w:proofErr w:type="gramEnd"/>
          </w:p>
          <w:p w:rsidR="004137AA" w:rsidRPr="00E40863" w:rsidRDefault="004137AA" w:rsidP="00E40863">
            <w:pPr>
              <w:ind w:left="130" w:right="125"/>
              <w:jc w:val="both"/>
            </w:pPr>
            <w:proofErr w:type="gramStart"/>
            <w:r w:rsidRPr="00E40863">
              <w:t>exclusivamente</w:t>
            </w:r>
            <w:proofErr w:type="gramEnd"/>
            <w:r w:rsidRPr="00E40863">
              <w:t xml:space="preserve"> a gravidade das consequências para</w:t>
            </w:r>
          </w:p>
          <w:p w:rsidR="004137AA" w:rsidRPr="00E40863" w:rsidRDefault="004137AA" w:rsidP="00E40863">
            <w:pPr>
              <w:ind w:left="130" w:right="125"/>
              <w:jc w:val="both"/>
            </w:pPr>
            <w:proofErr w:type="gramStart"/>
            <w:r w:rsidRPr="00E40863">
              <w:t>determinar</w:t>
            </w:r>
            <w:proofErr w:type="gramEnd"/>
            <w:r w:rsidRPr="00E40863">
              <w:t xml:space="preserve"> o nível de ação de medidas preventivas ou</w:t>
            </w:r>
          </w:p>
          <w:p w:rsidR="004137AA" w:rsidRPr="00E40863" w:rsidRDefault="004137AA" w:rsidP="00E40863">
            <w:pPr>
              <w:ind w:left="130" w:right="125"/>
              <w:jc w:val="both"/>
            </w:pPr>
            <w:proofErr w:type="gramStart"/>
            <w:r w:rsidRPr="00E40863">
              <w:t>cautelares</w:t>
            </w:r>
            <w:proofErr w:type="gramEnd"/>
            <w:r w:rsidRPr="00E40863">
              <w:t>, devem também considerar a probabilidade do</w:t>
            </w:r>
          </w:p>
          <w:p w:rsidR="004137AA" w:rsidRPr="00E40863" w:rsidRDefault="004137AA" w:rsidP="00E40863">
            <w:pPr>
              <w:ind w:left="130" w:right="125"/>
              <w:jc w:val="both"/>
            </w:pPr>
            <w:proofErr w:type="gramStart"/>
            <w:r w:rsidRPr="00E40863">
              <w:lastRenderedPageBreak/>
              <w:t>perigo</w:t>
            </w:r>
            <w:proofErr w:type="gramEnd"/>
            <w:r w:rsidRPr="00E40863">
              <w:t xml:space="preserve"> se transformar em uma ocorrência considerando as</w:t>
            </w:r>
          </w:p>
          <w:p w:rsidR="00737691" w:rsidRDefault="004137AA" w:rsidP="00E40863">
            <w:pPr>
              <w:ind w:left="130" w:right="125"/>
              <w:jc w:val="both"/>
            </w:pPr>
            <w:proofErr w:type="gramStart"/>
            <w:r w:rsidRPr="00E40863">
              <w:t>proteções</w:t>
            </w:r>
            <w:proofErr w:type="gramEnd"/>
            <w:r w:rsidRPr="00E40863">
              <w:t xml:space="preserve"> existentes.</w:t>
            </w:r>
          </w:p>
          <w:p w:rsidR="00E40863" w:rsidRPr="00E40863" w:rsidRDefault="00E40863" w:rsidP="00E40863">
            <w:pPr>
              <w:ind w:left="130" w:right="125"/>
              <w:jc w:val="both"/>
            </w:pPr>
          </w:p>
          <w:p w:rsidR="004137AA" w:rsidRPr="00E40863" w:rsidRDefault="004137AA" w:rsidP="004137AA">
            <w:pPr>
              <w:autoSpaceDE w:val="0"/>
              <w:autoSpaceDN w:val="0"/>
              <w:adjustRightInd w:val="0"/>
              <w:jc w:val="both"/>
              <w:rPr>
                <w:i/>
              </w:rPr>
            </w:pPr>
            <w:proofErr w:type="gramStart"/>
            <w:r w:rsidRPr="00E40863">
              <w:rPr>
                <w:vertAlign w:val="superscript"/>
              </w:rPr>
              <w:t>1</w:t>
            </w:r>
            <w:proofErr w:type="gramEnd"/>
            <w:r w:rsidRPr="00E40863">
              <w:rPr>
                <w:vertAlign w:val="superscript"/>
              </w:rPr>
              <w:t xml:space="preserve"> </w:t>
            </w:r>
            <w:r w:rsidRPr="00E40863">
              <w:rPr>
                <w:i/>
              </w:rPr>
              <w:t>O GLP só explode quando em proporções de 1:9 com ar atmosférico e em confinamento de espaço, caso contrário quanto ao confinamento, ele é apenas inflamável.</w:t>
            </w:r>
          </w:p>
          <w:p w:rsidR="004137AA" w:rsidRPr="00E40863" w:rsidRDefault="004137AA" w:rsidP="00E40863">
            <w:pPr>
              <w:spacing w:before="120"/>
              <w:ind w:left="130" w:right="125"/>
              <w:jc w:val="both"/>
            </w:pPr>
          </w:p>
          <w:p w:rsidR="004137AA" w:rsidRPr="00E40863" w:rsidRDefault="004137AA" w:rsidP="00E40863">
            <w:pPr>
              <w:ind w:left="130" w:right="125"/>
              <w:jc w:val="both"/>
            </w:pPr>
            <w:r w:rsidRPr="00E40863">
              <w:t xml:space="preserve">Baseado nesta premissa, as presentes propostas </w:t>
            </w:r>
            <w:proofErr w:type="gramStart"/>
            <w:r w:rsidRPr="00E40863">
              <w:t>de</w:t>
            </w:r>
            <w:proofErr w:type="gramEnd"/>
          </w:p>
          <w:p w:rsidR="004137AA" w:rsidRPr="00E40863" w:rsidRDefault="004137AA" w:rsidP="00E40863">
            <w:pPr>
              <w:ind w:left="130" w:right="125"/>
              <w:jc w:val="both"/>
            </w:pPr>
            <w:proofErr w:type="gramStart"/>
            <w:r w:rsidRPr="00E40863">
              <w:t>alteração</w:t>
            </w:r>
            <w:proofErr w:type="gramEnd"/>
            <w:r w:rsidRPr="00E40863">
              <w:t xml:space="preserve"> fundamentam-se no Estudo Técnico anexo a esta</w:t>
            </w:r>
          </w:p>
          <w:p w:rsidR="004137AA" w:rsidRPr="00E40863" w:rsidRDefault="004137AA" w:rsidP="00E40863">
            <w:pPr>
              <w:ind w:left="130" w:right="125"/>
              <w:jc w:val="both"/>
            </w:pPr>
            <w:proofErr w:type="gramStart"/>
            <w:r w:rsidRPr="00E40863">
              <w:t>proposta</w:t>
            </w:r>
            <w:proofErr w:type="gramEnd"/>
            <w:r w:rsidRPr="00E40863">
              <w:t>, que avalia os riscos usando a metodologia do</w:t>
            </w:r>
          </w:p>
          <w:p w:rsidR="004137AA" w:rsidRPr="00E40863" w:rsidRDefault="004137AA" w:rsidP="00E40863">
            <w:pPr>
              <w:ind w:left="130" w:right="125"/>
              <w:jc w:val="both"/>
            </w:pPr>
            <w:r w:rsidRPr="00E40863">
              <w:t xml:space="preserve">FMEA – </w:t>
            </w:r>
            <w:proofErr w:type="spellStart"/>
            <w:r w:rsidRPr="00E40863">
              <w:t>Failure</w:t>
            </w:r>
            <w:proofErr w:type="spellEnd"/>
            <w:r w:rsidRPr="00E40863">
              <w:t xml:space="preserve"> </w:t>
            </w:r>
            <w:proofErr w:type="spellStart"/>
            <w:r w:rsidRPr="00E40863">
              <w:t>Mode</w:t>
            </w:r>
            <w:proofErr w:type="spellEnd"/>
            <w:r w:rsidRPr="00E40863">
              <w:t xml:space="preserve"> </w:t>
            </w:r>
            <w:proofErr w:type="spellStart"/>
            <w:r w:rsidRPr="00E40863">
              <w:t>and</w:t>
            </w:r>
            <w:proofErr w:type="spellEnd"/>
            <w:r w:rsidRPr="00E40863">
              <w:t xml:space="preserve"> </w:t>
            </w:r>
            <w:proofErr w:type="spellStart"/>
            <w:r w:rsidRPr="00E40863">
              <w:t>Effect</w:t>
            </w:r>
            <w:proofErr w:type="spellEnd"/>
            <w:r w:rsidRPr="00E40863">
              <w:t xml:space="preserve"> </w:t>
            </w:r>
            <w:proofErr w:type="spellStart"/>
            <w:r w:rsidRPr="00E40863">
              <w:t>Analisys</w:t>
            </w:r>
            <w:proofErr w:type="spellEnd"/>
            <w:r w:rsidRPr="00E40863">
              <w:t>, em tradução livre,</w:t>
            </w:r>
          </w:p>
          <w:p w:rsidR="004137AA" w:rsidRPr="00E40863" w:rsidRDefault="004137AA" w:rsidP="00E40863">
            <w:pPr>
              <w:ind w:left="130" w:right="125"/>
              <w:jc w:val="both"/>
            </w:pPr>
            <w:r w:rsidRPr="00E40863">
              <w:t xml:space="preserve">Análise do modo de falhas e efeitos, e também a </w:t>
            </w:r>
            <w:proofErr w:type="gramStart"/>
            <w:r w:rsidRPr="00E40863">
              <w:t>metodologia</w:t>
            </w:r>
            <w:proofErr w:type="gramEnd"/>
          </w:p>
          <w:p w:rsidR="004137AA" w:rsidRPr="00E40863" w:rsidRDefault="004137AA" w:rsidP="00E40863">
            <w:pPr>
              <w:ind w:left="130" w:right="125"/>
              <w:jc w:val="both"/>
            </w:pPr>
            <w:proofErr w:type="gramStart"/>
            <w:r w:rsidRPr="00E40863">
              <w:t>de</w:t>
            </w:r>
            <w:proofErr w:type="gramEnd"/>
            <w:r w:rsidRPr="00E40863">
              <w:t xml:space="preserve"> avaliação de riscos do </w:t>
            </w:r>
            <w:proofErr w:type="spellStart"/>
            <w:r w:rsidRPr="00E40863">
              <w:t>British</w:t>
            </w:r>
            <w:proofErr w:type="spellEnd"/>
            <w:r w:rsidRPr="00E40863">
              <w:t xml:space="preserve"> Standard 8800/2004 -</w:t>
            </w:r>
          </w:p>
          <w:p w:rsidR="004137AA" w:rsidRPr="00BB54A7" w:rsidRDefault="004137AA" w:rsidP="00E40863">
            <w:pPr>
              <w:ind w:left="130" w:right="125"/>
              <w:jc w:val="both"/>
              <w:rPr>
                <w:lang w:val="en-US"/>
              </w:rPr>
            </w:pPr>
            <w:r w:rsidRPr="00BB54A7">
              <w:rPr>
                <w:lang w:val="en-US"/>
              </w:rPr>
              <w:t>Occupational health and Safety management systems –</w:t>
            </w:r>
          </w:p>
          <w:p w:rsidR="004137AA" w:rsidRPr="00E40863" w:rsidRDefault="004137AA" w:rsidP="00E40863">
            <w:pPr>
              <w:ind w:left="130" w:right="125"/>
              <w:jc w:val="both"/>
            </w:pPr>
            <w:proofErr w:type="spellStart"/>
            <w:r w:rsidRPr="00E40863">
              <w:t>Guide</w:t>
            </w:r>
            <w:proofErr w:type="spellEnd"/>
            <w:r w:rsidRPr="00E40863">
              <w:t xml:space="preserve">, em tradução livre, Sistemas de Gestão de Saúde </w:t>
            </w:r>
            <w:proofErr w:type="gramStart"/>
            <w:r w:rsidRPr="00E40863">
              <w:t>e</w:t>
            </w:r>
            <w:proofErr w:type="gramEnd"/>
          </w:p>
          <w:p w:rsidR="004137AA" w:rsidRPr="00E40863" w:rsidRDefault="004137AA" w:rsidP="00E40863">
            <w:pPr>
              <w:ind w:left="130" w:right="125"/>
              <w:jc w:val="both"/>
            </w:pPr>
            <w:r w:rsidRPr="00E40863">
              <w:t>Segurança Ocupacional – Guia.</w:t>
            </w:r>
          </w:p>
          <w:p w:rsidR="004137AA" w:rsidRPr="00E40863" w:rsidRDefault="004137AA" w:rsidP="00E40863">
            <w:pPr>
              <w:ind w:left="130" w:right="125"/>
              <w:jc w:val="both"/>
            </w:pPr>
            <w:r w:rsidRPr="00E40863">
              <w:t>Estas duas metodologias juntas avaliam o risco considerando</w:t>
            </w:r>
          </w:p>
          <w:p w:rsidR="004137AA" w:rsidRPr="00E40863" w:rsidRDefault="004137AA" w:rsidP="00E40863">
            <w:pPr>
              <w:ind w:left="130" w:right="125"/>
              <w:jc w:val="both"/>
            </w:pPr>
            <w:proofErr w:type="gramStart"/>
            <w:r w:rsidRPr="00E40863">
              <w:t>a</w:t>
            </w:r>
            <w:proofErr w:type="gramEnd"/>
            <w:r w:rsidRPr="00E40863">
              <w:t xml:space="preserve"> probabilidade e consequência, classificando os riscos em</w:t>
            </w:r>
          </w:p>
          <w:p w:rsidR="004137AA" w:rsidRPr="00E40863" w:rsidRDefault="004137AA" w:rsidP="00E40863">
            <w:pPr>
              <w:ind w:left="130" w:right="125"/>
              <w:jc w:val="both"/>
            </w:pPr>
            <w:r w:rsidRPr="00E40863">
              <w:t xml:space="preserve">Intolerável, Substancial, Moderado, Tolerável e Trivial, </w:t>
            </w:r>
            <w:proofErr w:type="gramStart"/>
            <w:r w:rsidRPr="00E40863">
              <w:t>e</w:t>
            </w:r>
            <w:proofErr w:type="gramEnd"/>
          </w:p>
          <w:p w:rsidR="004137AA" w:rsidRPr="00E40863" w:rsidRDefault="004137AA" w:rsidP="00E40863">
            <w:pPr>
              <w:ind w:left="130" w:right="125"/>
              <w:jc w:val="both"/>
            </w:pPr>
            <w:proofErr w:type="gramStart"/>
            <w:r w:rsidRPr="00E40863">
              <w:t>também</w:t>
            </w:r>
            <w:proofErr w:type="gramEnd"/>
            <w:r w:rsidRPr="00E40863">
              <w:t xml:space="preserve"> dá diretrizes para o nível de ação para cada um</w:t>
            </w:r>
          </w:p>
          <w:p w:rsidR="004137AA" w:rsidRPr="00E40863" w:rsidRDefault="004137AA" w:rsidP="00E40863">
            <w:pPr>
              <w:ind w:left="130" w:right="125"/>
              <w:jc w:val="both"/>
            </w:pPr>
            <w:proofErr w:type="gramStart"/>
            <w:r w:rsidRPr="00E40863">
              <w:t>destes</w:t>
            </w:r>
            <w:proofErr w:type="gramEnd"/>
            <w:r w:rsidRPr="00E40863">
              <w:t xml:space="preserve"> riscos.</w:t>
            </w:r>
          </w:p>
          <w:p w:rsidR="004137AA" w:rsidRPr="00E40863" w:rsidRDefault="004137AA" w:rsidP="00E40863">
            <w:pPr>
              <w:ind w:left="130" w:right="125"/>
              <w:jc w:val="both"/>
            </w:pPr>
            <w:r w:rsidRPr="00E40863">
              <w:t>No que tange à probabilidade de ocorrências de incêndio ou</w:t>
            </w:r>
          </w:p>
          <w:p w:rsidR="004137AA" w:rsidRPr="00E40863" w:rsidRDefault="004137AA" w:rsidP="00E40863">
            <w:pPr>
              <w:ind w:left="130" w:right="125"/>
              <w:jc w:val="both"/>
            </w:pPr>
            <w:proofErr w:type="gramStart"/>
            <w:r w:rsidRPr="00E40863">
              <w:t>explosão</w:t>
            </w:r>
            <w:proofErr w:type="gramEnd"/>
            <w:r w:rsidRPr="00E40863">
              <w:t xml:space="preserve"> com GLP em revendas e distribuidoras de GLP, há</w:t>
            </w:r>
          </w:p>
          <w:p w:rsidR="004137AA" w:rsidRPr="00E40863" w:rsidRDefault="004137AA" w:rsidP="00E40863">
            <w:pPr>
              <w:ind w:left="130" w:right="125"/>
              <w:jc w:val="both"/>
            </w:pPr>
            <w:proofErr w:type="gramStart"/>
            <w:r w:rsidRPr="00E40863">
              <w:t>de</w:t>
            </w:r>
            <w:proofErr w:type="gramEnd"/>
            <w:r w:rsidRPr="00E40863">
              <w:t xml:space="preserve"> se considerar que:</w:t>
            </w:r>
          </w:p>
          <w:p w:rsidR="004137AA" w:rsidRPr="00E40863" w:rsidRDefault="004137AA" w:rsidP="00E40863">
            <w:pPr>
              <w:ind w:left="130" w:right="125"/>
              <w:jc w:val="both"/>
            </w:pPr>
            <w:r w:rsidRPr="00E40863">
              <w:t>• Vazamentos de GLP precisam alcançar, no mínimo,</w:t>
            </w:r>
          </w:p>
          <w:p w:rsidR="004137AA" w:rsidRPr="00E40863" w:rsidRDefault="004137AA" w:rsidP="00E40863">
            <w:pPr>
              <w:ind w:left="130" w:right="125"/>
              <w:jc w:val="both"/>
            </w:pPr>
            <w:r w:rsidRPr="00E40863">
              <w:t xml:space="preserve">1,86% do volume do ambiente para, na presença de </w:t>
            </w:r>
            <w:proofErr w:type="gramStart"/>
            <w:r w:rsidRPr="00E40863">
              <w:t>uma</w:t>
            </w:r>
            <w:proofErr w:type="gramEnd"/>
          </w:p>
          <w:p w:rsidR="004137AA" w:rsidRPr="00E40863" w:rsidRDefault="004137AA" w:rsidP="00E40863">
            <w:pPr>
              <w:ind w:left="130" w:right="125"/>
              <w:jc w:val="both"/>
            </w:pPr>
            <w:proofErr w:type="gramStart"/>
            <w:r w:rsidRPr="00E40863">
              <w:t>fonte</w:t>
            </w:r>
            <w:proofErr w:type="gramEnd"/>
            <w:r w:rsidRPr="00E40863">
              <w:t xml:space="preserve"> de ignição, iniciar um incêndio ou causar uma</w:t>
            </w:r>
          </w:p>
          <w:p w:rsidR="004137AA" w:rsidRPr="00E40863" w:rsidRDefault="004137AA" w:rsidP="00E40863">
            <w:pPr>
              <w:ind w:left="130" w:right="125"/>
              <w:jc w:val="both"/>
            </w:pPr>
            <w:proofErr w:type="gramStart"/>
            <w:r w:rsidRPr="00E40863">
              <w:t>explosão</w:t>
            </w:r>
            <w:proofErr w:type="gramEnd"/>
            <w:r w:rsidRPr="00E40863">
              <w:t>;</w:t>
            </w:r>
          </w:p>
          <w:p w:rsidR="004137AA" w:rsidRPr="00E40863" w:rsidRDefault="004137AA" w:rsidP="00E40863">
            <w:pPr>
              <w:ind w:left="130" w:right="125"/>
              <w:jc w:val="both"/>
            </w:pPr>
            <w:r w:rsidRPr="00E40863">
              <w:t xml:space="preserve">• Vazamentos de GLP, em geral, tem vazão média de </w:t>
            </w:r>
            <w:proofErr w:type="gramStart"/>
            <w:r w:rsidRPr="00E40863">
              <w:t>5</w:t>
            </w:r>
            <w:proofErr w:type="gramEnd"/>
          </w:p>
          <w:p w:rsidR="004137AA" w:rsidRPr="00E40863" w:rsidRDefault="004137AA" w:rsidP="00E40863">
            <w:pPr>
              <w:ind w:left="130" w:right="125"/>
              <w:jc w:val="both"/>
            </w:pPr>
            <w:r w:rsidRPr="00E40863">
              <w:t xml:space="preserve">(cinco) gramas por hora, levando um tempo </w:t>
            </w:r>
            <w:proofErr w:type="gramStart"/>
            <w:r w:rsidRPr="00E40863">
              <w:t>considerável</w:t>
            </w:r>
            <w:proofErr w:type="gramEnd"/>
          </w:p>
          <w:p w:rsidR="004137AA" w:rsidRPr="00E40863" w:rsidRDefault="004137AA" w:rsidP="00E40863">
            <w:pPr>
              <w:ind w:left="130" w:right="125"/>
              <w:jc w:val="both"/>
            </w:pPr>
            <w:proofErr w:type="gramStart"/>
            <w:r w:rsidRPr="00E40863">
              <w:t>para</w:t>
            </w:r>
            <w:proofErr w:type="gramEnd"/>
            <w:r w:rsidRPr="00E40863">
              <w:t xml:space="preserve"> alcançar o limite inferior de </w:t>
            </w:r>
            <w:proofErr w:type="spellStart"/>
            <w:r w:rsidRPr="00E40863">
              <w:t>explosividade</w:t>
            </w:r>
            <w:proofErr w:type="spellEnd"/>
            <w:r w:rsidRPr="00E40863">
              <w:t xml:space="preserve"> (ver</w:t>
            </w:r>
          </w:p>
          <w:p w:rsidR="004137AA" w:rsidRPr="00E40863" w:rsidRDefault="004137AA" w:rsidP="00E40863">
            <w:pPr>
              <w:ind w:left="130" w:right="125"/>
              <w:jc w:val="both"/>
            </w:pPr>
            <w:proofErr w:type="gramStart"/>
            <w:r w:rsidRPr="00E40863">
              <w:t>exemplo</w:t>
            </w:r>
            <w:proofErr w:type="gramEnd"/>
            <w:r w:rsidRPr="00E40863">
              <w:t xml:space="preserve"> no Estudo Técnico);</w:t>
            </w:r>
          </w:p>
          <w:p w:rsidR="004137AA" w:rsidRPr="00E40863" w:rsidRDefault="004137AA" w:rsidP="00E40863">
            <w:pPr>
              <w:ind w:left="130" w:right="125"/>
              <w:jc w:val="both"/>
            </w:pPr>
            <w:r w:rsidRPr="00E40863">
              <w:t xml:space="preserve">• Estudos </w:t>
            </w:r>
            <w:proofErr w:type="gramStart"/>
            <w:r w:rsidRPr="00E40863">
              <w:t xml:space="preserve">feitos pela Wilbur </w:t>
            </w:r>
            <w:proofErr w:type="spellStart"/>
            <w:r w:rsidRPr="00E40863">
              <w:t>Walls</w:t>
            </w:r>
            <w:proofErr w:type="spellEnd"/>
            <w:r w:rsidRPr="00E40863">
              <w:t xml:space="preserve"> e publicado na norma</w:t>
            </w:r>
            <w:proofErr w:type="gramEnd"/>
          </w:p>
          <w:p w:rsidR="004137AA" w:rsidRPr="00E40863" w:rsidRDefault="004137AA" w:rsidP="00E40863">
            <w:pPr>
              <w:ind w:left="130" w:right="125"/>
              <w:jc w:val="both"/>
            </w:pPr>
            <w:proofErr w:type="gramStart"/>
            <w:r w:rsidRPr="00E40863">
              <w:t>americana</w:t>
            </w:r>
            <w:proofErr w:type="gramEnd"/>
            <w:r w:rsidRPr="00E40863">
              <w:t xml:space="preserve"> NFPA 58, preveem que a uma distância de</w:t>
            </w:r>
          </w:p>
          <w:p w:rsidR="004137AA" w:rsidRPr="00E40863" w:rsidRDefault="004137AA" w:rsidP="00E40863">
            <w:pPr>
              <w:ind w:left="130" w:right="125"/>
              <w:jc w:val="both"/>
            </w:pPr>
            <w:r w:rsidRPr="00E40863">
              <w:t>3,0m da fonte de um vazamento de GLP causado pelo</w:t>
            </w:r>
          </w:p>
          <w:p w:rsidR="004137AA" w:rsidRPr="00E40863" w:rsidRDefault="004137AA" w:rsidP="00E40863">
            <w:pPr>
              <w:ind w:left="130" w:right="125"/>
              <w:jc w:val="both"/>
            </w:pPr>
            <w:proofErr w:type="gramStart"/>
            <w:r w:rsidRPr="00E40863">
              <w:t>indicador</w:t>
            </w:r>
            <w:proofErr w:type="gramEnd"/>
            <w:r w:rsidRPr="00E40863">
              <w:t xml:space="preserve"> de nível máximo de um P190 (alta pressão), é</w:t>
            </w:r>
          </w:p>
          <w:p w:rsidR="004137AA" w:rsidRPr="00E40863" w:rsidRDefault="004137AA" w:rsidP="00E40863">
            <w:pPr>
              <w:ind w:left="130" w:right="125"/>
              <w:jc w:val="both"/>
            </w:pPr>
            <w:proofErr w:type="gramStart"/>
            <w:r w:rsidRPr="00E40863">
              <w:t>de</w:t>
            </w:r>
            <w:proofErr w:type="gramEnd"/>
            <w:r w:rsidRPr="00E40863">
              <w:t xml:space="preserve"> 20% do Limite Inferior de </w:t>
            </w:r>
            <w:proofErr w:type="spellStart"/>
            <w:r w:rsidRPr="00E40863">
              <w:t>Explosividade</w:t>
            </w:r>
            <w:proofErr w:type="spellEnd"/>
            <w:r w:rsidRPr="00E40863">
              <w:t xml:space="preserve"> – LIE, o que os</w:t>
            </w:r>
          </w:p>
          <w:p w:rsidR="004137AA" w:rsidRPr="00E40863" w:rsidRDefault="004137AA" w:rsidP="00E40863">
            <w:pPr>
              <w:ind w:left="130" w:right="125"/>
              <w:jc w:val="both"/>
            </w:pPr>
            <w:proofErr w:type="spellStart"/>
            <w:proofErr w:type="gramStart"/>
            <w:r w:rsidRPr="00E40863">
              <w:t>prevencionistas</w:t>
            </w:r>
            <w:proofErr w:type="spellEnd"/>
            <w:proofErr w:type="gramEnd"/>
            <w:r w:rsidRPr="00E40863">
              <w:t xml:space="preserve"> consideram como limite seguro, já a</w:t>
            </w:r>
          </w:p>
          <w:p w:rsidR="004137AA" w:rsidRPr="00E40863" w:rsidRDefault="004137AA" w:rsidP="00E40863">
            <w:pPr>
              <w:ind w:left="130" w:right="125"/>
              <w:jc w:val="both"/>
            </w:pPr>
            <w:proofErr w:type="gramStart"/>
            <w:r w:rsidRPr="00E40863">
              <w:t>distância</w:t>
            </w:r>
            <w:proofErr w:type="gramEnd"/>
            <w:r w:rsidRPr="00E40863">
              <w:t xml:space="preserve"> de 7,5m a concentração de GLP é nula (ver</w:t>
            </w:r>
          </w:p>
          <w:p w:rsidR="004137AA" w:rsidRPr="00E40863" w:rsidRDefault="004137AA" w:rsidP="00E40863">
            <w:pPr>
              <w:ind w:left="130" w:right="125"/>
              <w:jc w:val="both"/>
            </w:pPr>
            <w:proofErr w:type="gramStart"/>
            <w:r w:rsidRPr="00E40863">
              <w:t>dados</w:t>
            </w:r>
            <w:proofErr w:type="gramEnd"/>
            <w:r w:rsidRPr="00E40863">
              <w:t xml:space="preserve"> completos no Estudo Técnico);</w:t>
            </w:r>
          </w:p>
          <w:p w:rsidR="004137AA" w:rsidRPr="00E40863" w:rsidRDefault="004137AA" w:rsidP="00E40863">
            <w:pPr>
              <w:ind w:left="130" w:right="125"/>
              <w:jc w:val="both"/>
            </w:pPr>
            <w:r w:rsidRPr="00E40863">
              <w:t>• A eficiência na verificação de vazamentos nas bases de</w:t>
            </w:r>
          </w:p>
          <w:p w:rsidR="004137AA" w:rsidRPr="00E40863" w:rsidRDefault="004137AA" w:rsidP="00E40863">
            <w:pPr>
              <w:ind w:left="130" w:right="125"/>
              <w:jc w:val="both"/>
            </w:pPr>
            <w:proofErr w:type="gramStart"/>
            <w:r w:rsidRPr="00E40863">
              <w:lastRenderedPageBreak/>
              <w:t>engarrafamento</w:t>
            </w:r>
            <w:proofErr w:type="gramEnd"/>
            <w:r w:rsidRPr="00E40863">
              <w:t xml:space="preserve"> é de 99,5%, ou seja, somente 0,5% dos</w:t>
            </w:r>
          </w:p>
          <w:p w:rsidR="004137AA" w:rsidRPr="00E40863" w:rsidRDefault="004137AA" w:rsidP="00E40863">
            <w:pPr>
              <w:ind w:left="130" w:right="125"/>
              <w:jc w:val="both"/>
            </w:pPr>
            <w:proofErr w:type="gramStart"/>
            <w:r w:rsidRPr="00E40863">
              <w:t>recipientes</w:t>
            </w:r>
            <w:proofErr w:type="gramEnd"/>
            <w:r w:rsidRPr="00E40863">
              <w:t xml:space="preserve"> transportáveis de GLP chegam às revendas</w:t>
            </w:r>
          </w:p>
          <w:p w:rsidR="004137AA" w:rsidRPr="00E40863" w:rsidRDefault="004137AA" w:rsidP="00E40863">
            <w:pPr>
              <w:ind w:left="130" w:right="125"/>
              <w:jc w:val="both"/>
            </w:pPr>
            <w:proofErr w:type="gramStart"/>
            <w:r w:rsidRPr="00E40863">
              <w:t>com</w:t>
            </w:r>
            <w:proofErr w:type="gramEnd"/>
            <w:r w:rsidRPr="00E40863">
              <w:t xml:space="preserve"> vazamento, em sua maioria, microvazamentos com</w:t>
            </w:r>
          </w:p>
          <w:p w:rsidR="004137AA" w:rsidRPr="00E40863" w:rsidRDefault="004137AA" w:rsidP="00E40863">
            <w:pPr>
              <w:ind w:left="130" w:right="125"/>
              <w:jc w:val="both"/>
            </w:pPr>
            <w:proofErr w:type="gramStart"/>
            <w:r w:rsidRPr="00E40863">
              <w:t>vazão</w:t>
            </w:r>
            <w:proofErr w:type="gramEnd"/>
            <w:r w:rsidRPr="00E40863">
              <w:t xml:space="preserve"> da ordem de 5g/h, como já citado;</w:t>
            </w:r>
          </w:p>
          <w:p w:rsidR="004137AA" w:rsidRPr="00E40863" w:rsidRDefault="004137AA" w:rsidP="00E40863">
            <w:pPr>
              <w:ind w:left="130" w:right="125"/>
              <w:jc w:val="both"/>
            </w:pPr>
          </w:p>
          <w:p w:rsidR="004137AA" w:rsidRPr="00E40863" w:rsidRDefault="004137AA" w:rsidP="00E40863">
            <w:pPr>
              <w:ind w:left="130" w:right="125"/>
              <w:jc w:val="both"/>
            </w:pPr>
            <w:r w:rsidRPr="00E40863">
              <w:t xml:space="preserve">• Segundo estes dados, cerca de 30% das revendas </w:t>
            </w:r>
            <w:proofErr w:type="gramStart"/>
            <w:r w:rsidRPr="00E40863">
              <w:t>do</w:t>
            </w:r>
            <w:proofErr w:type="gramEnd"/>
          </w:p>
          <w:p w:rsidR="004137AA" w:rsidRPr="00E40863" w:rsidRDefault="004137AA" w:rsidP="00E40863">
            <w:pPr>
              <w:ind w:left="130" w:right="125"/>
              <w:jc w:val="both"/>
            </w:pPr>
            <w:r w:rsidRPr="00E40863">
              <w:t>Brasil (revendas classe I)</w:t>
            </w:r>
            <w:proofErr w:type="gramStart"/>
            <w:r w:rsidRPr="00E40863">
              <w:t>, recebem</w:t>
            </w:r>
            <w:proofErr w:type="gramEnd"/>
            <w:r w:rsidRPr="00E40863">
              <w:t>, na média estatística,</w:t>
            </w:r>
          </w:p>
          <w:p w:rsidR="004137AA" w:rsidRPr="00E40863" w:rsidRDefault="004137AA" w:rsidP="00E40863">
            <w:pPr>
              <w:ind w:left="130" w:right="125"/>
              <w:jc w:val="both"/>
            </w:pPr>
            <w:proofErr w:type="gramStart"/>
            <w:r w:rsidRPr="00E40863">
              <w:t>1</w:t>
            </w:r>
            <w:proofErr w:type="gramEnd"/>
            <w:r w:rsidRPr="00E40863">
              <w:t xml:space="preserve"> botijão a cada 5 pedidos completos, 37% das revendas</w:t>
            </w:r>
          </w:p>
          <w:p w:rsidR="004137AA" w:rsidRPr="00E40863" w:rsidRDefault="004137AA" w:rsidP="00E40863">
            <w:pPr>
              <w:ind w:left="130" w:right="125"/>
              <w:jc w:val="both"/>
            </w:pPr>
            <w:proofErr w:type="gramStart"/>
            <w:r w:rsidRPr="00E40863">
              <w:t>do</w:t>
            </w:r>
            <w:proofErr w:type="gramEnd"/>
            <w:r w:rsidRPr="00E40863">
              <w:t xml:space="preserve"> Brasil são classe II, estas recebem, em média, 1 botijão</w:t>
            </w:r>
          </w:p>
          <w:p w:rsidR="004137AA" w:rsidRPr="00E40863" w:rsidRDefault="004137AA" w:rsidP="00E40863">
            <w:pPr>
              <w:ind w:left="130" w:right="125"/>
              <w:jc w:val="both"/>
            </w:pPr>
            <w:proofErr w:type="gramStart"/>
            <w:r w:rsidRPr="00E40863">
              <w:t>com</w:t>
            </w:r>
            <w:proofErr w:type="gramEnd"/>
            <w:r w:rsidRPr="00E40863">
              <w:t xml:space="preserve"> vazamento a cada 2 pedidos; e</w:t>
            </w:r>
          </w:p>
          <w:p w:rsidR="004137AA" w:rsidRPr="00E40863" w:rsidRDefault="004137AA" w:rsidP="00E40863">
            <w:pPr>
              <w:ind w:left="130" w:right="125"/>
              <w:jc w:val="both"/>
            </w:pPr>
            <w:r w:rsidRPr="00E40863">
              <w:t>• A frequência de ocorrências também é um fator</w:t>
            </w:r>
          </w:p>
          <w:p w:rsidR="004137AA" w:rsidRPr="00E40863" w:rsidRDefault="004137AA" w:rsidP="00E40863">
            <w:pPr>
              <w:ind w:left="130" w:right="125"/>
              <w:jc w:val="both"/>
            </w:pPr>
            <w:proofErr w:type="gramStart"/>
            <w:r w:rsidRPr="00E40863">
              <w:t>importante</w:t>
            </w:r>
            <w:proofErr w:type="gramEnd"/>
            <w:r w:rsidRPr="00E40863">
              <w:t xml:space="preserve"> a ser considerado no momento de definir</w:t>
            </w:r>
          </w:p>
          <w:p w:rsidR="004137AA" w:rsidRPr="00E40863" w:rsidRDefault="004137AA" w:rsidP="00E40863">
            <w:pPr>
              <w:ind w:left="130" w:right="125"/>
              <w:jc w:val="both"/>
            </w:pPr>
            <w:proofErr w:type="gramStart"/>
            <w:r w:rsidRPr="00E40863">
              <w:t>probabilidade</w:t>
            </w:r>
            <w:proofErr w:type="gramEnd"/>
            <w:r w:rsidRPr="00E40863">
              <w:t xml:space="preserve"> de riscos. O Corpo de Bombeiros do Estado</w:t>
            </w:r>
          </w:p>
          <w:p w:rsidR="004137AA" w:rsidRPr="00E40863" w:rsidRDefault="004137AA" w:rsidP="00E40863">
            <w:pPr>
              <w:ind w:left="130" w:right="125"/>
              <w:jc w:val="both"/>
            </w:pPr>
            <w:proofErr w:type="gramStart"/>
            <w:r w:rsidRPr="00E40863">
              <w:t>de</w:t>
            </w:r>
            <w:proofErr w:type="gramEnd"/>
            <w:r w:rsidRPr="00E40863">
              <w:t xml:space="preserve"> São Paulo, que abriga 17% das revendas do Brasil,</w:t>
            </w:r>
          </w:p>
          <w:p w:rsidR="004137AA" w:rsidRPr="00E40863" w:rsidRDefault="004137AA" w:rsidP="00D94519">
            <w:pPr>
              <w:ind w:left="130" w:right="125"/>
              <w:jc w:val="both"/>
            </w:pPr>
            <w:proofErr w:type="gramStart"/>
            <w:r w:rsidRPr="00E40863">
              <w:t>informou</w:t>
            </w:r>
            <w:proofErr w:type="gramEnd"/>
            <w:r w:rsidRPr="00E40863">
              <w:t xml:space="preserve"> através de resposta a solicitação de</w:t>
            </w:r>
          </w:p>
          <w:p w:rsidR="004137AA" w:rsidRPr="00E40863" w:rsidRDefault="004137AA" w:rsidP="00D94519">
            <w:pPr>
              <w:ind w:left="130" w:right="125"/>
              <w:jc w:val="both"/>
            </w:pPr>
            <w:proofErr w:type="gramStart"/>
            <w:r w:rsidRPr="00E40863">
              <w:t>informações</w:t>
            </w:r>
            <w:proofErr w:type="gramEnd"/>
            <w:r w:rsidRPr="00E40863">
              <w:t>, que não há ocorrência de incêndios em</w:t>
            </w:r>
          </w:p>
          <w:p w:rsidR="004137AA" w:rsidRPr="00E40863" w:rsidRDefault="004137AA" w:rsidP="00D94519">
            <w:pPr>
              <w:ind w:left="130" w:right="125"/>
              <w:jc w:val="both"/>
            </w:pPr>
            <w:r w:rsidRPr="00E40863">
              <w:t xml:space="preserve">Revendas de GLP, pelo menos, desde o ano de 2014, </w:t>
            </w:r>
            <w:proofErr w:type="gramStart"/>
            <w:r w:rsidRPr="00E40863">
              <w:t>isto</w:t>
            </w:r>
            <w:proofErr w:type="gramEnd"/>
          </w:p>
          <w:p w:rsidR="004137AA" w:rsidRPr="00E40863" w:rsidRDefault="004137AA" w:rsidP="00D94519">
            <w:pPr>
              <w:ind w:left="130" w:right="125"/>
              <w:jc w:val="both"/>
            </w:pPr>
            <w:proofErr w:type="gramStart"/>
            <w:r w:rsidRPr="00E40863">
              <w:t>também</w:t>
            </w:r>
            <w:proofErr w:type="gramEnd"/>
            <w:r w:rsidRPr="00E40863">
              <w:t xml:space="preserve"> é fato para Distribuidoras de GLP.</w:t>
            </w:r>
          </w:p>
          <w:p w:rsidR="004137AA" w:rsidRPr="00E40863" w:rsidRDefault="004137AA" w:rsidP="00D94519">
            <w:pPr>
              <w:ind w:left="130" w:right="125"/>
              <w:jc w:val="both"/>
            </w:pPr>
            <w:r w:rsidRPr="00E40863">
              <w:t>O Estudo Técnico apresentado anexo</w:t>
            </w:r>
            <w:r w:rsidRPr="00404B24">
              <w:rPr>
                <w:vertAlign w:val="superscript"/>
              </w:rPr>
              <w:t>2</w:t>
            </w:r>
            <w:r w:rsidRPr="00E40863">
              <w:t xml:space="preserve"> a esta proposta avalia</w:t>
            </w:r>
          </w:p>
          <w:p w:rsidR="004137AA" w:rsidRPr="00E40863" w:rsidRDefault="004137AA" w:rsidP="00D94519">
            <w:pPr>
              <w:ind w:left="130" w:right="125"/>
              <w:jc w:val="both"/>
            </w:pPr>
            <w:proofErr w:type="gramStart"/>
            <w:r w:rsidRPr="00E40863">
              <w:t>os</w:t>
            </w:r>
            <w:proofErr w:type="gramEnd"/>
            <w:r w:rsidRPr="00E40863">
              <w:t xml:space="preserve"> riscos que os requisitos da legislação se propõem a</w:t>
            </w:r>
          </w:p>
          <w:p w:rsidR="004137AA" w:rsidRPr="00E40863" w:rsidRDefault="004137AA" w:rsidP="00D94519">
            <w:pPr>
              <w:ind w:left="130" w:right="125"/>
              <w:jc w:val="both"/>
            </w:pPr>
            <w:proofErr w:type="gramStart"/>
            <w:r w:rsidRPr="00E40863">
              <w:t>prevenir</w:t>
            </w:r>
            <w:proofErr w:type="gramEnd"/>
            <w:r w:rsidRPr="00E40863">
              <w:t>, e sugere níveis de ação. Riscos intoleráveis e</w:t>
            </w:r>
          </w:p>
          <w:p w:rsidR="004137AA" w:rsidRPr="00E40863" w:rsidRDefault="004137AA" w:rsidP="00D94519">
            <w:pPr>
              <w:ind w:left="130" w:right="125"/>
              <w:jc w:val="both"/>
            </w:pPr>
            <w:proofErr w:type="gramStart"/>
            <w:r w:rsidRPr="00E40863">
              <w:t>substanciais</w:t>
            </w:r>
            <w:proofErr w:type="gramEnd"/>
            <w:r w:rsidRPr="00E40863">
              <w:t>, como demonstra o Estudo técnico, merecem</w:t>
            </w:r>
          </w:p>
          <w:p w:rsidR="004137AA" w:rsidRPr="00E40863" w:rsidRDefault="004137AA" w:rsidP="00D94519">
            <w:pPr>
              <w:ind w:left="130" w:right="125"/>
              <w:jc w:val="both"/>
            </w:pPr>
            <w:proofErr w:type="gramStart"/>
            <w:r w:rsidRPr="00E40863">
              <w:t>uma</w:t>
            </w:r>
            <w:proofErr w:type="gramEnd"/>
            <w:r w:rsidRPr="00E40863">
              <w:t xml:space="preserve"> intervenção para interdição e apreensão de bens, porém</w:t>
            </w:r>
          </w:p>
          <w:p w:rsidR="004137AA" w:rsidRPr="00E40863" w:rsidRDefault="004137AA" w:rsidP="00D94519">
            <w:pPr>
              <w:ind w:left="130" w:right="125"/>
              <w:jc w:val="both"/>
            </w:pPr>
            <w:proofErr w:type="gramStart"/>
            <w:r w:rsidRPr="00E40863">
              <w:t>riscos</w:t>
            </w:r>
            <w:proofErr w:type="gramEnd"/>
            <w:r w:rsidRPr="00E40863">
              <w:t xml:space="preserve"> avaliados como moderados, toleráveis e triviais,</w:t>
            </w:r>
          </w:p>
          <w:p w:rsidR="004137AA" w:rsidRPr="00E40863" w:rsidRDefault="004137AA" w:rsidP="00D94519">
            <w:pPr>
              <w:ind w:left="130" w:right="125"/>
              <w:jc w:val="both"/>
            </w:pPr>
            <w:proofErr w:type="gramStart"/>
            <w:r w:rsidRPr="00E40863">
              <w:t>podem</w:t>
            </w:r>
            <w:proofErr w:type="gramEnd"/>
            <w:r w:rsidRPr="00E40863">
              <w:t>, de forma segura, ser alvo de Medidas Reparadoras.</w:t>
            </w:r>
          </w:p>
          <w:p w:rsidR="004137AA" w:rsidRDefault="004137AA" w:rsidP="00BB54A7">
            <w:pPr>
              <w:ind w:left="130" w:right="125"/>
              <w:jc w:val="both"/>
            </w:pPr>
            <w:r w:rsidRPr="00E40863">
              <w:t>Os requisitos que não são de segurança, mas são de</w:t>
            </w:r>
            <w:r w:rsidR="00BB54A7">
              <w:t xml:space="preserve"> </w:t>
            </w:r>
            <w:r w:rsidRPr="00E40863">
              <w:t>qualidade ou de proteção do consumidor, foram avaliados</w:t>
            </w:r>
            <w:r w:rsidR="00BB54A7">
              <w:t xml:space="preserve"> </w:t>
            </w:r>
            <w:r w:rsidRPr="00E40863">
              <w:t>considerando o impacto para a sociedade.</w:t>
            </w:r>
          </w:p>
          <w:p w:rsidR="00404B24" w:rsidRPr="00BE5899" w:rsidRDefault="00404B24" w:rsidP="00BB54A7">
            <w:pPr>
              <w:ind w:left="130" w:right="125"/>
              <w:jc w:val="both"/>
            </w:pPr>
            <w:proofErr w:type="gramStart"/>
            <w:r w:rsidRPr="00404B24">
              <w:rPr>
                <w:sz w:val="13"/>
                <w:szCs w:val="13"/>
                <w:vertAlign w:val="superscript"/>
              </w:rPr>
              <w:t>2</w:t>
            </w:r>
            <w:proofErr w:type="gramEnd"/>
            <w:r>
              <w:rPr>
                <w:sz w:val="13"/>
                <w:szCs w:val="13"/>
              </w:rPr>
              <w:t xml:space="preserve"> </w:t>
            </w:r>
            <w:r>
              <w:t>ESTUDO TÉCNICO DE AVALIAÇÃO DE RISCOS DA LEGISLAÇÃO DO GLP</w:t>
            </w:r>
          </w:p>
        </w:tc>
      </w:tr>
      <w:tr w:rsidR="00404B24" w:rsidRPr="00404B24" w:rsidTr="00BB54A7">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404B24" w:rsidRPr="00BB54A7" w:rsidRDefault="00404B24" w:rsidP="00737691">
            <w:pPr>
              <w:rPr>
                <w:b/>
              </w:rPr>
            </w:pPr>
            <w:r>
              <w:rPr>
                <w:b/>
              </w:rPr>
              <w:lastRenderedPageBreak/>
              <w:t>SINDIGAS</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04B24" w:rsidRPr="00404B24" w:rsidRDefault="00404B24" w:rsidP="00404B24">
            <w:pPr>
              <w:rPr>
                <w:b/>
              </w:rPr>
            </w:pPr>
            <w:r w:rsidRPr="00404B24">
              <w:rPr>
                <w:b/>
              </w:rPr>
              <w:t>DO</w:t>
            </w:r>
          </w:p>
          <w:p w:rsidR="00404B24" w:rsidRPr="00404B24" w:rsidRDefault="00404B24" w:rsidP="00404B24">
            <w:pPr>
              <w:rPr>
                <w:b/>
              </w:rPr>
            </w:pPr>
            <w:r w:rsidRPr="00404B24">
              <w:rPr>
                <w:b/>
              </w:rPr>
              <w:t>DISTRIBUIDOR</w:t>
            </w:r>
          </w:p>
          <w:p w:rsidR="00404B24" w:rsidRPr="00404B24" w:rsidRDefault="00404B24" w:rsidP="00404B24">
            <w:pPr>
              <w:rPr>
                <w:b/>
              </w:rPr>
            </w:pPr>
            <w:r w:rsidRPr="00404B24">
              <w:rPr>
                <w:b/>
              </w:rPr>
              <w:t>DE GLP</w:t>
            </w:r>
          </w:p>
          <w:p w:rsidR="00404B24" w:rsidRPr="00BB54A7" w:rsidRDefault="00404B24" w:rsidP="00404B24">
            <w:pPr>
              <w:rPr>
                <w:b/>
              </w:rPr>
            </w:pPr>
            <w:r w:rsidRPr="00404B24">
              <w:rPr>
                <w:b/>
              </w:rPr>
              <w:t>Art. 12</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404B24" w:rsidRPr="00404B24" w:rsidRDefault="00404B24" w:rsidP="00404B24">
            <w:pPr>
              <w:spacing w:before="120"/>
              <w:ind w:left="130" w:right="125"/>
              <w:jc w:val="both"/>
            </w:pPr>
            <w:r w:rsidRPr="00404B24">
              <w:t>DO DISTRIBUIDOR DE GLP</w:t>
            </w:r>
          </w:p>
          <w:p w:rsidR="00404B24" w:rsidRPr="00404B24" w:rsidRDefault="00404B24" w:rsidP="00404B24">
            <w:pPr>
              <w:spacing w:before="120"/>
              <w:ind w:left="130" w:right="125"/>
              <w:jc w:val="both"/>
            </w:pPr>
            <w:r w:rsidRPr="00404B24">
              <w:t>Art. 12. O distribuidor de GLP poderá adotar MRC quando ficar</w:t>
            </w:r>
            <w:r>
              <w:t xml:space="preserve"> </w:t>
            </w:r>
            <w:r w:rsidRPr="00404B24">
              <w:t>caracterizado o não atendimento aos seguintes dispositivos:</w:t>
            </w:r>
          </w:p>
          <w:p w:rsidR="00404B24" w:rsidRPr="00404B24" w:rsidRDefault="00404B24" w:rsidP="00404B24">
            <w:pPr>
              <w:spacing w:before="120"/>
              <w:ind w:left="130" w:right="125"/>
              <w:jc w:val="both"/>
            </w:pPr>
            <w:r w:rsidRPr="00404B24">
              <w:t>Informação de alterações cadastrais</w:t>
            </w:r>
          </w:p>
          <w:p w:rsidR="00404B24" w:rsidRPr="00404B24" w:rsidRDefault="00404B24" w:rsidP="00404B24">
            <w:pPr>
              <w:spacing w:before="120"/>
              <w:ind w:left="130" w:right="125"/>
              <w:jc w:val="both"/>
            </w:pPr>
            <w:r w:rsidRPr="00404B24">
              <w:t xml:space="preserve">I – caput e incisos do art. 17 da Resolução ANP nº 49, de </w:t>
            </w:r>
            <w:proofErr w:type="gramStart"/>
            <w:r w:rsidRPr="00404B24">
              <w:t>2</w:t>
            </w:r>
            <w:proofErr w:type="gramEnd"/>
            <w:r w:rsidRPr="00404B24">
              <w:t xml:space="preserve"> de dezembro</w:t>
            </w:r>
            <w:r>
              <w:t xml:space="preserve"> </w:t>
            </w:r>
            <w:r w:rsidRPr="00404B24">
              <w:t>de 2016;</w:t>
            </w:r>
          </w:p>
          <w:p w:rsidR="00404B24" w:rsidRPr="00404B24" w:rsidRDefault="00404B24" w:rsidP="00404B24">
            <w:pPr>
              <w:spacing w:before="120"/>
              <w:ind w:left="130" w:right="125"/>
              <w:jc w:val="both"/>
            </w:pPr>
            <w:r w:rsidRPr="00404B24">
              <w:t>Identificação da marca do distribuidor no veículo</w:t>
            </w:r>
          </w:p>
          <w:p w:rsidR="00404B24" w:rsidRPr="00404B24" w:rsidRDefault="00404B24" w:rsidP="00404B24">
            <w:pPr>
              <w:spacing w:before="120"/>
              <w:ind w:left="130" w:right="125"/>
              <w:jc w:val="both"/>
            </w:pPr>
            <w:r w:rsidRPr="00404B24">
              <w:t>II – Inciso XVIII do art. 41 da Resolução ANP nº 49/2016.</w:t>
            </w:r>
          </w:p>
          <w:p w:rsidR="00404B24" w:rsidRPr="00404B24" w:rsidRDefault="00404B24" w:rsidP="00404B24">
            <w:pPr>
              <w:spacing w:before="120"/>
              <w:ind w:left="130" w:right="125"/>
              <w:jc w:val="both"/>
            </w:pPr>
            <w:r w:rsidRPr="00404B24">
              <w:t>Fornecimento de GLP para outros usos</w:t>
            </w:r>
          </w:p>
          <w:p w:rsidR="00404B24" w:rsidRPr="00404B24" w:rsidRDefault="00404B24" w:rsidP="00404B24">
            <w:pPr>
              <w:spacing w:before="120"/>
              <w:ind w:left="130" w:right="125"/>
              <w:jc w:val="both"/>
            </w:pPr>
            <w:r w:rsidRPr="00404B24">
              <w:t>III – artigo 33 da Resolução ANP 49/2016;</w:t>
            </w:r>
          </w:p>
          <w:p w:rsidR="00404B24" w:rsidRPr="00404B24" w:rsidRDefault="00404B24" w:rsidP="00404B24">
            <w:pPr>
              <w:spacing w:before="120"/>
              <w:ind w:left="130" w:right="125"/>
              <w:jc w:val="both"/>
            </w:pPr>
            <w:r w:rsidRPr="00404B24">
              <w:t>Envio de Informações para a ANP</w:t>
            </w:r>
          </w:p>
          <w:p w:rsidR="00404B24" w:rsidRPr="00404B24" w:rsidRDefault="00404B24" w:rsidP="00404B24">
            <w:pPr>
              <w:spacing w:before="120"/>
              <w:ind w:left="130" w:right="125"/>
              <w:jc w:val="both"/>
            </w:pPr>
            <w:r w:rsidRPr="00404B24">
              <w:t>IV - Art. 5º da Resolução ANP 17/2004 e artigo 39 da Resolução ANP</w:t>
            </w:r>
            <w:r>
              <w:t xml:space="preserve"> </w:t>
            </w:r>
            <w:r w:rsidRPr="00404B24">
              <w:t>49/2016;</w:t>
            </w:r>
          </w:p>
          <w:p w:rsidR="00404B24" w:rsidRPr="00404B24" w:rsidRDefault="00404B24" w:rsidP="00404B24">
            <w:pPr>
              <w:spacing w:before="120"/>
              <w:ind w:left="130" w:right="125"/>
              <w:jc w:val="both"/>
            </w:pPr>
            <w:r w:rsidRPr="00404B24">
              <w:t>Manter atualizados os documentos das fases de habilitação e outorga</w:t>
            </w:r>
          </w:p>
          <w:p w:rsidR="00404B24" w:rsidRPr="00404B24" w:rsidRDefault="00404B24" w:rsidP="00404B24">
            <w:pPr>
              <w:spacing w:before="120"/>
              <w:ind w:left="130" w:right="125"/>
              <w:jc w:val="both"/>
            </w:pPr>
            <w:r w:rsidRPr="00404B24">
              <w:t>V – Inciso I do artigo 41 da Resolução ANP 49/2016</w:t>
            </w:r>
          </w:p>
          <w:p w:rsidR="00404B24" w:rsidRPr="00404B24" w:rsidRDefault="00404B24" w:rsidP="00404B24">
            <w:pPr>
              <w:spacing w:before="120"/>
              <w:ind w:left="130" w:right="125"/>
              <w:jc w:val="both"/>
            </w:pPr>
            <w:r w:rsidRPr="00404B24">
              <w:t>Comercializar GLP em recipientes com rótulo de informações</w:t>
            </w:r>
          </w:p>
          <w:p w:rsidR="00404B24" w:rsidRPr="00404B24" w:rsidRDefault="00404B24" w:rsidP="00404B24">
            <w:pPr>
              <w:spacing w:before="120"/>
              <w:ind w:left="130" w:right="125"/>
              <w:jc w:val="both"/>
            </w:pPr>
            <w:r w:rsidRPr="00404B24">
              <w:lastRenderedPageBreak/>
              <w:t>VI – Alínea “a” do inciso IV do artigo 41, da Resolução ANP 49/2016;</w:t>
            </w:r>
          </w:p>
          <w:p w:rsidR="00404B24" w:rsidRPr="00404B24" w:rsidRDefault="00404B24" w:rsidP="00404B24">
            <w:pPr>
              <w:spacing w:before="120"/>
              <w:ind w:left="130" w:right="125"/>
              <w:jc w:val="both"/>
            </w:pPr>
            <w:r w:rsidRPr="00404B24">
              <w:t>Comercializar recipiente de GLP cheio vício de quantidade</w:t>
            </w:r>
          </w:p>
          <w:p w:rsidR="00404B24" w:rsidRPr="00404B24" w:rsidRDefault="00404B24" w:rsidP="00404B24">
            <w:pPr>
              <w:spacing w:before="120"/>
              <w:ind w:left="130" w:right="125"/>
              <w:jc w:val="both"/>
            </w:pPr>
            <w:proofErr w:type="gramStart"/>
            <w:r w:rsidRPr="00404B24">
              <w:t>desconsiderando</w:t>
            </w:r>
            <w:proofErr w:type="gramEnd"/>
            <w:r w:rsidRPr="00404B24">
              <w:t xml:space="preserve"> as tolerâncias metrológicas.</w:t>
            </w:r>
          </w:p>
          <w:p w:rsidR="00404B24" w:rsidRPr="00404B24" w:rsidRDefault="00404B24" w:rsidP="00404B24">
            <w:pPr>
              <w:spacing w:before="120"/>
              <w:ind w:left="130" w:right="125"/>
              <w:jc w:val="both"/>
            </w:pPr>
            <w:r w:rsidRPr="00404B24">
              <w:t>VII - Incisos VI e VII do artigo 41 da Resolução ANP 49/2016;</w:t>
            </w:r>
          </w:p>
          <w:p w:rsidR="00404B24" w:rsidRPr="00404B24" w:rsidRDefault="00404B24" w:rsidP="00404B24">
            <w:pPr>
              <w:spacing w:before="120"/>
              <w:ind w:left="130" w:right="125"/>
              <w:jc w:val="both"/>
            </w:pPr>
            <w:r w:rsidRPr="00404B24">
              <w:t>Dispor de balança decimal no estabelecimento</w:t>
            </w:r>
          </w:p>
          <w:p w:rsidR="00404B24" w:rsidRPr="00404B24" w:rsidRDefault="00404B24" w:rsidP="00404B24">
            <w:pPr>
              <w:spacing w:before="120"/>
              <w:ind w:left="130" w:right="125"/>
              <w:jc w:val="both"/>
            </w:pPr>
            <w:r w:rsidRPr="00404B24">
              <w:t>VIII - Inciso IX do artigo 41 da Resolução ANP 49/2016</w:t>
            </w:r>
          </w:p>
          <w:p w:rsidR="00404B24" w:rsidRPr="00404B24" w:rsidRDefault="00404B24" w:rsidP="00404B24">
            <w:pPr>
              <w:spacing w:before="120"/>
              <w:ind w:left="130" w:right="125"/>
              <w:jc w:val="both"/>
            </w:pPr>
            <w:r w:rsidRPr="00404B24">
              <w:t>Informar à ANP o término de contrato de carregamento rodoviário,</w:t>
            </w:r>
            <w:r>
              <w:t xml:space="preserve"> </w:t>
            </w:r>
            <w:r w:rsidRPr="00404B24">
              <w:t xml:space="preserve">cessão de espaço, com ou sem </w:t>
            </w:r>
            <w:proofErr w:type="spellStart"/>
            <w:r w:rsidRPr="00404B24">
              <w:t>envasilhamento</w:t>
            </w:r>
            <w:proofErr w:type="spellEnd"/>
            <w:r w:rsidRPr="00404B24">
              <w:t>.</w:t>
            </w:r>
          </w:p>
          <w:p w:rsidR="00404B24" w:rsidRPr="00404B24" w:rsidRDefault="00404B24" w:rsidP="00404B24">
            <w:pPr>
              <w:spacing w:before="120"/>
              <w:ind w:left="130" w:right="125"/>
              <w:jc w:val="both"/>
            </w:pPr>
            <w:r w:rsidRPr="00404B24">
              <w:t>IX - Inciso XI do artigo 41 da Resolução ANP 49/2016;</w:t>
            </w:r>
          </w:p>
          <w:p w:rsidR="00404B24" w:rsidRPr="00404B24" w:rsidRDefault="00404B24" w:rsidP="00404B24">
            <w:pPr>
              <w:spacing w:before="120"/>
              <w:ind w:left="130" w:right="125"/>
              <w:jc w:val="both"/>
            </w:pPr>
            <w:r w:rsidRPr="00404B24">
              <w:t>Informações de telefone de assistência técnica no recipiente ou na área</w:t>
            </w:r>
            <w:r>
              <w:t xml:space="preserve"> </w:t>
            </w:r>
            <w:r w:rsidRPr="00404B24">
              <w:t>da Central de GLP</w:t>
            </w:r>
          </w:p>
          <w:p w:rsidR="00404B24" w:rsidRPr="00404B24" w:rsidRDefault="00404B24" w:rsidP="00404B24">
            <w:pPr>
              <w:spacing w:before="120"/>
              <w:ind w:left="130" w:right="125"/>
              <w:jc w:val="both"/>
            </w:pPr>
            <w:r w:rsidRPr="00404B24">
              <w:t>X - Inciso XV do artigo 41 da Resolução ANP 49/2016;</w:t>
            </w:r>
          </w:p>
          <w:p w:rsidR="00404B24" w:rsidRPr="00404B24" w:rsidRDefault="00404B24" w:rsidP="00404B24">
            <w:pPr>
              <w:spacing w:before="120"/>
              <w:ind w:left="130" w:right="125"/>
              <w:jc w:val="both"/>
            </w:pPr>
            <w:r w:rsidRPr="00404B24">
              <w:t>Comercializar recipientes que apresentem requisitos para requalificação</w:t>
            </w:r>
          </w:p>
          <w:p w:rsidR="00404B24" w:rsidRPr="00404B24" w:rsidRDefault="00404B24" w:rsidP="00404B24">
            <w:pPr>
              <w:spacing w:before="120"/>
              <w:ind w:left="130" w:right="125"/>
              <w:jc w:val="both"/>
            </w:pPr>
            <w:r w:rsidRPr="00404B24">
              <w:t xml:space="preserve">XI – Art. 37, Art. 38 e incisos III e VII do Art. 41, da Resolução </w:t>
            </w:r>
            <w:proofErr w:type="gramStart"/>
            <w:r w:rsidRPr="00404B24">
              <w:t>ANP</w:t>
            </w:r>
            <w:proofErr w:type="gramEnd"/>
          </w:p>
          <w:p w:rsidR="00404B24" w:rsidRPr="00404B24" w:rsidRDefault="00404B24" w:rsidP="00404B24">
            <w:pPr>
              <w:spacing w:before="120"/>
              <w:ind w:left="130" w:right="125"/>
              <w:jc w:val="both"/>
            </w:pPr>
            <w:r w:rsidRPr="00404B24">
              <w:t>49/2016 e Art. 1º e 2º da Resolução ANP 40/2014;</w:t>
            </w:r>
          </w:p>
          <w:p w:rsidR="00404B24" w:rsidRPr="00404B24" w:rsidRDefault="00404B24" w:rsidP="00404B24">
            <w:pPr>
              <w:spacing w:before="120"/>
              <w:ind w:left="130" w:right="125"/>
              <w:jc w:val="both"/>
            </w:pPr>
            <w:r w:rsidRPr="00404B24">
              <w:t>Delimitação no piso da área de armazenamento de recipientes de GLP e</w:t>
            </w:r>
            <w:r>
              <w:t xml:space="preserve"> </w:t>
            </w:r>
            <w:r w:rsidRPr="00404B24">
              <w:t>corredores de circulação.</w:t>
            </w:r>
          </w:p>
          <w:p w:rsidR="00404B24" w:rsidRPr="00404B24" w:rsidRDefault="00404B24" w:rsidP="00404B24">
            <w:pPr>
              <w:spacing w:before="120"/>
              <w:ind w:left="130" w:right="125"/>
              <w:jc w:val="both"/>
            </w:pPr>
            <w:r w:rsidRPr="00404B24">
              <w:t>XII - item 5.6.4, 5.6.5 da Norma Brasileira ABNT NBR 15186, adotada</w:t>
            </w:r>
            <w:r>
              <w:t xml:space="preserve"> </w:t>
            </w:r>
            <w:r w:rsidRPr="00404B24">
              <w:t>pelo caput do art. 1 da Resolução ANP nº 35/2005;</w:t>
            </w:r>
          </w:p>
          <w:p w:rsidR="00404B24" w:rsidRPr="00404B24" w:rsidRDefault="00404B24" w:rsidP="00404B24">
            <w:pPr>
              <w:spacing w:before="120"/>
              <w:ind w:left="130" w:right="125"/>
              <w:jc w:val="both"/>
            </w:pPr>
            <w:r w:rsidRPr="00404B24">
              <w:t>Empilhamento de recipientes transportáveis de GLP</w:t>
            </w:r>
          </w:p>
          <w:p w:rsidR="00404B24" w:rsidRPr="00BB54A7" w:rsidRDefault="00404B24" w:rsidP="00404B24">
            <w:pPr>
              <w:spacing w:before="120"/>
              <w:ind w:left="130" w:right="125"/>
              <w:jc w:val="both"/>
            </w:pPr>
            <w:r w:rsidRPr="00404B24">
              <w:t>XIII - item 5.6.6 da Norma Brasileira ABNT NBR 15186, adotada pelo</w:t>
            </w:r>
            <w:r>
              <w:t xml:space="preserve"> </w:t>
            </w:r>
            <w:r w:rsidRPr="00404B24">
              <w:t>caput do art. 1 da Resolução ANP nº 35/2005.</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rsidR="00404B24" w:rsidRPr="00404B24" w:rsidRDefault="00404B24" w:rsidP="00404B24">
            <w:pPr>
              <w:ind w:left="130" w:right="125"/>
              <w:jc w:val="both"/>
            </w:pPr>
            <w:r w:rsidRPr="00404B24">
              <w:lastRenderedPageBreak/>
              <w:t>A atual legislação de medidas cautelares trata todo e qualquer</w:t>
            </w:r>
          </w:p>
          <w:p w:rsidR="00404B24" w:rsidRPr="00404B24" w:rsidRDefault="00404B24" w:rsidP="00404B24">
            <w:pPr>
              <w:ind w:left="130" w:right="125"/>
              <w:jc w:val="both"/>
            </w:pPr>
            <w:proofErr w:type="gramStart"/>
            <w:r w:rsidRPr="00404B24">
              <w:t>requisito</w:t>
            </w:r>
            <w:proofErr w:type="gramEnd"/>
            <w:r w:rsidRPr="00404B24">
              <w:t xml:space="preserve"> de segurança em distribuidoras e revendas de GLP</w:t>
            </w:r>
          </w:p>
          <w:p w:rsidR="00404B24" w:rsidRPr="00404B24" w:rsidRDefault="00404B24" w:rsidP="00404B24">
            <w:pPr>
              <w:ind w:left="130" w:right="125"/>
              <w:jc w:val="both"/>
            </w:pPr>
            <w:proofErr w:type="gramStart"/>
            <w:r w:rsidRPr="00404B24">
              <w:t>como</w:t>
            </w:r>
            <w:proofErr w:type="gramEnd"/>
            <w:r w:rsidRPr="00404B24">
              <w:t xml:space="preserve"> situação de grave e iminente risco, ou seja, se o perigo</w:t>
            </w:r>
          </w:p>
          <w:p w:rsidR="00404B24" w:rsidRPr="00404B24" w:rsidRDefault="00404B24" w:rsidP="00404B24">
            <w:pPr>
              <w:ind w:left="130" w:right="125"/>
              <w:jc w:val="both"/>
            </w:pPr>
            <w:proofErr w:type="gramStart"/>
            <w:r w:rsidRPr="00404B24">
              <w:t>se</w:t>
            </w:r>
            <w:proofErr w:type="gramEnd"/>
            <w:r w:rsidRPr="00404B24">
              <w:t xml:space="preserve"> transformar em ocorrência, as consequências serão graves</w:t>
            </w:r>
          </w:p>
          <w:p w:rsidR="00404B24" w:rsidRPr="00404B24" w:rsidRDefault="00404B24" w:rsidP="00404B24">
            <w:pPr>
              <w:ind w:left="130" w:right="125"/>
              <w:jc w:val="both"/>
            </w:pPr>
            <w:proofErr w:type="gramStart"/>
            <w:r w:rsidRPr="00404B24">
              <w:t>e</w:t>
            </w:r>
            <w:proofErr w:type="gramEnd"/>
            <w:r w:rsidRPr="00404B24">
              <w:t xml:space="preserve"> está prestes a acontecer, determinando interdição do local e</w:t>
            </w:r>
          </w:p>
          <w:p w:rsidR="00404B24" w:rsidRPr="00404B24" w:rsidRDefault="00404B24" w:rsidP="00404B24">
            <w:pPr>
              <w:ind w:left="130" w:right="125"/>
              <w:jc w:val="both"/>
            </w:pPr>
            <w:proofErr w:type="gramStart"/>
            <w:r w:rsidRPr="00404B24">
              <w:t>apreensão</w:t>
            </w:r>
            <w:proofErr w:type="gramEnd"/>
            <w:r w:rsidRPr="00404B24">
              <w:t xml:space="preserve"> de bens.</w:t>
            </w:r>
          </w:p>
          <w:p w:rsidR="00404B24" w:rsidRPr="00404B24" w:rsidRDefault="00404B24" w:rsidP="00404B24">
            <w:pPr>
              <w:ind w:left="130" w:right="125"/>
              <w:jc w:val="both"/>
            </w:pPr>
            <w:r w:rsidRPr="00404B24">
              <w:t xml:space="preserve">É notório que o GLP é um produto inflamável, podendo </w:t>
            </w:r>
            <w:proofErr w:type="gramStart"/>
            <w:r w:rsidRPr="00404B24">
              <w:t>em</w:t>
            </w:r>
            <w:proofErr w:type="gramEnd"/>
          </w:p>
          <w:p w:rsidR="00404B24" w:rsidRPr="00404B24" w:rsidRDefault="00404B24" w:rsidP="00404B24">
            <w:pPr>
              <w:ind w:left="130" w:right="125"/>
              <w:jc w:val="both"/>
            </w:pPr>
            <w:proofErr w:type="gramStart"/>
            <w:r w:rsidRPr="00404B24">
              <w:t>determinadas</w:t>
            </w:r>
            <w:proofErr w:type="gramEnd"/>
            <w:r w:rsidRPr="00404B24">
              <w:t xml:space="preserve"> condições explodir</w:t>
            </w:r>
            <w:r w:rsidRPr="00404B24">
              <w:rPr>
                <w:vertAlign w:val="superscript"/>
              </w:rPr>
              <w:t>3</w:t>
            </w:r>
            <w:r w:rsidRPr="00404B24">
              <w:t>, o que muitas vezes acabou</w:t>
            </w:r>
          </w:p>
          <w:p w:rsidR="00404B24" w:rsidRDefault="00404B24" w:rsidP="00404B24">
            <w:pPr>
              <w:ind w:left="130" w:right="125"/>
              <w:jc w:val="both"/>
            </w:pPr>
            <w:proofErr w:type="gramStart"/>
            <w:r w:rsidRPr="00404B24">
              <w:t>por</w:t>
            </w:r>
            <w:proofErr w:type="gramEnd"/>
            <w:r w:rsidRPr="00404B24">
              <w:t xml:space="preserve"> resultar em ocorrências com consequências graves.</w:t>
            </w:r>
          </w:p>
          <w:p w:rsidR="00404B24" w:rsidRDefault="00404B24" w:rsidP="00404B24">
            <w:pPr>
              <w:ind w:left="130" w:right="125"/>
              <w:jc w:val="both"/>
            </w:pPr>
          </w:p>
          <w:p w:rsidR="00404B24" w:rsidRDefault="00404B24" w:rsidP="00404B24">
            <w:pPr>
              <w:ind w:left="130" w:right="125"/>
              <w:jc w:val="both"/>
              <w:rPr>
                <w:i/>
                <w:iCs/>
              </w:rPr>
            </w:pPr>
            <w:proofErr w:type="gramStart"/>
            <w:r w:rsidRPr="00267C37">
              <w:rPr>
                <w:sz w:val="13"/>
                <w:szCs w:val="13"/>
                <w:vertAlign w:val="superscript"/>
              </w:rPr>
              <w:t>3</w:t>
            </w:r>
            <w:proofErr w:type="gramEnd"/>
            <w:r>
              <w:rPr>
                <w:sz w:val="13"/>
                <w:szCs w:val="13"/>
              </w:rPr>
              <w:t xml:space="preserve"> </w:t>
            </w:r>
            <w:r>
              <w:rPr>
                <w:i/>
                <w:iCs/>
              </w:rPr>
              <w:t>O GLP só explode quando em proporções de 1:9 com ar atmosférico e em confinamento de espaço, caso contrário quanto ao confinamento, ele é apenas inflamável.</w:t>
            </w:r>
          </w:p>
          <w:p w:rsidR="00404B24" w:rsidRPr="00404B24" w:rsidRDefault="00404B24" w:rsidP="00404B24">
            <w:pPr>
              <w:ind w:left="130" w:right="125"/>
              <w:jc w:val="both"/>
            </w:pPr>
          </w:p>
          <w:p w:rsidR="00404B24" w:rsidRPr="00404B24" w:rsidRDefault="00404B24" w:rsidP="00404B24">
            <w:pPr>
              <w:ind w:left="130" w:right="125"/>
              <w:jc w:val="both"/>
            </w:pPr>
            <w:r w:rsidRPr="00404B24">
              <w:t>Contudo, análises de riscos não devem avaliar</w:t>
            </w:r>
            <w:r w:rsidR="00267C37">
              <w:t xml:space="preserve"> </w:t>
            </w:r>
            <w:r w:rsidRPr="00404B24">
              <w:t>exclusivamente a gravidade das consequências para</w:t>
            </w:r>
            <w:r w:rsidR="00267C37">
              <w:t xml:space="preserve"> </w:t>
            </w:r>
            <w:r w:rsidRPr="00404B24">
              <w:t>determinar o nível de ação de medidas preventivas ou</w:t>
            </w:r>
            <w:r w:rsidR="00267C37">
              <w:t xml:space="preserve"> </w:t>
            </w:r>
            <w:r w:rsidRPr="00404B24">
              <w:t>cautelares, devem também considerar a probabilidade do</w:t>
            </w:r>
            <w:r w:rsidR="00267C37">
              <w:t xml:space="preserve"> </w:t>
            </w:r>
            <w:r w:rsidRPr="00404B24">
              <w:t>perigo se transformar em uma ocorrência considerando as</w:t>
            </w:r>
            <w:r w:rsidR="00267C37">
              <w:t xml:space="preserve"> </w:t>
            </w:r>
            <w:r w:rsidRPr="00404B24">
              <w:t>proteções existentes.</w:t>
            </w:r>
          </w:p>
          <w:p w:rsidR="00404B24" w:rsidRPr="00404B24" w:rsidRDefault="00404B24" w:rsidP="00404B24">
            <w:pPr>
              <w:ind w:left="130" w:right="125"/>
              <w:jc w:val="both"/>
            </w:pPr>
            <w:r w:rsidRPr="00404B24">
              <w:t xml:space="preserve">Baseado nesta premissa, as presentes propostas de </w:t>
            </w:r>
            <w:proofErr w:type="gramStart"/>
            <w:r w:rsidRPr="00404B24">
              <w:t>alteração</w:t>
            </w:r>
            <w:proofErr w:type="gramEnd"/>
          </w:p>
          <w:p w:rsidR="00404B24" w:rsidRPr="00404B24" w:rsidRDefault="00404B24" w:rsidP="00404B24">
            <w:pPr>
              <w:ind w:left="130" w:right="125"/>
              <w:jc w:val="both"/>
            </w:pPr>
            <w:proofErr w:type="gramStart"/>
            <w:r w:rsidRPr="00404B24">
              <w:t>fundamentam</w:t>
            </w:r>
            <w:proofErr w:type="gramEnd"/>
            <w:r w:rsidRPr="00404B24">
              <w:t>-se no Estudo Técnico anexo a esta proposta,</w:t>
            </w:r>
          </w:p>
          <w:p w:rsidR="00404B24" w:rsidRPr="00404B24" w:rsidRDefault="00404B24" w:rsidP="00404B24">
            <w:pPr>
              <w:ind w:left="130" w:right="125"/>
              <w:jc w:val="both"/>
            </w:pPr>
            <w:proofErr w:type="gramStart"/>
            <w:r w:rsidRPr="00404B24">
              <w:t>que</w:t>
            </w:r>
            <w:proofErr w:type="gramEnd"/>
            <w:r w:rsidRPr="00404B24">
              <w:t xml:space="preserve"> avalia os riscos usando a metodologia do FMEA – </w:t>
            </w:r>
            <w:proofErr w:type="spellStart"/>
            <w:r w:rsidRPr="00404B24">
              <w:t>Failure</w:t>
            </w:r>
            <w:proofErr w:type="spellEnd"/>
          </w:p>
          <w:p w:rsidR="00404B24" w:rsidRPr="00404B24" w:rsidRDefault="00404B24" w:rsidP="00404B24">
            <w:pPr>
              <w:ind w:left="130" w:right="125"/>
              <w:jc w:val="both"/>
            </w:pPr>
            <w:proofErr w:type="spellStart"/>
            <w:r w:rsidRPr="00404B24">
              <w:t>Mode</w:t>
            </w:r>
            <w:proofErr w:type="spellEnd"/>
            <w:r w:rsidRPr="00404B24">
              <w:t xml:space="preserve"> </w:t>
            </w:r>
            <w:proofErr w:type="spellStart"/>
            <w:r w:rsidRPr="00404B24">
              <w:t>and</w:t>
            </w:r>
            <w:proofErr w:type="spellEnd"/>
            <w:r w:rsidRPr="00404B24">
              <w:t xml:space="preserve"> </w:t>
            </w:r>
            <w:proofErr w:type="spellStart"/>
            <w:r w:rsidRPr="00404B24">
              <w:t>Effect</w:t>
            </w:r>
            <w:proofErr w:type="spellEnd"/>
            <w:r w:rsidRPr="00404B24">
              <w:t xml:space="preserve"> </w:t>
            </w:r>
            <w:proofErr w:type="spellStart"/>
            <w:r w:rsidRPr="00404B24">
              <w:t>Analisys</w:t>
            </w:r>
            <w:proofErr w:type="spellEnd"/>
            <w:r w:rsidRPr="00404B24">
              <w:t xml:space="preserve">, em tradução livre, Análise do </w:t>
            </w:r>
            <w:proofErr w:type="gramStart"/>
            <w:r w:rsidRPr="00404B24">
              <w:t>modo</w:t>
            </w:r>
            <w:proofErr w:type="gramEnd"/>
          </w:p>
          <w:p w:rsidR="00404B24" w:rsidRPr="00404B24" w:rsidRDefault="00404B24" w:rsidP="00404B24">
            <w:pPr>
              <w:ind w:left="130" w:right="125"/>
              <w:jc w:val="both"/>
            </w:pPr>
            <w:proofErr w:type="gramStart"/>
            <w:r w:rsidRPr="00404B24">
              <w:t>de</w:t>
            </w:r>
            <w:proofErr w:type="gramEnd"/>
            <w:r w:rsidRPr="00404B24">
              <w:t xml:space="preserve"> falhas e efeitos, e também a metodologia de avaliação de</w:t>
            </w:r>
            <w:r w:rsidR="00267C37">
              <w:t xml:space="preserve"> </w:t>
            </w:r>
            <w:r w:rsidRPr="00404B24">
              <w:t xml:space="preserve">riscos do </w:t>
            </w:r>
            <w:proofErr w:type="spellStart"/>
            <w:r w:rsidRPr="00404B24">
              <w:t>British</w:t>
            </w:r>
            <w:proofErr w:type="spellEnd"/>
            <w:r w:rsidRPr="00404B24">
              <w:t xml:space="preserve"> Standard 8800/2004 - </w:t>
            </w:r>
            <w:proofErr w:type="spellStart"/>
            <w:r w:rsidRPr="00404B24">
              <w:t>Occupational</w:t>
            </w:r>
            <w:proofErr w:type="spellEnd"/>
            <w:r w:rsidRPr="00404B24">
              <w:t xml:space="preserve"> </w:t>
            </w:r>
            <w:proofErr w:type="spellStart"/>
            <w:r w:rsidRPr="00404B24">
              <w:t>health</w:t>
            </w:r>
            <w:proofErr w:type="spellEnd"/>
            <w:r w:rsidR="00267C37">
              <w:t xml:space="preserve"> </w:t>
            </w:r>
            <w:proofErr w:type="spellStart"/>
            <w:r w:rsidRPr="00404B24">
              <w:t>and</w:t>
            </w:r>
            <w:proofErr w:type="spellEnd"/>
            <w:r w:rsidRPr="00404B24">
              <w:t xml:space="preserve"> </w:t>
            </w:r>
            <w:proofErr w:type="spellStart"/>
            <w:r w:rsidRPr="00404B24">
              <w:t>Safety</w:t>
            </w:r>
            <w:proofErr w:type="spellEnd"/>
            <w:r w:rsidRPr="00404B24">
              <w:t xml:space="preserve"> management systems – </w:t>
            </w:r>
            <w:proofErr w:type="spellStart"/>
            <w:r w:rsidRPr="00404B24">
              <w:t>Guide</w:t>
            </w:r>
            <w:proofErr w:type="spellEnd"/>
            <w:r w:rsidRPr="00404B24">
              <w:t xml:space="preserve">, em tradução livre, </w:t>
            </w:r>
            <w:r w:rsidRPr="00404B24">
              <w:lastRenderedPageBreak/>
              <w:t>Sistemas de Gestão de Saúde e Segurança Ocupacional –</w:t>
            </w:r>
            <w:r w:rsidR="00267C37">
              <w:t xml:space="preserve"> </w:t>
            </w:r>
            <w:r w:rsidRPr="00404B24">
              <w:t>Guia.</w:t>
            </w:r>
          </w:p>
          <w:p w:rsidR="00404B24" w:rsidRPr="00404B24" w:rsidRDefault="00404B24" w:rsidP="00404B24">
            <w:pPr>
              <w:ind w:left="130" w:right="125"/>
              <w:jc w:val="both"/>
            </w:pPr>
            <w:r w:rsidRPr="00404B24">
              <w:t>Estas duas metodologias juntas avaliam o risco considerando</w:t>
            </w:r>
          </w:p>
          <w:p w:rsidR="00404B24" w:rsidRPr="00404B24" w:rsidRDefault="00404B24" w:rsidP="00404B24">
            <w:pPr>
              <w:ind w:left="130" w:right="125"/>
              <w:jc w:val="both"/>
            </w:pPr>
            <w:proofErr w:type="gramStart"/>
            <w:r w:rsidRPr="00404B24">
              <w:t>a</w:t>
            </w:r>
            <w:proofErr w:type="gramEnd"/>
            <w:r w:rsidRPr="00404B24">
              <w:t xml:space="preserve"> probabilidade e consequência, classificando os riscos em</w:t>
            </w:r>
            <w:r w:rsidR="00267C37">
              <w:t xml:space="preserve"> </w:t>
            </w:r>
            <w:r w:rsidRPr="00404B24">
              <w:t>Intolerável, Substancial, Moderado, Tolerável e Trivial, e</w:t>
            </w:r>
            <w:r w:rsidR="00267C37">
              <w:t xml:space="preserve"> </w:t>
            </w:r>
            <w:r w:rsidRPr="00404B24">
              <w:t>também dá diretrizes para o nível de ação para cada um</w:t>
            </w:r>
            <w:r w:rsidR="00267C37">
              <w:t xml:space="preserve"> </w:t>
            </w:r>
            <w:r w:rsidRPr="00404B24">
              <w:t>destes riscos.</w:t>
            </w:r>
          </w:p>
          <w:p w:rsidR="00404B24" w:rsidRPr="00404B24" w:rsidRDefault="00404B24" w:rsidP="00404B24">
            <w:pPr>
              <w:ind w:left="130" w:right="125"/>
              <w:jc w:val="both"/>
            </w:pPr>
            <w:r w:rsidRPr="00404B24">
              <w:t>No que tange à probabilidade de ocorrências de incêndio ou</w:t>
            </w:r>
          </w:p>
          <w:p w:rsidR="00404B24" w:rsidRPr="00404B24" w:rsidRDefault="00404B24" w:rsidP="00404B24">
            <w:pPr>
              <w:ind w:left="130" w:right="125"/>
              <w:jc w:val="both"/>
            </w:pPr>
            <w:proofErr w:type="gramStart"/>
            <w:r w:rsidRPr="00404B24">
              <w:t>explosão</w:t>
            </w:r>
            <w:proofErr w:type="gramEnd"/>
            <w:r w:rsidRPr="00404B24">
              <w:t xml:space="preserve"> com GLP em revendas e distribuidoras de GLP, há</w:t>
            </w:r>
          </w:p>
          <w:p w:rsidR="00404B24" w:rsidRPr="00404B24" w:rsidRDefault="00404B24" w:rsidP="00404B24">
            <w:pPr>
              <w:ind w:left="130" w:right="125"/>
              <w:jc w:val="both"/>
            </w:pPr>
            <w:proofErr w:type="gramStart"/>
            <w:r w:rsidRPr="00404B24">
              <w:t>de</w:t>
            </w:r>
            <w:proofErr w:type="gramEnd"/>
            <w:r w:rsidRPr="00404B24">
              <w:t xml:space="preserve"> se considerar que:</w:t>
            </w:r>
          </w:p>
          <w:p w:rsidR="00404B24" w:rsidRPr="00404B24" w:rsidRDefault="00404B24" w:rsidP="00404B24">
            <w:pPr>
              <w:ind w:left="130" w:right="125"/>
              <w:jc w:val="both"/>
            </w:pPr>
            <w:r w:rsidRPr="00404B24">
              <w:t>• Vazamentos de GLP precisam alcançar, no mínimo,</w:t>
            </w:r>
          </w:p>
          <w:p w:rsidR="00404B24" w:rsidRPr="00404B24" w:rsidRDefault="00404B24" w:rsidP="00404B24">
            <w:pPr>
              <w:ind w:left="130" w:right="125"/>
              <w:jc w:val="both"/>
            </w:pPr>
            <w:r w:rsidRPr="00404B24">
              <w:t xml:space="preserve">1,86% do volume do ambiente para, na presença de </w:t>
            </w:r>
            <w:proofErr w:type="gramStart"/>
            <w:r w:rsidRPr="00404B24">
              <w:t>uma</w:t>
            </w:r>
            <w:proofErr w:type="gramEnd"/>
          </w:p>
          <w:p w:rsidR="00404B24" w:rsidRPr="00404B24" w:rsidRDefault="00404B24" w:rsidP="00404B24">
            <w:pPr>
              <w:ind w:left="130" w:right="125"/>
              <w:jc w:val="both"/>
            </w:pPr>
            <w:proofErr w:type="gramStart"/>
            <w:r w:rsidRPr="00404B24">
              <w:t>fonte</w:t>
            </w:r>
            <w:proofErr w:type="gramEnd"/>
            <w:r w:rsidRPr="00404B24">
              <w:t xml:space="preserve"> de ignição, iniciar um incêndio;</w:t>
            </w:r>
          </w:p>
          <w:p w:rsidR="00404B24" w:rsidRPr="00404B24" w:rsidRDefault="00404B24" w:rsidP="00404B24">
            <w:pPr>
              <w:ind w:left="130" w:right="125"/>
              <w:jc w:val="both"/>
            </w:pPr>
            <w:r w:rsidRPr="00404B24">
              <w:t xml:space="preserve">• Vazamentos de GLP, em geral, tem vazão média de </w:t>
            </w:r>
            <w:proofErr w:type="gramStart"/>
            <w:r w:rsidRPr="00404B24">
              <w:t>5</w:t>
            </w:r>
            <w:proofErr w:type="gramEnd"/>
          </w:p>
          <w:p w:rsidR="00404B24" w:rsidRPr="00404B24" w:rsidRDefault="00404B24" w:rsidP="00404B24">
            <w:pPr>
              <w:ind w:left="130" w:right="125"/>
              <w:jc w:val="both"/>
            </w:pPr>
            <w:r w:rsidRPr="00404B24">
              <w:t xml:space="preserve">(cinco) gramas por hora, levando um tempo </w:t>
            </w:r>
            <w:proofErr w:type="gramStart"/>
            <w:r w:rsidRPr="00404B24">
              <w:t>considerável</w:t>
            </w:r>
            <w:proofErr w:type="gramEnd"/>
          </w:p>
          <w:p w:rsidR="00404B24" w:rsidRPr="00404B24" w:rsidRDefault="00404B24" w:rsidP="00404B24">
            <w:pPr>
              <w:ind w:left="130" w:right="125"/>
              <w:jc w:val="both"/>
            </w:pPr>
            <w:proofErr w:type="gramStart"/>
            <w:r w:rsidRPr="00404B24">
              <w:t>para</w:t>
            </w:r>
            <w:proofErr w:type="gramEnd"/>
            <w:r w:rsidRPr="00404B24">
              <w:t xml:space="preserve"> alcançar o limite inferior de </w:t>
            </w:r>
            <w:proofErr w:type="spellStart"/>
            <w:r w:rsidRPr="00404B24">
              <w:t>explosividade</w:t>
            </w:r>
            <w:proofErr w:type="spellEnd"/>
            <w:r w:rsidRPr="00404B24">
              <w:t xml:space="preserve"> (ver</w:t>
            </w:r>
          </w:p>
          <w:p w:rsidR="00404B24" w:rsidRPr="00404B24" w:rsidRDefault="00404B24" w:rsidP="00404B24">
            <w:pPr>
              <w:ind w:left="130" w:right="125"/>
              <w:jc w:val="both"/>
            </w:pPr>
            <w:proofErr w:type="gramStart"/>
            <w:r w:rsidRPr="00404B24">
              <w:t>exemplo</w:t>
            </w:r>
            <w:proofErr w:type="gramEnd"/>
            <w:r w:rsidRPr="00404B24">
              <w:t xml:space="preserve"> no Estudo Técnico);</w:t>
            </w:r>
          </w:p>
          <w:p w:rsidR="00404B24" w:rsidRPr="00404B24" w:rsidRDefault="00404B24" w:rsidP="00404B24">
            <w:pPr>
              <w:ind w:left="130" w:right="125"/>
              <w:jc w:val="both"/>
            </w:pPr>
            <w:r w:rsidRPr="00404B24">
              <w:t xml:space="preserve">• Estudos </w:t>
            </w:r>
            <w:proofErr w:type="gramStart"/>
            <w:r w:rsidRPr="00404B24">
              <w:t xml:space="preserve">feitos pela Wilbur </w:t>
            </w:r>
            <w:proofErr w:type="spellStart"/>
            <w:r w:rsidRPr="00404B24">
              <w:t>Walls</w:t>
            </w:r>
            <w:proofErr w:type="spellEnd"/>
            <w:r w:rsidRPr="00404B24">
              <w:t xml:space="preserve"> e publicado na norma</w:t>
            </w:r>
            <w:proofErr w:type="gramEnd"/>
          </w:p>
          <w:p w:rsidR="00404B24" w:rsidRPr="00404B24" w:rsidRDefault="00404B24" w:rsidP="00404B24">
            <w:pPr>
              <w:ind w:left="130" w:right="125"/>
              <w:jc w:val="both"/>
            </w:pPr>
            <w:proofErr w:type="gramStart"/>
            <w:r w:rsidRPr="00404B24">
              <w:t>americana</w:t>
            </w:r>
            <w:proofErr w:type="gramEnd"/>
            <w:r w:rsidRPr="00404B24">
              <w:t xml:space="preserve"> NFPA 58, preveem que a uma distância de</w:t>
            </w:r>
          </w:p>
          <w:p w:rsidR="00404B24" w:rsidRPr="00404B24" w:rsidRDefault="00404B24" w:rsidP="00404B24">
            <w:pPr>
              <w:ind w:left="130" w:right="125"/>
              <w:jc w:val="both"/>
            </w:pPr>
            <w:r w:rsidRPr="00404B24">
              <w:t>3,0m da fonte de um vazamento de GLP causado pelo</w:t>
            </w:r>
          </w:p>
          <w:p w:rsidR="00404B24" w:rsidRPr="00404B24" w:rsidRDefault="00404B24" w:rsidP="00404B24">
            <w:pPr>
              <w:ind w:left="130" w:right="125"/>
              <w:jc w:val="both"/>
            </w:pPr>
            <w:proofErr w:type="gramStart"/>
            <w:r w:rsidRPr="00404B24">
              <w:t>indicador</w:t>
            </w:r>
            <w:proofErr w:type="gramEnd"/>
            <w:r w:rsidRPr="00404B24">
              <w:t xml:space="preserve"> de nível máximo de um P190 (alta pressão), é</w:t>
            </w:r>
          </w:p>
          <w:p w:rsidR="00404B24" w:rsidRPr="00404B24" w:rsidRDefault="00404B24" w:rsidP="00404B24">
            <w:pPr>
              <w:ind w:left="130" w:right="125"/>
              <w:jc w:val="both"/>
            </w:pPr>
            <w:proofErr w:type="gramStart"/>
            <w:r w:rsidRPr="00404B24">
              <w:t>de</w:t>
            </w:r>
            <w:proofErr w:type="gramEnd"/>
            <w:r w:rsidRPr="00404B24">
              <w:t xml:space="preserve"> 20% do Limite Inferior de </w:t>
            </w:r>
            <w:proofErr w:type="spellStart"/>
            <w:r w:rsidRPr="00404B24">
              <w:t>Explosividade</w:t>
            </w:r>
            <w:proofErr w:type="spellEnd"/>
            <w:r w:rsidRPr="00404B24">
              <w:t xml:space="preserve"> – LIE, o que os</w:t>
            </w:r>
          </w:p>
          <w:p w:rsidR="00404B24" w:rsidRPr="00404B24" w:rsidRDefault="00404B24" w:rsidP="00404B24">
            <w:pPr>
              <w:ind w:left="130" w:right="125"/>
              <w:jc w:val="both"/>
            </w:pPr>
            <w:proofErr w:type="spellStart"/>
            <w:proofErr w:type="gramStart"/>
            <w:r w:rsidRPr="00404B24">
              <w:t>prevencionistas</w:t>
            </w:r>
            <w:proofErr w:type="spellEnd"/>
            <w:proofErr w:type="gramEnd"/>
            <w:r w:rsidRPr="00404B24">
              <w:t xml:space="preserve"> consideram como limite seguro, já a</w:t>
            </w:r>
          </w:p>
          <w:p w:rsidR="00404B24" w:rsidRPr="00404B24" w:rsidRDefault="00404B24" w:rsidP="00404B24">
            <w:pPr>
              <w:ind w:left="130" w:right="125"/>
              <w:jc w:val="both"/>
            </w:pPr>
            <w:proofErr w:type="gramStart"/>
            <w:r w:rsidRPr="00404B24">
              <w:t>distância</w:t>
            </w:r>
            <w:proofErr w:type="gramEnd"/>
            <w:r w:rsidRPr="00404B24">
              <w:t xml:space="preserve"> de 7,5m a concentração de GLP é nula (ver</w:t>
            </w:r>
          </w:p>
          <w:p w:rsidR="00404B24" w:rsidRPr="00404B24" w:rsidRDefault="00404B24" w:rsidP="00404B24">
            <w:pPr>
              <w:ind w:left="130" w:right="125"/>
              <w:jc w:val="both"/>
            </w:pPr>
            <w:proofErr w:type="gramStart"/>
            <w:r w:rsidRPr="00404B24">
              <w:t>dados</w:t>
            </w:r>
            <w:proofErr w:type="gramEnd"/>
            <w:r w:rsidRPr="00404B24">
              <w:t xml:space="preserve"> completos no Estudo Técnico);</w:t>
            </w:r>
          </w:p>
          <w:p w:rsidR="00404B24" w:rsidRPr="00404B24" w:rsidRDefault="00404B24" w:rsidP="00404B24">
            <w:pPr>
              <w:ind w:left="130" w:right="125"/>
              <w:jc w:val="both"/>
            </w:pPr>
            <w:r w:rsidRPr="00404B24">
              <w:t>• A eficiência na verificação de vazamentos nas bases de</w:t>
            </w:r>
          </w:p>
          <w:p w:rsidR="00404B24" w:rsidRPr="00404B24" w:rsidRDefault="00404B24" w:rsidP="00404B24">
            <w:pPr>
              <w:ind w:left="130" w:right="125"/>
              <w:jc w:val="both"/>
            </w:pPr>
            <w:proofErr w:type="gramStart"/>
            <w:r w:rsidRPr="00404B24">
              <w:t>engarrafamento</w:t>
            </w:r>
            <w:proofErr w:type="gramEnd"/>
            <w:r w:rsidRPr="00404B24">
              <w:t xml:space="preserve"> é de 99,5%, ou seja, somente 0,5% dos</w:t>
            </w:r>
          </w:p>
          <w:p w:rsidR="00404B24" w:rsidRPr="00404B24" w:rsidRDefault="00404B24" w:rsidP="00404B24">
            <w:pPr>
              <w:ind w:left="130" w:right="125"/>
              <w:jc w:val="both"/>
            </w:pPr>
            <w:proofErr w:type="gramStart"/>
            <w:r w:rsidRPr="00404B24">
              <w:t>recipientes</w:t>
            </w:r>
            <w:proofErr w:type="gramEnd"/>
            <w:r w:rsidRPr="00404B24">
              <w:t xml:space="preserve"> transportáveis de GLP chegam às revendas</w:t>
            </w:r>
          </w:p>
          <w:p w:rsidR="00404B24" w:rsidRPr="00404B24" w:rsidRDefault="00404B24" w:rsidP="00404B24">
            <w:pPr>
              <w:ind w:left="130" w:right="125"/>
              <w:jc w:val="both"/>
            </w:pPr>
            <w:proofErr w:type="gramStart"/>
            <w:r w:rsidRPr="00404B24">
              <w:t>com</w:t>
            </w:r>
            <w:proofErr w:type="gramEnd"/>
            <w:r w:rsidRPr="00404B24">
              <w:t xml:space="preserve"> vazamento, em sua maioria, microvazamentos com</w:t>
            </w:r>
          </w:p>
          <w:p w:rsidR="00404B24" w:rsidRPr="00404B24" w:rsidRDefault="00404B24" w:rsidP="00404B24">
            <w:pPr>
              <w:ind w:left="130" w:right="125"/>
              <w:jc w:val="both"/>
            </w:pPr>
            <w:proofErr w:type="gramStart"/>
            <w:r w:rsidRPr="00404B24">
              <w:t>vazão</w:t>
            </w:r>
            <w:proofErr w:type="gramEnd"/>
            <w:r w:rsidRPr="00404B24">
              <w:t xml:space="preserve"> da ordem de 5g/h, como já citado;</w:t>
            </w:r>
          </w:p>
          <w:p w:rsidR="00404B24" w:rsidRPr="00404B24" w:rsidRDefault="00404B24" w:rsidP="00404B24">
            <w:pPr>
              <w:ind w:left="130" w:right="125"/>
              <w:jc w:val="both"/>
            </w:pPr>
            <w:r w:rsidRPr="00404B24">
              <w:t xml:space="preserve">• Segundo estes dados, cerca de 30% das revendas </w:t>
            </w:r>
            <w:proofErr w:type="gramStart"/>
            <w:r w:rsidRPr="00404B24">
              <w:t>do</w:t>
            </w:r>
            <w:proofErr w:type="gramEnd"/>
          </w:p>
          <w:p w:rsidR="00404B24" w:rsidRPr="00404B24" w:rsidRDefault="00404B24" w:rsidP="00404B24">
            <w:pPr>
              <w:ind w:left="130" w:right="125"/>
              <w:jc w:val="both"/>
            </w:pPr>
            <w:r w:rsidRPr="00404B24">
              <w:t>Brasil (revendas classe I)</w:t>
            </w:r>
            <w:proofErr w:type="gramStart"/>
            <w:r w:rsidRPr="00404B24">
              <w:t>, recebem</w:t>
            </w:r>
            <w:proofErr w:type="gramEnd"/>
            <w:r w:rsidRPr="00404B24">
              <w:t>, na média estatística,</w:t>
            </w:r>
          </w:p>
          <w:p w:rsidR="00404B24" w:rsidRPr="00404B24" w:rsidRDefault="00404B24" w:rsidP="00404B24">
            <w:pPr>
              <w:ind w:left="130" w:right="125"/>
              <w:jc w:val="both"/>
            </w:pPr>
            <w:proofErr w:type="gramStart"/>
            <w:r w:rsidRPr="00404B24">
              <w:t>1</w:t>
            </w:r>
            <w:proofErr w:type="gramEnd"/>
            <w:r w:rsidRPr="00404B24">
              <w:t xml:space="preserve"> botijão a cada 5 pedidos completos, 37% das revendas</w:t>
            </w:r>
          </w:p>
          <w:p w:rsidR="00404B24" w:rsidRPr="00404B24" w:rsidRDefault="00404B24" w:rsidP="00404B24">
            <w:pPr>
              <w:ind w:left="130" w:right="125"/>
              <w:jc w:val="both"/>
            </w:pPr>
            <w:proofErr w:type="gramStart"/>
            <w:r w:rsidRPr="00404B24">
              <w:t>do</w:t>
            </w:r>
            <w:proofErr w:type="gramEnd"/>
            <w:r w:rsidRPr="00404B24">
              <w:t xml:space="preserve"> Brasil são classe II, estas recebem, em média, 1 botijão</w:t>
            </w:r>
          </w:p>
          <w:p w:rsidR="00404B24" w:rsidRPr="00404B24" w:rsidRDefault="00404B24" w:rsidP="00404B24">
            <w:pPr>
              <w:ind w:left="130" w:right="125"/>
              <w:jc w:val="both"/>
            </w:pPr>
            <w:proofErr w:type="gramStart"/>
            <w:r w:rsidRPr="00404B24">
              <w:t>com</w:t>
            </w:r>
            <w:proofErr w:type="gramEnd"/>
            <w:r w:rsidRPr="00404B24">
              <w:t xml:space="preserve"> vazamento a cada 2 pedidos; e</w:t>
            </w:r>
          </w:p>
          <w:p w:rsidR="00404B24" w:rsidRPr="00404B24" w:rsidRDefault="00404B24" w:rsidP="00404B24">
            <w:pPr>
              <w:ind w:left="130" w:right="125"/>
              <w:jc w:val="both"/>
            </w:pPr>
            <w:r w:rsidRPr="00404B24">
              <w:t>• A frequência de ocorrências também é um fator</w:t>
            </w:r>
          </w:p>
          <w:p w:rsidR="00404B24" w:rsidRPr="00404B24" w:rsidRDefault="00404B24" w:rsidP="00404B24">
            <w:pPr>
              <w:ind w:left="130" w:right="125"/>
              <w:jc w:val="both"/>
            </w:pPr>
            <w:proofErr w:type="gramStart"/>
            <w:r w:rsidRPr="00404B24">
              <w:t>importante</w:t>
            </w:r>
            <w:proofErr w:type="gramEnd"/>
            <w:r w:rsidRPr="00404B24">
              <w:t xml:space="preserve"> a ser considerado no momento de definir</w:t>
            </w:r>
          </w:p>
          <w:p w:rsidR="00404B24" w:rsidRPr="00404B24" w:rsidRDefault="00404B24" w:rsidP="00404B24">
            <w:pPr>
              <w:ind w:left="130" w:right="125"/>
              <w:jc w:val="both"/>
            </w:pPr>
            <w:proofErr w:type="gramStart"/>
            <w:r w:rsidRPr="00404B24">
              <w:t>probabilidade</w:t>
            </w:r>
            <w:proofErr w:type="gramEnd"/>
            <w:r w:rsidRPr="00404B24">
              <w:t xml:space="preserve"> de riscos. O Corpo de Bombeiros do Estado de São Paulo, que abriga 17% das revendas do Brasil,</w:t>
            </w:r>
            <w:r w:rsidR="00267C37">
              <w:t xml:space="preserve"> </w:t>
            </w:r>
            <w:r w:rsidRPr="00404B24">
              <w:t>informou através de resposta a solicitação de</w:t>
            </w:r>
            <w:r w:rsidR="00267C37">
              <w:t xml:space="preserve"> </w:t>
            </w:r>
            <w:r w:rsidRPr="00404B24">
              <w:t>informações, que não há ocorrência de incêndios em</w:t>
            </w:r>
            <w:r w:rsidR="00267C37">
              <w:t xml:space="preserve"> </w:t>
            </w:r>
            <w:r w:rsidRPr="00404B24">
              <w:t>Revendas de GLP, pelo menos, desde o ano de 2014, isto</w:t>
            </w:r>
            <w:r w:rsidR="00267C37">
              <w:t xml:space="preserve"> </w:t>
            </w:r>
            <w:r w:rsidRPr="00404B24">
              <w:t xml:space="preserve">também é fato para Distribuidoras de </w:t>
            </w:r>
            <w:r w:rsidRPr="00404B24">
              <w:lastRenderedPageBreak/>
              <w:t>GLP.</w:t>
            </w:r>
          </w:p>
          <w:p w:rsidR="00404B24" w:rsidRDefault="00404B24" w:rsidP="00404B24">
            <w:pPr>
              <w:ind w:left="130" w:right="125"/>
              <w:jc w:val="both"/>
            </w:pPr>
            <w:r w:rsidRPr="00404B24">
              <w:t>O Estudo Técnico apresentado anexo</w:t>
            </w:r>
            <w:r w:rsidRPr="00267C37">
              <w:rPr>
                <w:vertAlign w:val="superscript"/>
              </w:rPr>
              <w:t>4</w:t>
            </w:r>
            <w:r w:rsidRPr="00404B24">
              <w:t xml:space="preserve"> a esta proposta avalia</w:t>
            </w:r>
            <w:r w:rsidR="00267C37">
              <w:t xml:space="preserve"> </w:t>
            </w:r>
            <w:r w:rsidRPr="00404B24">
              <w:t>os riscos que os requisitos da legislação se propõem a</w:t>
            </w:r>
            <w:r w:rsidR="00267C37">
              <w:t xml:space="preserve"> </w:t>
            </w:r>
            <w:r w:rsidRPr="00404B24">
              <w:t>prevenir, e sugere níveis de ação. Riscos intoleráveis e</w:t>
            </w:r>
            <w:r w:rsidR="00267C37">
              <w:t xml:space="preserve"> </w:t>
            </w:r>
            <w:r w:rsidRPr="00404B24">
              <w:t>substanciais, como demonstra o Estudo técnico, merecem</w:t>
            </w:r>
            <w:r w:rsidR="00267C37">
              <w:t xml:space="preserve"> </w:t>
            </w:r>
            <w:r w:rsidRPr="00404B24">
              <w:t>uma intervenção para interdição e apreensão de bens, porém</w:t>
            </w:r>
            <w:r w:rsidR="00267C37">
              <w:t xml:space="preserve"> </w:t>
            </w:r>
            <w:r w:rsidRPr="00404B24">
              <w:t>riscos avaliados como moderados, toleráveis e triviais,</w:t>
            </w:r>
            <w:r w:rsidR="00267C37">
              <w:t xml:space="preserve"> </w:t>
            </w:r>
            <w:r w:rsidRPr="00404B24">
              <w:t>podem ser alvo de Medidas Reparadoras.</w:t>
            </w:r>
          </w:p>
          <w:p w:rsidR="00267C37" w:rsidRDefault="00267C37" w:rsidP="00404B24">
            <w:pPr>
              <w:ind w:left="130" w:right="125"/>
              <w:jc w:val="both"/>
            </w:pPr>
          </w:p>
          <w:p w:rsidR="00267C37" w:rsidRDefault="00267C37" w:rsidP="00404B24">
            <w:pPr>
              <w:ind w:left="130" w:right="125"/>
              <w:jc w:val="both"/>
            </w:pPr>
            <w:proofErr w:type="gramStart"/>
            <w:r w:rsidRPr="00267C37">
              <w:rPr>
                <w:sz w:val="13"/>
                <w:szCs w:val="13"/>
                <w:vertAlign w:val="superscript"/>
              </w:rPr>
              <w:t>4</w:t>
            </w:r>
            <w:proofErr w:type="gramEnd"/>
            <w:r>
              <w:rPr>
                <w:sz w:val="13"/>
                <w:szCs w:val="13"/>
              </w:rPr>
              <w:t xml:space="preserve"> </w:t>
            </w:r>
            <w:r>
              <w:t>ESTUDO TÉCNICO DE AVALIAÇÃO DE RISCOS DA LEGISLAÇÃO DO GLP</w:t>
            </w:r>
          </w:p>
          <w:p w:rsidR="00267C37" w:rsidRDefault="00267C37" w:rsidP="00404B24">
            <w:pPr>
              <w:ind w:left="130" w:right="125"/>
              <w:jc w:val="both"/>
            </w:pPr>
          </w:p>
          <w:p w:rsidR="00404B24" w:rsidRPr="00404B24" w:rsidRDefault="00404B24" w:rsidP="00267C37">
            <w:pPr>
              <w:ind w:left="130" w:right="125"/>
              <w:jc w:val="both"/>
            </w:pPr>
            <w:r w:rsidRPr="00404B24">
              <w:t>Os requisitos que não são de segurança, mas são de</w:t>
            </w:r>
            <w:r w:rsidR="00267C37">
              <w:t xml:space="preserve"> </w:t>
            </w:r>
            <w:r w:rsidRPr="00404B24">
              <w:t>qualidade ou de proteção do consumidor, foram avaliados</w:t>
            </w:r>
            <w:r w:rsidR="00267C37">
              <w:t xml:space="preserve"> </w:t>
            </w:r>
            <w:r w:rsidRPr="00404B24">
              <w:t>considerando o impacto para a sociedade.</w:t>
            </w:r>
          </w:p>
        </w:tc>
      </w:tr>
      <w:tr w:rsidR="00BB54A7" w:rsidRPr="00BE5899" w:rsidTr="00BB54A7">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BB54A7" w:rsidRPr="00BE5899" w:rsidRDefault="00BB54A7" w:rsidP="00737691">
            <w:pPr>
              <w:rPr>
                <w:b/>
              </w:rPr>
            </w:pPr>
            <w:r w:rsidRPr="00BB54A7">
              <w:rPr>
                <w:b/>
              </w:rPr>
              <w:lastRenderedPageBreak/>
              <w:t>SIMEPETRO</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B54A7" w:rsidRPr="006E4D96" w:rsidRDefault="00BB54A7" w:rsidP="00BB54A7">
            <w:pPr>
              <w:rPr>
                <w:rFonts w:ascii="Arial" w:hAnsi="Arial" w:cs="Arial"/>
                <w:b/>
                <w:bCs/>
                <w:sz w:val="19"/>
                <w:szCs w:val="19"/>
              </w:rPr>
            </w:pPr>
            <w:r w:rsidRPr="00BB54A7">
              <w:rPr>
                <w:b/>
              </w:rPr>
              <w:t>Artigo 16</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B54A7" w:rsidRPr="006E4D96" w:rsidRDefault="00BB54A7" w:rsidP="00BB54A7">
            <w:pPr>
              <w:autoSpaceDE w:val="0"/>
              <w:autoSpaceDN w:val="0"/>
              <w:adjustRightInd w:val="0"/>
              <w:rPr>
                <w:rFonts w:ascii="Arial" w:hAnsi="Arial" w:cs="Arial"/>
                <w:sz w:val="19"/>
                <w:szCs w:val="19"/>
              </w:rPr>
            </w:pPr>
            <w:r w:rsidRPr="00BB54A7">
              <w:t>V – caput, incisos e parágrafos do artigo 12 da Resolução ANP nº 22/2014.</w:t>
            </w: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rsidR="00BB54A7" w:rsidRPr="006E4D96" w:rsidRDefault="00BB54A7" w:rsidP="00BB54A7">
            <w:pPr>
              <w:spacing w:before="120"/>
              <w:ind w:left="130" w:right="125"/>
              <w:jc w:val="both"/>
              <w:rPr>
                <w:rFonts w:ascii="Arial" w:hAnsi="Arial" w:cs="Arial"/>
                <w:sz w:val="19"/>
                <w:szCs w:val="19"/>
              </w:rPr>
            </w:pPr>
            <w:r w:rsidRPr="00BB54A7">
              <w:t>Por medida de isonomia entre os agentes de mercado regulados pela ANP e por não se tratar de conduta caracterizada por vício de qualidade, quantidade ou segurança, mas sim de infração de pequeno potencial lesivo, o artigo 12 da RANP nº 22/2014, que trata sobre as informações que devem constar nos rótulos de óleos lubrificantes acabados, deverá ser incluído como passível de correção (adequação do rótulo com informação faltante ou incorreta no prazo fixado) mediante o instituto das MRC na RANP nº 32/2012.</w:t>
            </w:r>
          </w:p>
        </w:tc>
      </w:tr>
      <w:tr w:rsidR="005E7D2F"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5E7D2F" w:rsidRPr="00BE5899" w:rsidRDefault="00BB54A7" w:rsidP="004137AA">
            <w:pPr>
              <w:rPr>
                <w:b/>
              </w:rPr>
            </w:pPr>
            <w:r w:rsidRPr="00BB54A7">
              <w:rPr>
                <w:b/>
              </w:rPr>
              <w:t>SIMEPETRO</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5E7D2F" w:rsidRPr="00737691" w:rsidRDefault="00BB54A7" w:rsidP="004137AA">
            <w:pPr>
              <w:rPr>
                <w:rFonts w:ascii="Arial-BoldMT" w:hAnsi="Arial-BoldMT" w:cs="Arial-BoldMT"/>
                <w:b/>
                <w:bCs/>
              </w:rPr>
            </w:pPr>
            <w:r w:rsidRPr="00BB54A7">
              <w:rPr>
                <w:b/>
              </w:rPr>
              <w:t>Artigo 16</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B54A7" w:rsidRPr="00BB54A7" w:rsidRDefault="00BB54A7" w:rsidP="00BB54A7">
            <w:pPr>
              <w:autoSpaceDE w:val="0"/>
              <w:autoSpaceDN w:val="0"/>
              <w:adjustRightInd w:val="0"/>
            </w:pPr>
            <w:r w:rsidRPr="00BB54A7">
              <w:t>Subsidiário:</w:t>
            </w:r>
          </w:p>
          <w:p w:rsidR="005E7D2F" w:rsidRPr="004137AA" w:rsidRDefault="00BB54A7" w:rsidP="00BB54A7">
            <w:pPr>
              <w:autoSpaceDE w:val="0"/>
              <w:autoSpaceDN w:val="0"/>
              <w:adjustRightInd w:val="0"/>
            </w:pPr>
            <w:r w:rsidRPr="00BB54A7">
              <w:t>V – Caput, incisos V a XVII e parágrafos do artigo 12 da Resolução ANP nº</w:t>
            </w:r>
            <w:r>
              <w:t xml:space="preserve"> </w:t>
            </w:r>
            <w:proofErr w:type="gramStart"/>
            <w:r w:rsidRPr="00BB54A7">
              <w:t>22/2014</w:t>
            </w:r>
            <w:proofErr w:type="gramEnd"/>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B54A7" w:rsidRPr="00BB54A7" w:rsidRDefault="00BB54A7" w:rsidP="001F3F1D">
            <w:pPr>
              <w:ind w:left="130" w:right="125"/>
            </w:pPr>
            <w:r w:rsidRPr="00BB54A7">
              <w:t>Pedido subsidiário ao listado acima, caso se entenda que as</w:t>
            </w:r>
            <w:r>
              <w:t xml:space="preserve"> </w:t>
            </w:r>
            <w:r w:rsidRPr="00BB54A7">
              <w:t xml:space="preserve">informações constantes nos incisos I a IV do artigo 12 da </w:t>
            </w:r>
            <w:proofErr w:type="gramStart"/>
            <w:r w:rsidRPr="00BB54A7">
              <w:t>RANP</w:t>
            </w:r>
            <w:proofErr w:type="gramEnd"/>
          </w:p>
          <w:p w:rsidR="005E7D2F" w:rsidRPr="00BE5899" w:rsidRDefault="00BB54A7" w:rsidP="001F3F1D">
            <w:pPr>
              <w:ind w:left="130" w:right="125"/>
            </w:pPr>
            <w:proofErr w:type="gramStart"/>
            <w:r w:rsidRPr="00BB54A7">
              <w:t>nº</w:t>
            </w:r>
            <w:proofErr w:type="gramEnd"/>
            <w:r w:rsidRPr="00BB54A7">
              <w:t xml:space="preserve"> 22/2014 contemplem as informações relevantes e</w:t>
            </w:r>
            <w:r>
              <w:t xml:space="preserve"> </w:t>
            </w:r>
            <w:proofErr w:type="spellStart"/>
            <w:r w:rsidRPr="00BB54A7">
              <w:t>inafastáveis</w:t>
            </w:r>
            <w:proofErr w:type="spellEnd"/>
            <w:r w:rsidRPr="00BB54A7">
              <w:t xml:space="preserve"> para o consumidor (natureza do produto, grau de</w:t>
            </w:r>
            <w:r>
              <w:t xml:space="preserve"> </w:t>
            </w:r>
            <w:r w:rsidRPr="00BB54A7">
              <w:t>viscosidade, nível de desempenho e dosagem).</w:t>
            </w:r>
          </w:p>
        </w:tc>
      </w:tr>
      <w:tr w:rsidR="005E7D2F"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5E7D2F" w:rsidRPr="00BE5899" w:rsidRDefault="00627B60" w:rsidP="004137AA">
            <w:pPr>
              <w:rPr>
                <w:b/>
              </w:rPr>
            </w:pPr>
            <w:r w:rsidRPr="00BB54A7">
              <w:rPr>
                <w:b/>
              </w:rPr>
              <w:t>SIMEPETRO</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5E7D2F" w:rsidRPr="00737691" w:rsidRDefault="00627B60" w:rsidP="004137AA">
            <w:pPr>
              <w:rPr>
                <w:rFonts w:ascii="Arial-BoldMT" w:hAnsi="Arial-BoldMT" w:cs="Arial-BoldMT"/>
                <w:b/>
                <w:bCs/>
              </w:rPr>
            </w:pPr>
            <w:r w:rsidRPr="00BB54A7">
              <w:rPr>
                <w:b/>
              </w:rPr>
              <w:t>Artigo 16</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B54A7" w:rsidRPr="00BB54A7" w:rsidRDefault="00BB54A7" w:rsidP="00BB54A7">
            <w:pPr>
              <w:autoSpaceDE w:val="0"/>
              <w:autoSpaceDN w:val="0"/>
              <w:adjustRightInd w:val="0"/>
            </w:pPr>
            <w:r w:rsidRPr="00BB54A7">
              <w:t xml:space="preserve">VI – Parágrafo 2º do artigo 18 da Resolução ANP nº 22/2014, no que se </w:t>
            </w:r>
            <w:proofErr w:type="gramStart"/>
            <w:r w:rsidRPr="00BB54A7">
              <w:t>refere</w:t>
            </w:r>
            <w:proofErr w:type="gramEnd"/>
          </w:p>
          <w:p w:rsidR="00BB54A7" w:rsidRPr="00BB54A7" w:rsidRDefault="00BB54A7" w:rsidP="00BB54A7">
            <w:pPr>
              <w:autoSpaceDE w:val="0"/>
              <w:autoSpaceDN w:val="0"/>
              <w:adjustRightInd w:val="0"/>
            </w:pPr>
            <w:proofErr w:type="gramStart"/>
            <w:r w:rsidRPr="00BB54A7">
              <w:t>a</w:t>
            </w:r>
            <w:proofErr w:type="gramEnd"/>
            <w:r w:rsidRPr="00BB54A7">
              <w:t xml:space="preserve"> infrações relativas a não conformidade do óleo lubrificante acabado em</w:t>
            </w:r>
          </w:p>
          <w:p w:rsidR="00BB54A7" w:rsidRPr="00BB54A7" w:rsidRDefault="00BB54A7" w:rsidP="00BB54A7">
            <w:pPr>
              <w:autoSpaceDE w:val="0"/>
              <w:autoSpaceDN w:val="0"/>
              <w:adjustRightInd w:val="0"/>
            </w:pPr>
            <w:proofErr w:type="gramStart"/>
            <w:r w:rsidRPr="00BB54A7">
              <w:t>relação</w:t>
            </w:r>
            <w:proofErr w:type="gramEnd"/>
            <w:r w:rsidRPr="00BB54A7">
              <w:t xml:space="preserve"> ao registro mantido perante a ANP.</w:t>
            </w:r>
          </w:p>
          <w:p w:rsidR="005E7D2F" w:rsidRPr="004137AA" w:rsidRDefault="005E7D2F" w:rsidP="00BB54A7">
            <w:pPr>
              <w:pStyle w:val="Default"/>
              <w:jc w:val="both"/>
              <w:rPr>
                <w:rFonts w:ascii="Times New Roman" w:hAnsi="Times New Roman" w:cs="Times New Roman"/>
                <w:color w:val="auto"/>
                <w:sz w:val="20"/>
                <w:szCs w:val="20"/>
              </w:rPr>
            </w:pPr>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B54A7" w:rsidRPr="00BB54A7" w:rsidRDefault="00BB54A7" w:rsidP="00BB54A7">
            <w:pPr>
              <w:ind w:left="130" w:right="125"/>
              <w:jc w:val="both"/>
            </w:pPr>
            <w:r w:rsidRPr="00BB54A7">
              <w:t>A não conformidade do óleo lubrificante acabado em relação ao</w:t>
            </w:r>
          </w:p>
          <w:p w:rsidR="00BB54A7" w:rsidRPr="00BB54A7" w:rsidRDefault="00BB54A7" w:rsidP="00BB54A7">
            <w:pPr>
              <w:ind w:left="130" w:right="125"/>
              <w:jc w:val="both"/>
            </w:pPr>
            <w:proofErr w:type="gramStart"/>
            <w:r w:rsidRPr="00BB54A7">
              <w:t>registro</w:t>
            </w:r>
            <w:proofErr w:type="gramEnd"/>
            <w:r w:rsidRPr="00BB54A7">
              <w:t xml:space="preserve"> mantido perante a ANP, hipótese em que o produto não</w:t>
            </w:r>
          </w:p>
          <w:p w:rsidR="00BB54A7" w:rsidRPr="00BB54A7" w:rsidRDefault="00BB54A7" w:rsidP="00BB54A7">
            <w:pPr>
              <w:ind w:left="130" w:right="125"/>
              <w:jc w:val="both"/>
            </w:pPr>
            <w:proofErr w:type="gramStart"/>
            <w:r w:rsidRPr="00BB54A7">
              <w:t>se</w:t>
            </w:r>
            <w:proofErr w:type="gramEnd"/>
            <w:r w:rsidRPr="00BB54A7">
              <w:t xml:space="preserve"> torna impróprio para o consumo, é conduta que não possui</w:t>
            </w:r>
          </w:p>
          <w:p w:rsidR="00BB54A7" w:rsidRPr="00BB54A7" w:rsidRDefault="00BB54A7" w:rsidP="00BB54A7">
            <w:pPr>
              <w:ind w:left="130" w:right="125"/>
              <w:jc w:val="both"/>
            </w:pPr>
            <w:proofErr w:type="gramStart"/>
            <w:r w:rsidRPr="00BB54A7">
              <w:t>natureza</w:t>
            </w:r>
            <w:proofErr w:type="gramEnd"/>
            <w:r w:rsidRPr="00BB54A7">
              <w:t xml:space="preserve"> de vício de qualidade, quantidade ou segurança, mas</w:t>
            </w:r>
          </w:p>
          <w:p w:rsidR="00BB54A7" w:rsidRPr="00BB54A7" w:rsidRDefault="00BB54A7" w:rsidP="00BB54A7">
            <w:pPr>
              <w:ind w:left="130" w:right="125"/>
              <w:jc w:val="both"/>
            </w:pPr>
            <w:proofErr w:type="gramStart"/>
            <w:r w:rsidRPr="00BB54A7">
              <w:t>sim</w:t>
            </w:r>
            <w:proofErr w:type="gramEnd"/>
            <w:r w:rsidRPr="00BB54A7">
              <w:t xml:space="preserve"> uma infração de pequeno potencial lesivo, formal e</w:t>
            </w:r>
          </w:p>
          <w:p w:rsidR="00BB54A7" w:rsidRPr="00BB54A7" w:rsidRDefault="00BB54A7" w:rsidP="00BB54A7">
            <w:pPr>
              <w:ind w:left="130" w:right="125"/>
              <w:jc w:val="both"/>
            </w:pPr>
            <w:proofErr w:type="gramStart"/>
            <w:r w:rsidRPr="00BB54A7">
              <w:t>documental</w:t>
            </w:r>
            <w:proofErr w:type="gramEnd"/>
            <w:r w:rsidRPr="00BB54A7">
              <w:t>, de modo a comportar a correção (submeter à ANP,</w:t>
            </w:r>
          </w:p>
          <w:p w:rsidR="00BB54A7" w:rsidRPr="00BB54A7" w:rsidRDefault="00BB54A7" w:rsidP="00BB54A7">
            <w:pPr>
              <w:ind w:left="130" w:right="125"/>
              <w:jc w:val="both"/>
            </w:pPr>
            <w:proofErr w:type="gramStart"/>
            <w:r w:rsidRPr="00BB54A7">
              <w:t>no</w:t>
            </w:r>
            <w:proofErr w:type="gramEnd"/>
            <w:r w:rsidRPr="00BB54A7">
              <w:t xml:space="preserve"> prazo assinalado e nos termos do artigo 10 da RANP nº</w:t>
            </w:r>
            <w:r>
              <w:t xml:space="preserve"> </w:t>
            </w:r>
            <w:r w:rsidRPr="00BB54A7">
              <w:t>22/2014, solicitação de inclusão de formulação alternativa)</w:t>
            </w:r>
          </w:p>
          <w:p w:rsidR="005E7D2F" w:rsidRPr="00BE5899" w:rsidRDefault="00BB54A7" w:rsidP="00BB54A7">
            <w:pPr>
              <w:ind w:left="130" w:right="125"/>
              <w:jc w:val="both"/>
            </w:pPr>
            <w:proofErr w:type="gramStart"/>
            <w:r w:rsidRPr="00BB54A7">
              <w:t>mediante</w:t>
            </w:r>
            <w:proofErr w:type="gramEnd"/>
            <w:r w:rsidRPr="00BB54A7">
              <w:t xml:space="preserve"> o instituto das MRC previsto RANP nº 32/2012.</w:t>
            </w:r>
          </w:p>
        </w:tc>
      </w:tr>
      <w:tr w:rsidR="005E7D2F"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5E7D2F" w:rsidRPr="00BE5899" w:rsidRDefault="00627B60" w:rsidP="00BB54A7">
            <w:pPr>
              <w:rPr>
                <w:b/>
              </w:rPr>
            </w:pPr>
            <w:r w:rsidRPr="00BB54A7">
              <w:rPr>
                <w:b/>
              </w:rPr>
              <w:t>SIMEPETRO</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5E7D2F" w:rsidRPr="00737691" w:rsidRDefault="00627B60" w:rsidP="00BB54A7">
            <w:pPr>
              <w:rPr>
                <w:rFonts w:ascii="Arial-BoldMT" w:hAnsi="Arial-BoldMT" w:cs="Arial-BoldMT"/>
                <w:b/>
                <w:bCs/>
              </w:rPr>
            </w:pPr>
            <w:r w:rsidRPr="00BB54A7">
              <w:rPr>
                <w:b/>
              </w:rPr>
              <w:t>Artigo 16</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5E7D2F" w:rsidRPr="004137AA" w:rsidRDefault="00BB54A7" w:rsidP="00BB54A7">
            <w:pPr>
              <w:autoSpaceDE w:val="0"/>
              <w:autoSpaceDN w:val="0"/>
              <w:adjustRightInd w:val="0"/>
            </w:pPr>
            <w:r w:rsidRPr="00BB54A7">
              <w:t xml:space="preserve">VII – Artigo 26, III e 27 da Resolução ANP nº </w:t>
            </w:r>
            <w:proofErr w:type="gramStart"/>
            <w:r w:rsidRPr="00BB54A7">
              <w:t>18/2009</w:t>
            </w:r>
            <w:proofErr w:type="gramEnd"/>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B54A7" w:rsidRPr="00BB54A7" w:rsidRDefault="00BB54A7" w:rsidP="00BB54A7">
            <w:pPr>
              <w:ind w:left="130" w:right="125"/>
              <w:jc w:val="both"/>
            </w:pPr>
            <w:r w:rsidRPr="00BB54A7">
              <w:t>O atraso no envio ou envio de informações equivocadas de</w:t>
            </w:r>
          </w:p>
          <w:p w:rsidR="005E7D2F" w:rsidRPr="00BE5899" w:rsidRDefault="00BB54A7" w:rsidP="00BB54A7">
            <w:pPr>
              <w:ind w:left="130" w:right="125"/>
              <w:jc w:val="both"/>
            </w:pPr>
            <w:proofErr w:type="gramStart"/>
            <w:r w:rsidRPr="00BB54A7">
              <w:t>movimentação</w:t>
            </w:r>
            <w:proofErr w:type="gramEnd"/>
            <w:r w:rsidRPr="00BB54A7">
              <w:t xml:space="preserve"> de produtos através do SIMP caracteriza</w:t>
            </w:r>
            <w:r>
              <w:t xml:space="preserve"> </w:t>
            </w:r>
            <w:r w:rsidRPr="00BB54A7">
              <w:t xml:space="preserve">infração </w:t>
            </w:r>
            <w:r w:rsidRPr="00BB54A7">
              <w:lastRenderedPageBreak/>
              <w:t>de pequeno potencial lesivo e que em nada importa em</w:t>
            </w:r>
            <w:r>
              <w:t xml:space="preserve"> </w:t>
            </w:r>
            <w:r w:rsidRPr="00BB54A7">
              <w:t>vício de qualidade, quantidade ou segurança para o consumidor</w:t>
            </w:r>
            <w:r>
              <w:t xml:space="preserve"> </w:t>
            </w:r>
            <w:r w:rsidRPr="00BB54A7">
              <w:t>ou para a Agência, devendo estar sujeito a correção (mediante</w:t>
            </w:r>
            <w:r>
              <w:t xml:space="preserve"> </w:t>
            </w:r>
            <w:r w:rsidRPr="00BB54A7">
              <w:t>a remessa ou alteração das movimentações dentro do prazo</w:t>
            </w:r>
            <w:r>
              <w:t xml:space="preserve"> </w:t>
            </w:r>
            <w:r w:rsidRPr="00BB54A7">
              <w:t>assinalado) mediante o instituto das MRC previsto na RANP nº</w:t>
            </w:r>
            <w:r>
              <w:t xml:space="preserve"> </w:t>
            </w:r>
            <w:r w:rsidRPr="00BB54A7">
              <w:t>32/2012.</w:t>
            </w:r>
          </w:p>
        </w:tc>
      </w:tr>
      <w:tr w:rsidR="005E7D2F" w:rsidRPr="00BE5899" w:rsidTr="005E7D2F">
        <w:trPr>
          <w:trHeight w:val="607"/>
        </w:trPr>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rsidR="005E7D2F" w:rsidRPr="00BE5899" w:rsidRDefault="00627B60" w:rsidP="00BB54A7">
            <w:pPr>
              <w:rPr>
                <w:b/>
              </w:rPr>
            </w:pPr>
            <w:r w:rsidRPr="00BB54A7">
              <w:rPr>
                <w:b/>
              </w:rPr>
              <w:lastRenderedPageBreak/>
              <w:t>SIMEPETRO</w:t>
            </w:r>
          </w:p>
        </w:tc>
        <w:tc>
          <w:tcPr>
            <w:tcW w:w="59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5E7D2F" w:rsidRPr="00737691" w:rsidRDefault="00627B60" w:rsidP="00BB54A7">
            <w:pPr>
              <w:rPr>
                <w:rFonts w:ascii="Arial-BoldMT" w:hAnsi="Arial-BoldMT" w:cs="Arial-BoldMT"/>
                <w:b/>
                <w:bCs/>
              </w:rPr>
            </w:pPr>
            <w:r w:rsidRPr="00BB54A7">
              <w:rPr>
                <w:b/>
              </w:rPr>
              <w:t>Artigo 16</w:t>
            </w:r>
          </w:p>
        </w:tc>
        <w:tc>
          <w:tcPr>
            <w:tcW w:w="1807"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5E7D2F" w:rsidRPr="004137AA" w:rsidRDefault="00BB54A7" w:rsidP="00BB54A7">
            <w:pPr>
              <w:autoSpaceDE w:val="0"/>
              <w:autoSpaceDN w:val="0"/>
              <w:adjustRightInd w:val="0"/>
            </w:pPr>
            <w:r w:rsidRPr="00BB54A7">
              <w:t xml:space="preserve">VIII – Artigo 26, II da Resolução ANP nº </w:t>
            </w:r>
            <w:proofErr w:type="gramStart"/>
            <w:r w:rsidRPr="00BB54A7">
              <w:t>18/2009</w:t>
            </w:r>
            <w:proofErr w:type="gramEnd"/>
          </w:p>
        </w:tc>
        <w:tc>
          <w:tcPr>
            <w:tcW w:w="1952"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BB54A7" w:rsidRPr="00BB54A7" w:rsidRDefault="00BB54A7" w:rsidP="00BB54A7">
            <w:pPr>
              <w:ind w:left="130" w:right="125"/>
              <w:jc w:val="both"/>
            </w:pPr>
            <w:r w:rsidRPr="00BB54A7">
              <w:t xml:space="preserve">Nos casos de fiscalização in loco pelo agente da ANP, caso </w:t>
            </w:r>
            <w:proofErr w:type="gramStart"/>
            <w:r w:rsidRPr="00BB54A7">
              <w:t>seja</w:t>
            </w:r>
            <w:proofErr w:type="gramEnd"/>
          </w:p>
          <w:p w:rsidR="00BB54A7" w:rsidRPr="00BB54A7" w:rsidRDefault="00BB54A7" w:rsidP="00BB54A7">
            <w:pPr>
              <w:ind w:left="130" w:right="125"/>
              <w:jc w:val="both"/>
            </w:pPr>
            <w:proofErr w:type="gramStart"/>
            <w:r w:rsidRPr="00BB54A7">
              <w:t>constatada</w:t>
            </w:r>
            <w:proofErr w:type="gramEnd"/>
            <w:r w:rsidRPr="00BB54A7">
              <w:t xml:space="preserve"> a realização de alteração na instalação do produtor</w:t>
            </w:r>
          </w:p>
          <w:p w:rsidR="00BB54A7" w:rsidRPr="00BB54A7" w:rsidRDefault="00BB54A7" w:rsidP="00BB54A7">
            <w:pPr>
              <w:ind w:left="130" w:right="125"/>
              <w:jc w:val="both"/>
            </w:pPr>
            <w:proofErr w:type="gramStart"/>
            <w:r w:rsidRPr="00BB54A7">
              <w:t>de</w:t>
            </w:r>
            <w:proofErr w:type="gramEnd"/>
            <w:r w:rsidRPr="00BB54A7">
              <w:t xml:space="preserve"> óleo lubrificante acabado sem a autorização previa da ANP,</w:t>
            </w:r>
          </w:p>
          <w:p w:rsidR="00BB54A7" w:rsidRPr="00BB54A7" w:rsidRDefault="00BB54A7" w:rsidP="00BB54A7">
            <w:pPr>
              <w:ind w:left="130" w:right="125"/>
              <w:jc w:val="both"/>
            </w:pPr>
            <w:proofErr w:type="gramStart"/>
            <w:r w:rsidRPr="00BB54A7">
              <w:t>sugere</w:t>
            </w:r>
            <w:proofErr w:type="gramEnd"/>
            <w:r w:rsidRPr="00BB54A7">
              <w:t>-se a inclusão de MRC na RANP nº 32/2012 no sentido</w:t>
            </w:r>
          </w:p>
          <w:p w:rsidR="005E7D2F" w:rsidRPr="00BE5899" w:rsidRDefault="00BB54A7" w:rsidP="003B35A6">
            <w:pPr>
              <w:ind w:left="130" w:right="125"/>
              <w:jc w:val="both"/>
            </w:pPr>
            <w:proofErr w:type="gramStart"/>
            <w:r w:rsidRPr="00BB54A7">
              <w:t>de</w:t>
            </w:r>
            <w:proofErr w:type="gramEnd"/>
            <w:r w:rsidRPr="00BB54A7">
              <w:t xml:space="preserve"> permitir ao agente de mercado, no prazo assinalado,</w:t>
            </w:r>
            <w:r w:rsidR="003B35A6">
              <w:t xml:space="preserve"> </w:t>
            </w:r>
            <w:r w:rsidRPr="00BB54A7">
              <w:t>comprovar que as alterações não acarretaram em modificação</w:t>
            </w:r>
            <w:r w:rsidR="003B35A6">
              <w:t xml:space="preserve"> </w:t>
            </w:r>
            <w:r w:rsidRPr="00BB54A7">
              <w:t>da capacidade de produção ou armazenamento.</w:t>
            </w:r>
          </w:p>
        </w:tc>
      </w:tr>
    </w:tbl>
    <w:p w:rsidR="005B406C" w:rsidRPr="00BE5899" w:rsidRDefault="005B406C" w:rsidP="00F23F35"/>
    <w:sectPr w:rsidR="005B406C" w:rsidRPr="00BE5899" w:rsidSect="00CF534B">
      <w:pgSz w:w="16840" w:h="11907" w:orient="landscape" w:code="9"/>
      <w:pgMar w:top="1418" w:right="1418"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84B" w:rsidRDefault="0029584B" w:rsidP="0072704D">
      <w:r>
        <w:separator/>
      </w:r>
    </w:p>
  </w:endnote>
  <w:endnote w:type="continuationSeparator" w:id="0">
    <w:p w:rsidR="0029584B" w:rsidRDefault="0029584B" w:rsidP="007270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84B" w:rsidRDefault="0029584B" w:rsidP="0072704D">
      <w:r>
        <w:separator/>
      </w:r>
    </w:p>
  </w:footnote>
  <w:footnote w:type="continuationSeparator" w:id="0">
    <w:p w:rsidR="0029584B" w:rsidRDefault="0029584B" w:rsidP="0072704D">
      <w:r>
        <w:continuationSeparator/>
      </w:r>
    </w:p>
  </w:footnote>
  <w:footnote w:id="1">
    <w:p w:rsidR="00614DE2" w:rsidRDefault="00614DE2">
      <w:pPr>
        <w:pStyle w:val="Textodenotaderodap"/>
      </w:pPr>
      <w:r>
        <w:rPr>
          <w:rStyle w:val="Refdenotaderodap"/>
        </w:rPr>
        <w:footnoteRef/>
      </w:r>
      <w:r>
        <w:t xml:space="preserve"> </w:t>
      </w:r>
      <w:r>
        <w:rPr>
          <w:i/>
          <w:iCs/>
          <w:lang w:eastAsia="en-US"/>
        </w:rPr>
        <w:t>O GLP só explode quando em proporções de 1:9 com ar atmosférico e em confinamento de espaço, caso contrário quanto ao confinamento, ele é apenas inflamável.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56CEE"/>
    <w:multiLevelType w:val="hybridMultilevel"/>
    <w:tmpl w:val="D142826A"/>
    <w:lvl w:ilvl="0" w:tplc="DCE24EB4">
      <w:start w:val="1"/>
      <w:numFmt w:val="upperRoman"/>
      <w:lvlText w:val="%1-"/>
      <w:lvlJc w:val="left"/>
      <w:pPr>
        <w:ind w:left="906" w:hanging="720"/>
      </w:pPr>
      <w:rPr>
        <w:rFonts w:hint="default"/>
      </w:rPr>
    </w:lvl>
    <w:lvl w:ilvl="1" w:tplc="04160019" w:tentative="1">
      <w:start w:val="1"/>
      <w:numFmt w:val="lowerLetter"/>
      <w:lvlText w:val="%2."/>
      <w:lvlJc w:val="left"/>
      <w:pPr>
        <w:ind w:left="1266" w:hanging="360"/>
      </w:pPr>
    </w:lvl>
    <w:lvl w:ilvl="2" w:tplc="0416001B" w:tentative="1">
      <w:start w:val="1"/>
      <w:numFmt w:val="lowerRoman"/>
      <w:lvlText w:val="%3."/>
      <w:lvlJc w:val="right"/>
      <w:pPr>
        <w:ind w:left="1986" w:hanging="180"/>
      </w:pPr>
    </w:lvl>
    <w:lvl w:ilvl="3" w:tplc="0416000F" w:tentative="1">
      <w:start w:val="1"/>
      <w:numFmt w:val="decimal"/>
      <w:lvlText w:val="%4."/>
      <w:lvlJc w:val="left"/>
      <w:pPr>
        <w:ind w:left="2706" w:hanging="360"/>
      </w:pPr>
    </w:lvl>
    <w:lvl w:ilvl="4" w:tplc="04160019" w:tentative="1">
      <w:start w:val="1"/>
      <w:numFmt w:val="lowerLetter"/>
      <w:lvlText w:val="%5."/>
      <w:lvlJc w:val="left"/>
      <w:pPr>
        <w:ind w:left="3426" w:hanging="360"/>
      </w:pPr>
    </w:lvl>
    <w:lvl w:ilvl="5" w:tplc="0416001B" w:tentative="1">
      <w:start w:val="1"/>
      <w:numFmt w:val="lowerRoman"/>
      <w:lvlText w:val="%6."/>
      <w:lvlJc w:val="right"/>
      <w:pPr>
        <w:ind w:left="4146" w:hanging="180"/>
      </w:pPr>
    </w:lvl>
    <w:lvl w:ilvl="6" w:tplc="0416000F" w:tentative="1">
      <w:start w:val="1"/>
      <w:numFmt w:val="decimal"/>
      <w:lvlText w:val="%7."/>
      <w:lvlJc w:val="left"/>
      <w:pPr>
        <w:ind w:left="4866" w:hanging="360"/>
      </w:pPr>
    </w:lvl>
    <w:lvl w:ilvl="7" w:tplc="04160019" w:tentative="1">
      <w:start w:val="1"/>
      <w:numFmt w:val="lowerLetter"/>
      <w:lvlText w:val="%8."/>
      <w:lvlJc w:val="left"/>
      <w:pPr>
        <w:ind w:left="5586" w:hanging="360"/>
      </w:pPr>
    </w:lvl>
    <w:lvl w:ilvl="8" w:tplc="0416001B" w:tentative="1">
      <w:start w:val="1"/>
      <w:numFmt w:val="lowerRoman"/>
      <w:lvlText w:val="%9."/>
      <w:lvlJc w:val="right"/>
      <w:pPr>
        <w:ind w:left="6306" w:hanging="180"/>
      </w:pPr>
    </w:lvl>
  </w:abstractNum>
  <w:abstractNum w:abstractNumId="1">
    <w:nsid w:val="32010CCB"/>
    <w:multiLevelType w:val="hybridMultilevel"/>
    <w:tmpl w:val="AED48CFC"/>
    <w:lvl w:ilvl="0" w:tplc="D090C010">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43171446"/>
    <w:multiLevelType w:val="multilevel"/>
    <w:tmpl w:val="7B283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0D234FA"/>
    <w:multiLevelType w:val="hybridMultilevel"/>
    <w:tmpl w:val="D9A07C54"/>
    <w:lvl w:ilvl="0" w:tplc="41A85B80">
      <w:start w:val="1"/>
      <w:numFmt w:val="upperRoman"/>
      <w:lvlText w:val="%1-"/>
      <w:lvlJc w:val="left"/>
      <w:pPr>
        <w:ind w:left="1080" w:hanging="720"/>
      </w:pPr>
      <w:rPr>
        <w:rFonts w:eastAsia="Times New Roman"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C3167E0"/>
    <w:multiLevelType w:val="hybridMultilevel"/>
    <w:tmpl w:val="E3642D10"/>
    <w:lvl w:ilvl="0" w:tplc="41A85B80">
      <w:start w:val="1"/>
      <w:numFmt w:val="upperRoman"/>
      <w:lvlText w:val="%1-"/>
      <w:lvlJc w:val="left"/>
      <w:pPr>
        <w:ind w:left="1080" w:hanging="720"/>
      </w:pPr>
      <w:rPr>
        <w:rFonts w:eastAsia="Times New Roman"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41813C9"/>
    <w:multiLevelType w:val="multilevel"/>
    <w:tmpl w:val="DF6E21D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C742C"/>
    <w:rsid w:val="000303C4"/>
    <w:rsid w:val="0003187B"/>
    <w:rsid w:val="0003536E"/>
    <w:rsid w:val="00050F3F"/>
    <w:rsid w:val="00060C65"/>
    <w:rsid w:val="000636F2"/>
    <w:rsid w:val="0008246F"/>
    <w:rsid w:val="000873C6"/>
    <w:rsid w:val="000970AB"/>
    <w:rsid w:val="000A408D"/>
    <w:rsid w:val="000C3E3E"/>
    <w:rsid w:val="000C72BB"/>
    <w:rsid w:val="000C742C"/>
    <w:rsid w:val="000D0A15"/>
    <w:rsid w:val="000F43D7"/>
    <w:rsid w:val="00100689"/>
    <w:rsid w:val="00106BAB"/>
    <w:rsid w:val="00160164"/>
    <w:rsid w:val="00165256"/>
    <w:rsid w:val="001777B2"/>
    <w:rsid w:val="0018042E"/>
    <w:rsid w:val="0018062C"/>
    <w:rsid w:val="001B7C0C"/>
    <w:rsid w:val="001C5D32"/>
    <w:rsid w:val="001F06CE"/>
    <w:rsid w:val="001F3F1D"/>
    <w:rsid w:val="001F74A0"/>
    <w:rsid w:val="002109D6"/>
    <w:rsid w:val="0026582D"/>
    <w:rsid w:val="00267C37"/>
    <w:rsid w:val="002808DC"/>
    <w:rsid w:val="00282118"/>
    <w:rsid w:val="00287B41"/>
    <w:rsid w:val="0029584B"/>
    <w:rsid w:val="002A470D"/>
    <w:rsid w:val="002E3B18"/>
    <w:rsid w:val="003042DE"/>
    <w:rsid w:val="00307E72"/>
    <w:rsid w:val="00335A11"/>
    <w:rsid w:val="0035768C"/>
    <w:rsid w:val="003B35A6"/>
    <w:rsid w:val="003D4235"/>
    <w:rsid w:val="004017EF"/>
    <w:rsid w:val="00404B24"/>
    <w:rsid w:val="00406536"/>
    <w:rsid w:val="004137AA"/>
    <w:rsid w:val="004306B9"/>
    <w:rsid w:val="0043201E"/>
    <w:rsid w:val="00440A61"/>
    <w:rsid w:val="00452D91"/>
    <w:rsid w:val="0045701D"/>
    <w:rsid w:val="004602FD"/>
    <w:rsid w:val="00482F43"/>
    <w:rsid w:val="00491727"/>
    <w:rsid w:val="00494A88"/>
    <w:rsid w:val="004A2910"/>
    <w:rsid w:val="004C5AA8"/>
    <w:rsid w:val="004C5C4B"/>
    <w:rsid w:val="004E33AC"/>
    <w:rsid w:val="004E6BA1"/>
    <w:rsid w:val="004F509C"/>
    <w:rsid w:val="00507B78"/>
    <w:rsid w:val="0053305F"/>
    <w:rsid w:val="00570C4C"/>
    <w:rsid w:val="00574167"/>
    <w:rsid w:val="005824E5"/>
    <w:rsid w:val="00586DD3"/>
    <w:rsid w:val="005918C7"/>
    <w:rsid w:val="005B406C"/>
    <w:rsid w:val="005E0445"/>
    <w:rsid w:val="005E2BE6"/>
    <w:rsid w:val="005E7D2F"/>
    <w:rsid w:val="005F1556"/>
    <w:rsid w:val="00614DE2"/>
    <w:rsid w:val="0061558F"/>
    <w:rsid w:val="00627B60"/>
    <w:rsid w:val="0063117B"/>
    <w:rsid w:val="00633703"/>
    <w:rsid w:val="006656A0"/>
    <w:rsid w:val="006C1137"/>
    <w:rsid w:val="006C7878"/>
    <w:rsid w:val="006E69BF"/>
    <w:rsid w:val="006F5F42"/>
    <w:rsid w:val="006F7D00"/>
    <w:rsid w:val="00716150"/>
    <w:rsid w:val="007220DF"/>
    <w:rsid w:val="0072704D"/>
    <w:rsid w:val="00727261"/>
    <w:rsid w:val="00735912"/>
    <w:rsid w:val="00737691"/>
    <w:rsid w:val="00754009"/>
    <w:rsid w:val="00760CF4"/>
    <w:rsid w:val="00762754"/>
    <w:rsid w:val="00783365"/>
    <w:rsid w:val="007A1BBD"/>
    <w:rsid w:val="007F7888"/>
    <w:rsid w:val="00814719"/>
    <w:rsid w:val="0083291E"/>
    <w:rsid w:val="00834A5C"/>
    <w:rsid w:val="00842B5F"/>
    <w:rsid w:val="00845E11"/>
    <w:rsid w:val="0085243A"/>
    <w:rsid w:val="00852D24"/>
    <w:rsid w:val="008C0A6C"/>
    <w:rsid w:val="008C39FA"/>
    <w:rsid w:val="008D56C6"/>
    <w:rsid w:val="008E1D4F"/>
    <w:rsid w:val="00950799"/>
    <w:rsid w:val="00950E6B"/>
    <w:rsid w:val="00993B8A"/>
    <w:rsid w:val="009A514C"/>
    <w:rsid w:val="009A7203"/>
    <w:rsid w:val="009B4815"/>
    <w:rsid w:val="009C3566"/>
    <w:rsid w:val="009E5AD5"/>
    <w:rsid w:val="009F3C5E"/>
    <w:rsid w:val="009F4F0E"/>
    <w:rsid w:val="00A21431"/>
    <w:rsid w:val="00A225FB"/>
    <w:rsid w:val="00A8005F"/>
    <w:rsid w:val="00A94E85"/>
    <w:rsid w:val="00AA50B4"/>
    <w:rsid w:val="00AC5BC1"/>
    <w:rsid w:val="00AD5EE8"/>
    <w:rsid w:val="00AD691C"/>
    <w:rsid w:val="00AD7D57"/>
    <w:rsid w:val="00AF2899"/>
    <w:rsid w:val="00B124A6"/>
    <w:rsid w:val="00B179AF"/>
    <w:rsid w:val="00B30CD5"/>
    <w:rsid w:val="00B31AC9"/>
    <w:rsid w:val="00B4490B"/>
    <w:rsid w:val="00B47A7B"/>
    <w:rsid w:val="00B47EEF"/>
    <w:rsid w:val="00B601EF"/>
    <w:rsid w:val="00B62E3A"/>
    <w:rsid w:val="00B63AC7"/>
    <w:rsid w:val="00B71C34"/>
    <w:rsid w:val="00B74C89"/>
    <w:rsid w:val="00B83726"/>
    <w:rsid w:val="00B97AF4"/>
    <w:rsid w:val="00BB004F"/>
    <w:rsid w:val="00BB54A7"/>
    <w:rsid w:val="00BC59FF"/>
    <w:rsid w:val="00BD479F"/>
    <w:rsid w:val="00BD5993"/>
    <w:rsid w:val="00BE5899"/>
    <w:rsid w:val="00C13A89"/>
    <w:rsid w:val="00C16D18"/>
    <w:rsid w:val="00C62E7F"/>
    <w:rsid w:val="00C74BAD"/>
    <w:rsid w:val="00C7500B"/>
    <w:rsid w:val="00C76C73"/>
    <w:rsid w:val="00CD05AE"/>
    <w:rsid w:val="00CD140F"/>
    <w:rsid w:val="00CD3FF6"/>
    <w:rsid w:val="00CD7D9E"/>
    <w:rsid w:val="00CF2605"/>
    <w:rsid w:val="00CF534B"/>
    <w:rsid w:val="00D060D3"/>
    <w:rsid w:val="00D11D93"/>
    <w:rsid w:val="00D5391F"/>
    <w:rsid w:val="00D57BB9"/>
    <w:rsid w:val="00D72BB4"/>
    <w:rsid w:val="00D76B97"/>
    <w:rsid w:val="00D90285"/>
    <w:rsid w:val="00D94519"/>
    <w:rsid w:val="00DC0FFA"/>
    <w:rsid w:val="00DE64B2"/>
    <w:rsid w:val="00DF4920"/>
    <w:rsid w:val="00E06319"/>
    <w:rsid w:val="00E17F7E"/>
    <w:rsid w:val="00E40863"/>
    <w:rsid w:val="00E417F6"/>
    <w:rsid w:val="00E51418"/>
    <w:rsid w:val="00E67953"/>
    <w:rsid w:val="00E9024C"/>
    <w:rsid w:val="00E94582"/>
    <w:rsid w:val="00EA4B18"/>
    <w:rsid w:val="00ED7714"/>
    <w:rsid w:val="00EE68D1"/>
    <w:rsid w:val="00F07297"/>
    <w:rsid w:val="00F229D8"/>
    <w:rsid w:val="00F23F35"/>
    <w:rsid w:val="00F5782A"/>
    <w:rsid w:val="00F714AC"/>
    <w:rsid w:val="00F76EEE"/>
    <w:rsid w:val="00FB0E77"/>
    <w:rsid w:val="00FD16A1"/>
    <w:rsid w:val="00FD2C11"/>
    <w:rsid w:val="00FD380A"/>
    <w:rsid w:val="00FD3A8A"/>
    <w:rsid w:val="00FF49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BE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CF2605"/>
    <w:pPr>
      <w:autoSpaceDE w:val="0"/>
      <w:autoSpaceDN w:val="0"/>
      <w:adjustRightInd w:val="0"/>
      <w:jc w:val="both"/>
    </w:pPr>
    <w:rPr>
      <w:color w:val="000000"/>
      <w:sz w:val="24"/>
      <w:szCs w:val="24"/>
    </w:rPr>
  </w:style>
  <w:style w:type="character" w:customStyle="1" w:styleId="CorpodetextoChar">
    <w:name w:val="Corpo de texto Char"/>
    <w:basedOn w:val="Fontepargpadro"/>
    <w:link w:val="Corpodetexto"/>
    <w:semiHidden/>
    <w:rsid w:val="00CF2605"/>
    <w:rPr>
      <w:color w:val="000000"/>
      <w:sz w:val="24"/>
      <w:szCs w:val="24"/>
    </w:rPr>
  </w:style>
  <w:style w:type="paragraph" w:styleId="Legenda">
    <w:name w:val="caption"/>
    <w:basedOn w:val="Normal"/>
    <w:next w:val="Normal"/>
    <w:qFormat/>
    <w:rsid w:val="00BD5993"/>
    <w:rPr>
      <w:rFonts w:ascii="Arial" w:hAnsi="Arial"/>
      <w:sz w:val="24"/>
    </w:rPr>
  </w:style>
  <w:style w:type="character" w:styleId="Hyperlink">
    <w:name w:val="Hyperlink"/>
    <w:basedOn w:val="Fontepargpadro"/>
    <w:uiPriority w:val="99"/>
    <w:unhideWhenUsed/>
    <w:rsid w:val="00100689"/>
    <w:rPr>
      <w:color w:val="0000FF"/>
      <w:u w:val="single"/>
    </w:rPr>
  </w:style>
  <w:style w:type="paragraph" w:styleId="PargrafodaLista">
    <w:name w:val="List Paragraph"/>
    <w:basedOn w:val="Normal"/>
    <w:uiPriority w:val="34"/>
    <w:qFormat/>
    <w:rsid w:val="005B406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45701D"/>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B71C34"/>
    <w:pPr>
      <w:spacing w:before="100" w:beforeAutospacing="1" w:after="100" w:afterAutospacing="1"/>
    </w:pPr>
    <w:rPr>
      <w:sz w:val="24"/>
      <w:szCs w:val="24"/>
    </w:rPr>
  </w:style>
  <w:style w:type="paragraph" w:customStyle="1" w:styleId="Body">
    <w:name w:val="Body"/>
    <w:rsid w:val="00F5782A"/>
    <w:pPr>
      <w:pBdr>
        <w:top w:val="nil"/>
        <w:left w:val="nil"/>
        <w:bottom w:val="nil"/>
        <w:right w:val="nil"/>
        <w:between w:val="nil"/>
        <w:bar w:val="nil"/>
      </w:pBdr>
    </w:pPr>
    <w:rPr>
      <w:rFonts w:eastAsia="Arial Unicode MS" w:cs="Arial Unicode MS"/>
      <w:color w:val="000000"/>
      <w:u w:color="000000"/>
      <w:bdr w:val="nil"/>
    </w:rPr>
  </w:style>
  <w:style w:type="paragraph" w:customStyle="1" w:styleId="Destaque1">
    <w:name w:val="Destaque1"/>
    <w:basedOn w:val="Normal"/>
    <w:link w:val="Destaque1Char"/>
    <w:qFormat/>
    <w:rsid w:val="0072704D"/>
    <w:pPr>
      <w:ind w:left="567"/>
      <w:jc w:val="both"/>
    </w:pPr>
    <w:rPr>
      <w:b/>
      <w:sz w:val="24"/>
      <w:szCs w:val="24"/>
    </w:rPr>
  </w:style>
  <w:style w:type="character" w:customStyle="1" w:styleId="Destaque1Char">
    <w:name w:val="Destaque1 Char"/>
    <w:basedOn w:val="Fontepargpadro"/>
    <w:link w:val="Destaque1"/>
    <w:rsid w:val="0072704D"/>
    <w:rPr>
      <w:b/>
      <w:sz w:val="24"/>
      <w:szCs w:val="24"/>
    </w:rPr>
  </w:style>
  <w:style w:type="paragraph" w:styleId="Textodenotaderodap">
    <w:name w:val="footnote text"/>
    <w:basedOn w:val="Normal"/>
    <w:link w:val="TextodenotaderodapChar"/>
    <w:uiPriority w:val="99"/>
    <w:semiHidden/>
    <w:unhideWhenUsed/>
    <w:rsid w:val="0072704D"/>
  </w:style>
  <w:style w:type="character" w:customStyle="1" w:styleId="TextodenotaderodapChar">
    <w:name w:val="Texto de nota de rodapé Char"/>
    <w:basedOn w:val="Fontepargpadro"/>
    <w:link w:val="Textodenotaderodap"/>
    <w:uiPriority w:val="99"/>
    <w:semiHidden/>
    <w:rsid w:val="0072704D"/>
  </w:style>
  <w:style w:type="character" w:styleId="Refdenotaderodap">
    <w:name w:val="footnote reference"/>
    <w:basedOn w:val="Fontepargpadro"/>
    <w:uiPriority w:val="99"/>
    <w:semiHidden/>
    <w:unhideWhenUsed/>
    <w:rsid w:val="0072704D"/>
    <w:rPr>
      <w:vertAlign w:val="superscript"/>
    </w:rPr>
  </w:style>
  <w:style w:type="paragraph" w:styleId="Corpodetexto2">
    <w:name w:val="Body Text 2"/>
    <w:basedOn w:val="Normal"/>
    <w:link w:val="Corpodetexto2Char"/>
    <w:uiPriority w:val="99"/>
    <w:rsid w:val="00F76EEE"/>
    <w:rPr>
      <w:rFonts w:eastAsiaTheme="minorEastAsia" w:cstheme="minorBidi"/>
      <w:sz w:val="28"/>
      <w:szCs w:val="28"/>
    </w:rPr>
  </w:style>
  <w:style w:type="character" w:customStyle="1" w:styleId="Corpodetexto2Char">
    <w:name w:val="Corpo de texto 2 Char"/>
    <w:basedOn w:val="Fontepargpadro"/>
    <w:link w:val="Corpodetexto2"/>
    <w:uiPriority w:val="99"/>
    <w:rsid w:val="00F76EEE"/>
    <w:rPr>
      <w:rFonts w:eastAsiaTheme="minorEastAsia" w:cstheme="minorBidi"/>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29</Pages>
  <Words>10487</Words>
  <Characters>56630</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CONSULTA PÚBLICA PARA REVISÃO DA PORTARIA ANP 248/99</vt:lpstr>
    </vt:vector>
  </TitlesOfParts>
  <Company>Anp</Company>
  <LinksUpToDate>false</LinksUpToDate>
  <CharactersWithSpaces>66984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 PÚBLICA PARA REVISÃO DA PORTARIA ANP 248/99</dc:title>
  <dc:creator>Anp</dc:creator>
  <cp:lastModifiedBy>rcpereira</cp:lastModifiedBy>
  <cp:revision>7</cp:revision>
  <cp:lastPrinted>2017-05-15T14:40:00Z</cp:lastPrinted>
  <dcterms:created xsi:type="dcterms:W3CDTF">2017-05-15T14:10:00Z</dcterms:created>
  <dcterms:modified xsi:type="dcterms:W3CDTF">2017-05-15T17:08:00Z</dcterms:modified>
</cp:coreProperties>
</file>