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49" w:rsidRDefault="00EE1C49" w:rsidP="00032492">
      <w:pPr>
        <w:spacing w:line="276" w:lineRule="auto"/>
        <w:jc w:val="both"/>
        <w:rPr>
          <w:rFonts w:ascii="Times New Roman" w:hAnsi="Times New Roman"/>
          <w:b/>
          <w:szCs w:val="24"/>
        </w:rPr>
      </w:pPr>
    </w:p>
    <w:p w:rsidR="00EE1C49" w:rsidRDefault="00EE1C49" w:rsidP="00032492">
      <w:pPr>
        <w:spacing w:line="276" w:lineRule="auto"/>
        <w:jc w:val="both"/>
        <w:rPr>
          <w:rFonts w:ascii="Times New Roman" w:hAnsi="Times New Roman"/>
          <w:b/>
          <w:szCs w:val="24"/>
        </w:rPr>
      </w:pPr>
    </w:p>
    <w:p w:rsidR="00B0106B" w:rsidRPr="00C33929" w:rsidRDefault="00B0106B" w:rsidP="00032492">
      <w:pPr>
        <w:spacing w:line="276" w:lineRule="auto"/>
        <w:jc w:val="both"/>
        <w:rPr>
          <w:rFonts w:ascii="Times New Roman" w:hAnsi="Times New Roman"/>
          <w:szCs w:val="24"/>
        </w:rPr>
      </w:pPr>
      <w:r w:rsidRPr="00C33929">
        <w:rPr>
          <w:rFonts w:ascii="Times New Roman" w:hAnsi="Times New Roman"/>
          <w:b/>
          <w:szCs w:val="24"/>
        </w:rPr>
        <w:t>Nota Técnica n</w:t>
      </w:r>
      <w:r w:rsidRPr="00C33929">
        <w:rPr>
          <w:rFonts w:ascii="Times New Roman" w:hAnsi="Times New Roman"/>
          <w:b/>
          <w:szCs w:val="24"/>
          <w:u w:val="single"/>
          <w:vertAlign w:val="superscript"/>
        </w:rPr>
        <w:t>o</w:t>
      </w:r>
      <w:r w:rsidR="005F6E68" w:rsidRPr="00C33929">
        <w:rPr>
          <w:rFonts w:ascii="Times New Roman" w:hAnsi="Times New Roman"/>
          <w:b/>
          <w:szCs w:val="24"/>
          <w:u w:val="single"/>
          <w:vertAlign w:val="superscript"/>
        </w:rPr>
        <w:t>:</w:t>
      </w:r>
      <w:r w:rsidRPr="00C33929">
        <w:rPr>
          <w:rFonts w:ascii="Times New Roman" w:hAnsi="Times New Roman"/>
          <w:szCs w:val="24"/>
        </w:rPr>
        <w:t xml:space="preserve"> </w:t>
      </w:r>
      <w:r w:rsidR="00D86CAD">
        <w:rPr>
          <w:rFonts w:ascii="Times New Roman" w:hAnsi="Times New Roman"/>
          <w:szCs w:val="24"/>
        </w:rPr>
        <w:t>73</w:t>
      </w:r>
      <w:r w:rsidR="003D424F">
        <w:rPr>
          <w:rFonts w:ascii="Times New Roman" w:hAnsi="Times New Roman"/>
          <w:szCs w:val="24"/>
        </w:rPr>
        <w:t>/</w:t>
      </w:r>
      <w:r w:rsidR="00CC3148" w:rsidRPr="00C33929">
        <w:rPr>
          <w:rFonts w:ascii="Times New Roman" w:hAnsi="Times New Roman"/>
          <w:szCs w:val="24"/>
        </w:rPr>
        <w:t>201</w:t>
      </w:r>
      <w:r w:rsidR="00FC52AE" w:rsidRPr="00C33929">
        <w:rPr>
          <w:rFonts w:ascii="Times New Roman" w:hAnsi="Times New Roman"/>
          <w:szCs w:val="24"/>
        </w:rPr>
        <w:t>4</w:t>
      </w:r>
      <w:r w:rsidR="00CC3148" w:rsidRPr="00C33929">
        <w:rPr>
          <w:rFonts w:ascii="Times New Roman" w:hAnsi="Times New Roman"/>
          <w:szCs w:val="24"/>
        </w:rPr>
        <w:t>/SBQ/RJ</w:t>
      </w:r>
    </w:p>
    <w:p w:rsidR="005F6E68" w:rsidRPr="00C33929" w:rsidRDefault="005F6E68" w:rsidP="00032492">
      <w:pPr>
        <w:spacing w:line="276" w:lineRule="auto"/>
        <w:jc w:val="both"/>
        <w:rPr>
          <w:rFonts w:ascii="Times New Roman" w:hAnsi="Times New Roman"/>
          <w:szCs w:val="24"/>
        </w:rPr>
      </w:pPr>
    </w:p>
    <w:p w:rsidR="00244EF8" w:rsidRPr="00244EF8" w:rsidRDefault="00B0106B" w:rsidP="00244EF8">
      <w:pPr>
        <w:pStyle w:val="Cabealho"/>
        <w:tabs>
          <w:tab w:val="clear" w:pos="4419"/>
          <w:tab w:val="clear" w:pos="8838"/>
        </w:tabs>
        <w:spacing w:before="120" w:after="120"/>
        <w:jc w:val="both"/>
        <w:rPr>
          <w:rFonts w:ascii="Times New Roman" w:hAnsi="Times New Roman"/>
          <w:szCs w:val="24"/>
        </w:rPr>
      </w:pPr>
      <w:r w:rsidRPr="00C33929">
        <w:rPr>
          <w:rFonts w:ascii="Times New Roman" w:hAnsi="Times New Roman"/>
          <w:b/>
          <w:szCs w:val="24"/>
        </w:rPr>
        <w:t>Assunto:</w:t>
      </w:r>
      <w:r w:rsidR="00632E0F" w:rsidRPr="00C33929">
        <w:rPr>
          <w:rFonts w:ascii="Times New Roman" w:hAnsi="Times New Roman"/>
          <w:szCs w:val="24"/>
        </w:rPr>
        <w:t xml:space="preserve"> </w:t>
      </w:r>
      <w:r w:rsidR="007B4347">
        <w:rPr>
          <w:rFonts w:ascii="Times New Roman" w:hAnsi="Times New Roman"/>
          <w:szCs w:val="24"/>
        </w:rPr>
        <w:t xml:space="preserve">Revisão </w:t>
      </w:r>
      <w:r w:rsidR="00B50626" w:rsidRPr="00B50626">
        <w:rPr>
          <w:rFonts w:ascii="Times New Roman" w:hAnsi="Times New Roman"/>
          <w:szCs w:val="24"/>
        </w:rPr>
        <w:t xml:space="preserve">da Resolução </w:t>
      </w:r>
      <w:r w:rsidR="00977FEE">
        <w:rPr>
          <w:rFonts w:ascii="Times New Roman" w:hAnsi="Times New Roman"/>
          <w:szCs w:val="24"/>
        </w:rPr>
        <w:t xml:space="preserve">ANP nº 14/2012 que trata da </w:t>
      </w:r>
      <w:r w:rsidR="00977FEE" w:rsidRPr="00AE1BE1">
        <w:rPr>
          <w:rFonts w:ascii="Times New Roman" w:hAnsi="Times New Roman"/>
          <w:szCs w:val="24"/>
        </w:rPr>
        <w:t>Especificação do biodiesel (B100) produzido e comercializado no território nacional</w:t>
      </w:r>
      <w:r w:rsidR="00244EF8" w:rsidRPr="00244EF8">
        <w:rPr>
          <w:rFonts w:ascii="Times New Roman" w:hAnsi="Times New Roman"/>
          <w:szCs w:val="24"/>
        </w:rPr>
        <w:t>.</w:t>
      </w:r>
    </w:p>
    <w:p w:rsidR="002F0D33" w:rsidRDefault="002F0D33" w:rsidP="00032492">
      <w:pPr>
        <w:tabs>
          <w:tab w:val="left" w:pos="1134"/>
        </w:tabs>
        <w:spacing w:line="360" w:lineRule="auto"/>
        <w:jc w:val="both"/>
        <w:rPr>
          <w:rFonts w:ascii="Times New Roman" w:hAnsi="Times New Roman"/>
          <w:b/>
          <w:szCs w:val="24"/>
        </w:rPr>
      </w:pPr>
    </w:p>
    <w:p w:rsidR="00F33EDD" w:rsidRDefault="00B5260D" w:rsidP="00032492">
      <w:pPr>
        <w:tabs>
          <w:tab w:val="left" w:pos="1134"/>
        </w:tabs>
        <w:spacing w:line="360" w:lineRule="auto"/>
        <w:jc w:val="both"/>
        <w:rPr>
          <w:rFonts w:ascii="Times New Roman" w:hAnsi="Times New Roman"/>
          <w:szCs w:val="24"/>
        </w:rPr>
      </w:pPr>
      <w:r w:rsidRPr="00C33929">
        <w:rPr>
          <w:rFonts w:ascii="Times New Roman" w:hAnsi="Times New Roman"/>
          <w:b/>
          <w:szCs w:val="24"/>
        </w:rPr>
        <w:t xml:space="preserve">Processo </w:t>
      </w:r>
      <w:r w:rsidR="00651C41" w:rsidRPr="00C33929">
        <w:rPr>
          <w:rFonts w:ascii="Times New Roman" w:hAnsi="Times New Roman"/>
          <w:b/>
          <w:szCs w:val="24"/>
        </w:rPr>
        <w:t>nº</w:t>
      </w:r>
      <w:r w:rsidR="005F6E68" w:rsidRPr="00C33929">
        <w:rPr>
          <w:rFonts w:ascii="Times New Roman" w:hAnsi="Times New Roman"/>
          <w:b/>
          <w:szCs w:val="24"/>
        </w:rPr>
        <w:t>:</w:t>
      </w:r>
      <w:r w:rsidR="00651C41" w:rsidRPr="00C33929">
        <w:rPr>
          <w:rFonts w:ascii="Times New Roman" w:hAnsi="Times New Roman"/>
          <w:szCs w:val="24"/>
        </w:rPr>
        <w:t xml:space="preserve"> </w:t>
      </w:r>
      <w:r w:rsidR="002044D1">
        <w:rPr>
          <w:rFonts w:ascii="Times New Roman" w:hAnsi="Times New Roman"/>
          <w:szCs w:val="24"/>
        </w:rPr>
        <w:t>48610.006577/2004-13</w:t>
      </w:r>
    </w:p>
    <w:p w:rsidR="005F6E68" w:rsidRPr="00C33929" w:rsidRDefault="005F6E68" w:rsidP="00032492">
      <w:pPr>
        <w:spacing w:before="120" w:after="120" w:line="276" w:lineRule="auto"/>
        <w:jc w:val="right"/>
        <w:rPr>
          <w:rFonts w:ascii="Times New Roman" w:hAnsi="Times New Roman"/>
          <w:szCs w:val="24"/>
        </w:rPr>
      </w:pPr>
      <w:r w:rsidRPr="00C33929">
        <w:rPr>
          <w:rFonts w:ascii="Times New Roman" w:hAnsi="Times New Roman"/>
          <w:szCs w:val="24"/>
        </w:rPr>
        <w:t xml:space="preserve">Rio de Janeiro, </w:t>
      </w:r>
      <w:r w:rsidR="00B4624F">
        <w:rPr>
          <w:rFonts w:ascii="Times New Roman" w:hAnsi="Times New Roman"/>
          <w:szCs w:val="24"/>
        </w:rPr>
        <w:t>07</w:t>
      </w:r>
      <w:r w:rsidRPr="00C33929">
        <w:rPr>
          <w:rFonts w:ascii="Times New Roman" w:hAnsi="Times New Roman"/>
          <w:szCs w:val="24"/>
        </w:rPr>
        <w:t xml:space="preserve"> de </w:t>
      </w:r>
      <w:r w:rsidR="00B4624F">
        <w:rPr>
          <w:rFonts w:ascii="Times New Roman" w:hAnsi="Times New Roman"/>
          <w:szCs w:val="24"/>
        </w:rPr>
        <w:t>m</w:t>
      </w:r>
      <w:r w:rsidR="00244EF8">
        <w:rPr>
          <w:rFonts w:ascii="Times New Roman" w:hAnsi="Times New Roman"/>
          <w:szCs w:val="24"/>
        </w:rPr>
        <w:t>a</w:t>
      </w:r>
      <w:r w:rsidR="00B4624F">
        <w:rPr>
          <w:rFonts w:ascii="Times New Roman" w:hAnsi="Times New Roman"/>
          <w:szCs w:val="24"/>
        </w:rPr>
        <w:t>io</w:t>
      </w:r>
      <w:r w:rsidRPr="00C33929">
        <w:rPr>
          <w:rFonts w:ascii="Times New Roman" w:hAnsi="Times New Roman"/>
          <w:szCs w:val="24"/>
        </w:rPr>
        <w:t xml:space="preserve"> de 2014.</w:t>
      </w:r>
    </w:p>
    <w:p w:rsidR="004C083F" w:rsidRPr="00C33929" w:rsidRDefault="004C083F" w:rsidP="00423222">
      <w:pPr>
        <w:tabs>
          <w:tab w:val="left" w:pos="1134"/>
        </w:tabs>
        <w:spacing w:before="120" w:after="120" w:line="360" w:lineRule="auto"/>
        <w:jc w:val="both"/>
        <w:rPr>
          <w:rFonts w:ascii="Times New Roman" w:hAnsi="Times New Roman"/>
          <w:szCs w:val="24"/>
        </w:rPr>
      </w:pPr>
    </w:p>
    <w:p w:rsidR="005F6E68" w:rsidRDefault="005F6E68" w:rsidP="00F33EDD">
      <w:pPr>
        <w:numPr>
          <w:ilvl w:val="0"/>
          <w:numId w:val="15"/>
        </w:numPr>
        <w:tabs>
          <w:tab w:val="left" w:pos="1134"/>
        </w:tabs>
        <w:spacing w:before="120" w:after="120" w:line="276" w:lineRule="auto"/>
        <w:jc w:val="both"/>
        <w:rPr>
          <w:rFonts w:ascii="Times New Roman" w:hAnsi="Times New Roman"/>
          <w:b/>
          <w:szCs w:val="24"/>
        </w:rPr>
      </w:pPr>
      <w:r w:rsidRPr="00C33929">
        <w:rPr>
          <w:rFonts w:ascii="Times New Roman" w:hAnsi="Times New Roman"/>
          <w:b/>
          <w:szCs w:val="24"/>
        </w:rPr>
        <w:t>OBJETIVO</w:t>
      </w:r>
    </w:p>
    <w:p w:rsidR="00977FEE" w:rsidRPr="00AE1BE1" w:rsidRDefault="00977FEE" w:rsidP="00977FEE">
      <w:pPr>
        <w:tabs>
          <w:tab w:val="left" w:pos="1134"/>
        </w:tabs>
        <w:spacing w:before="120" w:after="120" w:line="276" w:lineRule="auto"/>
        <w:jc w:val="both"/>
        <w:rPr>
          <w:rFonts w:ascii="Times New Roman" w:hAnsi="Times New Roman"/>
        </w:rPr>
      </w:pPr>
      <w:r>
        <w:rPr>
          <w:rFonts w:ascii="Times New Roman" w:hAnsi="Times New Roman"/>
        </w:rPr>
        <w:tab/>
      </w:r>
      <w:r>
        <w:rPr>
          <w:rFonts w:ascii="Times New Roman" w:hAnsi="Times New Roman"/>
          <w:bCs/>
          <w:szCs w:val="24"/>
        </w:rPr>
        <w:t>A presente Nota Técnica tem por</w:t>
      </w:r>
      <w:r w:rsidRPr="00A54691">
        <w:rPr>
          <w:rFonts w:ascii="Times New Roman" w:hAnsi="Times New Roman"/>
          <w:bCs/>
          <w:szCs w:val="24"/>
        </w:rPr>
        <w:t xml:space="preserve"> objetivo </w:t>
      </w:r>
      <w:r>
        <w:rPr>
          <w:rFonts w:ascii="Times New Roman" w:hAnsi="Times New Roman"/>
          <w:bCs/>
          <w:szCs w:val="24"/>
        </w:rPr>
        <w:t>justificar as alterações propostas na Resolução ANP nº 14/2012</w:t>
      </w:r>
      <w:r w:rsidR="00472253">
        <w:rPr>
          <w:rFonts w:ascii="Times New Roman" w:hAnsi="Times New Roman"/>
          <w:bCs/>
          <w:szCs w:val="24"/>
        </w:rPr>
        <w:t>,</w:t>
      </w:r>
      <w:r>
        <w:rPr>
          <w:rFonts w:ascii="Times New Roman" w:hAnsi="Times New Roman"/>
          <w:bCs/>
          <w:szCs w:val="24"/>
        </w:rPr>
        <w:t xml:space="preserve"> que trata da </w:t>
      </w:r>
      <w:r w:rsidRPr="00AE1BE1">
        <w:rPr>
          <w:rFonts w:ascii="Times New Roman" w:hAnsi="Times New Roman"/>
          <w:bCs/>
          <w:szCs w:val="24"/>
        </w:rPr>
        <w:t xml:space="preserve">especificação do biodiesel e </w:t>
      </w:r>
      <w:r>
        <w:rPr>
          <w:rFonts w:ascii="Times New Roman" w:hAnsi="Times New Roman"/>
          <w:bCs/>
          <w:szCs w:val="24"/>
        </w:rPr>
        <w:t>d</w:t>
      </w:r>
      <w:r w:rsidRPr="00AE1BE1">
        <w:rPr>
          <w:rFonts w:ascii="Times New Roman" w:hAnsi="Times New Roman"/>
          <w:bCs/>
          <w:szCs w:val="24"/>
        </w:rPr>
        <w:t>as obrigações quanto ao controle da qualidade a serem atendidas pelos diversos agentes econômicos que comercializam o produto em todo o território nacional.</w:t>
      </w:r>
      <w:r w:rsidRPr="00A54691">
        <w:rPr>
          <w:rFonts w:ascii="Times New Roman" w:hAnsi="Times New Roman"/>
          <w:bCs/>
          <w:szCs w:val="24"/>
        </w:rPr>
        <w:t xml:space="preserve"> </w:t>
      </w:r>
    </w:p>
    <w:p w:rsidR="003B4BFA" w:rsidRPr="00C33929" w:rsidRDefault="003B4BFA" w:rsidP="00F33EDD">
      <w:pPr>
        <w:tabs>
          <w:tab w:val="left" w:pos="1134"/>
        </w:tabs>
        <w:spacing w:before="120" w:after="120" w:line="276" w:lineRule="auto"/>
        <w:jc w:val="both"/>
        <w:rPr>
          <w:rFonts w:ascii="Times New Roman" w:hAnsi="Times New Roman"/>
          <w:szCs w:val="24"/>
        </w:rPr>
      </w:pPr>
    </w:p>
    <w:p w:rsidR="003B4BFA" w:rsidRDefault="003B4BFA" w:rsidP="00F33EDD">
      <w:pPr>
        <w:tabs>
          <w:tab w:val="left" w:pos="1134"/>
        </w:tabs>
        <w:spacing w:before="120" w:after="120" w:line="276" w:lineRule="auto"/>
        <w:jc w:val="both"/>
        <w:rPr>
          <w:rFonts w:ascii="Times New Roman" w:hAnsi="Times New Roman"/>
          <w:b/>
          <w:szCs w:val="24"/>
        </w:rPr>
      </w:pPr>
      <w:r w:rsidRPr="00C33929">
        <w:rPr>
          <w:rFonts w:ascii="Times New Roman" w:hAnsi="Times New Roman"/>
          <w:b/>
          <w:szCs w:val="24"/>
        </w:rPr>
        <w:t>2.</w:t>
      </w:r>
      <w:r w:rsidRPr="00C33929">
        <w:rPr>
          <w:rFonts w:ascii="Times New Roman" w:hAnsi="Times New Roman"/>
          <w:b/>
          <w:szCs w:val="24"/>
        </w:rPr>
        <w:tab/>
        <w:t>FUNDAMENTAÇÃO LEGAL</w:t>
      </w:r>
    </w:p>
    <w:p w:rsidR="00015EA9" w:rsidRDefault="00015EA9" w:rsidP="004C083F">
      <w:pPr>
        <w:tabs>
          <w:tab w:val="left" w:pos="1134"/>
        </w:tabs>
        <w:spacing w:before="120" w:after="120" w:line="23" w:lineRule="atLeast"/>
        <w:jc w:val="both"/>
        <w:rPr>
          <w:rFonts w:ascii="Times New Roman" w:hAnsi="Times New Roman"/>
          <w:szCs w:val="24"/>
        </w:rPr>
      </w:pPr>
      <w:r>
        <w:rPr>
          <w:rFonts w:ascii="Times New Roman" w:hAnsi="Times New Roman"/>
          <w:bCs/>
          <w:szCs w:val="24"/>
        </w:rPr>
        <w:tab/>
        <w:t xml:space="preserve">A </w:t>
      </w:r>
      <w:r w:rsidRPr="00A54691">
        <w:rPr>
          <w:rFonts w:ascii="Times New Roman" w:hAnsi="Times New Roman"/>
          <w:bCs/>
          <w:szCs w:val="24"/>
        </w:rPr>
        <w:t>Lei 9.478, 06 de agosto de 1997</w:t>
      </w:r>
      <w:r>
        <w:rPr>
          <w:rFonts w:ascii="Times New Roman" w:hAnsi="Times New Roman"/>
          <w:bCs/>
          <w:szCs w:val="24"/>
        </w:rPr>
        <w:t>,</w:t>
      </w:r>
      <w:r w:rsidRPr="00A54691">
        <w:rPr>
          <w:rFonts w:ascii="Times New Roman" w:hAnsi="Times New Roman"/>
          <w:bCs/>
          <w:szCs w:val="24"/>
        </w:rPr>
        <w:t xml:space="preserve"> em seu Art. 8º estabelece como atribuições da ANP:</w:t>
      </w:r>
    </w:p>
    <w:p w:rsidR="00015EA9" w:rsidRDefault="00015EA9" w:rsidP="00015EA9">
      <w:pPr>
        <w:pStyle w:val="Cabealho"/>
        <w:spacing w:before="120" w:after="120"/>
        <w:jc w:val="both"/>
        <w:rPr>
          <w:rFonts w:ascii="Times New Roman" w:hAnsi="Times New Roman"/>
          <w:bCs/>
          <w:i/>
          <w:szCs w:val="24"/>
        </w:rPr>
      </w:pPr>
      <w:r w:rsidRPr="00662A97">
        <w:rPr>
          <w:rFonts w:ascii="Times New Roman" w:hAnsi="Times New Roman"/>
          <w:bCs/>
          <w:i/>
          <w:szCs w:val="24"/>
        </w:rPr>
        <w:t xml:space="preserve">Inciso I - </w:t>
      </w:r>
      <w:proofErr w:type="gramStart"/>
      <w:r w:rsidRPr="00662A97">
        <w:rPr>
          <w:rFonts w:ascii="Times New Roman" w:hAnsi="Times New Roman"/>
          <w:bCs/>
          <w:i/>
          <w:szCs w:val="24"/>
        </w:rPr>
        <w:t>implementar</w:t>
      </w:r>
      <w:proofErr w:type="gramEnd"/>
      <w:r w:rsidRPr="00662A97">
        <w:rPr>
          <w:rFonts w:ascii="Times New Roman" w:hAnsi="Times New Roman"/>
          <w:bCs/>
          <w:i/>
          <w:szCs w:val="24"/>
        </w:rPr>
        <w:t xml:space="preserve"> a política nacional de petróleo e gás natural, com ênfase na proteção dos interesses dos consumidores quanto a </w:t>
      </w:r>
      <w:r w:rsidRPr="00662A97">
        <w:rPr>
          <w:rFonts w:ascii="Times New Roman" w:hAnsi="Times New Roman"/>
          <w:bCs/>
          <w:i/>
          <w:szCs w:val="24"/>
          <w:u w:val="single"/>
        </w:rPr>
        <w:t>PREÇO</w:t>
      </w:r>
      <w:r w:rsidRPr="00662A97">
        <w:rPr>
          <w:rFonts w:ascii="Times New Roman" w:hAnsi="Times New Roman"/>
          <w:bCs/>
          <w:i/>
          <w:szCs w:val="24"/>
        </w:rPr>
        <w:t xml:space="preserve">, </w:t>
      </w:r>
      <w:r w:rsidRPr="00662A97">
        <w:rPr>
          <w:rFonts w:ascii="Times New Roman" w:hAnsi="Times New Roman"/>
          <w:bCs/>
          <w:i/>
          <w:szCs w:val="24"/>
          <w:u w:val="single"/>
        </w:rPr>
        <w:t>QUALIDADE</w:t>
      </w:r>
      <w:r w:rsidRPr="00662A97">
        <w:rPr>
          <w:rFonts w:ascii="Times New Roman" w:hAnsi="Times New Roman"/>
          <w:bCs/>
          <w:i/>
          <w:szCs w:val="24"/>
        </w:rPr>
        <w:t xml:space="preserve"> e </w:t>
      </w:r>
      <w:r w:rsidRPr="00662A97">
        <w:rPr>
          <w:rFonts w:ascii="Times New Roman" w:hAnsi="Times New Roman"/>
          <w:bCs/>
          <w:i/>
          <w:szCs w:val="24"/>
          <w:u w:val="single"/>
        </w:rPr>
        <w:t>OFERTA</w:t>
      </w:r>
      <w:r w:rsidRPr="00662A97">
        <w:rPr>
          <w:rFonts w:ascii="Times New Roman" w:hAnsi="Times New Roman"/>
          <w:bCs/>
          <w:i/>
          <w:szCs w:val="24"/>
        </w:rPr>
        <w:t xml:space="preserve"> de produtos.</w:t>
      </w:r>
    </w:p>
    <w:p w:rsidR="00015EA9" w:rsidRPr="00662A97" w:rsidRDefault="00015EA9" w:rsidP="00015EA9">
      <w:pPr>
        <w:pStyle w:val="Cabealho"/>
        <w:spacing w:before="120" w:after="120"/>
        <w:jc w:val="both"/>
        <w:rPr>
          <w:rFonts w:ascii="Times New Roman" w:hAnsi="Times New Roman"/>
          <w:bCs/>
          <w:i/>
          <w:szCs w:val="24"/>
        </w:rPr>
      </w:pPr>
      <w:r>
        <w:rPr>
          <w:rFonts w:ascii="Times New Roman" w:hAnsi="Times New Roman"/>
          <w:bCs/>
          <w:i/>
          <w:szCs w:val="24"/>
        </w:rPr>
        <w:t>...</w:t>
      </w:r>
      <w:r w:rsidRPr="00662A97">
        <w:rPr>
          <w:rFonts w:ascii="Times New Roman" w:hAnsi="Times New Roman"/>
          <w:bCs/>
          <w:i/>
          <w:szCs w:val="24"/>
        </w:rPr>
        <w:t xml:space="preserve">Inciso XVIII - especificar a qualidade dos derivados de petróleo, gás natural e seus derivados e dos biocombustíveis. </w:t>
      </w:r>
    </w:p>
    <w:p w:rsidR="004C083F" w:rsidRDefault="004C083F" w:rsidP="004C083F">
      <w:pPr>
        <w:tabs>
          <w:tab w:val="left" w:pos="1134"/>
        </w:tabs>
        <w:spacing w:before="120" w:after="120" w:line="23" w:lineRule="atLeast"/>
        <w:jc w:val="both"/>
        <w:rPr>
          <w:rFonts w:ascii="Times New Roman" w:hAnsi="Times New Roman"/>
          <w:szCs w:val="24"/>
        </w:rPr>
      </w:pPr>
      <w:r w:rsidRPr="00C33929">
        <w:rPr>
          <w:rFonts w:ascii="Times New Roman" w:hAnsi="Times New Roman"/>
          <w:szCs w:val="24"/>
        </w:rPr>
        <w:tab/>
      </w:r>
      <w:r w:rsidR="00015EA9">
        <w:rPr>
          <w:rFonts w:ascii="Times New Roman" w:hAnsi="Times New Roman"/>
          <w:bCs/>
          <w:szCs w:val="24"/>
        </w:rPr>
        <w:t xml:space="preserve">A </w:t>
      </w:r>
      <w:r w:rsidR="00015EA9" w:rsidRPr="00A54691">
        <w:rPr>
          <w:rFonts w:ascii="Times New Roman" w:hAnsi="Times New Roman"/>
          <w:bCs/>
          <w:szCs w:val="24"/>
        </w:rPr>
        <w:t>Lei 12.490, de 16 de setembro de 2011</w:t>
      </w:r>
      <w:r w:rsidR="00015EA9">
        <w:rPr>
          <w:rFonts w:ascii="Times New Roman" w:hAnsi="Times New Roman"/>
          <w:bCs/>
          <w:szCs w:val="24"/>
        </w:rPr>
        <w:t>,</w:t>
      </w:r>
      <w:r w:rsidR="00015EA9" w:rsidRPr="00A54691">
        <w:rPr>
          <w:rFonts w:ascii="Times New Roman" w:hAnsi="Times New Roman"/>
          <w:bCs/>
          <w:szCs w:val="24"/>
        </w:rPr>
        <w:t xml:space="preserve"> acrescenta e dá nova redação a dispositivos previstos na Lei nº 9.478/1997, </w:t>
      </w:r>
      <w:r w:rsidR="00015EA9">
        <w:rPr>
          <w:rFonts w:ascii="Times New Roman" w:hAnsi="Times New Roman"/>
          <w:bCs/>
          <w:szCs w:val="24"/>
        </w:rPr>
        <w:t>além de</w:t>
      </w:r>
      <w:r w:rsidR="00015EA9" w:rsidRPr="00A54691">
        <w:rPr>
          <w:rFonts w:ascii="Times New Roman" w:hAnsi="Times New Roman"/>
          <w:bCs/>
          <w:szCs w:val="24"/>
        </w:rPr>
        <w:t xml:space="preserve"> amplia</w:t>
      </w:r>
      <w:r w:rsidR="00015EA9">
        <w:rPr>
          <w:rFonts w:ascii="Times New Roman" w:hAnsi="Times New Roman"/>
          <w:bCs/>
          <w:szCs w:val="24"/>
        </w:rPr>
        <w:t>r</w:t>
      </w:r>
      <w:r w:rsidR="00015EA9" w:rsidRPr="00A54691">
        <w:rPr>
          <w:rFonts w:ascii="Times New Roman" w:hAnsi="Times New Roman"/>
          <w:bCs/>
          <w:szCs w:val="24"/>
        </w:rPr>
        <w:t xml:space="preserve"> a competência da ANP para toda a Indústria de Biocombustíveis, definida como o conjunto de atividades econômicas relacionadas com produção, importação, exportação, transferência, transporte, armazenagem, comercialização, distribuição, avaliação de conformidade e certificação da qualidade de biocombustíveis</w:t>
      </w:r>
      <w:r w:rsidR="00015EA9">
        <w:rPr>
          <w:rFonts w:ascii="Times New Roman" w:hAnsi="Times New Roman"/>
          <w:szCs w:val="24"/>
        </w:rPr>
        <w:t>.</w:t>
      </w:r>
    </w:p>
    <w:p w:rsidR="00015EA9" w:rsidRDefault="00015EA9" w:rsidP="004C083F">
      <w:pPr>
        <w:tabs>
          <w:tab w:val="left" w:pos="1134"/>
        </w:tabs>
        <w:spacing w:before="120" w:after="120" w:line="23" w:lineRule="atLeast"/>
        <w:jc w:val="both"/>
        <w:rPr>
          <w:rFonts w:ascii="Times New Roman" w:hAnsi="Times New Roman"/>
          <w:szCs w:val="24"/>
        </w:rPr>
      </w:pPr>
      <w:r>
        <w:rPr>
          <w:rFonts w:ascii="Times New Roman" w:hAnsi="Times New Roman"/>
          <w:szCs w:val="24"/>
        </w:rPr>
        <w:tab/>
      </w:r>
      <w:r w:rsidRPr="00A54691">
        <w:rPr>
          <w:rFonts w:ascii="Times New Roman" w:hAnsi="Times New Roman"/>
          <w:szCs w:val="24"/>
        </w:rPr>
        <w:t xml:space="preserve">A </w:t>
      </w:r>
      <w:r>
        <w:rPr>
          <w:rFonts w:ascii="Times New Roman" w:hAnsi="Times New Roman"/>
          <w:szCs w:val="24"/>
        </w:rPr>
        <w:t>especificação</w:t>
      </w:r>
      <w:r w:rsidRPr="00A54691">
        <w:rPr>
          <w:rFonts w:ascii="Times New Roman" w:hAnsi="Times New Roman"/>
          <w:szCs w:val="24"/>
        </w:rPr>
        <w:t xml:space="preserve"> do biodiesel </w:t>
      </w:r>
      <w:r>
        <w:rPr>
          <w:rFonts w:ascii="Times New Roman" w:hAnsi="Times New Roman"/>
          <w:szCs w:val="24"/>
        </w:rPr>
        <w:t>é</w:t>
      </w:r>
      <w:r w:rsidRPr="00A54691">
        <w:rPr>
          <w:rFonts w:ascii="Times New Roman" w:hAnsi="Times New Roman"/>
          <w:szCs w:val="24"/>
        </w:rPr>
        <w:t xml:space="preserve"> estabelecida por meio da Reso</w:t>
      </w:r>
      <w:r>
        <w:rPr>
          <w:rFonts w:ascii="Times New Roman" w:hAnsi="Times New Roman"/>
          <w:szCs w:val="24"/>
        </w:rPr>
        <w:t>lução ANP n° 14</w:t>
      </w:r>
      <w:r w:rsidRPr="00A54691">
        <w:rPr>
          <w:rFonts w:ascii="Times New Roman" w:hAnsi="Times New Roman"/>
          <w:szCs w:val="24"/>
        </w:rPr>
        <w:t>/20</w:t>
      </w:r>
      <w:r>
        <w:rPr>
          <w:rFonts w:ascii="Times New Roman" w:hAnsi="Times New Roman"/>
          <w:szCs w:val="24"/>
        </w:rPr>
        <w:t>12 e deve</w:t>
      </w:r>
      <w:r w:rsidRPr="00A54691">
        <w:rPr>
          <w:rFonts w:ascii="Times New Roman" w:hAnsi="Times New Roman"/>
          <w:szCs w:val="24"/>
        </w:rPr>
        <w:t xml:space="preserve"> ser atendida quando da comercialização do biodiesel em todo o território nacional destinado </w:t>
      </w:r>
      <w:r>
        <w:rPr>
          <w:rFonts w:ascii="Times New Roman" w:hAnsi="Times New Roman"/>
          <w:szCs w:val="24"/>
        </w:rPr>
        <w:t xml:space="preserve">a composição, no teor de 5%, da mistura obrigatória </w:t>
      </w:r>
      <w:r w:rsidRPr="00A54691">
        <w:rPr>
          <w:rFonts w:ascii="Times New Roman" w:hAnsi="Times New Roman"/>
          <w:szCs w:val="24"/>
        </w:rPr>
        <w:t>ao diesel.</w:t>
      </w:r>
    </w:p>
    <w:p w:rsidR="00BA05DF" w:rsidRDefault="00BA05DF" w:rsidP="004C083F">
      <w:pPr>
        <w:tabs>
          <w:tab w:val="left" w:pos="1134"/>
        </w:tabs>
        <w:spacing w:before="120" w:after="120" w:line="23" w:lineRule="atLeast"/>
        <w:jc w:val="both"/>
        <w:rPr>
          <w:rFonts w:ascii="Times New Roman" w:hAnsi="Times New Roman"/>
          <w:szCs w:val="24"/>
        </w:rPr>
      </w:pPr>
    </w:p>
    <w:p w:rsidR="006D0545" w:rsidRDefault="00F46585" w:rsidP="00B915F6">
      <w:pPr>
        <w:tabs>
          <w:tab w:val="left" w:pos="1134"/>
        </w:tabs>
        <w:spacing w:before="120" w:after="120" w:line="276" w:lineRule="auto"/>
        <w:jc w:val="both"/>
        <w:rPr>
          <w:rFonts w:ascii="Times New Roman" w:hAnsi="Times New Roman"/>
          <w:b/>
          <w:color w:val="000000"/>
          <w:szCs w:val="24"/>
        </w:rPr>
      </w:pPr>
      <w:r>
        <w:rPr>
          <w:rFonts w:ascii="Times New Roman" w:hAnsi="Times New Roman"/>
          <w:b/>
          <w:color w:val="000000"/>
          <w:szCs w:val="24"/>
        </w:rPr>
        <w:t>3</w:t>
      </w:r>
      <w:r w:rsidR="006D0545" w:rsidRPr="00C33929">
        <w:rPr>
          <w:rFonts w:ascii="Times New Roman" w:hAnsi="Times New Roman"/>
          <w:b/>
          <w:color w:val="000000"/>
          <w:szCs w:val="24"/>
        </w:rPr>
        <w:t xml:space="preserve">. </w:t>
      </w:r>
      <w:r w:rsidR="006D0545" w:rsidRPr="00C33929">
        <w:rPr>
          <w:rFonts w:ascii="Times New Roman" w:hAnsi="Times New Roman"/>
          <w:b/>
          <w:color w:val="000000"/>
          <w:szCs w:val="24"/>
        </w:rPr>
        <w:tab/>
      </w:r>
      <w:r>
        <w:rPr>
          <w:rFonts w:ascii="Times New Roman" w:hAnsi="Times New Roman"/>
          <w:b/>
          <w:color w:val="000000"/>
          <w:szCs w:val="24"/>
        </w:rPr>
        <w:t>DOS FATOS</w:t>
      </w:r>
    </w:p>
    <w:p w:rsidR="006D0545" w:rsidRDefault="006D0545" w:rsidP="006D0545">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t>Esta</w:t>
      </w:r>
      <w:r w:rsidRPr="006D0545">
        <w:rPr>
          <w:rFonts w:ascii="Times New Roman" w:hAnsi="Times New Roman"/>
          <w:bCs/>
          <w:szCs w:val="24"/>
        </w:rPr>
        <w:t xml:space="preserve"> Superintendência realizou</w:t>
      </w:r>
      <w:r w:rsidR="00AC1AAC">
        <w:rPr>
          <w:rFonts w:ascii="Times New Roman" w:hAnsi="Times New Roman"/>
          <w:bCs/>
          <w:szCs w:val="24"/>
        </w:rPr>
        <w:t xml:space="preserve"> reuniões internas</w:t>
      </w:r>
      <w:r w:rsidR="00F46585">
        <w:rPr>
          <w:rFonts w:ascii="Times New Roman" w:hAnsi="Times New Roman"/>
          <w:bCs/>
          <w:szCs w:val="24"/>
        </w:rPr>
        <w:t xml:space="preserve"> e houve </w:t>
      </w:r>
      <w:r w:rsidR="00AC1AAC" w:rsidRPr="00171C3C">
        <w:rPr>
          <w:rFonts w:ascii="Times New Roman" w:hAnsi="Times New Roman"/>
        </w:rPr>
        <w:t xml:space="preserve">o consenso quanto à necessidade de </w:t>
      </w:r>
      <w:r w:rsidR="007B4347">
        <w:rPr>
          <w:rFonts w:ascii="Times New Roman" w:hAnsi="Times New Roman"/>
        </w:rPr>
        <w:t>revisão da</w:t>
      </w:r>
      <w:r w:rsidR="00F46585">
        <w:rPr>
          <w:rFonts w:ascii="Times New Roman" w:hAnsi="Times New Roman"/>
        </w:rPr>
        <w:t xml:space="preserve"> supracitada Resolução,</w:t>
      </w:r>
      <w:r w:rsidR="00AC1AAC" w:rsidRPr="00171C3C">
        <w:rPr>
          <w:rFonts w:ascii="Times New Roman" w:hAnsi="Times New Roman"/>
        </w:rPr>
        <w:t xml:space="preserve"> tendo em vista o conhecimento adquirido da comercialização deste produto</w:t>
      </w:r>
      <w:r w:rsidR="00472253">
        <w:rPr>
          <w:rFonts w:ascii="Times New Roman" w:hAnsi="Times New Roman"/>
        </w:rPr>
        <w:t>,</w:t>
      </w:r>
      <w:r w:rsidR="00AC1AAC">
        <w:rPr>
          <w:rFonts w:ascii="Times New Roman" w:hAnsi="Times New Roman"/>
        </w:rPr>
        <w:t xml:space="preserve"> desde a publicação da última especificação em 20</w:t>
      </w:r>
      <w:r w:rsidR="00F46585">
        <w:rPr>
          <w:rFonts w:ascii="Times New Roman" w:hAnsi="Times New Roman"/>
        </w:rPr>
        <w:t>12</w:t>
      </w:r>
      <w:r w:rsidR="00AC1AAC" w:rsidRPr="00171C3C">
        <w:rPr>
          <w:rFonts w:ascii="Times New Roman" w:hAnsi="Times New Roman"/>
        </w:rPr>
        <w:t>.</w:t>
      </w:r>
      <w:r w:rsidR="00F46585">
        <w:rPr>
          <w:rFonts w:ascii="Times New Roman" w:hAnsi="Times New Roman"/>
        </w:rPr>
        <w:t xml:space="preserve"> Foram realizadas também reuniões com dist</w:t>
      </w:r>
      <w:r w:rsidR="007B4347">
        <w:rPr>
          <w:rFonts w:ascii="Times New Roman" w:hAnsi="Times New Roman"/>
        </w:rPr>
        <w:t>ribuidores</w:t>
      </w:r>
      <w:r w:rsidR="00F46585">
        <w:rPr>
          <w:rFonts w:ascii="Times New Roman" w:hAnsi="Times New Roman"/>
        </w:rPr>
        <w:t xml:space="preserve">. </w:t>
      </w:r>
      <w:r w:rsidRPr="006D0545">
        <w:rPr>
          <w:rFonts w:ascii="Times New Roman" w:hAnsi="Times New Roman"/>
          <w:bCs/>
          <w:szCs w:val="24"/>
        </w:rPr>
        <w:t xml:space="preserve"> </w:t>
      </w:r>
      <w:r w:rsidR="00415609">
        <w:rPr>
          <w:rFonts w:ascii="Times New Roman" w:hAnsi="Times New Roman"/>
          <w:bCs/>
          <w:szCs w:val="24"/>
        </w:rPr>
        <w:t xml:space="preserve">A partir das informações e esclarecimentos </w:t>
      </w:r>
      <w:r w:rsidR="00415609">
        <w:rPr>
          <w:rFonts w:ascii="Times New Roman" w:hAnsi="Times New Roman"/>
          <w:bCs/>
          <w:szCs w:val="24"/>
        </w:rPr>
        <w:lastRenderedPageBreak/>
        <w:t>gerados a</w:t>
      </w:r>
      <w:r w:rsidR="00F46585">
        <w:rPr>
          <w:rFonts w:ascii="Times New Roman" w:hAnsi="Times New Roman"/>
          <w:bCs/>
          <w:szCs w:val="24"/>
        </w:rPr>
        <w:t>o longo do processo, a SBQ propôs algumas alterações, que foram compiladas</w:t>
      </w:r>
      <w:r w:rsidRPr="006D0545">
        <w:rPr>
          <w:rFonts w:ascii="Times New Roman" w:hAnsi="Times New Roman"/>
          <w:bCs/>
          <w:szCs w:val="24"/>
        </w:rPr>
        <w:t xml:space="preserve"> para apresentação em uma última reunião, ocorrida no dia </w:t>
      </w:r>
      <w:r w:rsidR="00AC1AAC">
        <w:rPr>
          <w:rFonts w:ascii="Times New Roman" w:hAnsi="Times New Roman"/>
          <w:bCs/>
          <w:szCs w:val="24"/>
        </w:rPr>
        <w:t>0</w:t>
      </w:r>
      <w:r w:rsidRPr="006D0545">
        <w:rPr>
          <w:rFonts w:ascii="Times New Roman" w:hAnsi="Times New Roman"/>
          <w:bCs/>
          <w:szCs w:val="24"/>
        </w:rPr>
        <w:t>3/</w:t>
      </w:r>
      <w:r w:rsidR="00AC1AAC">
        <w:rPr>
          <w:rFonts w:ascii="Times New Roman" w:hAnsi="Times New Roman"/>
          <w:bCs/>
          <w:szCs w:val="24"/>
        </w:rPr>
        <w:t>04/2014</w:t>
      </w:r>
      <w:r w:rsidR="00415609">
        <w:rPr>
          <w:rFonts w:ascii="Times New Roman" w:hAnsi="Times New Roman"/>
          <w:bCs/>
          <w:szCs w:val="24"/>
        </w:rPr>
        <w:t>. Na ocasião,</w:t>
      </w:r>
      <w:r w:rsidR="00474C5D">
        <w:rPr>
          <w:rFonts w:ascii="Times New Roman" w:hAnsi="Times New Roman"/>
          <w:bCs/>
          <w:szCs w:val="24"/>
        </w:rPr>
        <w:t xml:space="preserve"> </w:t>
      </w:r>
      <w:r w:rsidRPr="006D0545">
        <w:rPr>
          <w:rFonts w:ascii="Times New Roman" w:hAnsi="Times New Roman"/>
          <w:bCs/>
          <w:szCs w:val="24"/>
        </w:rPr>
        <w:t xml:space="preserve">a participação ampla de </w:t>
      </w:r>
      <w:r w:rsidR="00F46585" w:rsidRPr="006D0545">
        <w:rPr>
          <w:rFonts w:ascii="Times New Roman" w:hAnsi="Times New Roman"/>
          <w:bCs/>
          <w:szCs w:val="24"/>
        </w:rPr>
        <w:t>produ</w:t>
      </w:r>
      <w:r w:rsidR="00F46585">
        <w:rPr>
          <w:rFonts w:ascii="Times New Roman" w:hAnsi="Times New Roman"/>
          <w:bCs/>
          <w:szCs w:val="24"/>
        </w:rPr>
        <w:t>tores</w:t>
      </w:r>
      <w:r w:rsidR="00F46585" w:rsidRPr="006D0545">
        <w:rPr>
          <w:rFonts w:ascii="Times New Roman" w:hAnsi="Times New Roman"/>
          <w:bCs/>
          <w:szCs w:val="24"/>
        </w:rPr>
        <w:t xml:space="preserve"> </w:t>
      </w:r>
      <w:r w:rsidR="00F46585">
        <w:rPr>
          <w:rFonts w:ascii="Times New Roman" w:hAnsi="Times New Roman"/>
          <w:bCs/>
          <w:szCs w:val="24"/>
        </w:rPr>
        <w:t>e distribuidores</w:t>
      </w:r>
      <w:r w:rsidR="00474C5D">
        <w:rPr>
          <w:rFonts w:ascii="Times New Roman" w:hAnsi="Times New Roman"/>
          <w:bCs/>
          <w:szCs w:val="24"/>
        </w:rPr>
        <w:t xml:space="preserve"> possibilitou</w:t>
      </w:r>
      <w:r w:rsidR="00F46585">
        <w:rPr>
          <w:rFonts w:ascii="Times New Roman" w:hAnsi="Times New Roman"/>
          <w:bCs/>
          <w:szCs w:val="24"/>
        </w:rPr>
        <w:t xml:space="preserve"> </w:t>
      </w:r>
      <w:r w:rsidRPr="006D0545">
        <w:rPr>
          <w:rFonts w:ascii="Times New Roman" w:hAnsi="Times New Roman"/>
          <w:bCs/>
          <w:szCs w:val="24"/>
        </w:rPr>
        <w:t>levantar as diferentes perspectivas do mercado.</w:t>
      </w:r>
    </w:p>
    <w:p w:rsidR="00F46585" w:rsidRDefault="00F46585" w:rsidP="006D0545">
      <w:pPr>
        <w:tabs>
          <w:tab w:val="left" w:pos="1134"/>
        </w:tabs>
        <w:spacing w:before="120" w:after="120" w:line="276" w:lineRule="auto"/>
        <w:jc w:val="both"/>
        <w:rPr>
          <w:rFonts w:ascii="Times New Roman" w:hAnsi="Times New Roman"/>
          <w:bCs/>
          <w:szCs w:val="24"/>
        </w:rPr>
      </w:pPr>
    </w:p>
    <w:p w:rsidR="00F46585" w:rsidRDefault="00F46585" w:rsidP="00F46585">
      <w:pPr>
        <w:tabs>
          <w:tab w:val="left" w:pos="1134"/>
        </w:tabs>
        <w:spacing w:before="120" w:after="120" w:line="276" w:lineRule="auto"/>
        <w:jc w:val="both"/>
        <w:rPr>
          <w:rFonts w:ascii="Times New Roman" w:hAnsi="Times New Roman"/>
          <w:b/>
          <w:color w:val="000000"/>
          <w:szCs w:val="24"/>
        </w:rPr>
      </w:pPr>
      <w:r>
        <w:rPr>
          <w:rFonts w:ascii="Times New Roman" w:hAnsi="Times New Roman"/>
          <w:b/>
          <w:color w:val="000000"/>
          <w:szCs w:val="24"/>
        </w:rPr>
        <w:t>4</w:t>
      </w:r>
      <w:r w:rsidRPr="00C33929">
        <w:rPr>
          <w:rFonts w:ascii="Times New Roman" w:hAnsi="Times New Roman"/>
          <w:b/>
          <w:color w:val="000000"/>
          <w:szCs w:val="24"/>
        </w:rPr>
        <w:t xml:space="preserve">. </w:t>
      </w:r>
      <w:r w:rsidRPr="00C33929">
        <w:rPr>
          <w:rFonts w:ascii="Times New Roman" w:hAnsi="Times New Roman"/>
          <w:b/>
          <w:color w:val="000000"/>
          <w:szCs w:val="24"/>
        </w:rPr>
        <w:tab/>
      </w:r>
      <w:r>
        <w:rPr>
          <w:rFonts w:ascii="Times New Roman" w:hAnsi="Times New Roman"/>
          <w:b/>
          <w:color w:val="000000"/>
          <w:szCs w:val="24"/>
        </w:rPr>
        <w:t xml:space="preserve">DA MOTIVAÇÃO PARA ALTERAÇÃO </w:t>
      </w:r>
      <w:r w:rsidRPr="00C33929">
        <w:rPr>
          <w:rFonts w:ascii="Times New Roman" w:hAnsi="Times New Roman"/>
          <w:b/>
          <w:color w:val="000000"/>
          <w:szCs w:val="24"/>
        </w:rPr>
        <w:tab/>
      </w:r>
    </w:p>
    <w:p w:rsidR="00F46585" w:rsidRDefault="00F46585" w:rsidP="00F46585">
      <w:pPr>
        <w:tabs>
          <w:tab w:val="left" w:pos="1134"/>
        </w:tabs>
        <w:spacing w:before="120" w:after="120" w:line="276" w:lineRule="auto"/>
        <w:jc w:val="both"/>
        <w:rPr>
          <w:rFonts w:ascii="Times New Roman" w:hAnsi="Times New Roman"/>
          <w:szCs w:val="24"/>
        </w:rPr>
      </w:pPr>
      <w:r>
        <w:rPr>
          <w:rFonts w:ascii="Times New Roman" w:hAnsi="Times New Roman"/>
          <w:szCs w:val="24"/>
        </w:rPr>
        <w:tab/>
      </w:r>
      <w:r w:rsidRPr="0091460C">
        <w:rPr>
          <w:rFonts w:ascii="Times New Roman" w:hAnsi="Times New Roman"/>
          <w:szCs w:val="24"/>
        </w:rPr>
        <w:t xml:space="preserve">A </w:t>
      </w:r>
      <w:r w:rsidR="007B4347">
        <w:rPr>
          <w:rFonts w:ascii="Times New Roman" w:hAnsi="Times New Roman"/>
          <w:szCs w:val="24"/>
        </w:rPr>
        <w:t xml:space="preserve">revisão </w:t>
      </w:r>
      <w:r>
        <w:rPr>
          <w:rFonts w:ascii="Times New Roman" w:hAnsi="Times New Roman"/>
          <w:szCs w:val="24"/>
        </w:rPr>
        <w:t>da Resolução ANP n° 14</w:t>
      </w:r>
      <w:r w:rsidRPr="0091460C">
        <w:rPr>
          <w:rFonts w:ascii="Times New Roman" w:hAnsi="Times New Roman"/>
          <w:szCs w:val="24"/>
        </w:rPr>
        <w:t>/20</w:t>
      </w:r>
      <w:r>
        <w:rPr>
          <w:rFonts w:ascii="Times New Roman" w:hAnsi="Times New Roman"/>
          <w:szCs w:val="24"/>
        </w:rPr>
        <w:t>12</w:t>
      </w:r>
      <w:r w:rsidRPr="0091460C">
        <w:rPr>
          <w:rFonts w:ascii="Times New Roman" w:hAnsi="Times New Roman"/>
          <w:szCs w:val="24"/>
        </w:rPr>
        <w:t xml:space="preserve"> </w:t>
      </w:r>
      <w:r>
        <w:rPr>
          <w:rFonts w:ascii="Times New Roman" w:hAnsi="Times New Roman"/>
          <w:szCs w:val="24"/>
        </w:rPr>
        <w:t>tem</w:t>
      </w:r>
      <w:r w:rsidRPr="0091460C">
        <w:rPr>
          <w:rFonts w:ascii="Times New Roman" w:hAnsi="Times New Roman"/>
          <w:szCs w:val="24"/>
        </w:rPr>
        <w:t xml:space="preserve"> como principal </w:t>
      </w:r>
      <w:r>
        <w:rPr>
          <w:rFonts w:ascii="Times New Roman" w:hAnsi="Times New Roman"/>
          <w:szCs w:val="24"/>
        </w:rPr>
        <w:t>motivação</w:t>
      </w:r>
      <w:r w:rsidRPr="0091460C">
        <w:rPr>
          <w:rFonts w:ascii="Times New Roman" w:hAnsi="Times New Roman"/>
          <w:szCs w:val="24"/>
        </w:rPr>
        <w:t xml:space="preserve"> aprimora</w:t>
      </w:r>
      <w:r>
        <w:rPr>
          <w:rFonts w:ascii="Times New Roman" w:hAnsi="Times New Roman"/>
          <w:szCs w:val="24"/>
        </w:rPr>
        <w:t>r</w:t>
      </w:r>
      <w:r w:rsidRPr="0091460C">
        <w:rPr>
          <w:rFonts w:ascii="Times New Roman" w:hAnsi="Times New Roman"/>
          <w:szCs w:val="24"/>
        </w:rPr>
        <w:t xml:space="preserve"> a especificação </w:t>
      </w:r>
      <w:r>
        <w:rPr>
          <w:rFonts w:ascii="Times New Roman" w:hAnsi="Times New Roman"/>
          <w:szCs w:val="24"/>
        </w:rPr>
        <w:t xml:space="preserve">do biodiesel </w:t>
      </w:r>
      <w:r w:rsidRPr="0091460C">
        <w:rPr>
          <w:rFonts w:ascii="Times New Roman" w:hAnsi="Times New Roman"/>
          <w:szCs w:val="24"/>
        </w:rPr>
        <w:t xml:space="preserve">quanto </w:t>
      </w:r>
      <w:r>
        <w:rPr>
          <w:rFonts w:ascii="Times New Roman" w:hAnsi="Times New Roman"/>
          <w:szCs w:val="24"/>
        </w:rPr>
        <w:t>a sua</w:t>
      </w:r>
      <w:r w:rsidRPr="0091460C">
        <w:rPr>
          <w:rFonts w:ascii="Times New Roman" w:hAnsi="Times New Roman"/>
          <w:szCs w:val="24"/>
        </w:rPr>
        <w:t xml:space="preserve"> aplicação</w:t>
      </w:r>
      <w:r>
        <w:rPr>
          <w:rFonts w:ascii="Times New Roman" w:hAnsi="Times New Roman"/>
          <w:szCs w:val="24"/>
        </w:rPr>
        <w:t xml:space="preserve"> </w:t>
      </w:r>
      <w:r w:rsidRPr="0091460C">
        <w:rPr>
          <w:rFonts w:ascii="Times New Roman" w:hAnsi="Times New Roman"/>
          <w:szCs w:val="24"/>
        </w:rPr>
        <w:t>em motores automotivos</w:t>
      </w:r>
      <w:r>
        <w:rPr>
          <w:rFonts w:ascii="Times New Roman" w:hAnsi="Times New Roman"/>
          <w:szCs w:val="24"/>
        </w:rPr>
        <w:t>, não só na forma de mistura com o óleo diesel, como também puro em usos especiais aprovados pela ANP.</w:t>
      </w:r>
      <w:r w:rsidR="0097001D">
        <w:rPr>
          <w:rFonts w:ascii="Times New Roman" w:hAnsi="Times New Roman"/>
          <w:szCs w:val="24"/>
        </w:rPr>
        <w:t xml:space="preserve"> </w:t>
      </w:r>
      <w:r>
        <w:rPr>
          <w:rFonts w:ascii="Times New Roman" w:hAnsi="Times New Roman"/>
          <w:szCs w:val="24"/>
        </w:rPr>
        <w:t xml:space="preserve">Tal </w:t>
      </w:r>
      <w:r w:rsidR="007B4347">
        <w:rPr>
          <w:rFonts w:ascii="Times New Roman" w:hAnsi="Times New Roman"/>
          <w:szCs w:val="24"/>
        </w:rPr>
        <w:t>revisão</w:t>
      </w:r>
      <w:r>
        <w:rPr>
          <w:rFonts w:ascii="Times New Roman" w:hAnsi="Times New Roman"/>
          <w:szCs w:val="24"/>
        </w:rPr>
        <w:t xml:space="preserve"> visa, especialmente,</w:t>
      </w:r>
      <w:r w:rsidRPr="0091460C">
        <w:rPr>
          <w:rFonts w:ascii="Times New Roman" w:hAnsi="Times New Roman"/>
          <w:szCs w:val="24"/>
        </w:rPr>
        <w:t xml:space="preserve"> </w:t>
      </w:r>
      <w:r>
        <w:rPr>
          <w:rFonts w:ascii="Times New Roman" w:hAnsi="Times New Roman"/>
          <w:szCs w:val="24"/>
        </w:rPr>
        <w:t>h</w:t>
      </w:r>
      <w:r w:rsidRPr="00A26E0A">
        <w:rPr>
          <w:rFonts w:ascii="Times New Roman" w:hAnsi="Times New Roman"/>
          <w:szCs w:val="24"/>
        </w:rPr>
        <w:t>armonizar a especificação do biodiesel com as normas internacionais</w:t>
      </w:r>
      <w:r>
        <w:rPr>
          <w:rFonts w:ascii="Times New Roman" w:hAnsi="Times New Roman"/>
          <w:szCs w:val="24"/>
        </w:rPr>
        <w:t>, a</w:t>
      </w:r>
      <w:r w:rsidRPr="00A26E0A">
        <w:rPr>
          <w:rFonts w:ascii="Times New Roman" w:hAnsi="Times New Roman"/>
          <w:szCs w:val="24"/>
        </w:rPr>
        <w:t xml:space="preserve">linhar a qualidade do </w:t>
      </w:r>
      <w:r w:rsidR="00415609">
        <w:rPr>
          <w:rFonts w:ascii="Times New Roman" w:hAnsi="Times New Roman"/>
          <w:szCs w:val="24"/>
        </w:rPr>
        <w:t>bio</w:t>
      </w:r>
      <w:r w:rsidRPr="00A26E0A">
        <w:rPr>
          <w:rFonts w:ascii="Times New Roman" w:hAnsi="Times New Roman"/>
          <w:szCs w:val="24"/>
        </w:rPr>
        <w:t>combustível com as condições do mercado brasileiro</w:t>
      </w:r>
      <w:r w:rsidR="00415609">
        <w:rPr>
          <w:rFonts w:ascii="Times New Roman" w:hAnsi="Times New Roman"/>
          <w:szCs w:val="24"/>
        </w:rPr>
        <w:t>, além de dar</w:t>
      </w:r>
      <w:r>
        <w:rPr>
          <w:rFonts w:ascii="Times New Roman" w:hAnsi="Times New Roman"/>
          <w:szCs w:val="24"/>
        </w:rPr>
        <w:t xml:space="preserve"> maior previsibilidade ao mercado</w:t>
      </w:r>
      <w:r w:rsidR="00C25E27">
        <w:rPr>
          <w:rFonts w:ascii="Times New Roman" w:hAnsi="Times New Roman"/>
          <w:szCs w:val="24"/>
        </w:rPr>
        <w:t>, mantendo a adequação ao uso do combustível ofertado ao consumidor</w:t>
      </w:r>
      <w:r>
        <w:rPr>
          <w:rFonts w:ascii="Times New Roman" w:hAnsi="Times New Roman"/>
          <w:szCs w:val="24"/>
        </w:rPr>
        <w:t xml:space="preserve">. </w:t>
      </w:r>
    </w:p>
    <w:p w:rsidR="00F46585" w:rsidRDefault="00F46585" w:rsidP="00F46585">
      <w:pPr>
        <w:tabs>
          <w:tab w:val="left" w:pos="1134"/>
        </w:tabs>
        <w:spacing w:before="120" w:after="120" w:line="276" w:lineRule="auto"/>
        <w:jc w:val="both"/>
        <w:rPr>
          <w:rFonts w:ascii="Times New Roman" w:hAnsi="Times New Roman"/>
          <w:bCs/>
          <w:szCs w:val="24"/>
        </w:rPr>
      </w:pPr>
      <w:r>
        <w:rPr>
          <w:rFonts w:ascii="Times New Roman" w:hAnsi="Times New Roman"/>
          <w:szCs w:val="24"/>
        </w:rPr>
        <w:tab/>
      </w:r>
      <w:r w:rsidRPr="00A9008C">
        <w:rPr>
          <w:rFonts w:ascii="Times New Roman" w:hAnsi="Times New Roman"/>
          <w:bCs/>
          <w:szCs w:val="24"/>
        </w:rPr>
        <w:t xml:space="preserve">Considerando que a qualidade do biodiesel envolve uma série de variáveis, que vão desde a preocupação em garantir a </w:t>
      </w:r>
      <w:r w:rsidRPr="002F0D33">
        <w:rPr>
          <w:rFonts w:ascii="Times New Roman" w:hAnsi="Times New Roman"/>
          <w:szCs w:val="24"/>
        </w:rPr>
        <w:t>comercialização de produto dentro da especificação, até a manutenção da sua qualidade ao longo da cadeia, busca-se c</w:t>
      </w:r>
      <w:r w:rsidR="00415609">
        <w:rPr>
          <w:rFonts w:ascii="Times New Roman" w:hAnsi="Times New Roman"/>
          <w:szCs w:val="24"/>
        </w:rPr>
        <w:t xml:space="preserve">om </w:t>
      </w:r>
      <w:r w:rsidR="00474C5D">
        <w:rPr>
          <w:rFonts w:ascii="Times New Roman" w:hAnsi="Times New Roman"/>
          <w:szCs w:val="24"/>
        </w:rPr>
        <w:t>est</w:t>
      </w:r>
      <w:r w:rsidR="00415609">
        <w:rPr>
          <w:rFonts w:ascii="Times New Roman" w:hAnsi="Times New Roman"/>
          <w:szCs w:val="24"/>
        </w:rPr>
        <w:t xml:space="preserve">a </w:t>
      </w:r>
      <w:r w:rsidR="007B4347">
        <w:rPr>
          <w:rFonts w:ascii="Times New Roman" w:hAnsi="Times New Roman"/>
          <w:szCs w:val="24"/>
        </w:rPr>
        <w:t>revisão</w:t>
      </w:r>
      <w:r w:rsidR="00415609">
        <w:rPr>
          <w:rFonts w:ascii="Times New Roman" w:hAnsi="Times New Roman"/>
          <w:szCs w:val="24"/>
        </w:rPr>
        <w:t xml:space="preserve"> </w:t>
      </w:r>
      <w:r w:rsidR="00C25E27">
        <w:rPr>
          <w:rFonts w:ascii="Times New Roman" w:hAnsi="Times New Roman"/>
          <w:szCs w:val="24"/>
        </w:rPr>
        <w:t>ajustar</w:t>
      </w:r>
      <w:r w:rsidR="00415609">
        <w:rPr>
          <w:rFonts w:ascii="Times New Roman" w:hAnsi="Times New Roman"/>
          <w:szCs w:val="24"/>
        </w:rPr>
        <w:t xml:space="preserve"> a especificação do biodiesel </w:t>
      </w:r>
      <w:r w:rsidRPr="002F0D33">
        <w:rPr>
          <w:rFonts w:ascii="Times New Roman" w:hAnsi="Times New Roman"/>
          <w:szCs w:val="24"/>
        </w:rPr>
        <w:t>às necessidades do mercado</w:t>
      </w:r>
      <w:r w:rsidR="00AE279C">
        <w:rPr>
          <w:rFonts w:ascii="Times New Roman" w:hAnsi="Times New Roman"/>
          <w:szCs w:val="24"/>
        </w:rPr>
        <w:t>, mantendo a adequação ao uso do combustível ofertado ao consumidor</w:t>
      </w:r>
      <w:r w:rsidRPr="002F0D33">
        <w:rPr>
          <w:rFonts w:ascii="Times New Roman" w:hAnsi="Times New Roman"/>
          <w:szCs w:val="24"/>
        </w:rPr>
        <w:t>. A</w:t>
      </w:r>
      <w:r w:rsidR="00415609">
        <w:rPr>
          <w:rFonts w:ascii="Times New Roman" w:hAnsi="Times New Roman"/>
          <w:szCs w:val="24"/>
        </w:rPr>
        <w:t xml:space="preserve">dicionalmente, foram </w:t>
      </w:r>
      <w:r w:rsidR="002F0D33" w:rsidRPr="002F0D33">
        <w:rPr>
          <w:rFonts w:ascii="Times New Roman" w:hAnsi="Times New Roman"/>
          <w:szCs w:val="24"/>
        </w:rPr>
        <w:t>sugeridas alterações em algumas Seções da Resolução.</w:t>
      </w:r>
    </w:p>
    <w:p w:rsidR="00F46585" w:rsidRDefault="00F46585" w:rsidP="00F46585">
      <w:pPr>
        <w:tabs>
          <w:tab w:val="left" w:pos="1134"/>
        </w:tabs>
        <w:spacing w:before="120" w:after="120" w:line="276" w:lineRule="auto"/>
        <w:jc w:val="both"/>
        <w:rPr>
          <w:rFonts w:ascii="Times New Roman" w:hAnsi="Times New Roman"/>
          <w:bCs/>
          <w:szCs w:val="24"/>
        </w:rPr>
      </w:pPr>
    </w:p>
    <w:p w:rsidR="00F46585" w:rsidRDefault="00F46585" w:rsidP="00F46585">
      <w:pPr>
        <w:tabs>
          <w:tab w:val="left" w:pos="1134"/>
        </w:tabs>
        <w:spacing w:before="120" w:after="120" w:line="276" w:lineRule="auto"/>
        <w:jc w:val="both"/>
        <w:rPr>
          <w:rFonts w:ascii="Times New Roman" w:hAnsi="Times New Roman"/>
          <w:b/>
          <w:szCs w:val="24"/>
        </w:rPr>
      </w:pPr>
      <w:r>
        <w:rPr>
          <w:rFonts w:ascii="Times New Roman" w:hAnsi="Times New Roman"/>
          <w:b/>
          <w:color w:val="000000"/>
          <w:szCs w:val="24"/>
        </w:rPr>
        <w:t>5</w:t>
      </w:r>
      <w:r w:rsidRPr="00484214">
        <w:rPr>
          <w:rFonts w:ascii="Times New Roman" w:hAnsi="Times New Roman"/>
          <w:color w:val="000000"/>
          <w:szCs w:val="24"/>
        </w:rPr>
        <w:t>.</w:t>
      </w:r>
      <w:r w:rsidRPr="00484214">
        <w:rPr>
          <w:rFonts w:ascii="Times New Roman" w:hAnsi="Times New Roman"/>
          <w:b/>
          <w:color w:val="000000"/>
          <w:szCs w:val="24"/>
        </w:rPr>
        <w:tab/>
      </w:r>
      <w:r>
        <w:rPr>
          <w:rFonts w:ascii="Times New Roman" w:hAnsi="Times New Roman"/>
          <w:b/>
          <w:szCs w:val="24"/>
        </w:rPr>
        <w:t>DAS ALTERAÇÕES</w:t>
      </w:r>
    </w:p>
    <w:p w:rsidR="00007A2D" w:rsidRDefault="003E58EE" w:rsidP="003E58EE">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007A2D">
        <w:rPr>
          <w:rFonts w:ascii="Times New Roman" w:hAnsi="Times New Roman"/>
          <w:bCs/>
          <w:szCs w:val="24"/>
        </w:rPr>
        <w:t>As alterações propostas na presente Resolução serão consideradas a seguir:</w:t>
      </w:r>
    </w:p>
    <w:p w:rsidR="0076674E" w:rsidRDefault="0076674E" w:rsidP="0076674E">
      <w:pPr>
        <w:tabs>
          <w:tab w:val="left" w:pos="1134"/>
        </w:tabs>
        <w:spacing w:before="120" w:after="120" w:line="276" w:lineRule="auto"/>
        <w:jc w:val="both"/>
        <w:rPr>
          <w:rFonts w:ascii="Times New Roman" w:hAnsi="Times New Roman"/>
          <w:b/>
          <w:bCs/>
          <w:szCs w:val="24"/>
        </w:rPr>
      </w:pPr>
    </w:p>
    <w:p w:rsidR="0076674E" w:rsidRPr="007F046B" w:rsidRDefault="0076674E" w:rsidP="0076674E">
      <w:pPr>
        <w:tabs>
          <w:tab w:val="left" w:pos="1134"/>
        </w:tabs>
        <w:spacing w:before="120" w:after="120" w:line="276" w:lineRule="auto"/>
        <w:jc w:val="both"/>
        <w:rPr>
          <w:rFonts w:ascii="Times New Roman" w:hAnsi="Times New Roman"/>
          <w:b/>
          <w:bCs/>
          <w:szCs w:val="24"/>
        </w:rPr>
      </w:pPr>
      <w:r w:rsidRPr="007F046B">
        <w:rPr>
          <w:rFonts w:ascii="Times New Roman" w:hAnsi="Times New Roman"/>
          <w:b/>
          <w:bCs/>
          <w:szCs w:val="24"/>
        </w:rPr>
        <w:t>5.1. Das disposições preliminares</w:t>
      </w:r>
    </w:p>
    <w:p w:rsidR="00007A2D" w:rsidRPr="007F046B" w:rsidRDefault="0076674E" w:rsidP="003E58EE">
      <w:pPr>
        <w:tabs>
          <w:tab w:val="left" w:pos="1134"/>
        </w:tabs>
        <w:spacing w:before="120" w:after="120" w:line="276" w:lineRule="auto"/>
        <w:jc w:val="both"/>
        <w:rPr>
          <w:rFonts w:ascii="Times New Roman" w:hAnsi="Times New Roman"/>
          <w:bCs/>
          <w:szCs w:val="24"/>
        </w:rPr>
      </w:pPr>
      <w:r w:rsidRPr="007F046B">
        <w:rPr>
          <w:rFonts w:ascii="Times New Roman" w:hAnsi="Times New Roman"/>
          <w:bCs/>
          <w:szCs w:val="24"/>
        </w:rPr>
        <w:tab/>
        <w:t>É sugerida a retirada do Parágrafo único, tendo em vista a existência da medida provisória que aumenta o teor obrigatório de biodiesel a ser adicionado no óleo diesel. A determinação é de que esse teor seja de 6% a partir de 1º de julho de 2014 e 7% a partir de 1º de novembro de 2014. A referida medida provisória encontra-se para assinatura da Presidente da República.</w:t>
      </w:r>
    </w:p>
    <w:p w:rsidR="0076674E" w:rsidRPr="0076674E" w:rsidRDefault="0076674E" w:rsidP="0076674E">
      <w:pPr>
        <w:pStyle w:val="Texto"/>
        <w:rPr>
          <w:rFonts w:ascii="Times New Roman" w:hAnsi="Times New Roman"/>
          <w:bCs/>
          <w:color w:val="auto"/>
          <w:sz w:val="24"/>
          <w:szCs w:val="24"/>
        </w:rPr>
      </w:pPr>
      <w:r w:rsidRPr="007F046B">
        <w:tab/>
      </w:r>
      <w:r w:rsidRPr="007F046B">
        <w:rPr>
          <w:rFonts w:ascii="Times New Roman" w:hAnsi="Times New Roman"/>
          <w:bCs/>
          <w:color w:val="auto"/>
          <w:sz w:val="24"/>
          <w:szCs w:val="24"/>
        </w:rPr>
        <w:t>Além disso, não há necessidade de se determinar, na revisão da Resolução ANP nº 14/2012, o teor obrigatório de biodiesel a ser adicionado ao óleo diesel, já que o Art. 7º da Resolução ANP nº 50/2012 que trata da especificação do óleo diesel rodoviário determina que o óleo diesel B, de uso rodoviário, comercializado no país deverá conter biodiesel em percentual determinado pela legislação vigente. Assim, como no texto da medida provisória já é informado tal teor, sugere-se a retirada deste parágrafo.</w:t>
      </w:r>
      <w:r w:rsidRPr="0076674E">
        <w:rPr>
          <w:rFonts w:ascii="Times New Roman" w:hAnsi="Times New Roman"/>
          <w:bCs/>
          <w:color w:val="auto"/>
          <w:sz w:val="24"/>
          <w:szCs w:val="24"/>
        </w:rPr>
        <w:t xml:space="preserve"> </w:t>
      </w:r>
    </w:p>
    <w:p w:rsidR="0076674E" w:rsidRDefault="0076674E" w:rsidP="003E58EE">
      <w:pPr>
        <w:tabs>
          <w:tab w:val="left" w:pos="1134"/>
        </w:tabs>
        <w:spacing w:before="120" w:after="120" w:line="276" w:lineRule="auto"/>
        <w:jc w:val="both"/>
        <w:rPr>
          <w:rFonts w:ascii="Times New Roman" w:hAnsi="Times New Roman"/>
          <w:bCs/>
          <w:szCs w:val="24"/>
        </w:rPr>
      </w:pPr>
    </w:p>
    <w:p w:rsidR="00007A2D" w:rsidRDefault="00007A2D" w:rsidP="003E58EE">
      <w:pPr>
        <w:tabs>
          <w:tab w:val="left" w:pos="1134"/>
        </w:tabs>
        <w:spacing w:before="120" w:after="120" w:line="276" w:lineRule="auto"/>
        <w:jc w:val="both"/>
        <w:rPr>
          <w:rFonts w:ascii="Times New Roman" w:hAnsi="Times New Roman"/>
          <w:b/>
          <w:bCs/>
          <w:szCs w:val="24"/>
        </w:rPr>
      </w:pPr>
      <w:r w:rsidRPr="0097001D">
        <w:rPr>
          <w:rFonts w:ascii="Times New Roman" w:hAnsi="Times New Roman"/>
          <w:b/>
          <w:bCs/>
          <w:szCs w:val="24"/>
        </w:rPr>
        <w:t>5.</w:t>
      </w:r>
      <w:r w:rsidR="0076674E">
        <w:rPr>
          <w:rFonts w:ascii="Times New Roman" w:hAnsi="Times New Roman"/>
          <w:b/>
          <w:bCs/>
          <w:szCs w:val="24"/>
        </w:rPr>
        <w:t>2</w:t>
      </w:r>
      <w:r w:rsidRPr="0097001D">
        <w:rPr>
          <w:rFonts w:ascii="Times New Roman" w:hAnsi="Times New Roman"/>
          <w:b/>
          <w:bCs/>
          <w:szCs w:val="24"/>
        </w:rPr>
        <w:t>.</w:t>
      </w:r>
      <w:r w:rsidR="004E11AD">
        <w:rPr>
          <w:rFonts w:ascii="Times New Roman" w:hAnsi="Times New Roman"/>
          <w:b/>
          <w:bCs/>
          <w:szCs w:val="24"/>
        </w:rPr>
        <w:t xml:space="preserve"> Das</w:t>
      </w:r>
      <w:r w:rsidRPr="0097001D">
        <w:rPr>
          <w:rFonts w:ascii="Times New Roman" w:hAnsi="Times New Roman"/>
          <w:b/>
          <w:bCs/>
          <w:szCs w:val="24"/>
        </w:rPr>
        <w:t xml:space="preserve"> </w:t>
      </w:r>
      <w:r w:rsidR="004E11AD">
        <w:rPr>
          <w:rFonts w:ascii="Times New Roman" w:hAnsi="Times New Roman"/>
          <w:b/>
          <w:bCs/>
          <w:szCs w:val="24"/>
        </w:rPr>
        <w:t>d</w:t>
      </w:r>
      <w:r w:rsidR="000B1912">
        <w:rPr>
          <w:rFonts w:ascii="Times New Roman" w:hAnsi="Times New Roman"/>
          <w:b/>
          <w:bCs/>
          <w:szCs w:val="24"/>
        </w:rPr>
        <w:t>efinições</w:t>
      </w:r>
    </w:p>
    <w:p w:rsidR="00235B07" w:rsidRDefault="00007A2D" w:rsidP="003E58EE">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235B07">
        <w:rPr>
          <w:rFonts w:ascii="Times New Roman" w:hAnsi="Times New Roman"/>
          <w:bCs/>
          <w:szCs w:val="24"/>
        </w:rPr>
        <w:t xml:space="preserve">É </w:t>
      </w:r>
      <w:r w:rsidR="004E11AD">
        <w:rPr>
          <w:rFonts w:ascii="Times New Roman" w:hAnsi="Times New Roman"/>
          <w:bCs/>
          <w:szCs w:val="24"/>
        </w:rPr>
        <w:t>sugerida</w:t>
      </w:r>
      <w:r w:rsidR="00235B07">
        <w:rPr>
          <w:rFonts w:ascii="Times New Roman" w:hAnsi="Times New Roman"/>
          <w:bCs/>
          <w:szCs w:val="24"/>
        </w:rPr>
        <w:t xml:space="preserve"> nesta revisão, a alteração das seguintes definições: distribuidor,</w:t>
      </w:r>
      <w:r w:rsidR="004E11AD">
        <w:rPr>
          <w:rFonts w:ascii="Times New Roman" w:hAnsi="Times New Roman"/>
          <w:bCs/>
          <w:szCs w:val="24"/>
        </w:rPr>
        <w:t xml:space="preserve"> boletim de análise,</w:t>
      </w:r>
      <w:r w:rsidR="00235B07">
        <w:rPr>
          <w:rFonts w:ascii="Times New Roman" w:hAnsi="Times New Roman"/>
          <w:bCs/>
          <w:szCs w:val="24"/>
        </w:rPr>
        <w:t xml:space="preserve"> </w:t>
      </w:r>
      <w:r w:rsidR="00D7457A">
        <w:rPr>
          <w:rFonts w:ascii="Times New Roman" w:hAnsi="Times New Roman"/>
          <w:bCs/>
          <w:szCs w:val="24"/>
        </w:rPr>
        <w:t xml:space="preserve">firma inspetora, </w:t>
      </w:r>
      <w:r w:rsidR="00235B07">
        <w:rPr>
          <w:rFonts w:ascii="Times New Roman" w:hAnsi="Times New Roman"/>
          <w:bCs/>
          <w:szCs w:val="24"/>
        </w:rPr>
        <w:t xml:space="preserve">aditivo, componente ativo, diluente e terminal de carregamento, tendo em </w:t>
      </w:r>
      <w:r w:rsidR="00235B07">
        <w:rPr>
          <w:rFonts w:ascii="Times New Roman" w:hAnsi="Times New Roman"/>
          <w:bCs/>
          <w:szCs w:val="24"/>
        </w:rPr>
        <w:lastRenderedPageBreak/>
        <w:t xml:space="preserve">vista que os seguintes termos já foram alterados por outros regulamentos da ANP. </w:t>
      </w:r>
      <w:r w:rsidR="004E11AD">
        <w:rPr>
          <w:rFonts w:ascii="Times New Roman" w:hAnsi="Times New Roman"/>
          <w:bCs/>
          <w:szCs w:val="24"/>
        </w:rPr>
        <w:t xml:space="preserve">Além disso, é sugerida a retirada das seguintes definições: Controle da Qualidade e laboratório cadastrado, por estes termos não acrescentarem </w:t>
      </w:r>
      <w:r w:rsidR="00DF324F">
        <w:rPr>
          <w:rFonts w:ascii="Times New Roman" w:hAnsi="Times New Roman"/>
          <w:bCs/>
          <w:szCs w:val="24"/>
        </w:rPr>
        <w:t>informações à</w:t>
      </w:r>
      <w:r w:rsidR="004E11AD">
        <w:rPr>
          <w:rFonts w:ascii="Times New Roman" w:hAnsi="Times New Roman"/>
          <w:bCs/>
          <w:szCs w:val="24"/>
        </w:rPr>
        <w:t xml:space="preserve"> interpretação da Resolução. </w:t>
      </w:r>
    </w:p>
    <w:p w:rsidR="000B1912" w:rsidRDefault="00235B07" w:rsidP="003E58EE">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415609">
        <w:rPr>
          <w:rFonts w:ascii="Times New Roman" w:hAnsi="Times New Roman"/>
          <w:bCs/>
          <w:szCs w:val="24"/>
        </w:rPr>
        <w:t>Foi proposta</w:t>
      </w:r>
      <w:r w:rsidR="00830177">
        <w:rPr>
          <w:rFonts w:ascii="Times New Roman" w:hAnsi="Times New Roman"/>
          <w:bCs/>
          <w:szCs w:val="24"/>
        </w:rPr>
        <w:t xml:space="preserve"> alteração na</w:t>
      </w:r>
      <w:r w:rsidRPr="00830177">
        <w:rPr>
          <w:rFonts w:ascii="Times New Roman" w:hAnsi="Times New Roman"/>
          <w:bCs/>
          <w:szCs w:val="24"/>
        </w:rPr>
        <w:t xml:space="preserve"> definição</w:t>
      </w:r>
      <w:r>
        <w:rPr>
          <w:rFonts w:ascii="Times New Roman" w:hAnsi="Times New Roman"/>
          <w:bCs/>
          <w:szCs w:val="24"/>
        </w:rPr>
        <w:t xml:space="preserve"> </w:t>
      </w:r>
      <w:r w:rsidRPr="00830177">
        <w:rPr>
          <w:rFonts w:ascii="Times New Roman" w:hAnsi="Times New Roman"/>
          <w:bCs/>
          <w:szCs w:val="24"/>
        </w:rPr>
        <w:t xml:space="preserve">de distribuidor </w:t>
      </w:r>
      <w:r w:rsidR="00830177">
        <w:rPr>
          <w:rFonts w:ascii="Times New Roman" w:hAnsi="Times New Roman"/>
          <w:bCs/>
          <w:szCs w:val="24"/>
        </w:rPr>
        <w:t>de maneira a</w:t>
      </w:r>
      <w:r w:rsidR="00830177" w:rsidRPr="00830177">
        <w:rPr>
          <w:rFonts w:ascii="Times New Roman" w:hAnsi="Times New Roman"/>
          <w:bCs/>
          <w:szCs w:val="24"/>
        </w:rPr>
        <w:t xml:space="preserve"> </w:t>
      </w:r>
      <w:r w:rsidR="00C25E27">
        <w:rPr>
          <w:rFonts w:ascii="Times New Roman" w:hAnsi="Times New Roman"/>
          <w:bCs/>
          <w:szCs w:val="24"/>
        </w:rPr>
        <w:t>alinha</w:t>
      </w:r>
      <w:r w:rsidR="00830177" w:rsidRPr="00830177">
        <w:rPr>
          <w:rFonts w:ascii="Times New Roman" w:hAnsi="Times New Roman"/>
          <w:bCs/>
          <w:szCs w:val="24"/>
        </w:rPr>
        <w:t xml:space="preserve">r </w:t>
      </w:r>
      <w:r w:rsidRPr="00830177">
        <w:rPr>
          <w:rFonts w:ascii="Times New Roman" w:hAnsi="Times New Roman"/>
          <w:bCs/>
          <w:szCs w:val="24"/>
        </w:rPr>
        <w:t xml:space="preserve">com a </w:t>
      </w:r>
      <w:r w:rsidR="00830177" w:rsidRPr="00830177">
        <w:rPr>
          <w:rFonts w:ascii="Times New Roman" w:hAnsi="Times New Roman"/>
          <w:bCs/>
          <w:szCs w:val="24"/>
        </w:rPr>
        <w:t>definição de distribuidor de</w:t>
      </w:r>
      <w:r w:rsidR="00830177">
        <w:rPr>
          <w:rFonts w:ascii="Times New Roman" w:hAnsi="Times New Roman"/>
          <w:bCs/>
          <w:szCs w:val="24"/>
        </w:rPr>
        <w:t xml:space="preserve"> combustíveis, de acordo com a</w:t>
      </w:r>
      <w:r w:rsidR="00830177" w:rsidRPr="00830177">
        <w:rPr>
          <w:rFonts w:ascii="Times New Roman" w:hAnsi="Times New Roman"/>
          <w:bCs/>
          <w:szCs w:val="24"/>
        </w:rPr>
        <w:t xml:space="preserve"> Resolução ANP nº 41/2013</w:t>
      </w:r>
      <w:r w:rsidR="00DF324F">
        <w:rPr>
          <w:rFonts w:ascii="Times New Roman" w:hAnsi="Times New Roman"/>
          <w:bCs/>
          <w:szCs w:val="24"/>
        </w:rPr>
        <w:t>,</w:t>
      </w:r>
      <w:r w:rsidR="00830177">
        <w:rPr>
          <w:rFonts w:ascii="Times New Roman" w:hAnsi="Times New Roman"/>
          <w:bCs/>
          <w:szCs w:val="24"/>
        </w:rPr>
        <w:t xml:space="preserve"> que trata d</w:t>
      </w:r>
      <w:r w:rsidR="00830177" w:rsidRPr="00830177">
        <w:rPr>
          <w:rFonts w:ascii="Times New Roman" w:hAnsi="Times New Roman"/>
          <w:bCs/>
          <w:szCs w:val="24"/>
        </w:rPr>
        <w:t xml:space="preserve">os requisitos necessários à autorização para o exercício da atividade de revenda varejista de combustíveis automotivos e </w:t>
      </w:r>
      <w:r w:rsidR="00DF324F">
        <w:rPr>
          <w:rFonts w:ascii="Times New Roman" w:hAnsi="Times New Roman"/>
          <w:bCs/>
          <w:szCs w:val="24"/>
        </w:rPr>
        <w:t>à</w:t>
      </w:r>
      <w:r w:rsidR="00DF324F" w:rsidRPr="00830177">
        <w:rPr>
          <w:rFonts w:ascii="Times New Roman" w:hAnsi="Times New Roman"/>
          <w:bCs/>
          <w:szCs w:val="24"/>
        </w:rPr>
        <w:t xml:space="preserve"> </w:t>
      </w:r>
      <w:r w:rsidR="00830177" w:rsidRPr="00830177">
        <w:rPr>
          <w:rFonts w:ascii="Times New Roman" w:hAnsi="Times New Roman"/>
          <w:bCs/>
          <w:szCs w:val="24"/>
        </w:rPr>
        <w:t>sua regulamentação</w:t>
      </w:r>
      <w:r w:rsidR="00830177">
        <w:rPr>
          <w:rFonts w:ascii="Times New Roman" w:hAnsi="Times New Roman"/>
          <w:bCs/>
          <w:szCs w:val="24"/>
        </w:rPr>
        <w:t>.</w:t>
      </w:r>
    </w:p>
    <w:p w:rsidR="004E11AD" w:rsidRDefault="004E11AD" w:rsidP="003E58EE">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t xml:space="preserve">Na definição de Boletim de Análise, foi alterada a Resolução que trata do cadastro de laboratório de biodiesel. O novo regulamento é a Resolução ANP nº 06/2014, que </w:t>
      </w:r>
      <w:r w:rsidR="00E60134">
        <w:rPr>
          <w:rFonts w:ascii="Times New Roman" w:hAnsi="Times New Roman"/>
          <w:bCs/>
          <w:szCs w:val="24"/>
        </w:rPr>
        <w:t xml:space="preserve">substituiu </w:t>
      </w:r>
      <w:r>
        <w:rPr>
          <w:rFonts w:ascii="Times New Roman" w:hAnsi="Times New Roman"/>
          <w:bCs/>
          <w:szCs w:val="24"/>
        </w:rPr>
        <w:t>a Resolução ANP nº 46/2011.</w:t>
      </w:r>
    </w:p>
    <w:p w:rsidR="00D7457A" w:rsidRDefault="00D7457A" w:rsidP="003E58EE">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Pr="007F046B">
        <w:rPr>
          <w:rFonts w:ascii="Times New Roman" w:hAnsi="Times New Roman"/>
          <w:bCs/>
          <w:szCs w:val="24"/>
        </w:rPr>
        <w:t>A definição de firma inspetora foi alterada para melhor clareza do inciso.</w:t>
      </w:r>
    </w:p>
    <w:p w:rsidR="00235B07" w:rsidRDefault="000B1912" w:rsidP="003E58EE">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235B07">
        <w:rPr>
          <w:rFonts w:ascii="Times New Roman" w:hAnsi="Times New Roman"/>
          <w:bCs/>
          <w:szCs w:val="24"/>
        </w:rPr>
        <w:t xml:space="preserve">As definições de aditivo, componente ativo, diluente e terminal de carregamento foram </w:t>
      </w:r>
      <w:proofErr w:type="gramStart"/>
      <w:r w:rsidR="004E11AD">
        <w:rPr>
          <w:rFonts w:ascii="Times New Roman" w:hAnsi="Times New Roman"/>
          <w:bCs/>
          <w:szCs w:val="24"/>
        </w:rPr>
        <w:t>alteradas com a publicação da Resolução ANP</w:t>
      </w:r>
      <w:proofErr w:type="gramEnd"/>
      <w:r w:rsidR="00235B07">
        <w:rPr>
          <w:rFonts w:ascii="Times New Roman" w:hAnsi="Times New Roman"/>
          <w:bCs/>
          <w:szCs w:val="24"/>
        </w:rPr>
        <w:t xml:space="preserve"> nº 1/2014, </w:t>
      </w:r>
      <w:r w:rsidR="000E4C24">
        <w:rPr>
          <w:rFonts w:ascii="Times New Roman" w:hAnsi="Times New Roman"/>
          <w:bCs/>
          <w:szCs w:val="24"/>
        </w:rPr>
        <w:t>a qual</w:t>
      </w:r>
      <w:r w:rsidR="00235B07">
        <w:rPr>
          <w:rFonts w:ascii="Times New Roman" w:hAnsi="Times New Roman"/>
          <w:bCs/>
          <w:szCs w:val="24"/>
        </w:rPr>
        <w:t xml:space="preserve"> trata d</w:t>
      </w:r>
      <w:r w:rsidR="00235B07" w:rsidRPr="00235B07">
        <w:rPr>
          <w:rFonts w:ascii="Times New Roman" w:hAnsi="Times New Roman"/>
          <w:bCs/>
          <w:szCs w:val="24"/>
        </w:rPr>
        <w:t>os requisitos a serem atendidos pelos produtores, importadores e fornecedores de aditivos que comercializam aditivos para combustíveis automotivos em todo o território nacional e pelos distribuidores que formulam os combustíveis aditivados, assim como os procedimentos para o registro destes aditivos</w:t>
      </w:r>
      <w:r w:rsidR="004E11AD">
        <w:rPr>
          <w:rFonts w:ascii="Times New Roman" w:hAnsi="Times New Roman"/>
          <w:bCs/>
          <w:szCs w:val="24"/>
        </w:rPr>
        <w:t>.</w:t>
      </w:r>
    </w:p>
    <w:p w:rsidR="004E11AD" w:rsidRDefault="004E11AD" w:rsidP="004E11AD">
      <w:pPr>
        <w:tabs>
          <w:tab w:val="left" w:pos="1134"/>
        </w:tabs>
        <w:spacing w:before="120" w:after="120" w:line="276" w:lineRule="auto"/>
        <w:jc w:val="both"/>
        <w:rPr>
          <w:rFonts w:ascii="Times New Roman" w:hAnsi="Times New Roman"/>
          <w:b/>
          <w:bCs/>
          <w:szCs w:val="24"/>
        </w:rPr>
      </w:pPr>
    </w:p>
    <w:p w:rsidR="004E11AD" w:rsidRPr="0097001D" w:rsidRDefault="004E11AD" w:rsidP="004E11AD">
      <w:pPr>
        <w:tabs>
          <w:tab w:val="left" w:pos="1134"/>
        </w:tabs>
        <w:spacing w:before="120" w:after="120" w:line="276" w:lineRule="auto"/>
        <w:jc w:val="both"/>
        <w:rPr>
          <w:rFonts w:ascii="Times New Roman" w:hAnsi="Times New Roman"/>
          <w:b/>
          <w:bCs/>
          <w:szCs w:val="24"/>
        </w:rPr>
      </w:pPr>
      <w:r w:rsidRPr="0097001D">
        <w:rPr>
          <w:rFonts w:ascii="Times New Roman" w:hAnsi="Times New Roman"/>
          <w:b/>
          <w:bCs/>
          <w:szCs w:val="24"/>
        </w:rPr>
        <w:t>5.</w:t>
      </w:r>
      <w:r w:rsidR="0076674E">
        <w:rPr>
          <w:rFonts w:ascii="Times New Roman" w:hAnsi="Times New Roman"/>
          <w:b/>
          <w:bCs/>
          <w:szCs w:val="24"/>
        </w:rPr>
        <w:t>3</w:t>
      </w:r>
      <w:r w:rsidRPr="0097001D">
        <w:rPr>
          <w:rFonts w:ascii="Times New Roman" w:hAnsi="Times New Roman"/>
          <w:b/>
          <w:bCs/>
          <w:szCs w:val="24"/>
        </w:rPr>
        <w:t>. D</w:t>
      </w:r>
      <w:r>
        <w:rPr>
          <w:rFonts w:ascii="Times New Roman" w:hAnsi="Times New Roman"/>
          <w:b/>
          <w:bCs/>
          <w:szCs w:val="24"/>
        </w:rPr>
        <w:t>a comercialização</w:t>
      </w:r>
    </w:p>
    <w:p w:rsidR="007F2C6F" w:rsidRDefault="004E11AD" w:rsidP="004E11AD">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t xml:space="preserve">O </w:t>
      </w:r>
      <w:r w:rsidRPr="004E11AD">
        <w:rPr>
          <w:rFonts w:ascii="Times New Roman" w:hAnsi="Times New Roman"/>
          <w:bCs/>
          <w:szCs w:val="24"/>
        </w:rPr>
        <w:t>Art. 4º</w:t>
      </w:r>
      <w:r>
        <w:rPr>
          <w:rFonts w:ascii="Times New Roman" w:hAnsi="Times New Roman"/>
          <w:bCs/>
          <w:szCs w:val="24"/>
        </w:rPr>
        <w:t xml:space="preserve"> da Resolução ANP nº 14/2012 diz que o</w:t>
      </w:r>
      <w:r w:rsidRPr="004E11AD">
        <w:rPr>
          <w:rFonts w:ascii="Times New Roman" w:hAnsi="Times New Roman"/>
          <w:bCs/>
          <w:szCs w:val="24"/>
        </w:rPr>
        <w:t xml:space="preserve"> Distribuidor e </w:t>
      </w:r>
      <w:r w:rsidRPr="007F2C6F">
        <w:rPr>
          <w:rFonts w:ascii="Times New Roman" w:hAnsi="Times New Roman"/>
          <w:bCs/>
          <w:szCs w:val="24"/>
        </w:rPr>
        <w:t>o Adquirente</w:t>
      </w:r>
      <w:r w:rsidRPr="004E11AD">
        <w:rPr>
          <w:rFonts w:ascii="Times New Roman" w:hAnsi="Times New Roman"/>
          <w:bCs/>
          <w:szCs w:val="24"/>
        </w:rPr>
        <w:t xml:space="preserve"> ficam obrigados a recusar o recebimento do produto caso constatem qualquer </w:t>
      </w:r>
      <w:proofErr w:type="spellStart"/>
      <w:proofErr w:type="gramStart"/>
      <w:r w:rsidRPr="004E11AD">
        <w:rPr>
          <w:rFonts w:ascii="Times New Roman" w:hAnsi="Times New Roman"/>
          <w:bCs/>
          <w:szCs w:val="24"/>
        </w:rPr>
        <w:t>não-conformidade</w:t>
      </w:r>
      <w:proofErr w:type="spellEnd"/>
      <w:proofErr w:type="gramEnd"/>
      <w:r w:rsidRPr="004E11AD">
        <w:rPr>
          <w:rFonts w:ascii="Times New Roman" w:hAnsi="Times New Roman"/>
          <w:bCs/>
          <w:szCs w:val="24"/>
        </w:rPr>
        <w:t xml:space="preserve"> presente no Certificado da Qualidade ou após realização de análise de amostra representativa. </w:t>
      </w:r>
      <w:r>
        <w:rPr>
          <w:rFonts w:ascii="Times New Roman" w:hAnsi="Times New Roman"/>
          <w:bCs/>
          <w:szCs w:val="24"/>
        </w:rPr>
        <w:t>Além disso, diz que t</w:t>
      </w:r>
      <w:r w:rsidRPr="004E11AD">
        <w:rPr>
          <w:rFonts w:ascii="Times New Roman" w:hAnsi="Times New Roman"/>
          <w:bCs/>
          <w:szCs w:val="24"/>
        </w:rPr>
        <w:t xml:space="preserve">al </w:t>
      </w:r>
      <w:proofErr w:type="spellStart"/>
      <w:proofErr w:type="gramStart"/>
      <w:r w:rsidRPr="004E11AD">
        <w:rPr>
          <w:rFonts w:ascii="Times New Roman" w:hAnsi="Times New Roman"/>
          <w:bCs/>
          <w:szCs w:val="24"/>
        </w:rPr>
        <w:t>não-conformidade</w:t>
      </w:r>
      <w:proofErr w:type="spellEnd"/>
      <w:proofErr w:type="gramEnd"/>
      <w:r w:rsidRPr="004E11AD">
        <w:rPr>
          <w:rFonts w:ascii="Times New Roman" w:hAnsi="Times New Roman"/>
          <w:bCs/>
          <w:szCs w:val="24"/>
        </w:rPr>
        <w:t xml:space="preserve"> deverá ser comunicada a</w:t>
      </w:r>
      <w:r>
        <w:rPr>
          <w:rFonts w:ascii="Times New Roman" w:hAnsi="Times New Roman"/>
          <w:bCs/>
          <w:szCs w:val="24"/>
        </w:rPr>
        <w:t xml:space="preserve">o Centro de Relações com o Consumidor da ANP, cujo telefone encontra-se disponível no sítio </w:t>
      </w:r>
      <w:hyperlink r:id="rId8" w:history="1">
        <w:r w:rsidRPr="004E11AD">
          <w:rPr>
            <w:rFonts w:ascii="Times New Roman" w:hAnsi="Times New Roman"/>
            <w:bCs/>
            <w:szCs w:val="24"/>
          </w:rPr>
          <w:t>www.anp.gov.br</w:t>
        </w:r>
      </w:hyperlink>
      <w:r w:rsidRPr="004E11AD">
        <w:rPr>
          <w:rFonts w:ascii="Times New Roman" w:hAnsi="Times New Roman"/>
          <w:bCs/>
          <w:szCs w:val="24"/>
        </w:rPr>
        <w:t>.</w:t>
      </w:r>
      <w:r>
        <w:rPr>
          <w:rFonts w:ascii="Times New Roman" w:hAnsi="Times New Roman"/>
          <w:bCs/>
          <w:szCs w:val="24"/>
        </w:rPr>
        <w:t xml:space="preserve"> </w:t>
      </w:r>
    </w:p>
    <w:p w:rsidR="004E11AD" w:rsidRPr="004E11AD" w:rsidRDefault="007F2C6F" w:rsidP="004E11AD">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E220AB">
        <w:rPr>
          <w:rFonts w:ascii="Times New Roman" w:hAnsi="Times New Roman"/>
          <w:bCs/>
          <w:szCs w:val="24"/>
        </w:rPr>
        <w:t>Sugere-se</w:t>
      </w:r>
      <w:r w:rsidR="004E11AD">
        <w:rPr>
          <w:rFonts w:ascii="Times New Roman" w:hAnsi="Times New Roman"/>
          <w:bCs/>
          <w:szCs w:val="24"/>
        </w:rPr>
        <w:t>, nesta revisão, que as denúncias de qualidade do biodiesel s</w:t>
      </w:r>
      <w:r w:rsidR="0088173F">
        <w:rPr>
          <w:rFonts w:ascii="Times New Roman" w:hAnsi="Times New Roman"/>
          <w:bCs/>
          <w:szCs w:val="24"/>
        </w:rPr>
        <w:t>ejam comunicadas à</w:t>
      </w:r>
      <w:r w:rsidR="004E11AD">
        <w:rPr>
          <w:rFonts w:ascii="Times New Roman" w:hAnsi="Times New Roman"/>
          <w:bCs/>
          <w:szCs w:val="24"/>
        </w:rPr>
        <w:t xml:space="preserve"> ANP </w:t>
      </w:r>
      <w:r w:rsidR="004E11AD" w:rsidRPr="004E11AD">
        <w:rPr>
          <w:rFonts w:ascii="Times New Roman" w:hAnsi="Times New Roman"/>
          <w:bCs/>
          <w:szCs w:val="24"/>
        </w:rPr>
        <w:t>por meio de endereço eletrônico disponibilizado</w:t>
      </w:r>
      <w:r w:rsidR="00874047">
        <w:rPr>
          <w:rFonts w:ascii="Times New Roman" w:hAnsi="Times New Roman"/>
          <w:bCs/>
          <w:szCs w:val="24"/>
        </w:rPr>
        <w:t xml:space="preserve"> também</w:t>
      </w:r>
      <w:r w:rsidR="004E11AD" w:rsidRPr="004E11AD">
        <w:rPr>
          <w:rFonts w:ascii="Times New Roman" w:hAnsi="Times New Roman"/>
          <w:bCs/>
          <w:szCs w:val="24"/>
        </w:rPr>
        <w:t xml:space="preserve"> no sítio </w:t>
      </w:r>
      <w:hyperlink r:id="rId9" w:history="1">
        <w:r w:rsidR="004E11AD" w:rsidRPr="004E11AD">
          <w:rPr>
            <w:rFonts w:ascii="Times New Roman" w:hAnsi="Times New Roman"/>
            <w:bCs/>
            <w:szCs w:val="24"/>
          </w:rPr>
          <w:t>www.anp.gov.br</w:t>
        </w:r>
      </w:hyperlink>
      <w:r w:rsidR="0088173F">
        <w:rPr>
          <w:rFonts w:ascii="Times New Roman" w:hAnsi="Times New Roman"/>
          <w:bCs/>
          <w:szCs w:val="24"/>
        </w:rPr>
        <w:t xml:space="preserve">. Esta medida faz com que estas informações cheguem mais rapidamente </w:t>
      </w:r>
      <w:proofErr w:type="gramStart"/>
      <w:r w:rsidR="0088173F">
        <w:rPr>
          <w:rFonts w:ascii="Times New Roman" w:hAnsi="Times New Roman"/>
          <w:bCs/>
          <w:szCs w:val="24"/>
        </w:rPr>
        <w:t>a</w:t>
      </w:r>
      <w:proofErr w:type="gramEnd"/>
      <w:r w:rsidR="0088173F">
        <w:rPr>
          <w:rFonts w:ascii="Times New Roman" w:hAnsi="Times New Roman"/>
          <w:bCs/>
          <w:szCs w:val="24"/>
        </w:rPr>
        <w:t xml:space="preserve"> equipe técnica responsável pelo</w:t>
      </w:r>
      <w:r w:rsidR="00E60134">
        <w:rPr>
          <w:rFonts w:ascii="Times New Roman" w:hAnsi="Times New Roman"/>
          <w:bCs/>
          <w:szCs w:val="24"/>
        </w:rPr>
        <w:t>s</w:t>
      </w:r>
      <w:r w:rsidR="0088173F">
        <w:rPr>
          <w:rFonts w:ascii="Times New Roman" w:hAnsi="Times New Roman"/>
          <w:bCs/>
          <w:szCs w:val="24"/>
        </w:rPr>
        <w:t xml:space="preserve"> dados de qualidade do biodiesel, que acessam o endereço eletrônico </w:t>
      </w:r>
      <w:r>
        <w:rPr>
          <w:rFonts w:ascii="Times New Roman" w:hAnsi="Times New Roman"/>
          <w:bCs/>
          <w:szCs w:val="24"/>
        </w:rPr>
        <w:t>periodica</w:t>
      </w:r>
      <w:r w:rsidR="0088173F">
        <w:rPr>
          <w:rFonts w:ascii="Times New Roman" w:hAnsi="Times New Roman"/>
          <w:bCs/>
          <w:szCs w:val="24"/>
        </w:rPr>
        <w:t>mente</w:t>
      </w:r>
      <w:r w:rsidR="004E11AD">
        <w:rPr>
          <w:rFonts w:ascii="Times New Roman" w:hAnsi="Times New Roman"/>
          <w:bCs/>
          <w:szCs w:val="24"/>
        </w:rPr>
        <w:t>.</w:t>
      </w:r>
    </w:p>
    <w:p w:rsidR="00A309A4" w:rsidRDefault="00A309A4" w:rsidP="00A309A4">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p>
    <w:p w:rsidR="00A309A4" w:rsidRPr="0097001D" w:rsidRDefault="00A309A4" w:rsidP="00A309A4">
      <w:pPr>
        <w:tabs>
          <w:tab w:val="left" w:pos="1134"/>
        </w:tabs>
        <w:spacing w:before="120" w:after="120" w:line="276" w:lineRule="auto"/>
        <w:jc w:val="both"/>
        <w:rPr>
          <w:rFonts w:ascii="Times New Roman" w:hAnsi="Times New Roman"/>
          <w:b/>
          <w:bCs/>
          <w:szCs w:val="24"/>
        </w:rPr>
      </w:pPr>
      <w:r w:rsidRPr="0097001D">
        <w:rPr>
          <w:rFonts w:ascii="Times New Roman" w:hAnsi="Times New Roman"/>
          <w:b/>
          <w:bCs/>
          <w:szCs w:val="24"/>
        </w:rPr>
        <w:t>5.</w:t>
      </w:r>
      <w:r w:rsidR="0076674E">
        <w:rPr>
          <w:rFonts w:ascii="Times New Roman" w:hAnsi="Times New Roman"/>
          <w:b/>
          <w:bCs/>
          <w:szCs w:val="24"/>
        </w:rPr>
        <w:t>4</w:t>
      </w:r>
      <w:r w:rsidRPr="0097001D">
        <w:rPr>
          <w:rFonts w:ascii="Times New Roman" w:hAnsi="Times New Roman"/>
          <w:b/>
          <w:bCs/>
          <w:szCs w:val="24"/>
        </w:rPr>
        <w:t>. D</w:t>
      </w:r>
      <w:r>
        <w:rPr>
          <w:rFonts w:ascii="Times New Roman" w:hAnsi="Times New Roman"/>
          <w:b/>
          <w:bCs/>
          <w:szCs w:val="24"/>
        </w:rPr>
        <w:t>a certificação do biodi</w:t>
      </w:r>
      <w:r w:rsidR="0088173F">
        <w:rPr>
          <w:rFonts w:ascii="Times New Roman" w:hAnsi="Times New Roman"/>
          <w:b/>
          <w:bCs/>
          <w:szCs w:val="24"/>
        </w:rPr>
        <w:t>e</w:t>
      </w:r>
      <w:r>
        <w:rPr>
          <w:rFonts w:ascii="Times New Roman" w:hAnsi="Times New Roman"/>
          <w:b/>
          <w:bCs/>
          <w:szCs w:val="24"/>
        </w:rPr>
        <w:t>sel</w:t>
      </w:r>
    </w:p>
    <w:p w:rsidR="00223BD2" w:rsidRDefault="0088173F" w:rsidP="00874047">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223BD2" w:rsidRPr="007F046B">
        <w:rPr>
          <w:rFonts w:ascii="Times New Roman" w:hAnsi="Times New Roman"/>
          <w:bCs/>
          <w:szCs w:val="24"/>
        </w:rPr>
        <w:t>Foi dada nova redação ao § 1º do Art. 3º</w:t>
      </w:r>
      <w:r w:rsidR="00D35EE3" w:rsidRPr="007F046B">
        <w:rPr>
          <w:rFonts w:ascii="Times New Roman" w:hAnsi="Times New Roman"/>
          <w:bCs/>
          <w:szCs w:val="24"/>
        </w:rPr>
        <w:t xml:space="preserve"> de forma a melhor esclarecer que o Produtor, Refinaria, Distribuidor ou Importador não podem comercializar biodiesel com </w:t>
      </w:r>
      <w:r w:rsidR="00C41F96" w:rsidRPr="007F046B">
        <w:rPr>
          <w:rFonts w:ascii="Times New Roman" w:hAnsi="Times New Roman"/>
          <w:bCs/>
          <w:szCs w:val="24"/>
        </w:rPr>
        <w:t xml:space="preserve">o </w:t>
      </w:r>
      <w:r w:rsidR="00D35EE3" w:rsidRPr="007F046B">
        <w:rPr>
          <w:rFonts w:ascii="Times New Roman" w:hAnsi="Times New Roman"/>
          <w:bCs/>
          <w:szCs w:val="24"/>
        </w:rPr>
        <w:t xml:space="preserve">revendedor e Transportador-Revendedor-Retalhista, isto é, </w:t>
      </w:r>
      <w:r w:rsidR="00C41F96" w:rsidRPr="007F046B">
        <w:rPr>
          <w:rFonts w:ascii="Times New Roman" w:hAnsi="Times New Roman"/>
          <w:bCs/>
          <w:szCs w:val="24"/>
        </w:rPr>
        <w:t>a revenda não pode adquirir o biodiesel.</w:t>
      </w:r>
      <w:r w:rsidR="00C41F96">
        <w:rPr>
          <w:rFonts w:ascii="Times New Roman" w:hAnsi="Times New Roman"/>
          <w:bCs/>
          <w:szCs w:val="24"/>
        </w:rPr>
        <w:t xml:space="preserve"> </w:t>
      </w:r>
    </w:p>
    <w:p w:rsidR="0088173F" w:rsidRDefault="00223BD2" w:rsidP="00874047">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88173F">
        <w:rPr>
          <w:rFonts w:ascii="Times New Roman" w:hAnsi="Times New Roman"/>
          <w:bCs/>
          <w:szCs w:val="24"/>
        </w:rPr>
        <w:t>O § 11º do Art. 15 versa que o Produtor, Adquirente e o Importador deverão comunicar previamente à ANP, por meio de endereço eletrônico</w:t>
      </w:r>
      <w:r w:rsidR="00E220AB">
        <w:rPr>
          <w:rFonts w:ascii="Times New Roman" w:hAnsi="Times New Roman"/>
          <w:bCs/>
          <w:szCs w:val="24"/>
        </w:rPr>
        <w:t>,</w:t>
      </w:r>
      <w:r w:rsidR="0088173F">
        <w:rPr>
          <w:rFonts w:ascii="Times New Roman" w:hAnsi="Times New Roman"/>
          <w:bCs/>
          <w:szCs w:val="24"/>
        </w:rPr>
        <w:t xml:space="preserve"> as informações referentes ao(s) laboratório(s) cadastrado</w:t>
      </w:r>
      <w:r w:rsidR="000E4C24">
        <w:rPr>
          <w:rFonts w:ascii="Times New Roman" w:hAnsi="Times New Roman"/>
          <w:bCs/>
          <w:szCs w:val="24"/>
        </w:rPr>
        <w:t>(s)</w:t>
      </w:r>
      <w:r w:rsidR="00E220AB">
        <w:rPr>
          <w:rFonts w:ascii="Times New Roman" w:hAnsi="Times New Roman"/>
          <w:bCs/>
          <w:szCs w:val="24"/>
        </w:rPr>
        <w:t xml:space="preserve">, </w:t>
      </w:r>
      <w:proofErr w:type="gramStart"/>
      <w:r w:rsidR="00E220AB">
        <w:rPr>
          <w:rFonts w:ascii="Times New Roman" w:hAnsi="Times New Roman"/>
          <w:bCs/>
          <w:szCs w:val="24"/>
        </w:rPr>
        <w:t>responsável(</w:t>
      </w:r>
      <w:proofErr w:type="gramEnd"/>
      <w:r w:rsidR="00E220AB">
        <w:rPr>
          <w:rFonts w:ascii="Times New Roman" w:hAnsi="Times New Roman"/>
          <w:bCs/>
          <w:szCs w:val="24"/>
        </w:rPr>
        <w:t>is) pelas análises utilizadas para compor o Certificado da Qualidade.</w:t>
      </w:r>
      <w:r w:rsidR="0088173F">
        <w:rPr>
          <w:rFonts w:ascii="Times New Roman" w:hAnsi="Times New Roman"/>
          <w:bCs/>
          <w:szCs w:val="24"/>
        </w:rPr>
        <w:t xml:space="preserve"> </w:t>
      </w:r>
      <w:r w:rsidR="00E220AB">
        <w:rPr>
          <w:rFonts w:ascii="Times New Roman" w:hAnsi="Times New Roman"/>
          <w:bCs/>
          <w:szCs w:val="24"/>
        </w:rPr>
        <w:t xml:space="preserve">Sugere-se, nesta revisão, a retirada deste parágrafo, já que os Certificados da Qualidade já </w:t>
      </w:r>
      <w:r w:rsidR="00E60134">
        <w:rPr>
          <w:rFonts w:ascii="Times New Roman" w:hAnsi="Times New Roman"/>
          <w:bCs/>
          <w:szCs w:val="24"/>
        </w:rPr>
        <w:t xml:space="preserve">contêm </w:t>
      </w:r>
      <w:r w:rsidR="00E220AB">
        <w:rPr>
          <w:rFonts w:ascii="Times New Roman" w:hAnsi="Times New Roman"/>
          <w:bCs/>
          <w:szCs w:val="24"/>
        </w:rPr>
        <w:t>estas informações, não sendo necessário que sejam informadas previamente.</w:t>
      </w:r>
    </w:p>
    <w:p w:rsidR="00E220AB" w:rsidRDefault="00E220AB" w:rsidP="00874047">
      <w:pPr>
        <w:tabs>
          <w:tab w:val="left" w:pos="1134"/>
        </w:tabs>
        <w:spacing w:before="120" w:after="120" w:line="276" w:lineRule="auto"/>
        <w:jc w:val="both"/>
        <w:rPr>
          <w:rFonts w:ascii="Times New Roman" w:hAnsi="Times New Roman"/>
          <w:bCs/>
          <w:szCs w:val="24"/>
        </w:rPr>
      </w:pPr>
      <w:r>
        <w:rPr>
          <w:rFonts w:ascii="Times New Roman" w:hAnsi="Times New Roman"/>
          <w:bCs/>
          <w:szCs w:val="24"/>
        </w:rPr>
        <w:lastRenderedPageBreak/>
        <w:tab/>
        <w:t>Foi acrescentado novo § 1º ao Art. 7º indicando que o Adquirente não precisará enviar dados da qualidade</w:t>
      </w:r>
      <w:r w:rsidR="00404C7B">
        <w:rPr>
          <w:rFonts w:ascii="Times New Roman" w:hAnsi="Times New Roman"/>
          <w:bCs/>
          <w:szCs w:val="24"/>
        </w:rPr>
        <w:t xml:space="preserve"> do produto quando este comprar e deixar armazenado em instalação do produtor, já que neste caso, o próprio Produtor certificará o produto. Só será necessário o </w:t>
      </w:r>
      <w:r w:rsidR="00E60134">
        <w:rPr>
          <w:rFonts w:ascii="Times New Roman" w:hAnsi="Times New Roman"/>
          <w:bCs/>
          <w:szCs w:val="24"/>
        </w:rPr>
        <w:t>envio d</w:t>
      </w:r>
      <w:r w:rsidR="00404C7B">
        <w:rPr>
          <w:rFonts w:ascii="Times New Roman" w:hAnsi="Times New Roman"/>
          <w:bCs/>
          <w:szCs w:val="24"/>
        </w:rPr>
        <w:t xml:space="preserve">as informações </w:t>
      </w:r>
      <w:r w:rsidR="002F0D33">
        <w:rPr>
          <w:rFonts w:ascii="Times New Roman" w:hAnsi="Times New Roman"/>
          <w:bCs/>
          <w:szCs w:val="24"/>
        </w:rPr>
        <w:t xml:space="preserve">citadas no </w:t>
      </w:r>
      <w:r w:rsidR="002F0D33" w:rsidRPr="002F0D33">
        <w:rPr>
          <w:rFonts w:ascii="Times New Roman" w:hAnsi="Times New Roman"/>
          <w:b/>
          <w:bCs/>
          <w:szCs w:val="24"/>
        </w:rPr>
        <w:t>caput</w:t>
      </w:r>
      <w:r w:rsidR="002F0D33">
        <w:rPr>
          <w:rFonts w:ascii="Times New Roman" w:hAnsi="Times New Roman"/>
          <w:bCs/>
          <w:szCs w:val="24"/>
        </w:rPr>
        <w:t xml:space="preserve"> do artigo</w:t>
      </w:r>
      <w:r w:rsidR="00E60134">
        <w:rPr>
          <w:rFonts w:ascii="Times New Roman" w:hAnsi="Times New Roman"/>
          <w:bCs/>
          <w:szCs w:val="24"/>
        </w:rPr>
        <w:t xml:space="preserve"> pelo Adquirente</w:t>
      </w:r>
      <w:r w:rsidR="000E4C24">
        <w:rPr>
          <w:rFonts w:ascii="Times New Roman" w:hAnsi="Times New Roman"/>
          <w:bCs/>
          <w:szCs w:val="24"/>
        </w:rPr>
        <w:t>,</w:t>
      </w:r>
      <w:r w:rsidR="00E60134">
        <w:rPr>
          <w:rFonts w:ascii="Times New Roman" w:hAnsi="Times New Roman"/>
          <w:bCs/>
          <w:szCs w:val="24"/>
        </w:rPr>
        <w:t xml:space="preserve"> quando </w:t>
      </w:r>
      <w:r w:rsidR="00404C7B">
        <w:rPr>
          <w:rFonts w:ascii="Times New Roman" w:hAnsi="Times New Roman"/>
          <w:bCs/>
          <w:szCs w:val="24"/>
        </w:rPr>
        <w:t>este armazenar o produto em instalação própria ou sob sua responsabilidade direta.</w:t>
      </w:r>
    </w:p>
    <w:p w:rsidR="002F0D33" w:rsidRDefault="002F0D33" w:rsidP="002F0D33">
      <w:pPr>
        <w:tabs>
          <w:tab w:val="left" w:pos="1134"/>
        </w:tabs>
        <w:spacing w:before="120" w:after="120" w:line="276" w:lineRule="auto"/>
        <w:jc w:val="both"/>
        <w:rPr>
          <w:rFonts w:ascii="Times New Roman" w:hAnsi="Times New Roman"/>
          <w:b/>
          <w:bCs/>
          <w:szCs w:val="24"/>
        </w:rPr>
      </w:pPr>
      <w:r>
        <w:rPr>
          <w:rFonts w:ascii="Times New Roman" w:hAnsi="Times New Roman"/>
          <w:bCs/>
          <w:szCs w:val="24"/>
        </w:rPr>
        <w:tab/>
      </w:r>
      <w:r w:rsidRPr="003E58EE">
        <w:rPr>
          <w:rFonts w:ascii="Times New Roman" w:hAnsi="Times New Roman"/>
          <w:bCs/>
          <w:szCs w:val="24"/>
        </w:rPr>
        <w:t>Quando não houver comercialização de biodiesel em um determinado mês,</w:t>
      </w:r>
      <w:r>
        <w:rPr>
          <w:rFonts w:ascii="Times New Roman" w:hAnsi="Times New Roman"/>
          <w:bCs/>
          <w:szCs w:val="24"/>
        </w:rPr>
        <w:t xml:space="preserve"> a proposta é de que</w:t>
      </w:r>
      <w:r w:rsidRPr="003E58EE">
        <w:rPr>
          <w:rFonts w:ascii="Times New Roman" w:hAnsi="Times New Roman"/>
          <w:bCs/>
          <w:szCs w:val="24"/>
        </w:rPr>
        <w:t xml:space="preserve"> o Produtor e </w:t>
      </w:r>
      <w:r w:rsidRPr="002F0D33">
        <w:rPr>
          <w:rFonts w:ascii="Times New Roman" w:hAnsi="Times New Roman"/>
          <w:bCs/>
          <w:szCs w:val="24"/>
        </w:rPr>
        <w:t>o Adquirente</w:t>
      </w:r>
      <w:r w:rsidRPr="003E58EE">
        <w:rPr>
          <w:rFonts w:ascii="Times New Roman" w:hAnsi="Times New Roman"/>
          <w:bCs/>
          <w:szCs w:val="24"/>
        </w:rPr>
        <w:t xml:space="preserve"> </w:t>
      </w:r>
      <w:r>
        <w:rPr>
          <w:rFonts w:ascii="Times New Roman" w:hAnsi="Times New Roman"/>
          <w:bCs/>
          <w:szCs w:val="24"/>
        </w:rPr>
        <w:t>comuniquem</w:t>
      </w:r>
      <w:r w:rsidRPr="003E58EE">
        <w:rPr>
          <w:rFonts w:ascii="Times New Roman" w:hAnsi="Times New Roman"/>
          <w:bCs/>
          <w:szCs w:val="24"/>
        </w:rPr>
        <w:t xml:space="preserve"> à ANP </w:t>
      </w:r>
      <w:r>
        <w:rPr>
          <w:rFonts w:ascii="Times New Roman" w:hAnsi="Times New Roman"/>
          <w:bCs/>
          <w:szCs w:val="24"/>
        </w:rPr>
        <w:t>a não comercialização</w:t>
      </w:r>
      <w:r w:rsidRPr="003E58EE">
        <w:rPr>
          <w:rFonts w:ascii="Times New Roman" w:hAnsi="Times New Roman"/>
          <w:bCs/>
          <w:szCs w:val="24"/>
        </w:rPr>
        <w:t xml:space="preserve"> por meio de endereço eletrônico disponibilizado no sítio </w:t>
      </w:r>
      <w:hyperlink r:id="rId10" w:history="1">
        <w:r w:rsidRPr="003E58EE">
          <w:rPr>
            <w:rFonts w:ascii="Times New Roman" w:hAnsi="Times New Roman"/>
            <w:bCs/>
            <w:szCs w:val="24"/>
          </w:rPr>
          <w:t>www.anp.gov.br</w:t>
        </w:r>
      </w:hyperlink>
      <w:r>
        <w:rPr>
          <w:rFonts w:ascii="Times New Roman" w:hAnsi="Times New Roman"/>
          <w:bCs/>
          <w:szCs w:val="24"/>
        </w:rPr>
        <w:t>. De acordo com a Resolução ANP nº 14/2012, os agentes deveriam enviar à ANP, por meio também do endereço eletrônico</w:t>
      </w:r>
      <w:r w:rsidR="00E60134">
        <w:rPr>
          <w:rFonts w:ascii="Times New Roman" w:hAnsi="Times New Roman"/>
          <w:bCs/>
          <w:szCs w:val="24"/>
        </w:rPr>
        <w:t>,</w:t>
      </w:r>
      <w:r>
        <w:rPr>
          <w:rFonts w:ascii="Times New Roman" w:hAnsi="Times New Roman"/>
          <w:bCs/>
          <w:szCs w:val="24"/>
        </w:rPr>
        <w:t xml:space="preserve"> o formulário informando tal situação. A proposta visa </w:t>
      </w:r>
      <w:r w:rsidR="00F31E59">
        <w:rPr>
          <w:rFonts w:ascii="Times New Roman" w:hAnsi="Times New Roman"/>
          <w:bCs/>
          <w:szCs w:val="24"/>
        </w:rPr>
        <w:t xml:space="preserve">a </w:t>
      </w:r>
      <w:proofErr w:type="gramStart"/>
      <w:r>
        <w:rPr>
          <w:rFonts w:ascii="Times New Roman" w:hAnsi="Times New Roman"/>
          <w:bCs/>
          <w:szCs w:val="24"/>
        </w:rPr>
        <w:t>agilizar</w:t>
      </w:r>
      <w:proofErr w:type="gramEnd"/>
      <w:r>
        <w:rPr>
          <w:rFonts w:ascii="Times New Roman" w:hAnsi="Times New Roman"/>
          <w:bCs/>
          <w:szCs w:val="24"/>
        </w:rPr>
        <w:t xml:space="preserve"> o processo de recebimento de dados de qualidade do biodiesel, sendo mais eficiente o recebimento de um e-mail informando a não comercialização </w:t>
      </w:r>
      <w:r w:rsidR="00E60134">
        <w:rPr>
          <w:rFonts w:ascii="Times New Roman" w:hAnsi="Times New Roman"/>
          <w:bCs/>
          <w:szCs w:val="24"/>
        </w:rPr>
        <w:t>em vez de</w:t>
      </w:r>
      <w:r>
        <w:rPr>
          <w:rFonts w:ascii="Times New Roman" w:hAnsi="Times New Roman"/>
          <w:bCs/>
          <w:szCs w:val="24"/>
        </w:rPr>
        <w:t xml:space="preserve"> </w:t>
      </w:r>
      <w:r w:rsidR="00E60134">
        <w:rPr>
          <w:rFonts w:ascii="Times New Roman" w:hAnsi="Times New Roman"/>
          <w:bCs/>
          <w:szCs w:val="24"/>
        </w:rPr>
        <w:t xml:space="preserve">a </w:t>
      </w:r>
      <w:r>
        <w:rPr>
          <w:rFonts w:ascii="Times New Roman" w:hAnsi="Times New Roman"/>
          <w:bCs/>
          <w:szCs w:val="24"/>
        </w:rPr>
        <w:t>SBQ baixar e armazenar um formulário em branco.</w:t>
      </w:r>
    </w:p>
    <w:p w:rsidR="005010C8" w:rsidRDefault="00235B07" w:rsidP="003E58EE">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p>
    <w:p w:rsidR="00007A2D" w:rsidRPr="0097001D" w:rsidRDefault="00007A2D" w:rsidP="008F3129">
      <w:pPr>
        <w:tabs>
          <w:tab w:val="left" w:pos="1134"/>
        </w:tabs>
        <w:spacing w:before="120" w:after="120" w:line="276" w:lineRule="auto"/>
        <w:jc w:val="both"/>
        <w:rPr>
          <w:rFonts w:ascii="Times New Roman" w:hAnsi="Times New Roman"/>
          <w:b/>
          <w:szCs w:val="24"/>
        </w:rPr>
      </w:pPr>
      <w:r w:rsidRPr="0097001D">
        <w:rPr>
          <w:rFonts w:ascii="Times New Roman" w:hAnsi="Times New Roman"/>
          <w:b/>
          <w:szCs w:val="24"/>
        </w:rPr>
        <w:t>5.</w:t>
      </w:r>
      <w:r w:rsidR="0076674E">
        <w:rPr>
          <w:rFonts w:ascii="Times New Roman" w:hAnsi="Times New Roman"/>
          <w:b/>
          <w:szCs w:val="24"/>
        </w:rPr>
        <w:t>5</w:t>
      </w:r>
      <w:r w:rsidRPr="0097001D">
        <w:rPr>
          <w:rFonts w:ascii="Times New Roman" w:hAnsi="Times New Roman"/>
          <w:b/>
          <w:szCs w:val="24"/>
        </w:rPr>
        <w:t>. Especificação do Biodiesel</w:t>
      </w:r>
    </w:p>
    <w:p w:rsidR="00007A2D" w:rsidRDefault="00007A2D" w:rsidP="008F3129">
      <w:pPr>
        <w:tabs>
          <w:tab w:val="left" w:pos="1134"/>
        </w:tabs>
        <w:spacing w:before="120" w:after="120" w:line="276" w:lineRule="auto"/>
        <w:jc w:val="both"/>
        <w:rPr>
          <w:rFonts w:ascii="Times New Roman" w:hAnsi="Times New Roman"/>
          <w:szCs w:val="24"/>
        </w:rPr>
      </w:pPr>
    </w:p>
    <w:p w:rsidR="00840198" w:rsidRPr="0097001D" w:rsidRDefault="00840198" w:rsidP="008F3129">
      <w:pPr>
        <w:tabs>
          <w:tab w:val="left" w:pos="1134"/>
        </w:tabs>
        <w:spacing w:before="120" w:after="120" w:line="276" w:lineRule="auto"/>
        <w:jc w:val="both"/>
        <w:rPr>
          <w:rFonts w:ascii="Times New Roman" w:hAnsi="Times New Roman"/>
          <w:b/>
          <w:bCs/>
          <w:szCs w:val="24"/>
        </w:rPr>
      </w:pPr>
      <w:r w:rsidRPr="0097001D">
        <w:rPr>
          <w:rFonts w:ascii="Times New Roman" w:hAnsi="Times New Roman"/>
          <w:b/>
          <w:szCs w:val="24"/>
        </w:rPr>
        <w:t>5.</w:t>
      </w:r>
      <w:r w:rsidR="0076674E">
        <w:rPr>
          <w:rFonts w:ascii="Times New Roman" w:hAnsi="Times New Roman"/>
          <w:b/>
          <w:szCs w:val="24"/>
        </w:rPr>
        <w:t>5</w:t>
      </w:r>
      <w:r w:rsidR="0097001D" w:rsidRPr="0097001D">
        <w:rPr>
          <w:rFonts w:ascii="Times New Roman" w:hAnsi="Times New Roman"/>
          <w:b/>
          <w:szCs w:val="24"/>
        </w:rPr>
        <w:t>.1</w:t>
      </w:r>
      <w:r w:rsidRPr="0097001D">
        <w:rPr>
          <w:rFonts w:ascii="Times New Roman" w:hAnsi="Times New Roman"/>
          <w:b/>
          <w:szCs w:val="24"/>
        </w:rPr>
        <w:t xml:space="preserve"> –</w:t>
      </w:r>
      <w:r w:rsidR="005010C8">
        <w:rPr>
          <w:rFonts w:ascii="Times New Roman" w:hAnsi="Times New Roman"/>
          <w:b/>
          <w:szCs w:val="24"/>
        </w:rPr>
        <w:t xml:space="preserve"> </w:t>
      </w:r>
      <w:r w:rsidR="005010C8" w:rsidRPr="007F046B">
        <w:rPr>
          <w:rFonts w:ascii="Times New Roman" w:hAnsi="Times New Roman"/>
          <w:b/>
          <w:bCs/>
          <w:szCs w:val="24"/>
        </w:rPr>
        <w:t xml:space="preserve">Permitir, para efeito de fiscalização nas autuações por não conformidade, a variação de +150 </w:t>
      </w:r>
      <w:proofErr w:type="spellStart"/>
      <w:proofErr w:type="gramStart"/>
      <w:r w:rsidR="005010C8" w:rsidRPr="007F046B">
        <w:rPr>
          <w:rFonts w:ascii="Times New Roman" w:hAnsi="Times New Roman"/>
          <w:b/>
          <w:bCs/>
          <w:szCs w:val="24"/>
        </w:rPr>
        <w:t>mg</w:t>
      </w:r>
      <w:proofErr w:type="spellEnd"/>
      <w:proofErr w:type="gramEnd"/>
      <w:r w:rsidR="005010C8" w:rsidRPr="007F046B">
        <w:rPr>
          <w:rFonts w:ascii="Times New Roman" w:hAnsi="Times New Roman"/>
          <w:b/>
          <w:bCs/>
          <w:szCs w:val="24"/>
        </w:rPr>
        <w:t>/kg no limite da característica teor de água no biodiesel para o distribuidor.</w:t>
      </w:r>
    </w:p>
    <w:p w:rsidR="006B0AA6" w:rsidRDefault="00840198" w:rsidP="008F3129">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5010C8">
        <w:rPr>
          <w:rFonts w:ascii="Times New Roman" w:hAnsi="Times New Roman"/>
          <w:bCs/>
          <w:szCs w:val="24"/>
        </w:rPr>
        <w:t>Esta variação</w:t>
      </w:r>
      <w:r w:rsidRPr="00840198">
        <w:rPr>
          <w:rFonts w:ascii="Times New Roman" w:hAnsi="Times New Roman"/>
          <w:bCs/>
          <w:szCs w:val="24"/>
        </w:rPr>
        <w:t xml:space="preserve"> foi propost</w:t>
      </w:r>
      <w:r w:rsidR="005010C8">
        <w:rPr>
          <w:rFonts w:ascii="Times New Roman" w:hAnsi="Times New Roman"/>
          <w:bCs/>
          <w:szCs w:val="24"/>
        </w:rPr>
        <w:t>a</w:t>
      </w:r>
      <w:r w:rsidRPr="00840198">
        <w:rPr>
          <w:rFonts w:ascii="Times New Roman" w:hAnsi="Times New Roman"/>
          <w:bCs/>
          <w:szCs w:val="24"/>
        </w:rPr>
        <w:t xml:space="preserve"> tendo em vista a necessidade de se considerar uma margem</w:t>
      </w:r>
      <w:r w:rsidR="00B90221">
        <w:rPr>
          <w:rFonts w:ascii="Times New Roman" w:hAnsi="Times New Roman"/>
          <w:bCs/>
          <w:szCs w:val="24"/>
        </w:rPr>
        <w:t xml:space="preserve"> de concentração de água</w:t>
      </w:r>
      <w:r w:rsidRPr="00840198">
        <w:rPr>
          <w:rFonts w:ascii="Times New Roman" w:hAnsi="Times New Roman"/>
          <w:bCs/>
          <w:szCs w:val="24"/>
        </w:rPr>
        <w:t xml:space="preserve"> entre o produtor e o distribuidor, já que durante o armazenamento, carregamento e transporte do biodiesel, há absorção de água, devido à </w:t>
      </w:r>
      <w:proofErr w:type="spellStart"/>
      <w:r w:rsidRPr="00840198">
        <w:rPr>
          <w:rFonts w:ascii="Times New Roman" w:hAnsi="Times New Roman"/>
          <w:bCs/>
          <w:szCs w:val="24"/>
        </w:rPr>
        <w:t>higroscopicidade</w:t>
      </w:r>
      <w:proofErr w:type="spellEnd"/>
      <w:r w:rsidRPr="00840198">
        <w:rPr>
          <w:rFonts w:ascii="Times New Roman" w:hAnsi="Times New Roman"/>
          <w:bCs/>
          <w:szCs w:val="24"/>
        </w:rPr>
        <w:t xml:space="preserve"> deste combustível. </w:t>
      </w:r>
      <w:r w:rsidR="004735E0">
        <w:rPr>
          <w:rFonts w:ascii="Times New Roman" w:hAnsi="Times New Roman"/>
          <w:bCs/>
          <w:szCs w:val="24"/>
        </w:rPr>
        <w:t>Além disso, os caminhões-tanque</w:t>
      </w:r>
      <w:r w:rsidR="00D14E22">
        <w:rPr>
          <w:rFonts w:ascii="Times New Roman" w:hAnsi="Times New Roman"/>
          <w:bCs/>
          <w:szCs w:val="24"/>
        </w:rPr>
        <w:t xml:space="preserve"> percorrem</w:t>
      </w:r>
      <w:r w:rsidR="00A15E7F">
        <w:rPr>
          <w:rFonts w:ascii="Times New Roman" w:hAnsi="Times New Roman"/>
          <w:bCs/>
          <w:szCs w:val="24"/>
        </w:rPr>
        <w:t>, geralmente, trechos longos</w:t>
      </w:r>
      <w:r w:rsidR="00A15E7F" w:rsidRPr="0035740B">
        <w:rPr>
          <w:rFonts w:ascii="Times New Roman" w:hAnsi="Times New Roman"/>
          <w:bCs/>
          <w:szCs w:val="24"/>
        </w:rPr>
        <w:t xml:space="preserve"> e </w:t>
      </w:r>
      <w:r w:rsidR="004735E0">
        <w:rPr>
          <w:rFonts w:ascii="Times New Roman" w:hAnsi="Times New Roman"/>
          <w:bCs/>
          <w:szCs w:val="24"/>
        </w:rPr>
        <w:t>a</w:t>
      </w:r>
      <w:r w:rsidR="00A15E7F" w:rsidRPr="0035740B">
        <w:rPr>
          <w:rFonts w:ascii="Times New Roman" w:hAnsi="Times New Roman"/>
          <w:bCs/>
          <w:szCs w:val="24"/>
        </w:rPr>
        <w:t xml:space="preserve">s variações </w:t>
      </w:r>
      <w:r w:rsidR="00D14E22">
        <w:rPr>
          <w:rFonts w:ascii="Times New Roman" w:hAnsi="Times New Roman"/>
          <w:bCs/>
          <w:szCs w:val="24"/>
        </w:rPr>
        <w:t xml:space="preserve">de clima </w:t>
      </w:r>
      <w:r w:rsidR="00A15E7F" w:rsidRPr="0035740B">
        <w:rPr>
          <w:rFonts w:ascii="Times New Roman" w:hAnsi="Times New Roman"/>
          <w:bCs/>
          <w:szCs w:val="24"/>
        </w:rPr>
        <w:t xml:space="preserve">que ocorrem </w:t>
      </w:r>
      <w:r w:rsidR="00B4624F">
        <w:rPr>
          <w:rFonts w:ascii="Times New Roman" w:hAnsi="Times New Roman"/>
          <w:bCs/>
          <w:szCs w:val="24"/>
        </w:rPr>
        <w:t>nestes</w:t>
      </w:r>
      <w:r w:rsidR="004735E0">
        <w:rPr>
          <w:rFonts w:ascii="Times New Roman" w:hAnsi="Times New Roman"/>
          <w:bCs/>
          <w:szCs w:val="24"/>
        </w:rPr>
        <w:t xml:space="preserve"> percursos deixam os combustíveis</w:t>
      </w:r>
      <w:r w:rsidR="00A15E7F" w:rsidRPr="0035740B">
        <w:rPr>
          <w:rFonts w:ascii="Times New Roman" w:hAnsi="Times New Roman"/>
          <w:bCs/>
          <w:szCs w:val="24"/>
        </w:rPr>
        <w:t xml:space="preserve"> sujeitos a variações de umidade do ar e temperatura, que promovem a condensação e absorção de água</w:t>
      </w:r>
      <w:r w:rsidR="00A15E7F">
        <w:rPr>
          <w:rFonts w:ascii="Times New Roman" w:hAnsi="Times New Roman"/>
          <w:bCs/>
          <w:szCs w:val="24"/>
        </w:rPr>
        <w:t>.</w:t>
      </w:r>
    </w:p>
    <w:p w:rsidR="000D25EC" w:rsidRDefault="00A15E7F" w:rsidP="008F3129">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t xml:space="preserve">Outro ponto que merece ser considerado é o fato de que, no Brasil, os caminhões responsáveis pelo transporte de combustíveis não são segregados como acontece, por exemplo, em diversos países europeus. Isto é, no Brasil, um mesmo caminhão pode transportar diferentes combustíveis. </w:t>
      </w:r>
    </w:p>
    <w:p w:rsidR="00A15E7F" w:rsidRDefault="000D25EC" w:rsidP="008F3129">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A15E7F">
        <w:rPr>
          <w:rFonts w:ascii="Times New Roman" w:hAnsi="Times New Roman"/>
          <w:bCs/>
          <w:szCs w:val="24"/>
        </w:rPr>
        <w:t>Essa condição prec</w:t>
      </w:r>
      <w:r w:rsidR="004735E0">
        <w:rPr>
          <w:rFonts w:ascii="Times New Roman" w:hAnsi="Times New Roman"/>
          <w:bCs/>
          <w:szCs w:val="24"/>
        </w:rPr>
        <w:t>ária de transporte é evidenciada</w:t>
      </w:r>
      <w:r w:rsidR="00A15E7F">
        <w:rPr>
          <w:rFonts w:ascii="Times New Roman" w:hAnsi="Times New Roman"/>
          <w:bCs/>
          <w:szCs w:val="24"/>
        </w:rPr>
        <w:t xml:space="preserve"> também pela falta de motoristas no país</w:t>
      </w:r>
      <w:r>
        <w:rPr>
          <w:rFonts w:ascii="Times New Roman" w:hAnsi="Times New Roman"/>
          <w:bCs/>
          <w:szCs w:val="24"/>
        </w:rPr>
        <w:t>, ficando evidente que</w:t>
      </w:r>
      <w:r w:rsidR="00A15E7F">
        <w:rPr>
          <w:rFonts w:ascii="Times New Roman" w:hAnsi="Times New Roman"/>
          <w:bCs/>
          <w:szCs w:val="24"/>
        </w:rPr>
        <w:t xml:space="preserve"> mesmo se houvesse um aumento na frota de caminhões, faltariam </w:t>
      </w:r>
      <w:r>
        <w:rPr>
          <w:rFonts w:ascii="Times New Roman" w:hAnsi="Times New Roman"/>
          <w:bCs/>
          <w:szCs w:val="24"/>
        </w:rPr>
        <w:t>profissionais para conduzir estes veículos</w:t>
      </w:r>
      <w:r w:rsidR="00A15E7F">
        <w:rPr>
          <w:rFonts w:ascii="Times New Roman" w:hAnsi="Times New Roman"/>
          <w:bCs/>
          <w:szCs w:val="24"/>
        </w:rPr>
        <w:t xml:space="preserve">. </w:t>
      </w:r>
      <w:r w:rsidR="004735E0">
        <w:rPr>
          <w:rFonts w:ascii="Times New Roman" w:hAnsi="Times New Roman"/>
          <w:bCs/>
          <w:szCs w:val="24"/>
        </w:rPr>
        <w:t>Assim sendo</w:t>
      </w:r>
      <w:r w:rsidR="00A15E7F">
        <w:rPr>
          <w:rFonts w:ascii="Times New Roman" w:hAnsi="Times New Roman"/>
          <w:bCs/>
          <w:szCs w:val="24"/>
        </w:rPr>
        <w:t>, a absorção de água na cadeia de distribuição de biodiesel pode ser ainda maior</w:t>
      </w:r>
      <w:r w:rsidR="00A8156C">
        <w:rPr>
          <w:rFonts w:ascii="Times New Roman" w:hAnsi="Times New Roman"/>
          <w:bCs/>
          <w:szCs w:val="24"/>
        </w:rPr>
        <w:t>,</w:t>
      </w:r>
      <w:r w:rsidR="00A15E7F">
        <w:rPr>
          <w:rFonts w:ascii="Times New Roman" w:hAnsi="Times New Roman"/>
          <w:bCs/>
          <w:szCs w:val="24"/>
        </w:rPr>
        <w:t xml:space="preserve"> caso, por exemplo, este combustível tenha sido transportado em um caminhão que, anteriormente, transportou etanol hidratado. </w:t>
      </w:r>
      <w:r w:rsidR="004735E0">
        <w:rPr>
          <w:rFonts w:ascii="Times New Roman" w:hAnsi="Times New Roman"/>
          <w:bCs/>
          <w:szCs w:val="24"/>
        </w:rPr>
        <w:t xml:space="preserve">Ressalta-se que para minimizar </w:t>
      </w:r>
      <w:r>
        <w:rPr>
          <w:rFonts w:ascii="Times New Roman" w:hAnsi="Times New Roman"/>
          <w:bCs/>
          <w:szCs w:val="24"/>
        </w:rPr>
        <w:t>t</w:t>
      </w:r>
      <w:r w:rsidR="004735E0">
        <w:rPr>
          <w:rFonts w:ascii="Times New Roman" w:hAnsi="Times New Roman"/>
          <w:bCs/>
          <w:szCs w:val="24"/>
        </w:rPr>
        <w:t>a</w:t>
      </w:r>
      <w:r>
        <w:rPr>
          <w:rFonts w:ascii="Times New Roman" w:hAnsi="Times New Roman"/>
          <w:bCs/>
          <w:szCs w:val="24"/>
        </w:rPr>
        <w:t>l</w:t>
      </w:r>
      <w:r w:rsidR="004735E0">
        <w:rPr>
          <w:rFonts w:ascii="Times New Roman" w:hAnsi="Times New Roman"/>
          <w:bCs/>
          <w:szCs w:val="24"/>
        </w:rPr>
        <w:t xml:space="preserve"> absorção</w:t>
      </w:r>
      <w:r>
        <w:rPr>
          <w:rFonts w:ascii="Times New Roman" w:hAnsi="Times New Roman"/>
          <w:bCs/>
          <w:szCs w:val="24"/>
        </w:rPr>
        <w:t>, os distribuidores,</w:t>
      </w:r>
      <w:r w:rsidRPr="00D14E22">
        <w:rPr>
          <w:rFonts w:ascii="Times New Roman" w:hAnsi="Times New Roman"/>
          <w:bCs/>
          <w:szCs w:val="24"/>
        </w:rPr>
        <w:t xml:space="preserve"> responsáveis</w:t>
      </w:r>
      <w:r w:rsidR="00A15E7F" w:rsidRPr="00D14E22">
        <w:rPr>
          <w:rFonts w:ascii="Times New Roman" w:hAnsi="Times New Roman"/>
          <w:bCs/>
          <w:szCs w:val="24"/>
        </w:rPr>
        <w:t xml:space="preserve"> pelo transporte do produtor à base </w:t>
      </w:r>
      <w:r w:rsidRPr="00D14E22">
        <w:rPr>
          <w:rFonts w:ascii="Times New Roman" w:hAnsi="Times New Roman"/>
          <w:bCs/>
          <w:szCs w:val="24"/>
        </w:rPr>
        <w:t xml:space="preserve">de distribuição, devem fazer uso das boas práticas de transporte de combustíveis, </w:t>
      </w:r>
      <w:r w:rsidR="00D14E22" w:rsidRPr="00D14E22">
        <w:rPr>
          <w:rFonts w:ascii="Times New Roman" w:hAnsi="Times New Roman"/>
          <w:bCs/>
          <w:szCs w:val="24"/>
        </w:rPr>
        <w:t xml:space="preserve">tal como </w:t>
      </w:r>
      <w:r w:rsidR="0040203A">
        <w:rPr>
          <w:rFonts w:ascii="Times New Roman" w:hAnsi="Times New Roman"/>
          <w:bCs/>
          <w:szCs w:val="24"/>
        </w:rPr>
        <w:t>limpeza</w:t>
      </w:r>
      <w:r w:rsidR="00D14E22" w:rsidRPr="00D14E22">
        <w:rPr>
          <w:rFonts w:ascii="Times New Roman" w:hAnsi="Times New Roman"/>
          <w:bCs/>
          <w:szCs w:val="24"/>
        </w:rPr>
        <w:t xml:space="preserve"> do caminhão-tanque</w:t>
      </w:r>
      <w:r w:rsidR="00A15E7F" w:rsidRPr="00D14E22">
        <w:rPr>
          <w:rFonts w:ascii="Times New Roman" w:hAnsi="Times New Roman"/>
          <w:bCs/>
          <w:szCs w:val="24"/>
        </w:rPr>
        <w:t>.</w:t>
      </w:r>
    </w:p>
    <w:p w:rsidR="0035740B" w:rsidRDefault="006B0AA6" w:rsidP="004A475F">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F8746C" w:rsidRPr="000E1E8E">
        <w:rPr>
          <w:rFonts w:ascii="Times New Roman" w:hAnsi="Times New Roman"/>
          <w:bCs/>
          <w:szCs w:val="24"/>
        </w:rPr>
        <w:t xml:space="preserve">A </w:t>
      </w:r>
      <w:r w:rsidR="00D3667D" w:rsidRPr="000E1E8E">
        <w:rPr>
          <w:rFonts w:ascii="Times New Roman" w:hAnsi="Times New Roman"/>
          <w:bCs/>
          <w:szCs w:val="24"/>
        </w:rPr>
        <w:t>SBQ</w:t>
      </w:r>
      <w:r w:rsidR="00F8746C" w:rsidRPr="000E1E8E">
        <w:rPr>
          <w:rFonts w:ascii="Times New Roman" w:hAnsi="Times New Roman"/>
          <w:bCs/>
          <w:szCs w:val="24"/>
        </w:rPr>
        <w:t xml:space="preserve"> está com um projeto em andamento para verificar a variação do teor de água</w:t>
      </w:r>
      <w:r w:rsidR="00116963" w:rsidRPr="000E1E8E">
        <w:rPr>
          <w:rFonts w:ascii="Times New Roman" w:hAnsi="Times New Roman"/>
          <w:bCs/>
          <w:szCs w:val="24"/>
        </w:rPr>
        <w:t xml:space="preserve"> no biodiesel, previsto para ser concluído </w:t>
      </w:r>
      <w:r w:rsidR="00E45994" w:rsidRPr="000E1E8E">
        <w:rPr>
          <w:rFonts w:ascii="Times New Roman" w:hAnsi="Times New Roman"/>
          <w:bCs/>
          <w:szCs w:val="24"/>
        </w:rPr>
        <w:t>no segundo semestre deste ano</w:t>
      </w:r>
      <w:r w:rsidR="00F8746C" w:rsidRPr="000E1E8E">
        <w:rPr>
          <w:rFonts w:ascii="Times New Roman" w:hAnsi="Times New Roman"/>
          <w:bCs/>
          <w:szCs w:val="24"/>
        </w:rPr>
        <w:t xml:space="preserve">. </w:t>
      </w:r>
      <w:r w:rsidR="00E45994" w:rsidRPr="000E1E8E">
        <w:rPr>
          <w:rFonts w:ascii="Times New Roman" w:hAnsi="Times New Roman"/>
          <w:bCs/>
          <w:szCs w:val="24"/>
        </w:rPr>
        <w:t>O</w:t>
      </w:r>
      <w:r w:rsidRPr="000E1E8E">
        <w:rPr>
          <w:rFonts w:ascii="Times New Roman" w:hAnsi="Times New Roman"/>
          <w:bCs/>
          <w:szCs w:val="24"/>
        </w:rPr>
        <w:t xml:space="preserve"> </w:t>
      </w:r>
      <w:proofErr w:type="spellStart"/>
      <w:r w:rsidRPr="000E1E8E">
        <w:rPr>
          <w:rFonts w:ascii="Times New Roman" w:hAnsi="Times New Roman"/>
          <w:bCs/>
          <w:szCs w:val="24"/>
        </w:rPr>
        <w:t>Sindicom</w:t>
      </w:r>
      <w:proofErr w:type="spellEnd"/>
      <w:r w:rsidR="00A8156C" w:rsidRPr="000E1E8E">
        <w:rPr>
          <w:rFonts w:ascii="Times New Roman" w:hAnsi="Times New Roman"/>
          <w:bCs/>
          <w:szCs w:val="24"/>
        </w:rPr>
        <w:t xml:space="preserve"> </w:t>
      </w:r>
      <w:r w:rsidR="008F600B" w:rsidRPr="000E1E8E">
        <w:rPr>
          <w:rFonts w:ascii="Times New Roman" w:hAnsi="Times New Roman"/>
          <w:bCs/>
          <w:szCs w:val="24"/>
        </w:rPr>
        <w:t xml:space="preserve">apresentou um estudo </w:t>
      </w:r>
      <w:r w:rsidR="00E45994" w:rsidRPr="000E1E8E">
        <w:rPr>
          <w:rFonts w:ascii="Times New Roman" w:hAnsi="Times New Roman"/>
          <w:bCs/>
          <w:szCs w:val="24"/>
        </w:rPr>
        <w:t>que avaliou a</w:t>
      </w:r>
      <w:r w:rsidR="00A8156C" w:rsidRPr="000E1E8E">
        <w:rPr>
          <w:rFonts w:ascii="Times New Roman" w:hAnsi="Times New Roman"/>
          <w:bCs/>
          <w:szCs w:val="24"/>
        </w:rPr>
        <w:t xml:space="preserve"> </w:t>
      </w:r>
      <w:r w:rsidR="00A15E7F" w:rsidRPr="000E1E8E">
        <w:rPr>
          <w:rFonts w:ascii="Times New Roman" w:hAnsi="Times New Roman"/>
          <w:bCs/>
          <w:szCs w:val="24"/>
        </w:rPr>
        <w:t>absorção</w:t>
      </w:r>
      <w:r w:rsidR="00E45994" w:rsidRPr="000E1E8E">
        <w:rPr>
          <w:rFonts w:ascii="Times New Roman" w:hAnsi="Times New Roman"/>
          <w:bCs/>
          <w:szCs w:val="24"/>
        </w:rPr>
        <w:t>, concluindo que esta foi</w:t>
      </w:r>
      <w:r w:rsidR="0040203A" w:rsidRPr="000E1E8E">
        <w:rPr>
          <w:rFonts w:ascii="Times New Roman" w:hAnsi="Times New Roman"/>
          <w:bCs/>
          <w:szCs w:val="24"/>
        </w:rPr>
        <w:t xml:space="preserve"> </w:t>
      </w:r>
      <w:r w:rsidR="003E24C9" w:rsidRPr="000E1E8E">
        <w:rPr>
          <w:rFonts w:ascii="Times New Roman" w:hAnsi="Times New Roman"/>
          <w:bCs/>
          <w:szCs w:val="24"/>
        </w:rPr>
        <w:t xml:space="preserve">flutuante, isto é, </w:t>
      </w:r>
      <w:r w:rsidR="0040203A" w:rsidRPr="000E1E8E">
        <w:rPr>
          <w:rFonts w:ascii="Times New Roman" w:hAnsi="Times New Roman"/>
          <w:bCs/>
          <w:szCs w:val="24"/>
        </w:rPr>
        <w:t>alta em algum</w:t>
      </w:r>
      <w:r w:rsidR="003E24C9" w:rsidRPr="000E1E8E">
        <w:rPr>
          <w:rFonts w:ascii="Times New Roman" w:hAnsi="Times New Roman"/>
          <w:bCs/>
          <w:szCs w:val="24"/>
        </w:rPr>
        <w:t xml:space="preserve">as amostras e </w:t>
      </w:r>
      <w:r w:rsidR="003E24C9" w:rsidRPr="000E1E8E">
        <w:rPr>
          <w:rFonts w:ascii="Times New Roman" w:hAnsi="Times New Roman"/>
          <w:bCs/>
          <w:szCs w:val="24"/>
        </w:rPr>
        <w:lastRenderedPageBreak/>
        <w:t>baixas em outras. Dessa maneira, propuseram uma tolerância</w:t>
      </w:r>
      <w:r w:rsidR="0040203A" w:rsidRPr="000E1E8E">
        <w:rPr>
          <w:rFonts w:ascii="Times New Roman" w:hAnsi="Times New Roman"/>
          <w:bCs/>
          <w:szCs w:val="24"/>
        </w:rPr>
        <w:t xml:space="preserve"> de 150 </w:t>
      </w:r>
      <w:proofErr w:type="spellStart"/>
      <w:proofErr w:type="gramStart"/>
      <w:r w:rsidR="0040203A" w:rsidRPr="000E1E8E">
        <w:rPr>
          <w:rFonts w:ascii="Times New Roman" w:hAnsi="Times New Roman"/>
          <w:bCs/>
          <w:szCs w:val="24"/>
        </w:rPr>
        <w:t>mg</w:t>
      </w:r>
      <w:proofErr w:type="spellEnd"/>
      <w:proofErr w:type="gramEnd"/>
      <w:r w:rsidR="0040203A" w:rsidRPr="000E1E8E">
        <w:rPr>
          <w:rFonts w:ascii="Times New Roman" w:hAnsi="Times New Roman"/>
          <w:bCs/>
          <w:szCs w:val="24"/>
        </w:rPr>
        <w:t>/kg</w:t>
      </w:r>
      <w:r w:rsidR="003E24C9" w:rsidRPr="000E1E8E">
        <w:rPr>
          <w:rFonts w:ascii="Times New Roman" w:hAnsi="Times New Roman"/>
          <w:bCs/>
          <w:szCs w:val="24"/>
        </w:rPr>
        <w:t xml:space="preserve"> entre o produtor e o distribuidor.</w:t>
      </w:r>
    </w:p>
    <w:p w:rsidR="00743982" w:rsidRDefault="00743982" w:rsidP="00743982">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t>Em</w:t>
      </w:r>
      <w:r w:rsidRPr="00840198">
        <w:rPr>
          <w:rFonts w:ascii="Times New Roman" w:hAnsi="Times New Roman"/>
          <w:bCs/>
          <w:szCs w:val="24"/>
        </w:rPr>
        <w:t xml:space="preserve"> 2012, durante a revisão da Resolução ANP nº 7/2008</w:t>
      </w:r>
      <w:r>
        <w:rPr>
          <w:rFonts w:ascii="Times New Roman" w:hAnsi="Times New Roman"/>
          <w:bCs/>
          <w:szCs w:val="24"/>
        </w:rPr>
        <w:t>,</w:t>
      </w:r>
      <w:r w:rsidRPr="00840198">
        <w:rPr>
          <w:rFonts w:ascii="Times New Roman" w:hAnsi="Times New Roman"/>
          <w:bCs/>
          <w:szCs w:val="24"/>
        </w:rPr>
        <w:t xml:space="preserve"> que resultou na publicação da atual resolução que trata da especificação do biodiesel, Resolução ANP nº 14/2012</w:t>
      </w:r>
      <w:r>
        <w:rPr>
          <w:rFonts w:ascii="Times New Roman" w:hAnsi="Times New Roman"/>
          <w:bCs/>
          <w:szCs w:val="24"/>
        </w:rPr>
        <w:t xml:space="preserve">, o teor de água máximo permitido foi alterado de 500 </w:t>
      </w:r>
      <w:proofErr w:type="spellStart"/>
      <w:proofErr w:type="gramStart"/>
      <w:r>
        <w:rPr>
          <w:rFonts w:ascii="Times New Roman" w:hAnsi="Times New Roman"/>
          <w:bCs/>
          <w:szCs w:val="24"/>
        </w:rPr>
        <w:t>mg</w:t>
      </w:r>
      <w:proofErr w:type="spellEnd"/>
      <w:proofErr w:type="gramEnd"/>
      <w:r>
        <w:rPr>
          <w:rFonts w:ascii="Times New Roman" w:hAnsi="Times New Roman"/>
          <w:bCs/>
          <w:szCs w:val="24"/>
        </w:rPr>
        <w:t>/kg para</w:t>
      </w:r>
      <w:r w:rsidRPr="0035740B">
        <w:rPr>
          <w:rFonts w:ascii="Times New Roman" w:hAnsi="Times New Roman"/>
          <w:bCs/>
          <w:szCs w:val="24"/>
        </w:rPr>
        <w:t xml:space="preserve"> 350 </w:t>
      </w:r>
      <w:proofErr w:type="spellStart"/>
      <w:r w:rsidRPr="0035740B">
        <w:rPr>
          <w:rFonts w:ascii="Times New Roman" w:hAnsi="Times New Roman"/>
          <w:bCs/>
          <w:szCs w:val="24"/>
        </w:rPr>
        <w:t>mg</w:t>
      </w:r>
      <w:proofErr w:type="spellEnd"/>
      <w:r w:rsidRPr="0035740B">
        <w:rPr>
          <w:rFonts w:ascii="Times New Roman" w:hAnsi="Times New Roman"/>
          <w:bCs/>
          <w:szCs w:val="24"/>
        </w:rPr>
        <w:t xml:space="preserve">/kg até 31 de dezembro de 2013 e 200 </w:t>
      </w:r>
      <w:proofErr w:type="spellStart"/>
      <w:r w:rsidRPr="0035740B">
        <w:rPr>
          <w:rFonts w:ascii="Times New Roman" w:hAnsi="Times New Roman"/>
          <w:bCs/>
          <w:szCs w:val="24"/>
        </w:rPr>
        <w:t>mg</w:t>
      </w:r>
      <w:proofErr w:type="spellEnd"/>
      <w:r w:rsidRPr="0035740B">
        <w:rPr>
          <w:rFonts w:ascii="Times New Roman" w:hAnsi="Times New Roman"/>
          <w:bCs/>
          <w:szCs w:val="24"/>
        </w:rPr>
        <w:t>/kg a partir de 1º de janeiro de 2014.</w:t>
      </w:r>
      <w:r>
        <w:rPr>
          <w:rFonts w:ascii="Times New Roman" w:hAnsi="Times New Roman"/>
          <w:bCs/>
          <w:szCs w:val="24"/>
        </w:rPr>
        <w:t xml:space="preserve"> A justificativa àquela época era </w:t>
      </w:r>
      <w:r w:rsidR="00E60134">
        <w:rPr>
          <w:rFonts w:ascii="Times New Roman" w:hAnsi="Times New Roman"/>
          <w:bCs/>
          <w:szCs w:val="24"/>
        </w:rPr>
        <w:t xml:space="preserve">a necessidade de </w:t>
      </w:r>
      <w:r>
        <w:rPr>
          <w:rFonts w:ascii="Times New Roman" w:hAnsi="Times New Roman"/>
          <w:bCs/>
          <w:szCs w:val="24"/>
        </w:rPr>
        <w:t xml:space="preserve">acompanhar o teor de água máximo de 200 </w:t>
      </w:r>
      <w:proofErr w:type="spellStart"/>
      <w:proofErr w:type="gramStart"/>
      <w:r>
        <w:rPr>
          <w:rFonts w:ascii="Times New Roman" w:hAnsi="Times New Roman"/>
          <w:bCs/>
          <w:szCs w:val="24"/>
        </w:rPr>
        <w:t>mg</w:t>
      </w:r>
      <w:proofErr w:type="spellEnd"/>
      <w:proofErr w:type="gramEnd"/>
      <w:r>
        <w:rPr>
          <w:rFonts w:ascii="Times New Roman" w:hAnsi="Times New Roman"/>
          <w:bCs/>
          <w:szCs w:val="24"/>
        </w:rPr>
        <w:t xml:space="preserve">/kg </w:t>
      </w:r>
      <w:r w:rsidR="00E60134">
        <w:rPr>
          <w:rFonts w:ascii="Times New Roman" w:hAnsi="Times New Roman"/>
          <w:bCs/>
          <w:szCs w:val="24"/>
        </w:rPr>
        <w:t xml:space="preserve">estabelecido para </w:t>
      </w:r>
      <w:r>
        <w:rPr>
          <w:rFonts w:ascii="Times New Roman" w:hAnsi="Times New Roman"/>
          <w:bCs/>
          <w:szCs w:val="24"/>
        </w:rPr>
        <w:t xml:space="preserve">o </w:t>
      </w:r>
      <w:r w:rsidR="00E60134">
        <w:rPr>
          <w:rFonts w:ascii="Times New Roman" w:hAnsi="Times New Roman"/>
          <w:bCs/>
          <w:szCs w:val="24"/>
        </w:rPr>
        <w:t>óleo d</w:t>
      </w:r>
      <w:r>
        <w:rPr>
          <w:rFonts w:ascii="Times New Roman" w:hAnsi="Times New Roman"/>
          <w:bCs/>
          <w:szCs w:val="24"/>
        </w:rPr>
        <w:t xml:space="preserve">iesel S10, considerando que a partir de 1º de janeiro de 2013, o </w:t>
      </w:r>
      <w:r w:rsidR="00E60134">
        <w:rPr>
          <w:rFonts w:ascii="Times New Roman" w:hAnsi="Times New Roman"/>
          <w:bCs/>
          <w:szCs w:val="24"/>
        </w:rPr>
        <w:t xml:space="preserve">óleo </w:t>
      </w:r>
      <w:r>
        <w:rPr>
          <w:rFonts w:ascii="Times New Roman" w:hAnsi="Times New Roman"/>
          <w:bCs/>
          <w:szCs w:val="24"/>
        </w:rPr>
        <w:t>diesel S50</w:t>
      </w:r>
      <w:r w:rsidRPr="006B0AA6">
        <w:rPr>
          <w:rFonts w:ascii="Times New Roman" w:hAnsi="Times New Roman"/>
          <w:bCs/>
          <w:szCs w:val="24"/>
        </w:rPr>
        <w:t xml:space="preserve"> </w:t>
      </w:r>
      <w:r w:rsidRPr="00840198">
        <w:rPr>
          <w:rFonts w:ascii="Times New Roman" w:hAnsi="Times New Roman"/>
          <w:bCs/>
          <w:szCs w:val="24"/>
        </w:rPr>
        <w:t>deix</w:t>
      </w:r>
      <w:r>
        <w:rPr>
          <w:rFonts w:ascii="Times New Roman" w:hAnsi="Times New Roman"/>
          <w:bCs/>
          <w:szCs w:val="24"/>
        </w:rPr>
        <w:t>aria</w:t>
      </w:r>
      <w:r w:rsidRPr="00840198">
        <w:rPr>
          <w:rFonts w:ascii="Times New Roman" w:hAnsi="Times New Roman"/>
          <w:bCs/>
          <w:szCs w:val="24"/>
        </w:rPr>
        <w:t xml:space="preserve"> de ser comercializado e </w:t>
      </w:r>
      <w:r>
        <w:rPr>
          <w:rFonts w:ascii="Times New Roman" w:hAnsi="Times New Roman"/>
          <w:bCs/>
          <w:szCs w:val="24"/>
        </w:rPr>
        <w:t>seria</w:t>
      </w:r>
      <w:r w:rsidRPr="00840198">
        <w:rPr>
          <w:rFonts w:ascii="Times New Roman" w:hAnsi="Times New Roman"/>
          <w:bCs/>
          <w:szCs w:val="24"/>
        </w:rPr>
        <w:t xml:space="preserve"> substituído integralmente pelo óleo diesel S10, de acordo com a Resolução ANP nº 65/2011</w:t>
      </w:r>
      <w:r>
        <w:rPr>
          <w:rFonts w:ascii="Times New Roman" w:hAnsi="Times New Roman"/>
          <w:bCs/>
          <w:szCs w:val="24"/>
        </w:rPr>
        <w:t xml:space="preserve">. </w:t>
      </w:r>
      <w:r w:rsidRPr="00840198">
        <w:rPr>
          <w:rFonts w:ascii="Times New Roman" w:hAnsi="Times New Roman"/>
          <w:bCs/>
          <w:szCs w:val="24"/>
        </w:rPr>
        <w:t xml:space="preserve">Assim, somente a partir da comercialização deste diesel com baixo teor de enxofre em 2013 foi possível verificar o teor de água no </w:t>
      </w:r>
      <w:r w:rsidR="00E60134">
        <w:rPr>
          <w:rFonts w:ascii="Times New Roman" w:hAnsi="Times New Roman"/>
          <w:bCs/>
          <w:szCs w:val="24"/>
        </w:rPr>
        <w:t xml:space="preserve">óleo </w:t>
      </w:r>
      <w:r w:rsidRPr="00840198">
        <w:rPr>
          <w:rFonts w:ascii="Times New Roman" w:hAnsi="Times New Roman"/>
          <w:bCs/>
          <w:szCs w:val="24"/>
        </w:rPr>
        <w:t xml:space="preserve">diesel S10 produzido no país. </w:t>
      </w:r>
      <w:r w:rsidR="00E60134">
        <w:rPr>
          <w:rFonts w:ascii="Times New Roman" w:hAnsi="Times New Roman"/>
          <w:bCs/>
          <w:szCs w:val="24"/>
        </w:rPr>
        <w:t>Portanto</w:t>
      </w:r>
      <w:r>
        <w:rPr>
          <w:rFonts w:ascii="Times New Roman" w:hAnsi="Times New Roman"/>
          <w:bCs/>
          <w:szCs w:val="24"/>
        </w:rPr>
        <w:t xml:space="preserve">, com um </w:t>
      </w:r>
      <w:r w:rsidR="00E60134">
        <w:rPr>
          <w:rFonts w:ascii="Times New Roman" w:hAnsi="Times New Roman"/>
          <w:bCs/>
          <w:szCs w:val="24"/>
        </w:rPr>
        <w:t xml:space="preserve">óleo </w:t>
      </w:r>
      <w:r>
        <w:rPr>
          <w:rFonts w:ascii="Times New Roman" w:hAnsi="Times New Roman"/>
          <w:bCs/>
          <w:szCs w:val="24"/>
        </w:rPr>
        <w:t xml:space="preserve">diesel A S10 sendo comercializado com baixo teor de água, há um garantia de que o biodiesel comercializado com 350 </w:t>
      </w:r>
      <w:proofErr w:type="spellStart"/>
      <w:proofErr w:type="gramStart"/>
      <w:r>
        <w:rPr>
          <w:rFonts w:ascii="Times New Roman" w:hAnsi="Times New Roman"/>
          <w:bCs/>
          <w:szCs w:val="24"/>
        </w:rPr>
        <w:t>mg</w:t>
      </w:r>
      <w:proofErr w:type="spellEnd"/>
      <w:proofErr w:type="gramEnd"/>
      <w:r>
        <w:rPr>
          <w:rFonts w:ascii="Times New Roman" w:hAnsi="Times New Roman"/>
          <w:bCs/>
          <w:szCs w:val="24"/>
        </w:rPr>
        <w:t xml:space="preserve">/kg de água não afetará a qualidade da mistura final obrigatória comercializada, </w:t>
      </w:r>
      <w:r w:rsidRPr="00840198">
        <w:rPr>
          <w:rFonts w:ascii="Times New Roman" w:hAnsi="Times New Roman"/>
          <w:bCs/>
          <w:szCs w:val="24"/>
        </w:rPr>
        <w:t>B5</w:t>
      </w:r>
      <w:r>
        <w:rPr>
          <w:rFonts w:ascii="Times New Roman" w:hAnsi="Times New Roman"/>
          <w:bCs/>
          <w:szCs w:val="24"/>
        </w:rPr>
        <w:t xml:space="preserve">. </w:t>
      </w:r>
    </w:p>
    <w:p w:rsidR="000F2761" w:rsidRDefault="000F2761" w:rsidP="00743982">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734D0D">
        <w:rPr>
          <w:rFonts w:ascii="Times New Roman" w:hAnsi="Times New Roman"/>
          <w:bCs/>
          <w:szCs w:val="24"/>
        </w:rPr>
        <w:t>Destacamos</w:t>
      </w:r>
      <w:r>
        <w:rPr>
          <w:rFonts w:ascii="Times New Roman" w:hAnsi="Times New Roman"/>
          <w:bCs/>
          <w:szCs w:val="24"/>
        </w:rPr>
        <w:t xml:space="preserve"> que esta proposta de </w:t>
      </w:r>
      <w:r w:rsidR="00734D0D">
        <w:rPr>
          <w:rFonts w:ascii="Times New Roman" w:hAnsi="Times New Roman"/>
          <w:bCs/>
          <w:szCs w:val="24"/>
        </w:rPr>
        <w:t>tolerância n</w:t>
      </w:r>
      <w:r w:rsidR="00E24847">
        <w:rPr>
          <w:rFonts w:ascii="Times New Roman" w:hAnsi="Times New Roman"/>
          <w:bCs/>
          <w:szCs w:val="24"/>
        </w:rPr>
        <w:t xml:space="preserve">o limite máximo </w:t>
      </w:r>
      <w:r w:rsidR="00734D0D">
        <w:rPr>
          <w:rFonts w:ascii="Times New Roman" w:hAnsi="Times New Roman"/>
          <w:bCs/>
          <w:szCs w:val="24"/>
        </w:rPr>
        <w:t>d</w:t>
      </w:r>
      <w:r>
        <w:rPr>
          <w:rFonts w:ascii="Times New Roman" w:hAnsi="Times New Roman"/>
          <w:bCs/>
          <w:szCs w:val="24"/>
        </w:rPr>
        <w:t>o t</w:t>
      </w:r>
      <w:r w:rsidR="00BA05DF">
        <w:rPr>
          <w:rFonts w:ascii="Times New Roman" w:hAnsi="Times New Roman"/>
          <w:bCs/>
          <w:szCs w:val="24"/>
        </w:rPr>
        <w:t xml:space="preserve">eor de água </w:t>
      </w:r>
      <w:r w:rsidR="00734D0D">
        <w:rPr>
          <w:rFonts w:ascii="Times New Roman" w:hAnsi="Times New Roman"/>
          <w:bCs/>
          <w:szCs w:val="24"/>
        </w:rPr>
        <w:t>n</w:t>
      </w:r>
      <w:r w:rsidR="00BA05DF">
        <w:rPr>
          <w:rFonts w:ascii="Times New Roman" w:hAnsi="Times New Roman"/>
          <w:bCs/>
          <w:szCs w:val="24"/>
        </w:rPr>
        <w:t>o distribuidor</w:t>
      </w:r>
      <w:r>
        <w:rPr>
          <w:rFonts w:ascii="Times New Roman" w:hAnsi="Times New Roman"/>
          <w:bCs/>
          <w:szCs w:val="24"/>
        </w:rPr>
        <w:t xml:space="preserve"> visa adequar a especificação do biodiesel</w:t>
      </w:r>
      <w:r w:rsidR="007221FF">
        <w:rPr>
          <w:rFonts w:ascii="Times New Roman" w:hAnsi="Times New Roman"/>
          <w:bCs/>
          <w:szCs w:val="24"/>
        </w:rPr>
        <w:t>, sem prejuízo da sua qualidade,</w:t>
      </w:r>
      <w:r w:rsidR="00E24847">
        <w:rPr>
          <w:rFonts w:ascii="Times New Roman" w:hAnsi="Times New Roman"/>
          <w:bCs/>
          <w:szCs w:val="24"/>
        </w:rPr>
        <w:t xml:space="preserve"> </w:t>
      </w:r>
      <w:r w:rsidR="00A8156C">
        <w:rPr>
          <w:rFonts w:ascii="Times New Roman" w:hAnsi="Times New Roman"/>
          <w:bCs/>
          <w:szCs w:val="24"/>
        </w:rPr>
        <w:t>a</w:t>
      </w:r>
      <w:r w:rsidR="00E60134">
        <w:rPr>
          <w:rFonts w:ascii="Times New Roman" w:hAnsi="Times New Roman"/>
          <w:bCs/>
          <w:szCs w:val="24"/>
        </w:rPr>
        <w:t xml:space="preserve"> </w:t>
      </w:r>
      <w:r w:rsidR="00E24847">
        <w:rPr>
          <w:rFonts w:ascii="Times New Roman" w:hAnsi="Times New Roman"/>
          <w:bCs/>
          <w:szCs w:val="24"/>
        </w:rPr>
        <w:t xml:space="preserve">real </w:t>
      </w:r>
      <w:r w:rsidR="00734D0D">
        <w:rPr>
          <w:rFonts w:ascii="Times New Roman" w:hAnsi="Times New Roman"/>
          <w:bCs/>
          <w:szCs w:val="24"/>
        </w:rPr>
        <w:t>situação logística do país e especificidade deste produto (higroscópico), que dificulta a manutenção desta característica</w:t>
      </w:r>
      <w:r w:rsidR="00E24847">
        <w:rPr>
          <w:rFonts w:ascii="Times New Roman" w:hAnsi="Times New Roman"/>
          <w:bCs/>
          <w:szCs w:val="24"/>
        </w:rPr>
        <w:t xml:space="preserve"> entre </w:t>
      </w:r>
      <w:r w:rsidR="006D4B90">
        <w:rPr>
          <w:rFonts w:ascii="Times New Roman" w:hAnsi="Times New Roman"/>
          <w:bCs/>
          <w:szCs w:val="24"/>
        </w:rPr>
        <w:t xml:space="preserve">as etapas de </w:t>
      </w:r>
      <w:r w:rsidR="00E24847">
        <w:rPr>
          <w:rFonts w:ascii="Times New Roman" w:hAnsi="Times New Roman"/>
          <w:bCs/>
          <w:szCs w:val="24"/>
        </w:rPr>
        <w:t>produção e distribuição</w:t>
      </w:r>
      <w:r w:rsidR="00734D0D">
        <w:rPr>
          <w:rFonts w:ascii="Times New Roman" w:hAnsi="Times New Roman"/>
          <w:bCs/>
          <w:szCs w:val="24"/>
        </w:rPr>
        <w:t xml:space="preserve">. </w:t>
      </w:r>
    </w:p>
    <w:p w:rsidR="00743982" w:rsidRDefault="00743982" w:rsidP="00AB3D1D">
      <w:pPr>
        <w:tabs>
          <w:tab w:val="left" w:pos="1134"/>
        </w:tabs>
        <w:spacing w:before="120" w:after="120" w:line="276" w:lineRule="auto"/>
        <w:jc w:val="both"/>
        <w:rPr>
          <w:rFonts w:ascii="Times New Roman" w:hAnsi="Times New Roman"/>
          <w:bCs/>
          <w:szCs w:val="24"/>
        </w:rPr>
      </w:pPr>
    </w:p>
    <w:p w:rsidR="004A475F" w:rsidRPr="0097001D" w:rsidRDefault="004A475F" w:rsidP="00AB3D1D">
      <w:pPr>
        <w:tabs>
          <w:tab w:val="left" w:pos="1134"/>
        </w:tabs>
        <w:spacing w:before="120" w:after="120" w:line="276" w:lineRule="auto"/>
        <w:jc w:val="both"/>
        <w:rPr>
          <w:rFonts w:ascii="Times New Roman" w:hAnsi="Times New Roman"/>
          <w:b/>
          <w:bCs/>
          <w:szCs w:val="24"/>
        </w:rPr>
      </w:pPr>
      <w:r w:rsidRPr="0097001D">
        <w:rPr>
          <w:rFonts w:ascii="Times New Roman" w:hAnsi="Times New Roman"/>
          <w:b/>
          <w:bCs/>
          <w:szCs w:val="24"/>
        </w:rPr>
        <w:t>5.</w:t>
      </w:r>
      <w:r w:rsidR="0076674E">
        <w:rPr>
          <w:rFonts w:ascii="Times New Roman" w:hAnsi="Times New Roman"/>
          <w:b/>
          <w:bCs/>
          <w:szCs w:val="24"/>
        </w:rPr>
        <w:t>5</w:t>
      </w:r>
      <w:r w:rsidR="0097001D" w:rsidRPr="0097001D">
        <w:rPr>
          <w:rFonts w:ascii="Times New Roman" w:hAnsi="Times New Roman"/>
          <w:b/>
          <w:bCs/>
          <w:szCs w:val="24"/>
        </w:rPr>
        <w:t>.2</w:t>
      </w:r>
      <w:r w:rsidRPr="0097001D">
        <w:rPr>
          <w:rFonts w:ascii="Times New Roman" w:hAnsi="Times New Roman"/>
          <w:b/>
          <w:bCs/>
          <w:szCs w:val="24"/>
        </w:rPr>
        <w:t xml:space="preserve"> – Aumentar o limite mínimo de estabilidade à oxidação a 110°C, de </w:t>
      </w:r>
      <w:proofErr w:type="gramStart"/>
      <w:r w:rsidRPr="0097001D">
        <w:rPr>
          <w:rFonts w:ascii="Times New Roman" w:hAnsi="Times New Roman"/>
          <w:b/>
          <w:bCs/>
          <w:szCs w:val="24"/>
        </w:rPr>
        <w:t>6</w:t>
      </w:r>
      <w:proofErr w:type="gramEnd"/>
      <w:r w:rsidRPr="0097001D">
        <w:rPr>
          <w:rFonts w:ascii="Times New Roman" w:hAnsi="Times New Roman"/>
          <w:b/>
          <w:bCs/>
          <w:szCs w:val="24"/>
        </w:rPr>
        <w:t xml:space="preserve"> para 8 horas, caso </w:t>
      </w:r>
      <w:r w:rsidR="00D0523E">
        <w:rPr>
          <w:rFonts w:ascii="Times New Roman" w:hAnsi="Times New Roman"/>
          <w:b/>
          <w:bCs/>
          <w:szCs w:val="24"/>
        </w:rPr>
        <w:t>o</w:t>
      </w:r>
      <w:r w:rsidR="00902E6A" w:rsidRPr="0097001D">
        <w:rPr>
          <w:rFonts w:ascii="Times New Roman" w:hAnsi="Times New Roman"/>
          <w:b/>
          <w:bCs/>
          <w:szCs w:val="24"/>
        </w:rPr>
        <w:t xml:space="preserve"> </w:t>
      </w:r>
      <w:r w:rsidRPr="0097001D">
        <w:rPr>
          <w:rFonts w:ascii="Times New Roman" w:hAnsi="Times New Roman"/>
          <w:b/>
          <w:bCs/>
          <w:szCs w:val="24"/>
        </w:rPr>
        <w:t>teor obrigatório de biodiesel</w:t>
      </w:r>
      <w:r w:rsidR="00902E6A" w:rsidRPr="0097001D">
        <w:rPr>
          <w:rFonts w:ascii="Times New Roman" w:hAnsi="Times New Roman"/>
          <w:b/>
          <w:bCs/>
          <w:szCs w:val="24"/>
        </w:rPr>
        <w:t xml:space="preserve"> </w:t>
      </w:r>
      <w:r w:rsidRPr="0097001D">
        <w:rPr>
          <w:rFonts w:ascii="Times New Roman" w:hAnsi="Times New Roman"/>
          <w:b/>
          <w:bCs/>
          <w:szCs w:val="24"/>
        </w:rPr>
        <w:t>a ser adicionado ao óleo diesel</w:t>
      </w:r>
      <w:r w:rsidR="00902E6A" w:rsidRPr="0097001D">
        <w:rPr>
          <w:rFonts w:ascii="Times New Roman" w:hAnsi="Times New Roman"/>
          <w:b/>
          <w:bCs/>
          <w:szCs w:val="24"/>
        </w:rPr>
        <w:t xml:space="preserve"> </w:t>
      </w:r>
      <w:r w:rsidR="00D0523E">
        <w:rPr>
          <w:rFonts w:ascii="Times New Roman" w:hAnsi="Times New Roman"/>
          <w:b/>
          <w:bCs/>
          <w:szCs w:val="24"/>
        </w:rPr>
        <w:t xml:space="preserve">seja </w:t>
      </w:r>
      <w:r w:rsidR="00F80F7F">
        <w:rPr>
          <w:rFonts w:ascii="Times New Roman" w:hAnsi="Times New Roman"/>
          <w:b/>
          <w:bCs/>
          <w:szCs w:val="24"/>
        </w:rPr>
        <w:t xml:space="preserve">igual ou </w:t>
      </w:r>
      <w:r w:rsidR="00D0523E">
        <w:rPr>
          <w:rFonts w:ascii="Times New Roman" w:hAnsi="Times New Roman"/>
          <w:b/>
          <w:bCs/>
          <w:szCs w:val="24"/>
        </w:rPr>
        <w:t>superior a 7</w:t>
      </w:r>
      <w:r w:rsidR="00902E6A" w:rsidRPr="0097001D">
        <w:rPr>
          <w:rFonts w:ascii="Times New Roman" w:hAnsi="Times New Roman"/>
          <w:b/>
          <w:bCs/>
          <w:szCs w:val="24"/>
        </w:rPr>
        <w:t>% em volume</w:t>
      </w:r>
      <w:r w:rsidRPr="0097001D">
        <w:rPr>
          <w:rFonts w:ascii="Times New Roman" w:hAnsi="Times New Roman"/>
          <w:b/>
          <w:bCs/>
          <w:szCs w:val="24"/>
        </w:rPr>
        <w:t>.</w:t>
      </w:r>
    </w:p>
    <w:p w:rsidR="004A475F" w:rsidRPr="00A9008C" w:rsidRDefault="004A475F" w:rsidP="008F3129">
      <w:pPr>
        <w:tabs>
          <w:tab w:val="left" w:pos="1134"/>
        </w:tabs>
        <w:spacing w:before="120" w:after="120" w:line="276" w:lineRule="auto"/>
        <w:jc w:val="both"/>
        <w:rPr>
          <w:rFonts w:ascii="Times New Roman" w:hAnsi="Times New Roman"/>
          <w:b/>
          <w:bCs/>
          <w:color w:val="FF0000"/>
          <w:szCs w:val="24"/>
        </w:rPr>
      </w:pPr>
      <w:r>
        <w:rPr>
          <w:rFonts w:ascii="Times New Roman" w:hAnsi="Times New Roman"/>
          <w:bCs/>
          <w:szCs w:val="24"/>
        </w:rPr>
        <w:tab/>
        <w:t>A proposta tem o objetivo de</w:t>
      </w:r>
      <w:r w:rsidRPr="004A475F">
        <w:rPr>
          <w:rFonts w:ascii="Times New Roman" w:hAnsi="Times New Roman"/>
          <w:bCs/>
          <w:szCs w:val="24"/>
        </w:rPr>
        <w:t xml:space="preserve"> </w:t>
      </w:r>
      <w:r>
        <w:rPr>
          <w:rFonts w:ascii="Times New Roman" w:hAnsi="Times New Roman"/>
          <w:bCs/>
          <w:szCs w:val="24"/>
        </w:rPr>
        <w:t>garantir</w:t>
      </w:r>
      <w:r w:rsidRPr="004A475F">
        <w:rPr>
          <w:rFonts w:ascii="Times New Roman" w:hAnsi="Times New Roman"/>
          <w:bCs/>
          <w:szCs w:val="24"/>
        </w:rPr>
        <w:t xml:space="preserve"> uma maior durabilidade d</w:t>
      </w:r>
      <w:r>
        <w:rPr>
          <w:rFonts w:ascii="Times New Roman" w:hAnsi="Times New Roman"/>
          <w:bCs/>
          <w:szCs w:val="24"/>
        </w:rPr>
        <w:t xml:space="preserve">o </w:t>
      </w:r>
      <w:r w:rsidR="00F10EDC">
        <w:rPr>
          <w:rFonts w:ascii="Times New Roman" w:hAnsi="Times New Roman"/>
          <w:bCs/>
          <w:szCs w:val="24"/>
        </w:rPr>
        <w:t>Biodiesel</w:t>
      </w:r>
      <w:r w:rsidR="004037FC">
        <w:rPr>
          <w:rFonts w:ascii="Times New Roman" w:hAnsi="Times New Roman"/>
          <w:bCs/>
          <w:szCs w:val="24"/>
        </w:rPr>
        <w:t xml:space="preserve"> </w:t>
      </w:r>
      <w:r w:rsidR="00641FBA">
        <w:rPr>
          <w:rFonts w:ascii="Times New Roman" w:hAnsi="Times New Roman"/>
          <w:bCs/>
          <w:szCs w:val="24"/>
        </w:rPr>
        <w:t>no distribuidor</w:t>
      </w:r>
      <w:r w:rsidR="00022DA1">
        <w:rPr>
          <w:rFonts w:ascii="Times New Roman" w:hAnsi="Times New Roman"/>
          <w:bCs/>
          <w:szCs w:val="24"/>
        </w:rPr>
        <w:t>. Na norma europeia EN 14214 2012</w:t>
      </w:r>
      <w:r w:rsidRPr="004A475F">
        <w:rPr>
          <w:rFonts w:ascii="Times New Roman" w:hAnsi="Times New Roman"/>
          <w:bCs/>
          <w:szCs w:val="24"/>
        </w:rPr>
        <w:t>,</w:t>
      </w:r>
      <w:r>
        <w:rPr>
          <w:rFonts w:ascii="Times New Roman" w:hAnsi="Times New Roman"/>
          <w:bCs/>
          <w:szCs w:val="24"/>
        </w:rPr>
        <w:t xml:space="preserve"> </w:t>
      </w:r>
      <w:r w:rsidR="00022DA1">
        <w:rPr>
          <w:rFonts w:ascii="Times New Roman" w:hAnsi="Times New Roman"/>
          <w:bCs/>
          <w:szCs w:val="24"/>
        </w:rPr>
        <w:t xml:space="preserve">a estabilidade à oxidação </w:t>
      </w:r>
      <w:r w:rsidR="005010C8">
        <w:rPr>
          <w:rFonts w:ascii="Times New Roman" w:hAnsi="Times New Roman"/>
          <w:bCs/>
          <w:szCs w:val="24"/>
        </w:rPr>
        <w:t>tem</w:t>
      </w:r>
      <w:r w:rsidR="00022DA1">
        <w:rPr>
          <w:rFonts w:ascii="Times New Roman" w:hAnsi="Times New Roman"/>
          <w:bCs/>
          <w:szCs w:val="24"/>
        </w:rPr>
        <w:t xml:space="preserve"> limite mínimo </w:t>
      </w:r>
      <w:r w:rsidR="005010C8">
        <w:rPr>
          <w:rFonts w:ascii="Times New Roman" w:hAnsi="Times New Roman"/>
          <w:bCs/>
          <w:szCs w:val="24"/>
        </w:rPr>
        <w:t>de</w:t>
      </w:r>
      <w:r w:rsidR="00022DA1">
        <w:rPr>
          <w:rFonts w:ascii="Times New Roman" w:hAnsi="Times New Roman"/>
          <w:bCs/>
          <w:szCs w:val="24"/>
        </w:rPr>
        <w:t xml:space="preserve"> 8 horas</w:t>
      </w:r>
      <w:r w:rsidR="005010C8">
        <w:rPr>
          <w:rFonts w:ascii="Times New Roman" w:hAnsi="Times New Roman"/>
          <w:bCs/>
          <w:szCs w:val="24"/>
        </w:rPr>
        <w:t xml:space="preserve"> e nos Estados Unidos, de acordo com a norma ASTM D 6751 2012, esta característica tem limite mínimo de 3 horas. </w:t>
      </w:r>
    </w:p>
    <w:p w:rsidR="00824179" w:rsidRDefault="00824179" w:rsidP="00824179">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t xml:space="preserve">Para avaliar esta característica no biodiesel produzido pelas usinas em 2013 e 2014, a SBQ fez um levantamento de maio, junho, julho e dezembro de 2013, além de janeiro e fevereiro de 2014. Os meses foram escolhidos tendo o objetivo de contemplar a sazonalidade das diferentes matérias primas utilizadas na produção do biodiesel no Brasil. </w:t>
      </w:r>
    </w:p>
    <w:p w:rsidR="00824179" w:rsidRDefault="00824179" w:rsidP="004A475F">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t xml:space="preserve">Em maio de 2013, </w:t>
      </w:r>
      <w:r w:rsidR="007F2C6F" w:rsidRPr="007F2C6F">
        <w:rPr>
          <w:rFonts w:ascii="Times New Roman" w:hAnsi="Times New Roman"/>
          <w:bCs/>
          <w:szCs w:val="24"/>
        </w:rPr>
        <w:t>69</w:t>
      </w:r>
      <w:r w:rsidRPr="007F2C6F">
        <w:rPr>
          <w:rFonts w:ascii="Times New Roman" w:hAnsi="Times New Roman"/>
          <w:bCs/>
          <w:szCs w:val="24"/>
        </w:rPr>
        <w:t>%</w:t>
      </w:r>
      <w:r>
        <w:rPr>
          <w:rFonts w:ascii="Times New Roman" w:hAnsi="Times New Roman"/>
          <w:bCs/>
          <w:szCs w:val="24"/>
        </w:rPr>
        <w:t xml:space="preserve"> do volume de biodiesel comercializado já </w:t>
      </w:r>
      <w:proofErr w:type="gramStart"/>
      <w:r>
        <w:rPr>
          <w:rFonts w:ascii="Times New Roman" w:hAnsi="Times New Roman"/>
          <w:bCs/>
          <w:szCs w:val="24"/>
        </w:rPr>
        <w:t>estava</w:t>
      </w:r>
      <w:proofErr w:type="gramEnd"/>
      <w:r>
        <w:rPr>
          <w:rFonts w:ascii="Times New Roman" w:hAnsi="Times New Roman"/>
          <w:bCs/>
          <w:szCs w:val="24"/>
        </w:rPr>
        <w:t xml:space="preserve"> sendo produzido com estabilidade à oxidação superior a 8 horas; em junho esta porcentagem foi de </w:t>
      </w:r>
      <w:r w:rsidR="007F2C6F" w:rsidRPr="007F2C6F">
        <w:rPr>
          <w:rFonts w:ascii="Times New Roman" w:hAnsi="Times New Roman"/>
          <w:bCs/>
          <w:szCs w:val="24"/>
        </w:rPr>
        <w:t>61</w:t>
      </w:r>
      <w:r w:rsidRPr="007F2C6F">
        <w:rPr>
          <w:rFonts w:ascii="Times New Roman" w:hAnsi="Times New Roman"/>
          <w:bCs/>
          <w:szCs w:val="24"/>
        </w:rPr>
        <w:t>%</w:t>
      </w:r>
      <w:r>
        <w:rPr>
          <w:rFonts w:ascii="Times New Roman" w:hAnsi="Times New Roman"/>
          <w:bCs/>
          <w:szCs w:val="24"/>
        </w:rPr>
        <w:t xml:space="preserve">; julho </w:t>
      </w:r>
      <w:r w:rsidR="007F2C6F" w:rsidRPr="007F2C6F">
        <w:rPr>
          <w:rFonts w:ascii="Times New Roman" w:hAnsi="Times New Roman"/>
          <w:bCs/>
          <w:szCs w:val="24"/>
        </w:rPr>
        <w:t>62</w:t>
      </w:r>
      <w:r w:rsidRPr="007F2C6F">
        <w:rPr>
          <w:rFonts w:ascii="Times New Roman" w:hAnsi="Times New Roman"/>
          <w:bCs/>
          <w:szCs w:val="24"/>
        </w:rPr>
        <w:t>%</w:t>
      </w:r>
      <w:r>
        <w:rPr>
          <w:rFonts w:ascii="Times New Roman" w:hAnsi="Times New Roman"/>
          <w:bCs/>
          <w:szCs w:val="24"/>
        </w:rPr>
        <w:t xml:space="preserve">; dezembro </w:t>
      </w:r>
      <w:r w:rsidR="00A9008C" w:rsidRPr="00A9008C">
        <w:rPr>
          <w:rFonts w:ascii="Times New Roman" w:hAnsi="Times New Roman"/>
          <w:bCs/>
          <w:szCs w:val="24"/>
        </w:rPr>
        <w:t>81</w:t>
      </w:r>
      <w:r w:rsidRPr="00A9008C">
        <w:rPr>
          <w:rFonts w:ascii="Times New Roman" w:hAnsi="Times New Roman"/>
          <w:bCs/>
          <w:szCs w:val="24"/>
        </w:rPr>
        <w:t xml:space="preserve">%. Em 2014, a porcentagem do volume de biodiesel produzido com estabilidade à oxidação superior a 8 horas foi de </w:t>
      </w:r>
      <w:r w:rsidR="00A9008C" w:rsidRPr="00A9008C">
        <w:rPr>
          <w:rFonts w:ascii="Times New Roman" w:hAnsi="Times New Roman"/>
          <w:bCs/>
          <w:szCs w:val="24"/>
        </w:rPr>
        <w:t>82</w:t>
      </w:r>
      <w:r w:rsidRPr="00A9008C">
        <w:rPr>
          <w:rFonts w:ascii="Times New Roman" w:hAnsi="Times New Roman"/>
          <w:bCs/>
          <w:szCs w:val="24"/>
        </w:rPr>
        <w:t xml:space="preserve">% em janeiro e de </w:t>
      </w:r>
      <w:r w:rsidR="00A9008C" w:rsidRPr="00A9008C">
        <w:rPr>
          <w:rFonts w:ascii="Times New Roman" w:hAnsi="Times New Roman"/>
          <w:bCs/>
          <w:szCs w:val="24"/>
        </w:rPr>
        <w:t>79</w:t>
      </w:r>
      <w:r w:rsidRPr="00A9008C">
        <w:rPr>
          <w:rFonts w:ascii="Times New Roman" w:hAnsi="Times New Roman"/>
          <w:bCs/>
          <w:szCs w:val="24"/>
        </w:rPr>
        <w:t>% em</w:t>
      </w:r>
      <w:r>
        <w:rPr>
          <w:rFonts w:ascii="Times New Roman" w:hAnsi="Times New Roman"/>
          <w:bCs/>
          <w:szCs w:val="24"/>
        </w:rPr>
        <w:t xml:space="preserve"> fevereiro. Esses números evidenciam que </w:t>
      </w:r>
      <w:r w:rsidR="00E24847">
        <w:rPr>
          <w:rFonts w:ascii="Times New Roman" w:hAnsi="Times New Roman"/>
          <w:bCs/>
          <w:szCs w:val="24"/>
        </w:rPr>
        <w:t>a maior parte dos produtores já atende o que está sendo proposto neste item.</w:t>
      </w:r>
      <w:r>
        <w:rPr>
          <w:rFonts w:ascii="Times New Roman" w:hAnsi="Times New Roman"/>
          <w:bCs/>
          <w:szCs w:val="24"/>
        </w:rPr>
        <w:t xml:space="preserve"> </w:t>
      </w:r>
    </w:p>
    <w:p w:rsidR="0076674E" w:rsidRDefault="0076674E" w:rsidP="004A475F">
      <w:pPr>
        <w:tabs>
          <w:tab w:val="left" w:pos="1134"/>
        </w:tabs>
        <w:spacing w:before="120" w:after="120" w:line="276" w:lineRule="auto"/>
        <w:jc w:val="both"/>
        <w:rPr>
          <w:rFonts w:ascii="Times New Roman" w:hAnsi="Times New Roman"/>
          <w:bCs/>
          <w:szCs w:val="24"/>
        </w:rPr>
      </w:pPr>
    </w:p>
    <w:p w:rsidR="0076674E" w:rsidRDefault="0076674E" w:rsidP="004A475F">
      <w:pPr>
        <w:tabs>
          <w:tab w:val="left" w:pos="1134"/>
        </w:tabs>
        <w:spacing w:before="120" w:after="120" w:line="276" w:lineRule="auto"/>
        <w:jc w:val="both"/>
        <w:rPr>
          <w:rFonts w:ascii="Times New Roman" w:hAnsi="Times New Roman"/>
          <w:bCs/>
          <w:szCs w:val="24"/>
        </w:rPr>
      </w:pPr>
    </w:p>
    <w:p w:rsidR="0076674E" w:rsidRDefault="0076674E" w:rsidP="004A475F">
      <w:pPr>
        <w:tabs>
          <w:tab w:val="left" w:pos="1134"/>
        </w:tabs>
        <w:spacing w:before="120" w:after="120" w:line="276" w:lineRule="auto"/>
        <w:jc w:val="both"/>
        <w:rPr>
          <w:rFonts w:ascii="Times New Roman" w:hAnsi="Times New Roman"/>
          <w:bCs/>
          <w:szCs w:val="24"/>
        </w:rPr>
      </w:pPr>
    </w:p>
    <w:p w:rsidR="00E46BF3" w:rsidRPr="0097001D" w:rsidRDefault="00E46BF3" w:rsidP="003D05F3">
      <w:pPr>
        <w:pStyle w:val="PargrafodaLista"/>
        <w:spacing w:line="276" w:lineRule="auto"/>
        <w:ind w:left="0"/>
        <w:jc w:val="both"/>
        <w:rPr>
          <w:rFonts w:ascii="Times New Roman" w:hAnsi="Times New Roman"/>
          <w:b/>
          <w:bCs/>
          <w:szCs w:val="24"/>
        </w:rPr>
      </w:pPr>
      <w:r w:rsidRPr="0097001D">
        <w:rPr>
          <w:rFonts w:ascii="Times New Roman" w:hAnsi="Times New Roman"/>
          <w:b/>
          <w:bCs/>
          <w:szCs w:val="24"/>
        </w:rPr>
        <w:lastRenderedPageBreak/>
        <w:t>5.</w:t>
      </w:r>
      <w:r w:rsidR="0076674E">
        <w:rPr>
          <w:rFonts w:ascii="Times New Roman" w:hAnsi="Times New Roman"/>
          <w:b/>
          <w:bCs/>
          <w:szCs w:val="24"/>
        </w:rPr>
        <w:t>5</w:t>
      </w:r>
      <w:r w:rsidR="0097001D" w:rsidRPr="0097001D">
        <w:rPr>
          <w:rFonts w:ascii="Times New Roman" w:hAnsi="Times New Roman"/>
          <w:b/>
          <w:bCs/>
          <w:szCs w:val="24"/>
        </w:rPr>
        <w:t>.</w:t>
      </w:r>
      <w:r w:rsidRPr="0097001D">
        <w:rPr>
          <w:rFonts w:ascii="Times New Roman" w:hAnsi="Times New Roman"/>
          <w:b/>
          <w:bCs/>
          <w:szCs w:val="24"/>
        </w:rPr>
        <w:t xml:space="preserve">3 – Reduzir o teor máximo de </w:t>
      </w:r>
      <w:proofErr w:type="spellStart"/>
      <w:r w:rsidRPr="0097001D">
        <w:rPr>
          <w:rFonts w:ascii="Times New Roman" w:hAnsi="Times New Roman"/>
          <w:b/>
          <w:bCs/>
          <w:szCs w:val="24"/>
        </w:rPr>
        <w:t>mono</w:t>
      </w:r>
      <w:r w:rsidR="000E4C24">
        <w:rPr>
          <w:rFonts w:ascii="Times New Roman" w:hAnsi="Times New Roman"/>
          <w:b/>
          <w:bCs/>
          <w:szCs w:val="24"/>
        </w:rPr>
        <w:t>acil</w:t>
      </w:r>
      <w:r w:rsidRPr="0097001D">
        <w:rPr>
          <w:rFonts w:ascii="Times New Roman" w:hAnsi="Times New Roman"/>
          <w:b/>
          <w:bCs/>
          <w:szCs w:val="24"/>
        </w:rPr>
        <w:t>glicer</w:t>
      </w:r>
      <w:r w:rsidR="000E4C24">
        <w:rPr>
          <w:rFonts w:ascii="Times New Roman" w:hAnsi="Times New Roman"/>
          <w:b/>
          <w:bCs/>
          <w:szCs w:val="24"/>
        </w:rPr>
        <w:t>óis</w:t>
      </w:r>
      <w:proofErr w:type="spellEnd"/>
      <w:r w:rsidRPr="0097001D">
        <w:rPr>
          <w:rFonts w:ascii="Times New Roman" w:hAnsi="Times New Roman"/>
          <w:b/>
          <w:bCs/>
          <w:szCs w:val="24"/>
        </w:rPr>
        <w:t xml:space="preserve"> de 0,8 para 0,7% (m/m</w:t>
      </w:r>
      <w:r w:rsidR="005010C8">
        <w:rPr>
          <w:rFonts w:ascii="Times New Roman" w:hAnsi="Times New Roman"/>
          <w:b/>
          <w:bCs/>
          <w:szCs w:val="24"/>
        </w:rPr>
        <w:t>).</w:t>
      </w:r>
    </w:p>
    <w:p w:rsidR="00E46BF3" w:rsidRDefault="00E46BF3" w:rsidP="008F3129">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t>O objetivo é</w:t>
      </w:r>
      <w:r w:rsidRPr="00E46BF3">
        <w:rPr>
          <w:rFonts w:ascii="Times New Roman" w:hAnsi="Times New Roman"/>
          <w:bCs/>
          <w:szCs w:val="24"/>
        </w:rPr>
        <w:t xml:space="preserve"> garantir a </w:t>
      </w:r>
      <w:r w:rsidR="00474C5D">
        <w:rPr>
          <w:rFonts w:ascii="Times New Roman" w:hAnsi="Times New Roman"/>
          <w:bCs/>
          <w:szCs w:val="24"/>
        </w:rPr>
        <w:t xml:space="preserve">manutenção da </w:t>
      </w:r>
      <w:r w:rsidRPr="00E46BF3">
        <w:rPr>
          <w:rFonts w:ascii="Times New Roman" w:hAnsi="Times New Roman"/>
          <w:bCs/>
          <w:szCs w:val="24"/>
        </w:rPr>
        <w:t>qualidade do biodiesel ao longo de seu armazenamento, reduzindo o potencial de formação de depósito, já que monoglicerídeos tendem a se aglomerar, formando compostos insolúveis que acarre</w:t>
      </w:r>
      <w:r>
        <w:rPr>
          <w:rFonts w:ascii="Times New Roman" w:hAnsi="Times New Roman"/>
          <w:bCs/>
          <w:szCs w:val="24"/>
        </w:rPr>
        <w:t xml:space="preserve">tam na formação de precipitados. </w:t>
      </w:r>
    </w:p>
    <w:p w:rsidR="00E46BF3" w:rsidRDefault="00E46BF3" w:rsidP="00E46BF3">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t>Na norma europeia EN 14214 2012</w:t>
      </w:r>
      <w:r w:rsidR="00E24847">
        <w:rPr>
          <w:rFonts w:ascii="Times New Roman" w:hAnsi="Times New Roman"/>
          <w:bCs/>
          <w:szCs w:val="24"/>
        </w:rPr>
        <w:t xml:space="preserve"> o teor máximo de </w:t>
      </w:r>
      <w:proofErr w:type="spellStart"/>
      <w:r w:rsidR="00E24847">
        <w:rPr>
          <w:rFonts w:ascii="Times New Roman" w:hAnsi="Times New Roman"/>
          <w:bCs/>
          <w:szCs w:val="24"/>
        </w:rPr>
        <w:t>mono</w:t>
      </w:r>
      <w:r w:rsidR="000E4C24">
        <w:rPr>
          <w:rFonts w:ascii="Times New Roman" w:hAnsi="Times New Roman"/>
          <w:bCs/>
          <w:szCs w:val="24"/>
        </w:rPr>
        <w:t>acil</w:t>
      </w:r>
      <w:r w:rsidR="00E24847">
        <w:rPr>
          <w:rFonts w:ascii="Times New Roman" w:hAnsi="Times New Roman"/>
          <w:bCs/>
          <w:szCs w:val="24"/>
        </w:rPr>
        <w:t>glicer</w:t>
      </w:r>
      <w:r w:rsidR="000E4C24">
        <w:rPr>
          <w:rFonts w:ascii="Times New Roman" w:hAnsi="Times New Roman"/>
          <w:bCs/>
          <w:szCs w:val="24"/>
        </w:rPr>
        <w:t>óis</w:t>
      </w:r>
      <w:proofErr w:type="spellEnd"/>
      <w:r w:rsidR="00E24847">
        <w:rPr>
          <w:rFonts w:ascii="Times New Roman" w:hAnsi="Times New Roman"/>
          <w:bCs/>
          <w:szCs w:val="24"/>
        </w:rPr>
        <w:t xml:space="preserve"> é de 0</w:t>
      </w:r>
      <w:r w:rsidR="00474C5D">
        <w:rPr>
          <w:rFonts w:ascii="Times New Roman" w:hAnsi="Times New Roman"/>
          <w:bCs/>
          <w:szCs w:val="24"/>
        </w:rPr>
        <w:t>,</w:t>
      </w:r>
      <w:r w:rsidR="00E24847">
        <w:rPr>
          <w:rFonts w:ascii="Times New Roman" w:hAnsi="Times New Roman"/>
          <w:bCs/>
          <w:szCs w:val="24"/>
        </w:rPr>
        <w:t>7% (m/m)</w:t>
      </w:r>
      <w:r>
        <w:rPr>
          <w:rFonts w:ascii="Times New Roman" w:hAnsi="Times New Roman"/>
          <w:bCs/>
          <w:szCs w:val="24"/>
        </w:rPr>
        <w:t xml:space="preserve">, </w:t>
      </w:r>
      <w:r w:rsidR="00E24847">
        <w:rPr>
          <w:rFonts w:ascii="Times New Roman" w:hAnsi="Times New Roman"/>
          <w:bCs/>
          <w:szCs w:val="24"/>
        </w:rPr>
        <w:t xml:space="preserve">na </w:t>
      </w:r>
      <w:r>
        <w:rPr>
          <w:rFonts w:ascii="Times New Roman" w:hAnsi="Times New Roman"/>
          <w:bCs/>
          <w:szCs w:val="24"/>
        </w:rPr>
        <w:t>japonesa JIS K 2390 2008</w:t>
      </w:r>
      <w:r w:rsidR="00E60134">
        <w:rPr>
          <w:rFonts w:ascii="Times New Roman" w:hAnsi="Times New Roman"/>
          <w:bCs/>
          <w:szCs w:val="24"/>
        </w:rPr>
        <w:t xml:space="preserve">, na </w:t>
      </w:r>
      <w:r>
        <w:rPr>
          <w:rFonts w:ascii="Times New Roman" w:hAnsi="Times New Roman"/>
          <w:bCs/>
          <w:szCs w:val="24"/>
        </w:rPr>
        <w:t xml:space="preserve">Resolução argentina </w:t>
      </w:r>
      <w:r w:rsidR="00E60134">
        <w:rPr>
          <w:rFonts w:ascii="Times New Roman" w:hAnsi="Times New Roman"/>
          <w:bCs/>
          <w:szCs w:val="24"/>
        </w:rPr>
        <w:t xml:space="preserve">nº </w:t>
      </w:r>
      <w:r>
        <w:rPr>
          <w:rFonts w:ascii="Times New Roman" w:hAnsi="Times New Roman"/>
          <w:bCs/>
          <w:szCs w:val="24"/>
        </w:rPr>
        <w:t xml:space="preserve">828/2010 </w:t>
      </w:r>
      <w:r w:rsidR="00E24847">
        <w:rPr>
          <w:rFonts w:ascii="Times New Roman" w:hAnsi="Times New Roman"/>
          <w:bCs/>
          <w:szCs w:val="24"/>
        </w:rPr>
        <w:t>esse teor é de 0,8 % e</w:t>
      </w:r>
      <w:r>
        <w:rPr>
          <w:rFonts w:ascii="Times New Roman" w:hAnsi="Times New Roman"/>
          <w:bCs/>
          <w:szCs w:val="24"/>
        </w:rPr>
        <w:t xml:space="preserve"> nos Estados Unidos, de acordo com a recente norma ASTM D 6751 2012, esta característica é ainda mais restritiva, sendo o teor máximo de 0,4 % (m/m).</w:t>
      </w:r>
    </w:p>
    <w:p w:rsidR="00824179" w:rsidRDefault="00E46BF3" w:rsidP="00E46BF3">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703444">
        <w:rPr>
          <w:rFonts w:ascii="Times New Roman" w:hAnsi="Times New Roman"/>
          <w:bCs/>
          <w:szCs w:val="24"/>
        </w:rPr>
        <w:t xml:space="preserve">Para avaliar esta característica no biodiesel produzido pelas usinas em 2013 e 2014, a SBQ </w:t>
      </w:r>
      <w:r w:rsidR="00824179">
        <w:rPr>
          <w:rFonts w:ascii="Times New Roman" w:hAnsi="Times New Roman"/>
          <w:bCs/>
          <w:szCs w:val="24"/>
        </w:rPr>
        <w:t xml:space="preserve">também </w:t>
      </w:r>
      <w:r w:rsidR="00703444">
        <w:rPr>
          <w:rFonts w:ascii="Times New Roman" w:hAnsi="Times New Roman"/>
          <w:bCs/>
          <w:szCs w:val="24"/>
        </w:rPr>
        <w:t>fez um levantamento de maio, junho, julho e dezembro de 2013, além de janeiro e fevereiro de 2014.</w:t>
      </w:r>
    </w:p>
    <w:p w:rsidR="00E24847" w:rsidRPr="00E46BF3" w:rsidRDefault="00824179" w:rsidP="00E24847">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703444">
        <w:rPr>
          <w:rFonts w:ascii="Times New Roman" w:hAnsi="Times New Roman"/>
          <w:bCs/>
          <w:szCs w:val="24"/>
        </w:rPr>
        <w:t xml:space="preserve">Em maio de 2013, </w:t>
      </w:r>
      <w:r w:rsidR="007F2C6F" w:rsidRPr="007F2C6F">
        <w:rPr>
          <w:rFonts w:ascii="Times New Roman" w:hAnsi="Times New Roman"/>
          <w:bCs/>
          <w:szCs w:val="24"/>
        </w:rPr>
        <w:t>88</w:t>
      </w:r>
      <w:r w:rsidR="00703444" w:rsidRPr="007F2C6F">
        <w:rPr>
          <w:rFonts w:ascii="Times New Roman" w:hAnsi="Times New Roman"/>
          <w:bCs/>
          <w:szCs w:val="24"/>
        </w:rPr>
        <w:t>%</w:t>
      </w:r>
      <w:r w:rsidR="00703444">
        <w:rPr>
          <w:rFonts w:ascii="Times New Roman" w:hAnsi="Times New Roman"/>
          <w:bCs/>
          <w:szCs w:val="24"/>
        </w:rPr>
        <w:t xml:space="preserve"> do</w:t>
      </w:r>
      <w:r>
        <w:rPr>
          <w:rFonts w:ascii="Times New Roman" w:hAnsi="Times New Roman"/>
          <w:bCs/>
          <w:szCs w:val="24"/>
        </w:rPr>
        <w:t xml:space="preserve"> volume de</w:t>
      </w:r>
      <w:r w:rsidR="00703444">
        <w:rPr>
          <w:rFonts w:ascii="Times New Roman" w:hAnsi="Times New Roman"/>
          <w:bCs/>
          <w:szCs w:val="24"/>
        </w:rPr>
        <w:t xml:space="preserve"> biodiesel comercializado já </w:t>
      </w:r>
      <w:r w:rsidR="000E4C24">
        <w:rPr>
          <w:rFonts w:ascii="Times New Roman" w:hAnsi="Times New Roman"/>
          <w:bCs/>
          <w:szCs w:val="24"/>
        </w:rPr>
        <w:t>estavam</w:t>
      </w:r>
      <w:r w:rsidR="00703444">
        <w:rPr>
          <w:rFonts w:ascii="Times New Roman" w:hAnsi="Times New Roman"/>
          <w:bCs/>
          <w:szCs w:val="24"/>
        </w:rPr>
        <w:t xml:space="preserve"> sendo produzido</w:t>
      </w:r>
      <w:r w:rsidR="000E4C24">
        <w:rPr>
          <w:rFonts w:ascii="Times New Roman" w:hAnsi="Times New Roman"/>
          <w:bCs/>
          <w:szCs w:val="24"/>
        </w:rPr>
        <w:t>s</w:t>
      </w:r>
      <w:r w:rsidR="00703444">
        <w:rPr>
          <w:rFonts w:ascii="Times New Roman" w:hAnsi="Times New Roman"/>
          <w:bCs/>
          <w:szCs w:val="24"/>
        </w:rPr>
        <w:t xml:space="preserve"> com teor de monoglicerídeos inferior a 0,7%</w:t>
      </w:r>
      <w:r w:rsidR="00A9008C">
        <w:rPr>
          <w:rFonts w:ascii="Times New Roman" w:hAnsi="Times New Roman"/>
          <w:bCs/>
          <w:szCs w:val="24"/>
        </w:rPr>
        <w:t xml:space="preserve"> (m/m)</w:t>
      </w:r>
      <w:r>
        <w:rPr>
          <w:rFonts w:ascii="Times New Roman" w:hAnsi="Times New Roman"/>
          <w:bCs/>
          <w:szCs w:val="24"/>
        </w:rPr>
        <w:t>; em jun</w:t>
      </w:r>
      <w:r w:rsidRPr="00A9008C">
        <w:rPr>
          <w:rFonts w:ascii="Times New Roman" w:hAnsi="Times New Roman"/>
          <w:bCs/>
          <w:szCs w:val="24"/>
        </w:rPr>
        <w:t xml:space="preserve">ho esta porcentagem foi de </w:t>
      </w:r>
      <w:r w:rsidR="007F2C6F" w:rsidRPr="007F2C6F">
        <w:rPr>
          <w:rFonts w:ascii="Times New Roman" w:hAnsi="Times New Roman"/>
          <w:bCs/>
          <w:szCs w:val="24"/>
        </w:rPr>
        <w:t>95</w:t>
      </w:r>
      <w:r w:rsidRPr="007F2C6F">
        <w:rPr>
          <w:rFonts w:ascii="Times New Roman" w:hAnsi="Times New Roman"/>
          <w:bCs/>
          <w:szCs w:val="24"/>
        </w:rPr>
        <w:t>%</w:t>
      </w:r>
      <w:r w:rsidRPr="00A9008C">
        <w:rPr>
          <w:rFonts w:ascii="Times New Roman" w:hAnsi="Times New Roman"/>
          <w:bCs/>
          <w:szCs w:val="24"/>
        </w:rPr>
        <w:t xml:space="preserve">; julho </w:t>
      </w:r>
      <w:r w:rsidR="007F2C6F">
        <w:rPr>
          <w:rFonts w:ascii="Times New Roman" w:hAnsi="Times New Roman"/>
          <w:bCs/>
          <w:szCs w:val="24"/>
        </w:rPr>
        <w:t>81</w:t>
      </w:r>
      <w:r w:rsidRPr="007F2C6F">
        <w:rPr>
          <w:rFonts w:ascii="Times New Roman" w:hAnsi="Times New Roman"/>
          <w:bCs/>
          <w:szCs w:val="24"/>
        </w:rPr>
        <w:t>%</w:t>
      </w:r>
      <w:r w:rsidRPr="00A9008C">
        <w:rPr>
          <w:rFonts w:ascii="Times New Roman" w:hAnsi="Times New Roman"/>
          <w:bCs/>
          <w:szCs w:val="24"/>
        </w:rPr>
        <w:t xml:space="preserve">; dezembro </w:t>
      </w:r>
      <w:r w:rsidR="00A9008C" w:rsidRPr="00A9008C">
        <w:rPr>
          <w:rFonts w:ascii="Times New Roman" w:hAnsi="Times New Roman"/>
          <w:bCs/>
          <w:szCs w:val="24"/>
        </w:rPr>
        <w:t>95</w:t>
      </w:r>
      <w:r w:rsidRPr="00A9008C">
        <w:rPr>
          <w:rFonts w:ascii="Times New Roman" w:hAnsi="Times New Roman"/>
          <w:bCs/>
          <w:szCs w:val="24"/>
        </w:rPr>
        <w:t xml:space="preserve">%. Em 2014, a porcentagem do volume de biodiesel produzido com tal teor inferior a 07% </w:t>
      </w:r>
      <w:r w:rsidR="00A9008C">
        <w:rPr>
          <w:rFonts w:ascii="Times New Roman" w:hAnsi="Times New Roman"/>
          <w:bCs/>
          <w:szCs w:val="24"/>
        </w:rPr>
        <w:t xml:space="preserve">(m/m) </w:t>
      </w:r>
      <w:r w:rsidRPr="00A9008C">
        <w:rPr>
          <w:rFonts w:ascii="Times New Roman" w:hAnsi="Times New Roman"/>
          <w:bCs/>
          <w:szCs w:val="24"/>
        </w:rPr>
        <w:t xml:space="preserve">foi de </w:t>
      </w:r>
      <w:r w:rsidR="00A9008C" w:rsidRPr="00A9008C">
        <w:rPr>
          <w:rFonts w:ascii="Times New Roman" w:hAnsi="Times New Roman"/>
          <w:bCs/>
          <w:szCs w:val="24"/>
        </w:rPr>
        <w:t>81</w:t>
      </w:r>
      <w:r w:rsidRPr="00A9008C">
        <w:rPr>
          <w:rFonts w:ascii="Times New Roman" w:hAnsi="Times New Roman"/>
          <w:bCs/>
          <w:szCs w:val="24"/>
        </w:rPr>
        <w:t xml:space="preserve">% em janeiro e de </w:t>
      </w:r>
      <w:r w:rsidR="00A9008C" w:rsidRPr="00A9008C">
        <w:rPr>
          <w:rFonts w:ascii="Times New Roman" w:hAnsi="Times New Roman"/>
          <w:bCs/>
          <w:szCs w:val="24"/>
        </w:rPr>
        <w:t>82</w:t>
      </w:r>
      <w:r w:rsidRPr="00A9008C">
        <w:rPr>
          <w:rFonts w:ascii="Times New Roman" w:hAnsi="Times New Roman"/>
          <w:bCs/>
          <w:szCs w:val="24"/>
        </w:rPr>
        <w:t>% em fevereiro.</w:t>
      </w:r>
      <w:r>
        <w:rPr>
          <w:rFonts w:ascii="Times New Roman" w:hAnsi="Times New Roman"/>
          <w:bCs/>
          <w:szCs w:val="24"/>
        </w:rPr>
        <w:t xml:space="preserve"> </w:t>
      </w:r>
      <w:r w:rsidR="00E24847">
        <w:rPr>
          <w:rFonts w:ascii="Times New Roman" w:hAnsi="Times New Roman"/>
          <w:bCs/>
          <w:szCs w:val="24"/>
        </w:rPr>
        <w:t xml:space="preserve">Esses números evidenciam que a maior parte dos produtores já atende o que está sendo proposto neste item. </w:t>
      </w:r>
    </w:p>
    <w:p w:rsidR="008F3129" w:rsidRDefault="008F3129" w:rsidP="008F3129">
      <w:pPr>
        <w:tabs>
          <w:tab w:val="left" w:pos="1134"/>
        </w:tabs>
        <w:spacing w:before="120" w:after="120" w:line="276" w:lineRule="auto"/>
        <w:jc w:val="both"/>
        <w:rPr>
          <w:rFonts w:ascii="Times New Roman" w:hAnsi="Times New Roman"/>
          <w:bCs/>
          <w:szCs w:val="24"/>
        </w:rPr>
      </w:pPr>
    </w:p>
    <w:p w:rsidR="008F3129" w:rsidRPr="0097001D" w:rsidRDefault="008F3129" w:rsidP="003D05F3">
      <w:pPr>
        <w:pStyle w:val="PargrafodaLista"/>
        <w:spacing w:line="276" w:lineRule="auto"/>
        <w:ind w:left="0"/>
        <w:jc w:val="both"/>
        <w:rPr>
          <w:rFonts w:ascii="Times New Roman" w:hAnsi="Times New Roman"/>
          <w:b/>
          <w:bCs/>
          <w:szCs w:val="24"/>
        </w:rPr>
      </w:pPr>
      <w:r w:rsidRPr="0097001D">
        <w:rPr>
          <w:rFonts w:ascii="Times New Roman" w:hAnsi="Times New Roman"/>
          <w:b/>
          <w:bCs/>
          <w:szCs w:val="24"/>
        </w:rPr>
        <w:t>5.</w:t>
      </w:r>
      <w:r w:rsidR="0076674E">
        <w:rPr>
          <w:rFonts w:ascii="Times New Roman" w:hAnsi="Times New Roman"/>
          <w:b/>
          <w:bCs/>
          <w:szCs w:val="24"/>
        </w:rPr>
        <w:t>5</w:t>
      </w:r>
      <w:r w:rsidR="0097001D" w:rsidRPr="0097001D">
        <w:rPr>
          <w:rFonts w:ascii="Times New Roman" w:hAnsi="Times New Roman"/>
          <w:b/>
          <w:bCs/>
          <w:szCs w:val="24"/>
        </w:rPr>
        <w:t>.</w:t>
      </w:r>
      <w:r w:rsidRPr="0097001D">
        <w:rPr>
          <w:rFonts w:ascii="Times New Roman" w:hAnsi="Times New Roman"/>
          <w:b/>
          <w:bCs/>
          <w:szCs w:val="24"/>
        </w:rPr>
        <w:t>4 – Remover o parâmetro Resíduo de carbono da especificação do biodiesel.</w:t>
      </w:r>
    </w:p>
    <w:p w:rsidR="00E60134" w:rsidRDefault="008F3129" w:rsidP="008F3129">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4E6B8E">
        <w:rPr>
          <w:rFonts w:ascii="Times New Roman" w:hAnsi="Times New Roman"/>
          <w:bCs/>
          <w:szCs w:val="24"/>
        </w:rPr>
        <w:t xml:space="preserve">A proposta de retirada desta característica da especificação brasileira </w:t>
      </w:r>
      <w:r w:rsidR="00E60134">
        <w:rPr>
          <w:rFonts w:ascii="Times New Roman" w:hAnsi="Times New Roman"/>
          <w:bCs/>
          <w:szCs w:val="24"/>
        </w:rPr>
        <w:t xml:space="preserve">decorre da constatação pela </w:t>
      </w:r>
      <w:r w:rsidR="004E6B8E" w:rsidRPr="008F3129">
        <w:rPr>
          <w:rFonts w:ascii="Times New Roman" w:hAnsi="Times New Roman"/>
          <w:bCs/>
          <w:szCs w:val="24"/>
        </w:rPr>
        <w:t xml:space="preserve">ANP </w:t>
      </w:r>
      <w:r w:rsidR="00E60134">
        <w:rPr>
          <w:rFonts w:ascii="Times New Roman" w:hAnsi="Times New Roman"/>
          <w:bCs/>
          <w:szCs w:val="24"/>
        </w:rPr>
        <w:t xml:space="preserve">de que não há </w:t>
      </w:r>
      <w:r w:rsidR="004E6B8E" w:rsidRPr="008F3129">
        <w:rPr>
          <w:rFonts w:ascii="Times New Roman" w:hAnsi="Times New Roman"/>
          <w:bCs/>
          <w:szCs w:val="24"/>
        </w:rPr>
        <w:t xml:space="preserve">problema relacionado </w:t>
      </w:r>
      <w:proofErr w:type="gramStart"/>
      <w:r w:rsidR="00453ECB">
        <w:rPr>
          <w:rFonts w:ascii="Times New Roman" w:hAnsi="Times New Roman"/>
          <w:bCs/>
          <w:szCs w:val="24"/>
        </w:rPr>
        <w:t>à</w:t>
      </w:r>
      <w:proofErr w:type="gramEnd"/>
      <w:r w:rsidR="004E6B8E" w:rsidRPr="008F3129">
        <w:rPr>
          <w:rFonts w:ascii="Times New Roman" w:hAnsi="Times New Roman"/>
          <w:bCs/>
          <w:szCs w:val="24"/>
        </w:rPr>
        <w:t xml:space="preserve"> não conformidades deste parâmetro no biodiesel comercializado no </w:t>
      </w:r>
      <w:r w:rsidR="004E6B8E">
        <w:rPr>
          <w:rFonts w:ascii="Times New Roman" w:hAnsi="Times New Roman"/>
          <w:bCs/>
          <w:szCs w:val="24"/>
        </w:rPr>
        <w:t>país. Além disso, a metodologia aplicada internacionalmente tem baixa precisão</w:t>
      </w:r>
      <w:r w:rsidR="00E60134">
        <w:rPr>
          <w:rFonts w:ascii="Times New Roman" w:hAnsi="Times New Roman"/>
          <w:bCs/>
          <w:szCs w:val="24"/>
        </w:rPr>
        <w:t>, impedindo uma aferição exata do parâmetro</w:t>
      </w:r>
      <w:r w:rsidR="004E6B8E">
        <w:rPr>
          <w:rFonts w:ascii="Times New Roman" w:hAnsi="Times New Roman"/>
          <w:bCs/>
          <w:szCs w:val="24"/>
        </w:rPr>
        <w:t xml:space="preserve">. </w:t>
      </w:r>
    </w:p>
    <w:p w:rsidR="008F3129" w:rsidRDefault="00E60134" w:rsidP="008F3129">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004E6B8E">
        <w:rPr>
          <w:rFonts w:ascii="Times New Roman" w:hAnsi="Times New Roman"/>
          <w:bCs/>
          <w:szCs w:val="24"/>
        </w:rPr>
        <w:t xml:space="preserve">Por fim, vale comentar que </w:t>
      </w:r>
      <w:r w:rsidR="008F3129">
        <w:rPr>
          <w:rFonts w:ascii="Times New Roman" w:hAnsi="Times New Roman"/>
          <w:bCs/>
          <w:szCs w:val="24"/>
        </w:rPr>
        <w:t xml:space="preserve">este parâmetro </w:t>
      </w:r>
      <w:r>
        <w:rPr>
          <w:rFonts w:ascii="Times New Roman" w:hAnsi="Times New Roman"/>
          <w:bCs/>
          <w:szCs w:val="24"/>
        </w:rPr>
        <w:t>foi excluído da norma europeia EN 14214 2012</w:t>
      </w:r>
      <w:r w:rsidR="008F3129" w:rsidRPr="008F3129">
        <w:rPr>
          <w:rFonts w:ascii="Times New Roman" w:hAnsi="Times New Roman"/>
          <w:bCs/>
          <w:szCs w:val="24"/>
        </w:rPr>
        <w:t xml:space="preserve">. </w:t>
      </w:r>
    </w:p>
    <w:p w:rsidR="008F3129" w:rsidRDefault="008F3129" w:rsidP="008F3129">
      <w:pPr>
        <w:tabs>
          <w:tab w:val="left" w:pos="1134"/>
        </w:tabs>
        <w:spacing w:before="120" w:after="120" w:line="276" w:lineRule="auto"/>
        <w:jc w:val="both"/>
        <w:rPr>
          <w:rFonts w:ascii="Times New Roman" w:hAnsi="Times New Roman"/>
          <w:bCs/>
          <w:szCs w:val="24"/>
        </w:rPr>
      </w:pPr>
    </w:p>
    <w:p w:rsidR="008F3129" w:rsidRDefault="008F3129" w:rsidP="003D05F3">
      <w:pPr>
        <w:pStyle w:val="PargrafodaLista"/>
        <w:spacing w:line="276" w:lineRule="auto"/>
        <w:ind w:left="0"/>
        <w:jc w:val="both"/>
        <w:rPr>
          <w:rFonts w:ascii="Times New Roman" w:hAnsi="Times New Roman"/>
          <w:b/>
          <w:bCs/>
          <w:szCs w:val="24"/>
        </w:rPr>
      </w:pPr>
      <w:r w:rsidRPr="0097001D">
        <w:rPr>
          <w:rFonts w:ascii="Times New Roman" w:hAnsi="Times New Roman"/>
          <w:b/>
          <w:bCs/>
          <w:szCs w:val="24"/>
        </w:rPr>
        <w:t>5.</w:t>
      </w:r>
      <w:r w:rsidR="0076674E">
        <w:rPr>
          <w:rFonts w:ascii="Times New Roman" w:hAnsi="Times New Roman"/>
          <w:b/>
          <w:bCs/>
          <w:szCs w:val="24"/>
        </w:rPr>
        <w:t>5</w:t>
      </w:r>
      <w:r w:rsidR="0097001D" w:rsidRPr="0097001D">
        <w:rPr>
          <w:rFonts w:ascii="Times New Roman" w:hAnsi="Times New Roman"/>
          <w:b/>
          <w:bCs/>
          <w:szCs w:val="24"/>
        </w:rPr>
        <w:t>.</w:t>
      </w:r>
      <w:r w:rsidRPr="0097001D">
        <w:rPr>
          <w:rFonts w:ascii="Times New Roman" w:hAnsi="Times New Roman"/>
          <w:b/>
          <w:bCs/>
          <w:szCs w:val="24"/>
        </w:rPr>
        <w:t>5 – Incluir o método EN 16294 para quantificação do teor de fósforo.</w:t>
      </w:r>
    </w:p>
    <w:p w:rsidR="00F31051" w:rsidRDefault="00F31051" w:rsidP="008F3129">
      <w:pPr>
        <w:tabs>
          <w:tab w:val="left" w:pos="1134"/>
        </w:tabs>
        <w:spacing w:before="120" w:after="120" w:line="276" w:lineRule="auto"/>
        <w:jc w:val="both"/>
        <w:rPr>
          <w:rFonts w:ascii="Times New Roman" w:hAnsi="Times New Roman"/>
          <w:bCs/>
          <w:szCs w:val="24"/>
        </w:rPr>
      </w:pPr>
      <w:r>
        <w:rPr>
          <w:rFonts w:ascii="Times New Roman" w:hAnsi="Times New Roman"/>
          <w:bCs/>
          <w:szCs w:val="24"/>
        </w:rPr>
        <w:tab/>
      </w:r>
      <w:r w:rsidRPr="000E1E8E">
        <w:rPr>
          <w:rFonts w:ascii="Times New Roman" w:hAnsi="Times New Roman"/>
          <w:color w:val="000000"/>
          <w:szCs w:val="24"/>
        </w:rPr>
        <w:t>A norma europeia EN 14214 2012 incluiu o método EN 16294 para quantificação do teor de fósforo no biodiesel. A equipe técnica da ANP do Centro de Pesquisas Tecnológicas – CPT analisou a metodologia e recomendou que a mesma fosse incluída dentre os métodos permitidos para realizar o ensaio desta característica.</w:t>
      </w:r>
    </w:p>
    <w:p w:rsidR="00870639" w:rsidRDefault="000E5CBF" w:rsidP="00015EA9">
      <w:pPr>
        <w:tabs>
          <w:tab w:val="left" w:pos="1134"/>
        </w:tabs>
        <w:spacing w:before="120" w:after="120" w:line="276" w:lineRule="auto"/>
        <w:jc w:val="both"/>
        <w:rPr>
          <w:rFonts w:ascii="Times New Roman" w:hAnsi="Times New Roman"/>
          <w:color w:val="000000"/>
          <w:szCs w:val="24"/>
        </w:rPr>
      </w:pPr>
      <w:r w:rsidRPr="00C33929">
        <w:rPr>
          <w:rFonts w:ascii="Times New Roman" w:hAnsi="Times New Roman"/>
          <w:color w:val="000000"/>
          <w:szCs w:val="24"/>
        </w:rPr>
        <w:tab/>
      </w:r>
    </w:p>
    <w:p w:rsidR="00A021EA" w:rsidRPr="00F46585" w:rsidRDefault="00F46585" w:rsidP="00484214">
      <w:pPr>
        <w:tabs>
          <w:tab w:val="left" w:pos="1134"/>
        </w:tabs>
        <w:spacing w:before="120" w:after="120" w:line="276" w:lineRule="auto"/>
        <w:jc w:val="both"/>
        <w:rPr>
          <w:rFonts w:ascii="Times New Roman" w:hAnsi="Times New Roman"/>
          <w:b/>
          <w:szCs w:val="24"/>
        </w:rPr>
      </w:pPr>
      <w:r w:rsidRPr="00F46585">
        <w:rPr>
          <w:rFonts w:ascii="Times New Roman" w:hAnsi="Times New Roman"/>
          <w:b/>
          <w:szCs w:val="24"/>
        </w:rPr>
        <w:t>6</w:t>
      </w:r>
      <w:r w:rsidR="004670AD" w:rsidRPr="00F46585">
        <w:rPr>
          <w:rFonts w:ascii="Times New Roman" w:hAnsi="Times New Roman"/>
          <w:b/>
          <w:szCs w:val="24"/>
        </w:rPr>
        <w:t>.</w:t>
      </w:r>
      <w:r w:rsidR="004670AD" w:rsidRPr="00F46585">
        <w:rPr>
          <w:rFonts w:ascii="Times New Roman" w:hAnsi="Times New Roman"/>
          <w:b/>
          <w:szCs w:val="24"/>
        </w:rPr>
        <w:tab/>
      </w:r>
      <w:r w:rsidR="00C33929" w:rsidRPr="00484214">
        <w:rPr>
          <w:rFonts w:ascii="Times New Roman" w:hAnsi="Times New Roman"/>
          <w:b/>
          <w:szCs w:val="24"/>
        </w:rPr>
        <w:t>CONCLUSÃ</w:t>
      </w:r>
      <w:r w:rsidR="00B3085C" w:rsidRPr="00484214">
        <w:rPr>
          <w:rFonts w:ascii="Times New Roman" w:hAnsi="Times New Roman"/>
          <w:b/>
          <w:szCs w:val="24"/>
        </w:rPr>
        <w:t>O</w:t>
      </w:r>
    </w:p>
    <w:p w:rsidR="00A9008C" w:rsidRPr="00A9008C" w:rsidRDefault="00A9008C" w:rsidP="00A9008C">
      <w:pPr>
        <w:tabs>
          <w:tab w:val="left" w:pos="1134"/>
        </w:tabs>
        <w:spacing w:before="120" w:after="120" w:line="276" w:lineRule="auto"/>
        <w:jc w:val="both"/>
        <w:rPr>
          <w:rFonts w:ascii="Times New Roman" w:hAnsi="Times New Roman"/>
          <w:bCs/>
          <w:szCs w:val="24"/>
        </w:rPr>
      </w:pPr>
      <w:r w:rsidRPr="00A9008C">
        <w:rPr>
          <w:rFonts w:ascii="Times New Roman" w:hAnsi="Times New Roman"/>
          <w:bCs/>
          <w:szCs w:val="24"/>
        </w:rPr>
        <w:tab/>
      </w:r>
      <w:r w:rsidR="004E6B8E">
        <w:rPr>
          <w:rFonts w:ascii="Times New Roman" w:hAnsi="Times New Roman"/>
          <w:bCs/>
          <w:szCs w:val="24"/>
        </w:rPr>
        <w:t>Esta</w:t>
      </w:r>
      <w:r>
        <w:rPr>
          <w:rFonts w:ascii="Times New Roman" w:hAnsi="Times New Roman"/>
          <w:bCs/>
          <w:szCs w:val="24"/>
        </w:rPr>
        <w:t xml:space="preserve"> alteração da Resolução ANP nº 14/2012</w:t>
      </w:r>
      <w:r w:rsidR="004E6B8E">
        <w:rPr>
          <w:rFonts w:ascii="Times New Roman" w:hAnsi="Times New Roman"/>
          <w:bCs/>
          <w:szCs w:val="24"/>
        </w:rPr>
        <w:t xml:space="preserve"> faz parte </w:t>
      </w:r>
      <w:r w:rsidR="00474C5D">
        <w:rPr>
          <w:rFonts w:ascii="Times New Roman" w:hAnsi="Times New Roman"/>
          <w:bCs/>
          <w:szCs w:val="24"/>
        </w:rPr>
        <w:t>do</w:t>
      </w:r>
      <w:r w:rsidR="004E6B8E">
        <w:rPr>
          <w:rFonts w:ascii="Times New Roman" w:hAnsi="Times New Roman"/>
          <w:bCs/>
          <w:szCs w:val="24"/>
        </w:rPr>
        <w:t xml:space="preserve"> trabalho</w:t>
      </w:r>
      <w:r w:rsidR="00474C5D">
        <w:rPr>
          <w:rFonts w:ascii="Times New Roman" w:hAnsi="Times New Roman"/>
          <w:bCs/>
          <w:szCs w:val="24"/>
        </w:rPr>
        <w:t xml:space="preserve"> constante</w:t>
      </w:r>
      <w:r w:rsidR="004E6B8E">
        <w:rPr>
          <w:rFonts w:ascii="Times New Roman" w:hAnsi="Times New Roman"/>
          <w:bCs/>
          <w:szCs w:val="24"/>
        </w:rPr>
        <w:t xml:space="preserve"> que </w:t>
      </w:r>
      <w:r w:rsidR="00474C5D">
        <w:rPr>
          <w:rFonts w:ascii="Times New Roman" w:hAnsi="Times New Roman"/>
          <w:bCs/>
          <w:szCs w:val="24"/>
        </w:rPr>
        <w:t>est</w:t>
      </w:r>
      <w:r w:rsidR="004E6B8E">
        <w:rPr>
          <w:rFonts w:ascii="Times New Roman" w:hAnsi="Times New Roman"/>
          <w:bCs/>
          <w:szCs w:val="24"/>
        </w:rPr>
        <w:t xml:space="preserve">a Agência </w:t>
      </w:r>
      <w:r w:rsidR="009F1180">
        <w:rPr>
          <w:rFonts w:ascii="Times New Roman" w:hAnsi="Times New Roman"/>
          <w:bCs/>
          <w:szCs w:val="24"/>
        </w:rPr>
        <w:t>realiza no sentido de aprimorar cada vez mais a qualidade do biodiesel comercializado em todo território nacional e, por consequ</w:t>
      </w:r>
      <w:r w:rsidR="009F1180" w:rsidRPr="00A9008C">
        <w:rPr>
          <w:rFonts w:ascii="Times New Roman" w:hAnsi="Times New Roman"/>
          <w:bCs/>
          <w:szCs w:val="24"/>
        </w:rPr>
        <w:t>ência, do Programa Nacional de Produção e Uso de Biodiesel</w:t>
      </w:r>
      <w:r w:rsidR="009F1180">
        <w:rPr>
          <w:rFonts w:ascii="Times New Roman" w:hAnsi="Times New Roman"/>
          <w:bCs/>
          <w:szCs w:val="24"/>
        </w:rPr>
        <w:t xml:space="preserve">, </w:t>
      </w:r>
      <w:r w:rsidR="009F1180">
        <w:rPr>
          <w:rFonts w:ascii="Times New Roman" w:hAnsi="Times New Roman"/>
          <w:bCs/>
          <w:szCs w:val="24"/>
        </w:rPr>
        <w:lastRenderedPageBreak/>
        <w:t>considerando as peculiaridades do nosso mercado no que se refere à infraestrutura de transporte e armazenamento e a extensão geográfica do país</w:t>
      </w:r>
      <w:r w:rsidRPr="00A9008C">
        <w:rPr>
          <w:rFonts w:ascii="Times New Roman" w:hAnsi="Times New Roman"/>
          <w:bCs/>
          <w:szCs w:val="24"/>
        </w:rPr>
        <w:t>.</w:t>
      </w:r>
    </w:p>
    <w:p w:rsidR="00484214" w:rsidRPr="00484214" w:rsidRDefault="00484214" w:rsidP="00484214"/>
    <w:p w:rsidR="00B01ED5" w:rsidRPr="00C33929" w:rsidRDefault="00B01ED5" w:rsidP="00C33929">
      <w:pPr>
        <w:pStyle w:val="Ttulo1"/>
        <w:spacing w:before="120" w:after="120" w:line="23" w:lineRule="atLeast"/>
        <w:rPr>
          <w:rFonts w:ascii="Times New Roman" w:hAnsi="Times New Roman"/>
        </w:rPr>
      </w:pPr>
      <w:r w:rsidRPr="00C33929">
        <w:rPr>
          <w:rFonts w:ascii="Times New Roman" w:hAnsi="Times New Roman"/>
        </w:rPr>
        <w:t>Elaboração:</w:t>
      </w:r>
    </w:p>
    <w:p w:rsidR="004613AF" w:rsidRPr="00C33929" w:rsidRDefault="004613AF" w:rsidP="00C33929">
      <w:pPr>
        <w:pStyle w:val="Ttulo1"/>
        <w:spacing w:before="120" w:after="120" w:line="23" w:lineRule="atLeast"/>
        <w:rPr>
          <w:rFonts w:ascii="Times New Roman" w:hAnsi="Times New Roman"/>
          <w:b w:val="0"/>
        </w:rPr>
      </w:pPr>
      <w:r w:rsidRPr="00C33929">
        <w:rPr>
          <w:rFonts w:ascii="Times New Roman" w:hAnsi="Times New Roman"/>
          <w:b w:val="0"/>
        </w:rPr>
        <w:t>___________________________________</w:t>
      </w:r>
    </w:p>
    <w:p w:rsidR="004613AF" w:rsidRPr="00C33929" w:rsidRDefault="00484214" w:rsidP="00C33929">
      <w:pPr>
        <w:pStyle w:val="Ttulo1"/>
        <w:spacing w:before="120" w:after="120" w:line="23" w:lineRule="atLeast"/>
        <w:rPr>
          <w:rFonts w:ascii="Times New Roman" w:hAnsi="Times New Roman"/>
          <w:b w:val="0"/>
        </w:rPr>
      </w:pPr>
      <w:r>
        <w:rPr>
          <w:rFonts w:ascii="Times New Roman" w:hAnsi="Times New Roman"/>
          <w:b w:val="0"/>
        </w:rPr>
        <w:t>LORENA MENDES DE SOUZA</w:t>
      </w:r>
    </w:p>
    <w:p w:rsidR="004613AF" w:rsidRDefault="004613AF" w:rsidP="00C33929">
      <w:pPr>
        <w:pStyle w:val="Ttulo1"/>
        <w:spacing w:before="120" w:after="120" w:line="23" w:lineRule="atLeast"/>
        <w:rPr>
          <w:rFonts w:ascii="Times New Roman" w:hAnsi="Times New Roman"/>
          <w:b w:val="0"/>
        </w:rPr>
      </w:pPr>
      <w:r w:rsidRPr="00C33929">
        <w:rPr>
          <w:rFonts w:ascii="Times New Roman" w:hAnsi="Times New Roman"/>
          <w:b w:val="0"/>
        </w:rPr>
        <w:t>Especialista em Regulação</w:t>
      </w:r>
    </w:p>
    <w:p w:rsidR="00D0523E" w:rsidRDefault="00D0523E" w:rsidP="00D0523E">
      <w:pPr>
        <w:pStyle w:val="Ttulo1"/>
        <w:spacing w:before="120" w:after="120" w:line="23" w:lineRule="atLeast"/>
        <w:rPr>
          <w:rFonts w:ascii="Times New Roman" w:hAnsi="Times New Roman"/>
        </w:rPr>
      </w:pPr>
    </w:p>
    <w:p w:rsidR="00D0523E" w:rsidRPr="00C33929" w:rsidRDefault="00D0523E" w:rsidP="00D0523E">
      <w:pPr>
        <w:pStyle w:val="Ttulo1"/>
        <w:spacing w:before="120" w:after="120" w:line="23" w:lineRule="atLeast"/>
        <w:rPr>
          <w:rFonts w:ascii="Times New Roman" w:hAnsi="Times New Roman"/>
        </w:rPr>
      </w:pPr>
      <w:r>
        <w:rPr>
          <w:rFonts w:ascii="Times New Roman" w:hAnsi="Times New Roman"/>
        </w:rPr>
        <w:t>Revisão</w:t>
      </w:r>
      <w:r w:rsidRPr="00C33929">
        <w:rPr>
          <w:rFonts w:ascii="Times New Roman" w:hAnsi="Times New Roman"/>
        </w:rPr>
        <w:t>:</w:t>
      </w:r>
    </w:p>
    <w:p w:rsidR="00D0523E" w:rsidRPr="00C33929" w:rsidRDefault="00D0523E" w:rsidP="00D0523E">
      <w:pPr>
        <w:pStyle w:val="Ttulo1"/>
        <w:spacing w:before="120" w:after="120" w:line="23" w:lineRule="atLeast"/>
        <w:rPr>
          <w:rFonts w:ascii="Times New Roman" w:hAnsi="Times New Roman"/>
          <w:b w:val="0"/>
        </w:rPr>
      </w:pPr>
      <w:r w:rsidRPr="00C33929">
        <w:rPr>
          <w:rFonts w:ascii="Times New Roman" w:hAnsi="Times New Roman"/>
          <w:b w:val="0"/>
        </w:rPr>
        <w:t>___________________________________</w:t>
      </w:r>
    </w:p>
    <w:p w:rsidR="00D0523E" w:rsidRPr="00C33929" w:rsidRDefault="00D0523E" w:rsidP="00D0523E">
      <w:pPr>
        <w:pStyle w:val="Ttulo1"/>
        <w:spacing w:before="120" w:after="120" w:line="23" w:lineRule="atLeast"/>
        <w:rPr>
          <w:rFonts w:ascii="Times New Roman" w:hAnsi="Times New Roman"/>
          <w:b w:val="0"/>
        </w:rPr>
      </w:pPr>
      <w:r>
        <w:rPr>
          <w:rFonts w:ascii="Times New Roman" w:hAnsi="Times New Roman"/>
          <w:b w:val="0"/>
        </w:rPr>
        <w:t>JACKSON DA SILVA ALBUQUERQUE</w:t>
      </w:r>
    </w:p>
    <w:p w:rsidR="00D0523E" w:rsidRDefault="00D0523E" w:rsidP="00D0523E">
      <w:pPr>
        <w:pStyle w:val="Ttulo1"/>
        <w:spacing w:before="120" w:after="120" w:line="23" w:lineRule="atLeast"/>
        <w:rPr>
          <w:rFonts w:ascii="Times New Roman" w:hAnsi="Times New Roman"/>
          <w:b w:val="0"/>
        </w:rPr>
      </w:pPr>
      <w:r>
        <w:rPr>
          <w:rFonts w:ascii="Times New Roman" w:hAnsi="Times New Roman"/>
          <w:b w:val="0"/>
        </w:rPr>
        <w:t>Coordenador da Coordenação de Regulação de Produtos</w:t>
      </w:r>
    </w:p>
    <w:p w:rsidR="00484214" w:rsidRPr="00484214" w:rsidRDefault="00484214" w:rsidP="00484214"/>
    <w:p w:rsidR="00AD1292" w:rsidRPr="00C33929" w:rsidRDefault="00AD1292" w:rsidP="00C33929">
      <w:pPr>
        <w:pStyle w:val="Ttulo1"/>
        <w:spacing w:before="120" w:after="120" w:line="23" w:lineRule="atLeast"/>
        <w:rPr>
          <w:rFonts w:ascii="Times New Roman" w:hAnsi="Times New Roman"/>
        </w:rPr>
      </w:pPr>
      <w:r w:rsidRPr="00C33929">
        <w:rPr>
          <w:rFonts w:ascii="Times New Roman" w:hAnsi="Times New Roman"/>
        </w:rPr>
        <w:t>Aprovação:</w:t>
      </w:r>
    </w:p>
    <w:p w:rsidR="00AD1292" w:rsidRPr="00C33929" w:rsidRDefault="00AD1292" w:rsidP="00C33929">
      <w:pPr>
        <w:pStyle w:val="Ttulo1"/>
        <w:spacing w:before="120" w:after="120" w:line="23" w:lineRule="atLeast"/>
        <w:rPr>
          <w:rFonts w:ascii="Times New Roman" w:hAnsi="Times New Roman"/>
          <w:b w:val="0"/>
        </w:rPr>
      </w:pPr>
      <w:r w:rsidRPr="00C33929">
        <w:rPr>
          <w:rFonts w:ascii="Times New Roman" w:hAnsi="Times New Roman"/>
          <w:b w:val="0"/>
        </w:rPr>
        <w:t>___________________________________</w:t>
      </w:r>
    </w:p>
    <w:p w:rsidR="00B915F6" w:rsidRPr="00C33929" w:rsidRDefault="00B915F6" w:rsidP="00B915F6">
      <w:pPr>
        <w:spacing w:before="120" w:after="120" w:line="23" w:lineRule="atLeast"/>
        <w:rPr>
          <w:rFonts w:ascii="Times New Roman" w:hAnsi="Times New Roman"/>
        </w:rPr>
      </w:pPr>
      <w:r w:rsidRPr="00C33929">
        <w:rPr>
          <w:rFonts w:ascii="Times New Roman" w:hAnsi="Times New Roman"/>
        </w:rPr>
        <w:t>ROSÂNGELA MOREIRA DE ARAÚJO</w:t>
      </w:r>
    </w:p>
    <w:p w:rsidR="00B915F6" w:rsidRPr="00AD1292" w:rsidRDefault="00B915F6" w:rsidP="00B915F6">
      <w:pPr>
        <w:spacing w:before="120" w:after="120" w:line="23" w:lineRule="atLeast"/>
        <w:rPr>
          <w:rFonts w:ascii="Times New Roman" w:hAnsi="Times New Roman"/>
          <w:b/>
        </w:rPr>
      </w:pPr>
      <w:r w:rsidRPr="00C33929">
        <w:rPr>
          <w:rFonts w:ascii="Times New Roman" w:hAnsi="Times New Roman"/>
        </w:rPr>
        <w:t>Superintendente de Biocombustíveis e Qualidade de Produtos</w:t>
      </w:r>
    </w:p>
    <w:p w:rsidR="00AD1292" w:rsidRPr="00AD1292" w:rsidRDefault="00AD1292" w:rsidP="00B915F6">
      <w:pPr>
        <w:pStyle w:val="Ttulo1"/>
        <w:spacing w:before="120" w:after="120" w:line="23" w:lineRule="atLeast"/>
        <w:rPr>
          <w:rFonts w:ascii="Times New Roman" w:hAnsi="Times New Roman"/>
          <w:b w:val="0"/>
        </w:rPr>
      </w:pPr>
    </w:p>
    <w:sectPr w:rsidR="00AD1292" w:rsidRPr="00AD1292" w:rsidSect="00EE1C49">
      <w:headerReference w:type="first" r:id="rId11"/>
      <w:type w:val="continuous"/>
      <w:pgSz w:w="11907" w:h="16840" w:code="9"/>
      <w:pgMar w:top="2410" w:right="851" w:bottom="1134" w:left="1418" w:header="0" w:footer="68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EE3" w:rsidRDefault="00D35EE3">
      <w:r>
        <w:separator/>
      </w:r>
    </w:p>
  </w:endnote>
  <w:endnote w:type="continuationSeparator" w:id="0">
    <w:p w:rsidR="00D35EE3" w:rsidRDefault="00D35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EE3" w:rsidRDefault="00D35EE3">
      <w:r>
        <w:separator/>
      </w:r>
    </w:p>
  </w:footnote>
  <w:footnote w:type="continuationSeparator" w:id="0">
    <w:p w:rsidR="00D35EE3" w:rsidRDefault="00D35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EE3" w:rsidRDefault="00D35EE3">
    <w:pPr>
      <w:pStyle w:val="Cabealho"/>
      <w:rPr>
        <w:noProof/>
      </w:rPr>
    </w:pPr>
  </w:p>
  <w:p w:rsidR="00D35EE3" w:rsidRDefault="00D35EE3">
    <w:pPr>
      <w:pStyle w:val="Cabealho"/>
      <w:rPr>
        <w:noProof/>
      </w:rPr>
    </w:pPr>
    <w:r>
      <w:rPr>
        <w:noProof/>
      </w:rPr>
      <w:t xml:space="preserve">          </w:t>
    </w:r>
  </w:p>
  <w:p w:rsidR="00D35EE3" w:rsidRDefault="00CD3879" w:rsidP="005F6E68">
    <w:pPr>
      <w:pStyle w:val="Cabealho"/>
      <w:tabs>
        <w:tab w:val="left" w:pos="851"/>
      </w:tabs>
    </w:pPr>
    <w:r>
      <w:rPr>
        <w:noProof/>
      </w:rPr>
      <w:pict>
        <v:shapetype id="_x0000_t202" coordsize="21600,21600" o:spt="202" path="m,l,21600r21600,l21600,xe">
          <v:stroke joinstyle="miter"/>
          <v:path gradientshapeok="t" o:connecttype="rect"/>
        </v:shapetype>
        <v:shape id="_x0000_s9217" type="#_x0000_t202" style="position:absolute;margin-left:78.9pt;margin-top:15.5pt;width:410.05pt;height:68.4pt;z-index:251657728;mso-height-percent:200;mso-height-percent:200;mso-width-relative:margin;mso-height-relative:margin" stroked="f">
          <v:textbox style="mso-next-textbox:#_x0000_s9217;mso-fit-shape-to-text:t">
            <w:txbxContent>
              <w:p w:rsidR="00D35EE3" w:rsidRPr="005F6E68" w:rsidRDefault="00D35EE3" w:rsidP="005F6E68">
                <w:pPr>
                  <w:rPr>
                    <w:rFonts w:ascii="Times New Roman" w:hAnsi="Times New Roman"/>
                    <w:b/>
                    <w:szCs w:val="24"/>
                  </w:rPr>
                </w:pPr>
                <w:r w:rsidRPr="005F6E68">
                  <w:rPr>
                    <w:rFonts w:ascii="Times New Roman" w:hAnsi="Times New Roman"/>
                    <w:b/>
                    <w:szCs w:val="24"/>
                  </w:rPr>
                  <w:t xml:space="preserve">Agência Nacional do Petróleo, Gás </w:t>
                </w:r>
                <w:proofErr w:type="gramStart"/>
                <w:r w:rsidRPr="005F6E68">
                  <w:rPr>
                    <w:rFonts w:ascii="Times New Roman" w:hAnsi="Times New Roman"/>
                    <w:b/>
                    <w:szCs w:val="24"/>
                  </w:rPr>
                  <w:t>Natural e Biocombustíveis</w:t>
                </w:r>
                <w:proofErr w:type="gramEnd"/>
              </w:p>
              <w:p w:rsidR="00D35EE3" w:rsidRPr="005F6E68" w:rsidRDefault="00D35EE3" w:rsidP="005F6E68">
                <w:pPr>
                  <w:rPr>
                    <w:rFonts w:ascii="Times New Roman" w:hAnsi="Times New Roman"/>
                    <w:b/>
                    <w:szCs w:val="24"/>
                  </w:rPr>
                </w:pPr>
                <w:r w:rsidRPr="005F6E68">
                  <w:rPr>
                    <w:rFonts w:ascii="Times New Roman" w:hAnsi="Times New Roman"/>
                    <w:b/>
                    <w:szCs w:val="24"/>
                  </w:rPr>
                  <w:t>Superintendência de Biocombustíveis e de Qualidade de Produtos</w:t>
                </w:r>
              </w:p>
              <w:p w:rsidR="00D35EE3" w:rsidRPr="005F6E68" w:rsidRDefault="00D35EE3" w:rsidP="005F6E68">
                <w:pPr>
                  <w:pStyle w:val="Corpodetexto2"/>
                  <w:spacing w:line="240" w:lineRule="auto"/>
                  <w:rPr>
                    <w:b/>
                    <w:sz w:val="24"/>
                    <w:szCs w:val="24"/>
                  </w:rPr>
                </w:pPr>
                <w:r w:rsidRPr="005F6E68">
                  <w:rPr>
                    <w:b/>
                    <w:bCs/>
                    <w:sz w:val="24"/>
                    <w:szCs w:val="24"/>
                  </w:rPr>
                  <w:t>Coordenação de Regulação da Qualidade de Produtos</w:t>
                </w:r>
              </w:p>
              <w:p w:rsidR="00D35EE3" w:rsidRPr="003927AE" w:rsidRDefault="00D35EE3" w:rsidP="005F6E68">
                <w:pPr>
                  <w:rPr>
                    <w:szCs w:val="24"/>
                  </w:rPr>
                </w:pPr>
              </w:p>
            </w:txbxContent>
          </v:textbox>
        </v:shape>
      </w:pict>
    </w:r>
    <w:r w:rsidR="00D35EE3">
      <w:rPr>
        <w:noProof/>
      </w:rPr>
      <w:drawing>
        <wp:inline distT="0" distB="0" distL="0" distR="0">
          <wp:extent cx="716280" cy="1302385"/>
          <wp:effectExtent l="19050" t="0" r="7620" b="0"/>
          <wp:docPr id="1" name="Imagem 1" descr="logo_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anp"/>
                  <pic:cNvPicPr>
                    <a:picLocks noChangeAspect="1" noChangeArrowheads="1"/>
                  </pic:cNvPicPr>
                </pic:nvPicPr>
                <pic:blipFill>
                  <a:blip r:embed="rId1"/>
                  <a:srcRect/>
                  <a:stretch>
                    <a:fillRect/>
                  </a:stretch>
                </pic:blipFill>
                <pic:spPr bwMode="auto">
                  <a:xfrm>
                    <a:off x="0" y="0"/>
                    <a:ext cx="716280" cy="13023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141"/>
    <w:multiLevelType w:val="hybridMultilevel"/>
    <w:tmpl w:val="05EA1FF4"/>
    <w:lvl w:ilvl="0" w:tplc="5502B21A">
      <w:start w:val="1"/>
      <w:numFmt w:val="decimal"/>
      <w:lvlText w:val="%1."/>
      <w:lvlJc w:val="left"/>
      <w:pPr>
        <w:ind w:left="786" w:hanging="360"/>
      </w:pPr>
      <w:rPr>
        <w:sz w:val="24"/>
        <w:szCs w:val="24"/>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3003A13"/>
    <w:multiLevelType w:val="hybridMultilevel"/>
    <w:tmpl w:val="E5AA293C"/>
    <w:lvl w:ilvl="0" w:tplc="5B4CF554">
      <w:start w:val="1"/>
      <w:numFmt w:val="lowerLetter"/>
      <w:lvlText w:val="%1)"/>
      <w:lvlJc w:val="left"/>
      <w:pPr>
        <w:ind w:left="1440" w:hanging="360"/>
      </w:pPr>
      <w:rPr>
        <w:rFonts w:ascii="Times New Roman" w:eastAsia="Times New Roman" w:hAnsi="Times New Roman" w:cs="Times New Roman"/>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35F0EAD"/>
    <w:multiLevelType w:val="hybridMultilevel"/>
    <w:tmpl w:val="52B2C6D8"/>
    <w:lvl w:ilvl="0" w:tplc="E3885DF0">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nsid w:val="0BF0378E"/>
    <w:multiLevelType w:val="singleLevel"/>
    <w:tmpl w:val="F9561668"/>
    <w:lvl w:ilvl="0">
      <w:start w:val="2"/>
      <w:numFmt w:val="decimal"/>
      <w:lvlText w:val="%1."/>
      <w:lvlJc w:val="left"/>
      <w:pPr>
        <w:tabs>
          <w:tab w:val="num" w:pos="360"/>
        </w:tabs>
        <w:ind w:left="0" w:firstLine="0"/>
      </w:pPr>
    </w:lvl>
  </w:abstractNum>
  <w:abstractNum w:abstractNumId="4">
    <w:nsid w:val="1C8C4E10"/>
    <w:multiLevelType w:val="multilevel"/>
    <w:tmpl w:val="E1D8E16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C0549A"/>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C15E12"/>
    <w:multiLevelType w:val="hybridMultilevel"/>
    <w:tmpl w:val="4B4E7A1C"/>
    <w:lvl w:ilvl="0" w:tplc="E876823E">
      <w:start w:val="1"/>
      <w:numFmt w:val="bullet"/>
      <w:lvlText w:val=""/>
      <w:lvlJc w:val="left"/>
      <w:pPr>
        <w:tabs>
          <w:tab w:val="num" w:pos="720"/>
        </w:tabs>
        <w:ind w:left="720" w:hanging="360"/>
      </w:pPr>
      <w:rPr>
        <w:rFonts w:ascii="Wingdings" w:hAnsi="Wingdings" w:hint="default"/>
      </w:rPr>
    </w:lvl>
    <w:lvl w:ilvl="1" w:tplc="E970EC64" w:tentative="1">
      <w:start w:val="1"/>
      <w:numFmt w:val="bullet"/>
      <w:lvlText w:val=""/>
      <w:lvlJc w:val="left"/>
      <w:pPr>
        <w:tabs>
          <w:tab w:val="num" w:pos="1440"/>
        </w:tabs>
        <w:ind w:left="1440" w:hanging="360"/>
      </w:pPr>
      <w:rPr>
        <w:rFonts w:ascii="Wingdings" w:hAnsi="Wingdings" w:hint="default"/>
      </w:rPr>
    </w:lvl>
    <w:lvl w:ilvl="2" w:tplc="535C6364" w:tentative="1">
      <w:start w:val="1"/>
      <w:numFmt w:val="bullet"/>
      <w:lvlText w:val=""/>
      <w:lvlJc w:val="left"/>
      <w:pPr>
        <w:tabs>
          <w:tab w:val="num" w:pos="2160"/>
        </w:tabs>
        <w:ind w:left="2160" w:hanging="360"/>
      </w:pPr>
      <w:rPr>
        <w:rFonts w:ascii="Wingdings" w:hAnsi="Wingdings" w:hint="default"/>
      </w:rPr>
    </w:lvl>
    <w:lvl w:ilvl="3" w:tplc="7E9CA6F6" w:tentative="1">
      <w:start w:val="1"/>
      <w:numFmt w:val="bullet"/>
      <w:lvlText w:val=""/>
      <w:lvlJc w:val="left"/>
      <w:pPr>
        <w:tabs>
          <w:tab w:val="num" w:pos="2880"/>
        </w:tabs>
        <w:ind w:left="2880" w:hanging="360"/>
      </w:pPr>
      <w:rPr>
        <w:rFonts w:ascii="Wingdings" w:hAnsi="Wingdings" w:hint="default"/>
      </w:rPr>
    </w:lvl>
    <w:lvl w:ilvl="4" w:tplc="D7C2BBD2" w:tentative="1">
      <w:start w:val="1"/>
      <w:numFmt w:val="bullet"/>
      <w:lvlText w:val=""/>
      <w:lvlJc w:val="left"/>
      <w:pPr>
        <w:tabs>
          <w:tab w:val="num" w:pos="3600"/>
        </w:tabs>
        <w:ind w:left="3600" w:hanging="360"/>
      </w:pPr>
      <w:rPr>
        <w:rFonts w:ascii="Wingdings" w:hAnsi="Wingdings" w:hint="default"/>
      </w:rPr>
    </w:lvl>
    <w:lvl w:ilvl="5" w:tplc="FA08A754" w:tentative="1">
      <w:start w:val="1"/>
      <w:numFmt w:val="bullet"/>
      <w:lvlText w:val=""/>
      <w:lvlJc w:val="left"/>
      <w:pPr>
        <w:tabs>
          <w:tab w:val="num" w:pos="4320"/>
        </w:tabs>
        <w:ind w:left="4320" w:hanging="360"/>
      </w:pPr>
      <w:rPr>
        <w:rFonts w:ascii="Wingdings" w:hAnsi="Wingdings" w:hint="default"/>
      </w:rPr>
    </w:lvl>
    <w:lvl w:ilvl="6" w:tplc="B6CC5100" w:tentative="1">
      <w:start w:val="1"/>
      <w:numFmt w:val="bullet"/>
      <w:lvlText w:val=""/>
      <w:lvlJc w:val="left"/>
      <w:pPr>
        <w:tabs>
          <w:tab w:val="num" w:pos="5040"/>
        </w:tabs>
        <w:ind w:left="5040" w:hanging="360"/>
      </w:pPr>
      <w:rPr>
        <w:rFonts w:ascii="Wingdings" w:hAnsi="Wingdings" w:hint="default"/>
      </w:rPr>
    </w:lvl>
    <w:lvl w:ilvl="7" w:tplc="F670E1BE" w:tentative="1">
      <w:start w:val="1"/>
      <w:numFmt w:val="bullet"/>
      <w:lvlText w:val=""/>
      <w:lvlJc w:val="left"/>
      <w:pPr>
        <w:tabs>
          <w:tab w:val="num" w:pos="5760"/>
        </w:tabs>
        <w:ind w:left="5760" w:hanging="360"/>
      </w:pPr>
      <w:rPr>
        <w:rFonts w:ascii="Wingdings" w:hAnsi="Wingdings" w:hint="default"/>
      </w:rPr>
    </w:lvl>
    <w:lvl w:ilvl="8" w:tplc="C6A40196" w:tentative="1">
      <w:start w:val="1"/>
      <w:numFmt w:val="bullet"/>
      <w:lvlText w:val=""/>
      <w:lvlJc w:val="left"/>
      <w:pPr>
        <w:tabs>
          <w:tab w:val="num" w:pos="6480"/>
        </w:tabs>
        <w:ind w:left="6480" w:hanging="360"/>
      </w:pPr>
      <w:rPr>
        <w:rFonts w:ascii="Wingdings" w:hAnsi="Wingdings" w:hint="default"/>
      </w:rPr>
    </w:lvl>
  </w:abstractNum>
  <w:abstractNum w:abstractNumId="7">
    <w:nsid w:val="36260B27"/>
    <w:multiLevelType w:val="hybridMultilevel"/>
    <w:tmpl w:val="ED9C2C9A"/>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86E041C"/>
    <w:multiLevelType w:val="hybridMultilevel"/>
    <w:tmpl w:val="63E26506"/>
    <w:lvl w:ilvl="0" w:tplc="D80A8D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F682A32"/>
    <w:multiLevelType w:val="hybridMultilevel"/>
    <w:tmpl w:val="5E86D01A"/>
    <w:lvl w:ilvl="0" w:tplc="08F01E6C">
      <w:start w:val="2"/>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33664D"/>
    <w:multiLevelType w:val="hybridMultilevel"/>
    <w:tmpl w:val="AAF63BC8"/>
    <w:lvl w:ilvl="0" w:tplc="04160001">
      <w:start w:val="1"/>
      <w:numFmt w:val="bullet"/>
      <w:lvlText w:val=""/>
      <w:lvlJc w:val="left"/>
      <w:pPr>
        <w:ind w:left="1509" w:hanging="360"/>
      </w:pPr>
      <w:rPr>
        <w:rFonts w:ascii="Symbol" w:hAnsi="Symbol" w:hint="default"/>
      </w:rPr>
    </w:lvl>
    <w:lvl w:ilvl="1" w:tplc="04160003" w:tentative="1">
      <w:start w:val="1"/>
      <w:numFmt w:val="bullet"/>
      <w:lvlText w:val="o"/>
      <w:lvlJc w:val="left"/>
      <w:pPr>
        <w:ind w:left="2229" w:hanging="360"/>
      </w:pPr>
      <w:rPr>
        <w:rFonts w:ascii="Courier New" w:hAnsi="Courier New" w:cs="Courier New" w:hint="default"/>
      </w:rPr>
    </w:lvl>
    <w:lvl w:ilvl="2" w:tplc="04160005" w:tentative="1">
      <w:start w:val="1"/>
      <w:numFmt w:val="bullet"/>
      <w:lvlText w:val=""/>
      <w:lvlJc w:val="left"/>
      <w:pPr>
        <w:ind w:left="2949" w:hanging="360"/>
      </w:pPr>
      <w:rPr>
        <w:rFonts w:ascii="Wingdings" w:hAnsi="Wingdings" w:hint="default"/>
      </w:rPr>
    </w:lvl>
    <w:lvl w:ilvl="3" w:tplc="04160001" w:tentative="1">
      <w:start w:val="1"/>
      <w:numFmt w:val="bullet"/>
      <w:lvlText w:val=""/>
      <w:lvlJc w:val="left"/>
      <w:pPr>
        <w:ind w:left="3669" w:hanging="360"/>
      </w:pPr>
      <w:rPr>
        <w:rFonts w:ascii="Symbol" w:hAnsi="Symbol" w:hint="default"/>
      </w:rPr>
    </w:lvl>
    <w:lvl w:ilvl="4" w:tplc="04160003" w:tentative="1">
      <w:start w:val="1"/>
      <w:numFmt w:val="bullet"/>
      <w:lvlText w:val="o"/>
      <w:lvlJc w:val="left"/>
      <w:pPr>
        <w:ind w:left="4389" w:hanging="360"/>
      </w:pPr>
      <w:rPr>
        <w:rFonts w:ascii="Courier New" w:hAnsi="Courier New" w:cs="Courier New" w:hint="default"/>
      </w:rPr>
    </w:lvl>
    <w:lvl w:ilvl="5" w:tplc="04160005" w:tentative="1">
      <w:start w:val="1"/>
      <w:numFmt w:val="bullet"/>
      <w:lvlText w:val=""/>
      <w:lvlJc w:val="left"/>
      <w:pPr>
        <w:ind w:left="5109" w:hanging="360"/>
      </w:pPr>
      <w:rPr>
        <w:rFonts w:ascii="Wingdings" w:hAnsi="Wingdings" w:hint="default"/>
      </w:rPr>
    </w:lvl>
    <w:lvl w:ilvl="6" w:tplc="04160001" w:tentative="1">
      <w:start w:val="1"/>
      <w:numFmt w:val="bullet"/>
      <w:lvlText w:val=""/>
      <w:lvlJc w:val="left"/>
      <w:pPr>
        <w:ind w:left="5829" w:hanging="360"/>
      </w:pPr>
      <w:rPr>
        <w:rFonts w:ascii="Symbol" w:hAnsi="Symbol" w:hint="default"/>
      </w:rPr>
    </w:lvl>
    <w:lvl w:ilvl="7" w:tplc="04160003" w:tentative="1">
      <w:start w:val="1"/>
      <w:numFmt w:val="bullet"/>
      <w:lvlText w:val="o"/>
      <w:lvlJc w:val="left"/>
      <w:pPr>
        <w:ind w:left="6549" w:hanging="360"/>
      </w:pPr>
      <w:rPr>
        <w:rFonts w:ascii="Courier New" w:hAnsi="Courier New" w:cs="Courier New" w:hint="default"/>
      </w:rPr>
    </w:lvl>
    <w:lvl w:ilvl="8" w:tplc="04160005" w:tentative="1">
      <w:start w:val="1"/>
      <w:numFmt w:val="bullet"/>
      <w:lvlText w:val=""/>
      <w:lvlJc w:val="left"/>
      <w:pPr>
        <w:ind w:left="7269" w:hanging="360"/>
      </w:pPr>
      <w:rPr>
        <w:rFonts w:ascii="Wingdings" w:hAnsi="Wingdings" w:hint="default"/>
      </w:rPr>
    </w:lvl>
  </w:abstractNum>
  <w:abstractNum w:abstractNumId="11">
    <w:nsid w:val="44A246A1"/>
    <w:multiLevelType w:val="singleLevel"/>
    <w:tmpl w:val="B34ACD3E"/>
    <w:lvl w:ilvl="0">
      <w:start w:val="1"/>
      <w:numFmt w:val="decimal"/>
      <w:pStyle w:val="Normalnumerado"/>
      <w:lvlText w:val="%1."/>
      <w:lvlJc w:val="left"/>
      <w:pPr>
        <w:tabs>
          <w:tab w:val="num" w:pos="705"/>
        </w:tabs>
        <w:ind w:left="705" w:hanging="705"/>
      </w:pPr>
      <w:rPr>
        <w:rFonts w:hint="default"/>
      </w:rPr>
    </w:lvl>
  </w:abstractNum>
  <w:abstractNum w:abstractNumId="12">
    <w:nsid w:val="44FD51D1"/>
    <w:multiLevelType w:val="singleLevel"/>
    <w:tmpl w:val="91329222"/>
    <w:lvl w:ilvl="0">
      <w:start w:val="1"/>
      <w:numFmt w:val="decimal"/>
      <w:lvlText w:val="%1."/>
      <w:lvlJc w:val="left"/>
      <w:pPr>
        <w:tabs>
          <w:tab w:val="num" w:pos="1418"/>
        </w:tabs>
        <w:ind w:left="1418" w:hanging="1418"/>
      </w:pPr>
      <w:rPr>
        <w:spacing w:val="46"/>
      </w:rPr>
    </w:lvl>
  </w:abstractNum>
  <w:abstractNum w:abstractNumId="13">
    <w:nsid w:val="52210A29"/>
    <w:multiLevelType w:val="singleLevel"/>
    <w:tmpl w:val="0416000F"/>
    <w:lvl w:ilvl="0">
      <w:start w:val="1"/>
      <w:numFmt w:val="decimal"/>
      <w:lvlText w:val="%1."/>
      <w:lvlJc w:val="left"/>
      <w:pPr>
        <w:tabs>
          <w:tab w:val="num" w:pos="360"/>
        </w:tabs>
        <w:ind w:left="360" w:hanging="360"/>
      </w:pPr>
    </w:lvl>
  </w:abstractNum>
  <w:abstractNum w:abstractNumId="14">
    <w:nsid w:val="5D640CEB"/>
    <w:multiLevelType w:val="singleLevel"/>
    <w:tmpl w:val="0416000F"/>
    <w:lvl w:ilvl="0">
      <w:start w:val="1"/>
      <w:numFmt w:val="decimal"/>
      <w:lvlText w:val="%1."/>
      <w:lvlJc w:val="left"/>
      <w:pPr>
        <w:tabs>
          <w:tab w:val="num" w:pos="360"/>
        </w:tabs>
        <w:ind w:left="360" w:hanging="360"/>
      </w:pPr>
    </w:lvl>
  </w:abstractNum>
  <w:abstractNum w:abstractNumId="15">
    <w:nsid w:val="65872B1D"/>
    <w:multiLevelType w:val="hybridMultilevel"/>
    <w:tmpl w:val="701C403A"/>
    <w:lvl w:ilvl="0" w:tplc="164008A8">
      <w:start w:val="1"/>
      <w:numFmt w:val="decimal"/>
      <w:lvlText w:val="%1."/>
      <w:lvlJc w:val="left"/>
      <w:pPr>
        <w:ind w:left="1500" w:hanging="11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75A3C93"/>
    <w:multiLevelType w:val="hybridMultilevel"/>
    <w:tmpl w:val="AB8CA89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F4E599C"/>
    <w:multiLevelType w:val="singleLevel"/>
    <w:tmpl w:val="04160019"/>
    <w:lvl w:ilvl="0">
      <w:start w:val="1"/>
      <w:numFmt w:val="lowerLetter"/>
      <w:lvlText w:val="(%1)"/>
      <w:lvlJc w:val="left"/>
      <w:pPr>
        <w:tabs>
          <w:tab w:val="num" w:pos="360"/>
        </w:tabs>
        <w:ind w:left="360" w:hanging="360"/>
      </w:pPr>
    </w:lvl>
  </w:abstractNum>
  <w:num w:numId="1">
    <w:abstractNumId w:val="3"/>
  </w:num>
  <w:num w:numId="2">
    <w:abstractNumId w:val="17"/>
  </w:num>
  <w:num w:numId="3">
    <w:abstractNumId w:val="14"/>
  </w:num>
  <w:num w:numId="4">
    <w:abstractNumId w:val="13"/>
  </w:num>
  <w:num w:numId="5">
    <w:abstractNumId w:val="1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16"/>
  </w:num>
  <w:num w:numId="10">
    <w:abstractNumId w:val="5"/>
  </w:num>
  <w:num w:numId="11">
    <w:abstractNumId w:val="2"/>
  </w:num>
  <w:num w:numId="12">
    <w:abstractNumId w:val="8"/>
  </w:num>
  <w:num w:numId="13">
    <w:abstractNumId w:val="1"/>
  </w:num>
  <w:num w:numId="14">
    <w:abstractNumId w:val="9"/>
  </w:num>
  <w:num w:numId="15">
    <w:abstractNumId w:val="15"/>
  </w:num>
  <w:num w:numId="16">
    <w:abstractNumId w:val="4"/>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9">
      <o:colormenu v:ext="edit" strokecolor="none"/>
    </o:shapedefaults>
    <o:shapelayout v:ext="edit">
      <o:idmap v:ext="edit" data="9"/>
    </o:shapelayout>
  </w:hdrShapeDefaults>
  <w:footnotePr>
    <w:footnote w:id="-1"/>
    <w:footnote w:id="0"/>
  </w:footnotePr>
  <w:endnotePr>
    <w:endnote w:id="-1"/>
    <w:endnote w:id="0"/>
  </w:endnotePr>
  <w:compat/>
  <w:rsids>
    <w:rsidRoot w:val="0033191A"/>
    <w:rsid w:val="00000DFD"/>
    <w:rsid w:val="000059C6"/>
    <w:rsid w:val="000077CC"/>
    <w:rsid w:val="000078E7"/>
    <w:rsid w:val="00007A2D"/>
    <w:rsid w:val="00007C03"/>
    <w:rsid w:val="00010BD1"/>
    <w:rsid w:val="0001196C"/>
    <w:rsid w:val="00015EA9"/>
    <w:rsid w:val="000172A9"/>
    <w:rsid w:val="00022DA1"/>
    <w:rsid w:val="00024F16"/>
    <w:rsid w:val="00030B79"/>
    <w:rsid w:val="00032492"/>
    <w:rsid w:val="000339C6"/>
    <w:rsid w:val="000342F9"/>
    <w:rsid w:val="000351DA"/>
    <w:rsid w:val="00041727"/>
    <w:rsid w:val="00044456"/>
    <w:rsid w:val="000455AC"/>
    <w:rsid w:val="00046F45"/>
    <w:rsid w:val="0004759A"/>
    <w:rsid w:val="00047B6A"/>
    <w:rsid w:val="000517C4"/>
    <w:rsid w:val="00052DDC"/>
    <w:rsid w:val="00054E20"/>
    <w:rsid w:val="0006465B"/>
    <w:rsid w:val="000670BF"/>
    <w:rsid w:val="00067EA8"/>
    <w:rsid w:val="000736B0"/>
    <w:rsid w:val="000759A5"/>
    <w:rsid w:val="00076D47"/>
    <w:rsid w:val="00077D0A"/>
    <w:rsid w:val="000834D7"/>
    <w:rsid w:val="000841C1"/>
    <w:rsid w:val="000844E8"/>
    <w:rsid w:val="00097E06"/>
    <w:rsid w:val="000A2AA9"/>
    <w:rsid w:val="000A3D1B"/>
    <w:rsid w:val="000A4605"/>
    <w:rsid w:val="000A585E"/>
    <w:rsid w:val="000A63FD"/>
    <w:rsid w:val="000B11D7"/>
    <w:rsid w:val="000B1912"/>
    <w:rsid w:val="000B421E"/>
    <w:rsid w:val="000B6730"/>
    <w:rsid w:val="000B6791"/>
    <w:rsid w:val="000C43D4"/>
    <w:rsid w:val="000C4826"/>
    <w:rsid w:val="000D0B26"/>
    <w:rsid w:val="000D2565"/>
    <w:rsid w:val="000D25EC"/>
    <w:rsid w:val="000D268E"/>
    <w:rsid w:val="000E0BC9"/>
    <w:rsid w:val="000E1E8E"/>
    <w:rsid w:val="000E4C24"/>
    <w:rsid w:val="000E5CBF"/>
    <w:rsid w:val="000E736B"/>
    <w:rsid w:val="000F035C"/>
    <w:rsid w:val="000F1591"/>
    <w:rsid w:val="000F2761"/>
    <w:rsid w:val="000F642E"/>
    <w:rsid w:val="0010303C"/>
    <w:rsid w:val="00103980"/>
    <w:rsid w:val="00103BA5"/>
    <w:rsid w:val="001107FF"/>
    <w:rsid w:val="001110D2"/>
    <w:rsid w:val="00113CA2"/>
    <w:rsid w:val="00113F84"/>
    <w:rsid w:val="001141D8"/>
    <w:rsid w:val="00116963"/>
    <w:rsid w:val="0012105F"/>
    <w:rsid w:val="001233C8"/>
    <w:rsid w:val="00125DFC"/>
    <w:rsid w:val="00125E0A"/>
    <w:rsid w:val="0012672D"/>
    <w:rsid w:val="001301EF"/>
    <w:rsid w:val="00131F7C"/>
    <w:rsid w:val="0013470F"/>
    <w:rsid w:val="00135BC4"/>
    <w:rsid w:val="00136D29"/>
    <w:rsid w:val="00137030"/>
    <w:rsid w:val="00140132"/>
    <w:rsid w:val="001428B0"/>
    <w:rsid w:val="00142C31"/>
    <w:rsid w:val="00145E30"/>
    <w:rsid w:val="001574F1"/>
    <w:rsid w:val="00163258"/>
    <w:rsid w:val="00163C06"/>
    <w:rsid w:val="001657A8"/>
    <w:rsid w:val="00170C33"/>
    <w:rsid w:val="0017430A"/>
    <w:rsid w:val="00181CC2"/>
    <w:rsid w:val="00187C07"/>
    <w:rsid w:val="00192C37"/>
    <w:rsid w:val="001A56F2"/>
    <w:rsid w:val="001A63C4"/>
    <w:rsid w:val="001A7F55"/>
    <w:rsid w:val="001B23B2"/>
    <w:rsid w:val="001B55F8"/>
    <w:rsid w:val="001B6846"/>
    <w:rsid w:val="001C2298"/>
    <w:rsid w:val="001D0245"/>
    <w:rsid w:val="001D1501"/>
    <w:rsid w:val="001D1B02"/>
    <w:rsid w:val="001D1EDF"/>
    <w:rsid w:val="001E051C"/>
    <w:rsid w:val="001E2AA3"/>
    <w:rsid w:val="001E4DBA"/>
    <w:rsid w:val="001E7FEA"/>
    <w:rsid w:val="001F5761"/>
    <w:rsid w:val="00204237"/>
    <w:rsid w:val="002044D1"/>
    <w:rsid w:val="00206D0B"/>
    <w:rsid w:val="00207D4F"/>
    <w:rsid w:val="002105CF"/>
    <w:rsid w:val="00214516"/>
    <w:rsid w:val="0021639D"/>
    <w:rsid w:val="002164D0"/>
    <w:rsid w:val="00216EB0"/>
    <w:rsid w:val="0022140B"/>
    <w:rsid w:val="00222CDE"/>
    <w:rsid w:val="00223BD2"/>
    <w:rsid w:val="002248EB"/>
    <w:rsid w:val="002251EC"/>
    <w:rsid w:val="00235B07"/>
    <w:rsid w:val="00240021"/>
    <w:rsid w:val="00240B41"/>
    <w:rsid w:val="00240D65"/>
    <w:rsid w:val="002417CA"/>
    <w:rsid w:val="00244EF8"/>
    <w:rsid w:val="002461FE"/>
    <w:rsid w:val="00253E2A"/>
    <w:rsid w:val="0025767C"/>
    <w:rsid w:val="00262104"/>
    <w:rsid w:val="002658E8"/>
    <w:rsid w:val="00266A49"/>
    <w:rsid w:val="0027102A"/>
    <w:rsid w:val="0027552B"/>
    <w:rsid w:val="00282B26"/>
    <w:rsid w:val="002875BA"/>
    <w:rsid w:val="002876DE"/>
    <w:rsid w:val="00290AB5"/>
    <w:rsid w:val="00292D94"/>
    <w:rsid w:val="002A0381"/>
    <w:rsid w:val="002A0EAE"/>
    <w:rsid w:val="002A57C7"/>
    <w:rsid w:val="002B1D95"/>
    <w:rsid w:val="002B20BB"/>
    <w:rsid w:val="002B69E7"/>
    <w:rsid w:val="002C5143"/>
    <w:rsid w:val="002C5DDF"/>
    <w:rsid w:val="002D1657"/>
    <w:rsid w:val="002D1D28"/>
    <w:rsid w:val="002D34DC"/>
    <w:rsid w:val="002E11D4"/>
    <w:rsid w:val="002E1D83"/>
    <w:rsid w:val="002E2BBF"/>
    <w:rsid w:val="002E64F1"/>
    <w:rsid w:val="002F0D33"/>
    <w:rsid w:val="002F1366"/>
    <w:rsid w:val="002F14E1"/>
    <w:rsid w:val="002F7D39"/>
    <w:rsid w:val="00300936"/>
    <w:rsid w:val="00301235"/>
    <w:rsid w:val="00303403"/>
    <w:rsid w:val="003039C1"/>
    <w:rsid w:val="00304759"/>
    <w:rsid w:val="00310633"/>
    <w:rsid w:val="0031243E"/>
    <w:rsid w:val="00322E42"/>
    <w:rsid w:val="00325C72"/>
    <w:rsid w:val="0033191A"/>
    <w:rsid w:val="003358C4"/>
    <w:rsid w:val="00336FC3"/>
    <w:rsid w:val="00340F5F"/>
    <w:rsid w:val="003442A1"/>
    <w:rsid w:val="00347CCF"/>
    <w:rsid w:val="0035291B"/>
    <w:rsid w:val="0035740B"/>
    <w:rsid w:val="003603AC"/>
    <w:rsid w:val="00363031"/>
    <w:rsid w:val="003634F4"/>
    <w:rsid w:val="00363D96"/>
    <w:rsid w:val="00374D43"/>
    <w:rsid w:val="00375663"/>
    <w:rsid w:val="00382D7C"/>
    <w:rsid w:val="003840B4"/>
    <w:rsid w:val="00384EC6"/>
    <w:rsid w:val="00390EBE"/>
    <w:rsid w:val="003A16D0"/>
    <w:rsid w:val="003A52D1"/>
    <w:rsid w:val="003A7A43"/>
    <w:rsid w:val="003B0543"/>
    <w:rsid w:val="003B3ADA"/>
    <w:rsid w:val="003B4BFA"/>
    <w:rsid w:val="003B741D"/>
    <w:rsid w:val="003C163D"/>
    <w:rsid w:val="003C486E"/>
    <w:rsid w:val="003C56EA"/>
    <w:rsid w:val="003C57BC"/>
    <w:rsid w:val="003D05F3"/>
    <w:rsid w:val="003D16AB"/>
    <w:rsid w:val="003D2E00"/>
    <w:rsid w:val="003D424F"/>
    <w:rsid w:val="003D519F"/>
    <w:rsid w:val="003E1037"/>
    <w:rsid w:val="003E24C9"/>
    <w:rsid w:val="003E5547"/>
    <w:rsid w:val="003E58EE"/>
    <w:rsid w:val="003F0DF9"/>
    <w:rsid w:val="003F2626"/>
    <w:rsid w:val="003F3539"/>
    <w:rsid w:val="003F3C50"/>
    <w:rsid w:val="003F5A64"/>
    <w:rsid w:val="0040203A"/>
    <w:rsid w:val="00402160"/>
    <w:rsid w:val="00402ACA"/>
    <w:rsid w:val="004037FC"/>
    <w:rsid w:val="00404B8A"/>
    <w:rsid w:val="00404C7B"/>
    <w:rsid w:val="00405D5B"/>
    <w:rsid w:val="0040614D"/>
    <w:rsid w:val="004118BE"/>
    <w:rsid w:val="0041243E"/>
    <w:rsid w:val="004129AB"/>
    <w:rsid w:val="00412F7B"/>
    <w:rsid w:val="00413EF7"/>
    <w:rsid w:val="00414367"/>
    <w:rsid w:val="00415609"/>
    <w:rsid w:val="004220D8"/>
    <w:rsid w:val="0042255E"/>
    <w:rsid w:val="00423222"/>
    <w:rsid w:val="0042791C"/>
    <w:rsid w:val="00427C16"/>
    <w:rsid w:val="004310B4"/>
    <w:rsid w:val="00436FE0"/>
    <w:rsid w:val="00441C26"/>
    <w:rsid w:val="00444F36"/>
    <w:rsid w:val="004501F5"/>
    <w:rsid w:val="00453ECB"/>
    <w:rsid w:val="00455831"/>
    <w:rsid w:val="004613AF"/>
    <w:rsid w:val="004635D7"/>
    <w:rsid w:val="004667D2"/>
    <w:rsid w:val="004670AD"/>
    <w:rsid w:val="00470C62"/>
    <w:rsid w:val="00472253"/>
    <w:rsid w:val="004735E0"/>
    <w:rsid w:val="00473B95"/>
    <w:rsid w:val="00474C5D"/>
    <w:rsid w:val="00480E15"/>
    <w:rsid w:val="004838B7"/>
    <w:rsid w:val="00484214"/>
    <w:rsid w:val="0048441E"/>
    <w:rsid w:val="00491A79"/>
    <w:rsid w:val="00494EB8"/>
    <w:rsid w:val="00495501"/>
    <w:rsid w:val="00496295"/>
    <w:rsid w:val="004A0C21"/>
    <w:rsid w:val="004A1761"/>
    <w:rsid w:val="004A1DA2"/>
    <w:rsid w:val="004A475F"/>
    <w:rsid w:val="004B656B"/>
    <w:rsid w:val="004B7F22"/>
    <w:rsid w:val="004C083F"/>
    <w:rsid w:val="004C3EEB"/>
    <w:rsid w:val="004C5DEB"/>
    <w:rsid w:val="004D17BA"/>
    <w:rsid w:val="004D2125"/>
    <w:rsid w:val="004D2239"/>
    <w:rsid w:val="004D260A"/>
    <w:rsid w:val="004D5CF5"/>
    <w:rsid w:val="004D7271"/>
    <w:rsid w:val="004E05BD"/>
    <w:rsid w:val="004E0C27"/>
    <w:rsid w:val="004E11AD"/>
    <w:rsid w:val="004E2B08"/>
    <w:rsid w:val="004E3090"/>
    <w:rsid w:val="004E5033"/>
    <w:rsid w:val="004E5BAF"/>
    <w:rsid w:val="004E6B8E"/>
    <w:rsid w:val="004F0C78"/>
    <w:rsid w:val="004F296C"/>
    <w:rsid w:val="005000A8"/>
    <w:rsid w:val="00500418"/>
    <w:rsid w:val="005005AF"/>
    <w:rsid w:val="005010C8"/>
    <w:rsid w:val="0051094D"/>
    <w:rsid w:val="00510A55"/>
    <w:rsid w:val="00510BB4"/>
    <w:rsid w:val="00517285"/>
    <w:rsid w:val="00521CC6"/>
    <w:rsid w:val="00524068"/>
    <w:rsid w:val="00526A1E"/>
    <w:rsid w:val="0052776C"/>
    <w:rsid w:val="00531CA6"/>
    <w:rsid w:val="005327AA"/>
    <w:rsid w:val="00533A4D"/>
    <w:rsid w:val="005344D4"/>
    <w:rsid w:val="00536E23"/>
    <w:rsid w:val="00537622"/>
    <w:rsid w:val="0054280A"/>
    <w:rsid w:val="005428DE"/>
    <w:rsid w:val="005446F4"/>
    <w:rsid w:val="0054602C"/>
    <w:rsid w:val="0054617B"/>
    <w:rsid w:val="00550F91"/>
    <w:rsid w:val="00551671"/>
    <w:rsid w:val="005532F9"/>
    <w:rsid w:val="00553C93"/>
    <w:rsid w:val="00554E68"/>
    <w:rsid w:val="00555ECE"/>
    <w:rsid w:val="005566D3"/>
    <w:rsid w:val="00556DFE"/>
    <w:rsid w:val="005578FF"/>
    <w:rsid w:val="00562D06"/>
    <w:rsid w:val="00564AD2"/>
    <w:rsid w:val="00564C7E"/>
    <w:rsid w:val="0056540F"/>
    <w:rsid w:val="00567330"/>
    <w:rsid w:val="00570114"/>
    <w:rsid w:val="0057195D"/>
    <w:rsid w:val="00577912"/>
    <w:rsid w:val="00582B5C"/>
    <w:rsid w:val="00584BCA"/>
    <w:rsid w:val="005854F7"/>
    <w:rsid w:val="00590B2F"/>
    <w:rsid w:val="00590DEC"/>
    <w:rsid w:val="00591F31"/>
    <w:rsid w:val="005928C7"/>
    <w:rsid w:val="00592B9F"/>
    <w:rsid w:val="00596970"/>
    <w:rsid w:val="005A7F3F"/>
    <w:rsid w:val="005B1D11"/>
    <w:rsid w:val="005B23F0"/>
    <w:rsid w:val="005B2558"/>
    <w:rsid w:val="005B477B"/>
    <w:rsid w:val="005B668E"/>
    <w:rsid w:val="005C6030"/>
    <w:rsid w:val="005D0DC8"/>
    <w:rsid w:val="005D5BB4"/>
    <w:rsid w:val="005E05D9"/>
    <w:rsid w:val="005E2E35"/>
    <w:rsid w:val="005E5549"/>
    <w:rsid w:val="005E76D5"/>
    <w:rsid w:val="005E7767"/>
    <w:rsid w:val="005F0F18"/>
    <w:rsid w:val="005F6086"/>
    <w:rsid w:val="005F6E68"/>
    <w:rsid w:val="005F77BD"/>
    <w:rsid w:val="00606108"/>
    <w:rsid w:val="0061025E"/>
    <w:rsid w:val="00615821"/>
    <w:rsid w:val="00627241"/>
    <w:rsid w:val="00627DED"/>
    <w:rsid w:val="006307E6"/>
    <w:rsid w:val="006310C2"/>
    <w:rsid w:val="00632E0F"/>
    <w:rsid w:val="00633ACE"/>
    <w:rsid w:val="00635510"/>
    <w:rsid w:val="00635BCC"/>
    <w:rsid w:val="006374D4"/>
    <w:rsid w:val="00641045"/>
    <w:rsid w:val="00641AD9"/>
    <w:rsid w:val="00641FBA"/>
    <w:rsid w:val="006432C5"/>
    <w:rsid w:val="006436F9"/>
    <w:rsid w:val="00651C41"/>
    <w:rsid w:val="00657CA8"/>
    <w:rsid w:val="00663FA7"/>
    <w:rsid w:val="00670547"/>
    <w:rsid w:val="00672004"/>
    <w:rsid w:val="00674AFD"/>
    <w:rsid w:val="006805DC"/>
    <w:rsid w:val="00681DF7"/>
    <w:rsid w:val="006933EE"/>
    <w:rsid w:val="006958B8"/>
    <w:rsid w:val="00696391"/>
    <w:rsid w:val="00697CF2"/>
    <w:rsid w:val="006A4B3C"/>
    <w:rsid w:val="006A7375"/>
    <w:rsid w:val="006B0AA6"/>
    <w:rsid w:val="006B42D9"/>
    <w:rsid w:val="006B5B91"/>
    <w:rsid w:val="006C0F0B"/>
    <w:rsid w:val="006C1898"/>
    <w:rsid w:val="006C3991"/>
    <w:rsid w:val="006C5034"/>
    <w:rsid w:val="006C6E28"/>
    <w:rsid w:val="006D029D"/>
    <w:rsid w:val="006D0545"/>
    <w:rsid w:val="006D4B90"/>
    <w:rsid w:val="006D5822"/>
    <w:rsid w:val="006D6DC1"/>
    <w:rsid w:val="006E0D56"/>
    <w:rsid w:val="006E1327"/>
    <w:rsid w:val="006E506D"/>
    <w:rsid w:val="006E61A7"/>
    <w:rsid w:val="006F2809"/>
    <w:rsid w:val="006F53F7"/>
    <w:rsid w:val="006F6805"/>
    <w:rsid w:val="006F7620"/>
    <w:rsid w:val="007020C6"/>
    <w:rsid w:val="00702F76"/>
    <w:rsid w:val="00703392"/>
    <w:rsid w:val="00703444"/>
    <w:rsid w:val="00703881"/>
    <w:rsid w:val="00704D8C"/>
    <w:rsid w:val="007114A0"/>
    <w:rsid w:val="0071345A"/>
    <w:rsid w:val="00713531"/>
    <w:rsid w:val="0071385A"/>
    <w:rsid w:val="0072192D"/>
    <w:rsid w:val="007221FF"/>
    <w:rsid w:val="007242AA"/>
    <w:rsid w:val="007262D5"/>
    <w:rsid w:val="00726FDC"/>
    <w:rsid w:val="0073152E"/>
    <w:rsid w:val="00734D0D"/>
    <w:rsid w:val="00736E20"/>
    <w:rsid w:val="00741A9D"/>
    <w:rsid w:val="0074221A"/>
    <w:rsid w:val="00743042"/>
    <w:rsid w:val="00743982"/>
    <w:rsid w:val="0075051F"/>
    <w:rsid w:val="007548D5"/>
    <w:rsid w:val="00754C18"/>
    <w:rsid w:val="00765703"/>
    <w:rsid w:val="007664BA"/>
    <w:rsid w:val="0076674E"/>
    <w:rsid w:val="00770011"/>
    <w:rsid w:val="007712DE"/>
    <w:rsid w:val="007718BD"/>
    <w:rsid w:val="00772441"/>
    <w:rsid w:val="007747E0"/>
    <w:rsid w:val="00781011"/>
    <w:rsid w:val="0079017D"/>
    <w:rsid w:val="00793973"/>
    <w:rsid w:val="00796F1B"/>
    <w:rsid w:val="00797BF6"/>
    <w:rsid w:val="007A148A"/>
    <w:rsid w:val="007A203C"/>
    <w:rsid w:val="007A379A"/>
    <w:rsid w:val="007A5F2D"/>
    <w:rsid w:val="007A789B"/>
    <w:rsid w:val="007B0551"/>
    <w:rsid w:val="007B3CDA"/>
    <w:rsid w:val="007B3F73"/>
    <w:rsid w:val="007B4347"/>
    <w:rsid w:val="007B4A1B"/>
    <w:rsid w:val="007B507D"/>
    <w:rsid w:val="007C0A8F"/>
    <w:rsid w:val="007C3951"/>
    <w:rsid w:val="007C5977"/>
    <w:rsid w:val="007D7481"/>
    <w:rsid w:val="007E4B17"/>
    <w:rsid w:val="007F046B"/>
    <w:rsid w:val="007F2C6F"/>
    <w:rsid w:val="00800341"/>
    <w:rsid w:val="00802394"/>
    <w:rsid w:val="0080283B"/>
    <w:rsid w:val="0080351A"/>
    <w:rsid w:val="00806EC3"/>
    <w:rsid w:val="008128D6"/>
    <w:rsid w:val="00813DAC"/>
    <w:rsid w:val="00820966"/>
    <w:rsid w:val="00820AC7"/>
    <w:rsid w:val="00822EDF"/>
    <w:rsid w:val="00824179"/>
    <w:rsid w:val="00830177"/>
    <w:rsid w:val="00834204"/>
    <w:rsid w:val="00837F5F"/>
    <w:rsid w:val="00840198"/>
    <w:rsid w:val="00843B05"/>
    <w:rsid w:val="00845367"/>
    <w:rsid w:val="0084677A"/>
    <w:rsid w:val="00846888"/>
    <w:rsid w:val="008477D1"/>
    <w:rsid w:val="00847806"/>
    <w:rsid w:val="0085287E"/>
    <w:rsid w:val="008533E8"/>
    <w:rsid w:val="00854C65"/>
    <w:rsid w:val="00861344"/>
    <w:rsid w:val="00862196"/>
    <w:rsid w:val="008659A1"/>
    <w:rsid w:val="00866F2D"/>
    <w:rsid w:val="00867805"/>
    <w:rsid w:val="00870639"/>
    <w:rsid w:val="008739E6"/>
    <w:rsid w:val="00873D6E"/>
    <w:rsid w:val="00874047"/>
    <w:rsid w:val="00874C0F"/>
    <w:rsid w:val="00876820"/>
    <w:rsid w:val="0087788E"/>
    <w:rsid w:val="0088173F"/>
    <w:rsid w:val="0088546B"/>
    <w:rsid w:val="008858D8"/>
    <w:rsid w:val="00885B0E"/>
    <w:rsid w:val="00886885"/>
    <w:rsid w:val="0089168E"/>
    <w:rsid w:val="0089205A"/>
    <w:rsid w:val="00892CAE"/>
    <w:rsid w:val="00894E5E"/>
    <w:rsid w:val="00897B0E"/>
    <w:rsid w:val="008A29F4"/>
    <w:rsid w:val="008A4470"/>
    <w:rsid w:val="008A509D"/>
    <w:rsid w:val="008A5580"/>
    <w:rsid w:val="008A58E5"/>
    <w:rsid w:val="008A5A0E"/>
    <w:rsid w:val="008A773B"/>
    <w:rsid w:val="008B0ADD"/>
    <w:rsid w:val="008B0BFB"/>
    <w:rsid w:val="008B1F95"/>
    <w:rsid w:val="008B527C"/>
    <w:rsid w:val="008B543A"/>
    <w:rsid w:val="008B5957"/>
    <w:rsid w:val="008C4F13"/>
    <w:rsid w:val="008C6C2F"/>
    <w:rsid w:val="008C7DC3"/>
    <w:rsid w:val="008D17C4"/>
    <w:rsid w:val="008D1CA3"/>
    <w:rsid w:val="008D240B"/>
    <w:rsid w:val="008D2B50"/>
    <w:rsid w:val="008D3E3B"/>
    <w:rsid w:val="008D504A"/>
    <w:rsid w:val="008D557E"/>
    <w:rsid w:val="008D5A3B"/>
    <w:rsid w:val="008E0066"/>
    <w:rsid w:val="008E0749"/>
    <w:rsid w:val="008F3129"/>
    <w:rsid w:val="008F600B"/>
    <w:rsid w:val="00902E6A"/>
    <w:rsid w:val="00903EB3"/>
    <w:rsid w:val="009075CA"/>
    <w:rsid w:val="00907699"/>
    <w:rsid w:val="00910C11"/>
    <w:rsid w:val="009148A3"/>
    <w:rsid w:val="009226D6"/>
    <w:rsid w:val="00923DEF"/>
    <w:rsid w:val="009248B0"/>
    <w:rsid w:val="00926315"/>
    <w:rsid w:val="00943706"/>
    <w:rsid w:val="00944218"/>
    <w:rsid w:val="00945133"/>
    <w:rsid w:val="0094689F"/>
    <w:rsid w:val="00947398"/>
    <w:rsid w:val="00953E6C"/>
    <w:rsid w:val="00962D3E"/>
    <w:rsid w:val="009645E2"/>
    <w:rsid w:val="00967C88"/>
    <w:rsid w:val="00967EC1"/>
    <w:rsid w:val="0097001D"/>
    <w:rsid w:val="00972B05"/>
    <w:rsid w:val="009733CF"/>
    <w:rsid w:val="00977628"/>
    <w:rsid w:val="00977FEE"/>
    <w:rsid w:val="00984565"/>
    <w:rsid w:val="009905C3"/>
    <w:rsid w:val="00994C38"/>
    <w:rsid w:val="009A0EFD"/>
    <w:rsid w:val="009A4846"/>
    <w:rsid w:val="009A5770"/>
    <w:rsid w:val="009A6882"/>
    <w:rsid w:val="009A7790"/>
    <w:rsid w:val="009A7D8A"/>
    <w:rsid w:val="009B0C65"/>
    <w:rsid w:val="009B7108"/>
    <w:rsid w:val="009B7C53"/>
    <w:rsid w:val="009C107C"/>
    <w:rsid w:val="009C19F3"/>
    <w:rsid w:val="009C2260"/>
    <w:rsid w:val="009C3249"/>
    <w:rsid w:val="009C523D"/>
    <w:rsid w:val="009D08F4"/>
    <w:rsid w:val="009D0AE8"/>
    <w:rsid w:val="009D3038"/>
    <w:rsid w:val="009F1180"/>
    <w:rsid w:val="009F3596"/>
    <w:rsid w:val="009F42F6"/>
    <w:rsid w:val="00A021EA"/>
    <w:rsid w:val="00A02C2E"/>
    <w:rsid w:val="00A03D6F"/>
    <w:rsid w:val="00A07949"/>
    <w:rsid w:val="00A11FFF"/>
    <w:rsid w:val="00A12000"/>
    <w:rsid w:val="00A1429F"/>
    <w:rsid w:val="00A15321"/>
    <w:rsid w:val="00A15CF5"/>
    <w:rsid w:val="00A15E7F"/>
    <w:rsid w:val="00A2356E"/>
    <w:rsid w:val="00A23E1C"/>
    <w:rsid w:val="00A26E0A"/>
    <w:rsid w:val="00A309A4"/>
    <w:rsid w:val="00A3713A"/>
    <w:rsid w:val="00A40A7C"/>
    <w:rsid w:val="00A40B22"/>
    <w:rsid w:val="00A4514A"/>
    <w:rsid w:val="00A465B2"/>
    <w:rsid w:val="00A4780D"/>
    <w:rsid w:val="00A4791F"/>
    <w:rsid w:val="00A47B63"/>
    <w:rsid w:val="00A47CF2"/>
    <w:rsid w:val="00A54520"/>
    <w:rsid w:val="00A54A47"/>
    <w:rsid w:val="00A5559D"/>
    <w:rsid w:val="00A56E0D"/>
    <w:rsid w:val="00A56F6B"/>
    <w:rsid w:val="00A62501"/>
    <w:rsid w:val="00A63365"/>
    <w:rsid w:val="00A63D12"/>
    <w:rsid w:val="00A671F0"/>
    <w:rsid w:val="00A67262"/>
    <w:rsid w:val="00A70736"/>
    <w:rsid w:val="00A72422"/>
    <w:rsid w:val="00A806BA"/>
    <w:rsid w:val="00A8156C"/>
    <w:rsid w:val="00A86DFE"/>
    <w:rsid w:val="00A9008C"/>
    <w:rsid w:val="00A909A9"/>
    <w:rsid w:val="00A9182C"/>
    <w:rsid w:val="00A936ED"/>
    <w:rsid w:val="00A9516E"/>
    <w:rsid w:val="00AA0967"/>
    <w:rsid w:val="00AA0F17"/>
    <w:rsid w:val="00AA26B7"/>
    <w:rsid w:val="00AA3140"/>
    <w:rsid w:val="00AA501E"/>
    <w:rsid w:val="00AA608B"/>
    <w:rsid w:val="00AB3D1D"/>
    <w:rsid w:val="00AB4D01"/>
    <w:rsid w:val="00AC1AAC"/>
    <w:rsid w:val="00AC3865"/>
    <w:rsid w:val="00AC5022"/>
    <w:rsid w:val="00AC53E1"/>
    <w:rsid w:val="00AD1292"/>
    <w:rsid w:val="00AD1520"/>
    <w:rsid w:val="00AD75A1"/>
    <w:rsid w:val="00AE279C"/>
    <w:rsid w:val="00AE3F02"/>
    <w:rsid w:val="00AF496E"/>
    <w:rsid w:val="00B00704"/>
    <w:rsid w:val="00B0106B"/>
    <w:rsid w:val="00B01ED5"/>
    <w:rsid w:val="00B033B6"/>
    <w:rsid w:val="00B05877"/>
    <w:rsid w:val="00B123A9"/>
    <w:rsid w:val="00B17031"/>
    <w:rsid w:val="00B1733B"/>
    <w:rsid w:val="00B17800"/>
    <w:rsid w:val="00B221BE"/>
    <w:rsid w:val="00B238C7"/>
    <w:rsid w:val="00B26371"/>
    <w:rsid w:val="00B3085C"/>
    <w:rsid w:val="00B323F0"/>
    <w:rsid w:val="00B34842"/>
    <w:rsid w:val="00B36245"/>
    <w:rsid w:val="00B40E64"/>
    <w:rsid w:val="00B418EF"/>
    <w:rsid w:val="00B42C48"/>
    <w:rsid w:val="00B43A31"/>
    <w:rsid w:val="00B453C6"/>
    <w:rsid w:val="00B454C5"/>
    <w:rsid w:val="00B4624F"/>
    <w:rsid w:val="00B50626"/>
    <w:rsid w:val="00B51D53"/>
    <w:rsid w:val="00B5260D"/>
    <w:rsid w:val="00B52DA4"/>
    <w:rsid w:val="00B537DB"/>
    <w:rsid w:val="00B54A0B"/>
    <w:rsid w:val="00B64FE7"/>
    <w:rsid w:val="00B70EE3"/>
    <w:rsid w:val="00B87BC0"/>
    <w:rsid w:val="00B90221"/>
    <w:rsid w:val="00B915F6"/>
    <w:rsid w:val="00B91FC3"/>
    <w:rsid w:val="00B93B43"/>
    <w:rsid w:val="00B9487D"/>
    <w:rsid w:val="00BA05DF"/>
    <w:rsid w:val="00BA07ED"/>
    <w:rsid w:val="00BA70D2"/>
    <w:rsid w:val="00BB0FC7"/>
    <w:rsid w:val="00BC5DB7"/>
    <w:rsid w:val="00BD09E6"/>
    <w:rsid w:val="00BD0BBE"/>
    <w:rsid w:val="00BD394C"/>
    <w:rsid w:val="00BD3D8B"/>
    <w:rsid w:val="00BE25AD"/>
    <w:rsid w:val="00BE3B2F"/>
    <w:rsid w:val="00BE7247"/>
    <w:rsid w:val="00BF4054"/>
    <w:rsid w:val="00BF48A8"/>
    <w:rsid w:val="00BF6016"/>
    <w:rsid w:val="00C009A2"/>
    <w:rsid w:val="00C02FE4"/>
    <w:rsid w:val="00C051E5"/>
    <w:rsid w:val="00C10EB4"/>
    <w:rsid w:val="00C11FB0"/>
    <w:rsid w:val="00C1360B"/>
    <w:rsid w:val="00C13890"/>
    <w:rsid w:val="00C22EBF"/>
    <w:rsid w:val="00C25E27"/>
    <w:rsid w:val="00C26514"/>
    <w:rsid w:val="00C31695"/>
    <w:rsid w:val="00C33215"/>
    <w:rsid w:val="00C33454"/>
    <w:rsid w:val="00C33929"/>
    <w:rsid w:val="00C340D1"/>
    <w:rsid w:val="00C347B1"/>
    <w:rsid w:val="00C34A44"/>
    <w:rsid w:val="00C40E61"/>
    <w:rsid w:val="00C41123"/>
    <w:rsid w:val="00C41864"/>
    <w:rsid w:val="00C41F96"/>
    <w:rsid w:val="00C439C3"/>
    <w:rsid w:val="00C477DC"/>
    <w:rsid w:val="00C504F4"/>
    <w:rsid w:val="00C56062"/>
    <w:rsid w:val="00C57709"/>
    <w:rsid w:val="00C57D1F"/>
    <w:rsid w:val="00C614F7"/>
    <w:rsid w:val="00C617E0"/>
    <w:rsid w:val="00C61DB7"/>
    <w:rsid w:val="00C62FC3"/>
    <w:rsid w:val="00C65FF9"/>
    <w:rsid w:val="00C66CF8"/>
    <w:rsid w:val="00C73003"/>
    <w:rsid w:val="00C83B82"/>
    <w:rsid w:val="00C90548"/>
    <w:rsid w:val="00C90EE4"/>
    <w:rsid w:val="00C9402B"/>
    <w:rsid w:val="00C94AD2"/>
    <w:rsid w:val="00C96339"/>
    <w:rsid w:val="00C96E2D"/>
    <w:rsid w:val="00CA59C4"/>
    <w:rsid w:val="00CA6D47"/>
    <w:rsid w:val="00CA72F7"/>
    <w:rsid w:val="00CB23EE"/>
    <w:rsid w:val="00CB2E42"/>
    <w:rsid w:val="00CB2EE7"/>
    <w:rsid w:val="00CB36F2"/>
    <w:rsid w:val="00CB5B93"/>
    <w:rsid w:val="00CC1314"/>
    <w:rsid w:val="00CC138E"/>
    <w:rsid w:val="00CC2751"/>
    <w:rsid w:val="00CC3148"/>
    <w:rsid w:val="00CD03A4"/>
    <w:rsid w:val="00CD08D8"/>
    <w:rsid w:val="00CD1297"/>
    <w:rsid w:val="00CD2729"/>
    <w:rsid w:val="00CD3879"/>
    <w:rsid w:val="00CD38BA"/>
    <w:rsid w:val="00CE0BBD"/>
    <w:rsid w:val="00CE0C41"/>
    <w:rsid w:val="00CE69AA"/>
    <w:rsid w:val="00CF552B"/>
    <w:rsid w:val="00CF6F21"/>
    <w:rsid w:val="00D019C3"/>
    <w:rsid w:val="00D046BB"/>
    <w:rsid w:val="00D0523E"/>
    <w:rsid w:val="00D06C8A"/>
    <w:rsid w:val="00D06C99"/>
    <w:rsid w:val="00D07421"/>
    <w:rsid w:val="00D10466"/>
    <w:rsid w:val="00D11174"/>
    <w:rsid w:val="00D14E22"/>
    <w:rsid w:val="00D166E3"/>
    <w:rsid w:val="00D1748A"/>
    <w:rsid w:val="00D22464"/>
    <w:rsid w:val="00D22F1A"/>
    <w:rsid w:val="00D23A5E"/>
    <w:rsid w:val="00D23DAB"/>
    <w:rsid w:val="00D26C97"/>
    <w:rsid w:val="00D35EE3"/>
    <w:rsid w:val="00D36583"/>
    <w:rsid w:val="00D3667D"/>
    <w:rsid w:val="00D37817"/>
    <w:rsid w:val="00D42AD9"/>
    <w:rsid w:val="00D472C5"/>
    <w:rsid w:val="00D479E9"/>
    <w:rsid w:val="00D50B57"/>
    <w:rsid w:val="00D53236"/>
    <w:rsid w:val="00D53E1A"/>
    <w:rsid w:val="00D54246"/>
    <w:rsid w:val="00D54F91"/>
    <w:rsid w:val="00D614FE"/>
    <w:rsid w:val="00D62FC2"/>
    <w:rsid w:val="00D64F45"/>
    <w:rsid w:val="00D67023"/>
    <w:rsid w:val="00D676B2"/>
    <w:rsid w:val="00D70CEA"/>
    <w:rsid w:val="00D71676"/>
    <w:rsid w:val="00D732B8"/>
    <w:rsid w:val="00D7457A"/>
    <w:rsid w:val="00D76139"/>
    <w:rsid w:val="00D8337C"/>
    <w:rsid w:val="00D8661C"/>
    <w:rsid w:val="00D86CAD"/>
    <w:rsid w:val="00D87614"/>
    <w:rsid w:val="00D87B82"/>
    <w:rsid w:val="00D96411"/>
    <w:rsid w:val="00DB234F"/>
    <w:rsid w:val="00DB31BB"/>
    <w:rsid w:val="00DB3C16"/>
    <w:rsid w:val="00DB5A62"/>
    <w:rsid w:val="00DB61EC"/>
    <w:rsid w:val="00DB70D3"/>
    <w:rsid w:val="00DC0E14"/>
    <w:rsid w:val="00DD0265"/>
    <w:rsid w:val="00DD3800"/>
    <w:rsid w:val="00DD470E"/>
    <w:rsid w:val="00DE0941"/>
    <w:rsid w:val="00DE371A"/>
    <w:rsid w:val="00DE3770"/>
    <w:rsid w:val="00DE4D33"/>
    <w:rsid w:val="00DE677B"/>
    <w:rsid w:val="00DF324F"/>
    <w:rsid w:val="00DF39CD"/>
    <w:rsid w:val="00DF4112"/>
    <w:rsid w:val="00DF484C"/>
    <w:rsid w:val="00DF504A"/>
    <w:rsid w:val="00E0120C"/>
    <w:rsid w:val="00E02496"/>
    <w:rsid w:val="00E0567F"/>
    <w:rsid w:val="00E0762D"/>
    <w:rsid w:val="00E220AB"/>
    <w:rsid w:val="00E2311B"/>
    <w:rsid w:val="00E24847"/>
    <w:rsid w:val="00E26478"/>
    <w:rsid w:val="00E43803"/>
    <w:rsid w:val="00E448FD"/>
    <w:rsid w:val="00E44C8B"/>
    <w:rsid w:val="00E45994"/>
    <w:rsid w:val="00E46BF3"/>
    <w:rsid w:val="00E55E07"/>
    <w:rsid w:val="00E60134"/>
    <w:rsid w:val="00E64B08"/>
    <w:rsid w:val="00E65CCB"/>
    <w:rsid w:val="00E66A77"/>
    <w:rsid w:val="00E66E7C"/>
    <w:rsid w:val="00E74097"/>
    <w:rsid w:val="00E75B91"/>
    <w:rsid w:val="00E77EA5"/>
    <w:rsid w:val="00E80327"/>
    <w:rsid w:val="00E9398F"/>
    <w:rsid w:val="00EA167C"/>
    <w:rsid w:val="00EA6BE7"/>
    <w:rsid w:val="00EA7DC9"/>
    <w:rsid w:val="00EB3924"/>
    <w:rsid w:val="00EB3F71"/>
    <w:rsid w:val="00EB442B"/>
    <w:rsid w:val="00EC3316"/>
    <w:rsid w:val="00EC482B"/>
    <w:rsid w:val="00EC5D28"/>
    <w:rsid w:val="00ED4503"/>
    <w:rsid w:val="00ED596B"/>
    <w:rsid w:val="00ED5A4E"/>
    <w:rsid w:val="00ED68B1"/>
    <w:rsid w:val="00EE05AB"/>
    <w:rsid w:val="00EE1C49"/>
    <w:rsid w:val="00EE30DA"/>
    <w:rsid w:val="00EE6533"/>
    <w:rsid w:val="00EE78A1"/>
    <w:rsid w:val="00EE7B95"/>
    <w:rsid w:val="00EF21AE"/>
    <w:rsid w:val="00EF3FB1"/>
    <w:rsid w:val="00EF43AF"/>
    <w:rsid w:val="00EF4901"/>
    <w:rsid w:val="00EF6F19"/>
    <w:rsid w:val="00EF7302"/>
    <w:rsid w:val="00F018AC"/>
    <w:rsid w:val="00F03788"/>
    <w:rsid w:val="00F10EDC"/>
    <w:rsid w:val="00F1422C"/>
    <w:rsid w:val="00F155E5"/>
    <w:rsid w:val="00F16150"/>
    <w:rsid w:val="00F2045C"/>
    <w:rsid w:val="00F22D34"/>
    <w:rsid w:val="00F232C4"/>
    <w:rsid w:val="00F236A8"/>
    <w:rsid w:val="00F247D3"/>
    <w:rsid w:val="00F30531"/>
    <w:rsid w:val="00F31051"/>
    <w:rsid w:val="00F3115B"/>
    <w:rsid w:val="00F31E59"/>
    <w:rsid w:val="00F32421"/>
    <w:rsid w:val="00F33EDD"/>
    <w:rsid w:val="00F343DF"/>
    <w:rsid w:val="00F3549B"/>
    <w:rsid w:val="00F42548"/>
    <w:rsid w:val="00F44D37"/>
    <w:rsid w:val="00F45FF4"/>
    <w:rsid w:val="00F46585"/>
    <w:rsid w:val="00F477DE"/>
    <w:rsid w:val="00F5387F"/>
    <w:rsid w:val="00F53938"/>
    <w:rsid w:val="00F53CBB"/>
    <w:rsid w:val="00F55725"/>
    <w:rsid w:val="00F577B7"/>
    <w:rsid w:val="00F636C2"/>
    <w:rsid w:val="00F64EDC"/>
    <w:rsid w:val="00F65F17"/>
    <w:rsid w:val="00F67704"/>
    <w:rsid w:val="00F718AB"/>
    <w:rsid w:val="00F808B6"/>
    <w:rsid w:val="00F80F7F"/>
    <w:rsid w:val="00F85E84"/>
    <w:rsid w:val="00F8746C"/>
    <w:rsid w:val="00F9058D"/>
    <w:rsid w:val="00F924D6"/>
    <w:rsid w:val="00F9262E"/>
    <w:rsid w:val="00F93F35"/>
    <w:rsid w:val="00F959D5"/>
    <w:rsid w:val="00F95EF1"/>
    <w:rsid w:val="00FA10CB"/>
    <w:rsid w:val="00FA1B36"/>
    <w:rsid w:val="00FA2E03"/>
    <w:rsid w:val="00FA400D"/>
    <w:rsid w:val="00FB23AD"/>
    <w:rsid w:val="00FC1E10"/>
    <w:rsid w:val="00FC4057"/>
    <w:rsid w:val="00FC52AE"/>
    <w:rsid w:val="00FC7616"/>
    <w:rsid w:val="00FC793C"/>
    <w:rsid w:val="00FC7EFB"/>
    <w:rsid w:val="00FD071F"/>
    <w:rsid w:val="00FD07E6"/>
    <w:rsid w:val="00FD2270"/>
    <w:rsid w:val="00FD4817"/>
    <w:rsid w:val="00FD66AC"/>
    <w:rsid w:val="00FE4C7D"/>
    <w:rsid w:val="00FE6726"/>
    <w:rsid w:val="00FE68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67"/>
    <w:rPr>
      <w:rFonts w:ascii="Arial" w:hAnsi="Arial"/>
      <w:sz w:val="24"/>
    </w:rPr>
  </w:style>
  <w:style w:type="paragraph" w:styleId="Ttulo1">
    <w:name w:val="heading 1"/>
    <w:basedOn w:val="Normal"/>
    <w:next w:val="Normal"/>
    <w:link w:val="Ttulo1Char"/>
    <w:qFormat/>
    <w:rsid w:val="00455831"/>
    <w:pPr>
      <w:keepNext/>
      <w:jc w:val="both"/>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A0967"/>
    <w:pPr>
      <w:tabs>
        <w:tab w:val="center" w:pos="4419"/>
        <w:tab w:val="right" w:pos="8838"/>
      </w:tabs>
    </w:pPr>
  </w:style>
  <w:style w:type="paragraph" w:styleId="Rodap">
    <w:name w:val="footer"/>
    <w:basedOn w:val="Normal"/>
    <w:link w:val="RodapChar"/>
    <w:uiPriority w:val="99"/>
    <w:rsid w:val="00AA0967"/>
    <w:pPr>
      <w:tabs>
        <w:tab w:val="center" w:pos="4419"/>
        <w:tab w:val="right" w:pos="8838"/>
      </w:tabs>
    </w:pPr>
  </w:style>
  <w:style w:type="paragraph" w:styleId="Recuodecorpodetexto">
    <w:name w:val="Body Text Indent"/>
    <w:basedOn w:val="Normal"/>
    <w:semiHidden/>
    <w:rsid w:val="00AA0967"/>
    <w:pPr>
      <w:spacing w:after="120"/>
      <w:ind w:firstLine="1701"/>
    </w:pPr>
  </w:style>
  <w:style w:type="paragraph" w:customStyle="1" w:styleId="Normalnumerado">
    <w:name w:val="Normal numerado"/>
    <w:basedOn w:val="Normal"/>
    <w:rsid w:val="00AA0967"/>
    <w:pPr>
      <w:numPr>
        <w:numId w:val="5"/>
      </w:numPr>
      <w:tabs>
        <w:tab w:val="clear" w:pos="705"/>
      </w:tabs>
      <w:spacing w:after="120"/>
      <w:ind w:left="0" w:firstLine="0"/>
      <w:jc w:val="both"/>
    </w:pPr>
    <w:rPr>
      <w:rFonts w:ascii="Times New Roman" w:hAnsi="Times New Roman"/>
      <w:snapToGrid w:val="0"/>
      <w:sz w:val="20"/>
    </w:rPr>
  </w:style>
  <w:style w:type="paragraph" w:styleId="Corpodetexto">
    <w:name w:val="Body Text"/>
    <w:basedOn w:val="Normal"/>
    <w:semiHidden/>
    <w:rsid w:val="00AA0967"/>
    <w:pPr>
      <w:spacing w:after="80"/>
      <w:jc w:val="both"/>
    </w:pPr>
  </w:style>
  <w:style w:type="character" w:customStyle="1" w:styleId="Ttulo1Char">
    <w:name w:val="Título 1 Char"/>
    <w:basedOn w:val="Fontepargpadro"/>
    <w:link w:val="Ttulo1"/>
    <w:rsid w:val="00455831"/>
    <w:rPr>
      <w:rFonts w:ascii="Arial" w:hAnsi="Arial"/>
      <w:b/>
      <w:sz w:val="24"/>
    </w:rPr>
  </w:style>
  <w:style w:type="character" w:styleId="Hyperlink">
    <w:name w:val="Hyperlink"/>
    <w:basedOn w:val="Fontepargpadro"/>
    <w:uiPriority w:val="99"/>
    <w:unhideWhenUsed/>
    <w:rsid w:val="00A671F0"/>
    <w:rPr>
      <w:color w:val="0000FF"/>
      <w:u w:val="single"/>
    </w:rPr>
  </w:style>
  <w:style w:type="paragraph" w:styleId="Textodebalo">
    <w:name w:val="Balloon Text"/>
    <w:basedOn w:val="Normal"/>
    <w:link w:val="TextodebaloChar"/>
    <w:uiPriority w:val="99"/>
    <w:semiHidden/>
    <w:unhideWhenUsed/>
    <w:rsid w:val="008659A1"/>
    <w:rPr>
      <w:rFonts w:ascii="Tahoma" w:hAnsi="Tahoma" w:cs="Tahoma"/>
      <w:sz w:val="16"/>
      <w:szCs w:val="16"/>
    </w:rPr>
  </w:style>
  <w:style w:type="character" w:customStyle="1" w:styleId="TextodebaloChar">
    <w:name w:val="Texto de balão Char"/>
    <w:basedOn w:val="Fontepargpadro"/>
    <w:link w:val="Textodebalo"/>
    <w:uiPriority w:val="99"/>
    <w:semiHidden/>
    <w:rsid w:val="008659A1"/>
    <w:rPr>
      <w:rFonts w:ascii="Tahoma" w:hAnsi="Tahoma" w:cs="Tahoma"/>
      <w:sz w:val="16"/>
      <w:szCs w:val="16"/>
    </w:rPr>
  </w:style>
  <w:style w:type="paragraph" w:styleId="PargrafodaLista">
    <w:name w:val="List Paragraph"/>
    <w:basedOn w:val="Normal"/>
    <w:uiPriority w:val="34"/>
    <w:qFormat/>
    <w:rsid w:val="00F85E84"/>
    <w:pPr>
      <w:ind w:left="720"/>
      <w:contextualSpacing/>
    </w:pPr>
  </w:style>
  <w:style w:type="paragraph" w:customStyle="1" w:styleId="Texto">
    <w:name w:val="Texto"/>
    <w:basedOn w:val="Normal"/>
    <w:autoRedefine/>
    <w:rsid w:val="0076674E"/>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76" w:lineRule="auto"/>
      <w:ind w:firstLine="567"/>
      <w:jc w:val="both"/>
    </w:pPr>
    <w:rPr>
      <w:color w:val="000080"/>
      <w:sz w:val="20"/>
    </w:rPr>
  </w:style>
  <w:style w:type="paragraph" w:styleId="Corpodetexto2">
    <w:name w:val="Body Text 2"/>
    <w:basedOn w:val="Normal"/>
    <w:link w:val="Corpodetexto2Char"/>
    <w:rsid w:val="005F6E68"/>
    <w:pPr>
      <w:spacing w:after="120" w:line="480" w:lineRule="auto"/>
    </w:pPr>
    <w:rPr>
      <w:rFonts w:ascii="Times New Roman" w:hAnsi="Times New Roman"/>
      <w:sz w:val="20"/>
    </w:rPr>
  </w:style>
  <w:style w:type="character" w:customStyle="1" w:styleId="Corpodetexto2Char">
    <w:name w:val="Corpo de texto 2 Char"/>
    <w:basedOn w:val="Fontepargpadro"/>
    <w:link w:val="Corpodetexto2"/>
    <w:rsid w:val="005F6E68"/>
  </w:style>
  <w:style w:type="character" w:customStyle="1" w:styleId="RodapChar">
    <w:name w:val="Rodapé Char"/>
    <w:basedOn w:val="Fontepargpadro"/>
    <w:link w:val="Rodap"/>
    <w:uiPriority w:val="99"/>
    <w:rsid w:val="0089205A"/>
    <w:rPr>
      <w:rFonts w:ascii="Arial" w:hAnsi="Arial"/>
      <w:sz w:val="24"/>
    </w:rPr>
  </w:style>
  <w:style w:type="paragraph" w:styleId="Textodenotaderodap">
    <w:name w:val="footnote text"/>
    <w:basedOn w:val="Normal"/>
    <w:link w:val="TextodenotaderodapChar"/>
    <w:uiPriority w:val="99"/>
    <w:semiHidden/>
    <w:unhideWhenUsed/>
    <w:rsid w:val="004A0C21"/>
    <w:rPr>
      <w:sz w:val="20"/>
    </w:rPr>
  </w:style>
  <w:style w:type="character" w:customStyle="1" w:styleId="TextodenotaderodapChar">
    <w:name w:val="Texto de nota de rodapé Char"/>
    <w:basedOn w:val="Fontepargpadro"/>
    <w:link w:val="Textodenotaderodap"/>
    <w:uiPriority w:val="99"/>
    <w:semiHidden/>
    <w:rsid w:val="004A0C21"/>
    <w:rPr>
      <w:rFonts w:ascii="Arial" w:hAnsi="Arial"/>
    </w:rPr>
  </w:style>
  <w:style w:type="character" w:styleId="Refdenotaderodap">
    <w:name w:val="footnote reference"/>
    <w:basedOn w:val="Fontepargpadro"/>
    <w:uiPriority w:val="99"/>
    <w:semiHidden/>
    <w:unhideWhenUsed/>
    <w:rsid w:val="004A0C21"/>
    <w:rPr>
      <w:vertAlign w:val="superscript"/>
    </w:rPr>
  </w:style>
  <w:style w:type="character" w:customStyle="1" w:styleId="CabealhoChar">
    <w:name w:val="Cabeçalho Char"/>
    <w:basedOn w:val="Fontepargpadro"/>
    <w:link w:val="Cabealho"/>
    <w:rsid w:val="00015EA9"/>
    <w:rPr>
      <w:rFonts w:ascii="Arial" w:hAnsi="Arial"/>
      <w:sz w:val="24"/>
    </w:rPr>
  </w:style>
  <w:style w:type="paragraph" w:styleId="NormalWeb">
    <w:name w:val="Normal (Web)"/>
    <w:basedOn w:val="Normal"/>
    <w:uiPriority w:val="99"/>
    <w:unhideWhenUsed/>
    <w:rsid w:val="004A475F"/>
    <w:pPr>
      <w:spacing w:before="100" w:beforeAutospacing="1" w:after="100" w:afterAutospacing="1"/>
    </w:pPr>
    <w:rPr>
      <w:rFonts w:ascii="Times New Roman" w:hAnsi="Times New Roman"/>
      <w:szCs w:val="24"/>
    </w:rPr>
  </w:style>
  <w:style w:type="character" w:styleId="Refdecomentrio">
    <w:name w:val="annotation reference"/>
    <w:basedOn w:val="Fontepargpadro"/>
    <w:uiPriority w:val="99"/>
    <w:semiHidden/>
    <w:unhideWhenUsed/>
    <w:rsid w:val="00B90221"/>
    <w:rPr>
      <w:sz w:val="16"/>
      <w:szCs w:val="16"/>
    </w:rPr>
  </w:style>
  <w:style w:type="paragraph" w:styleId="Textodecomentrio">
    <w:name w:val="annotation text"/>
    <w:basedOn w:val="Normal"/>
    <w:link w:val="TextodecomentrioChar"/>
    <w:uiPriority w:val="99"/>
    <w:semiHidden/>
    <w:unhideWhenUsed/>
    <w:rsid w:val="00B90221"/>
    <w:rPr>
      <w:sz w:val="20"/>
    </w:rPr>
  </w:style>
  <w:style w:type="character" w:customStyle="1" w:styleId="TextodecomentrioChar">
    <w:name w:val="Texto de comentário Char"/>
    <w:basedOn w:val="Fontepargpadro"/>
    <w:link w:val="Textodecomentrio"/>
    <w:uiPriority w:val="99"/>
    <w:semiHidden/>
    <w:rsid w:val="00B90221"/>
    <w:rPr>
      <w:rFonts w:ascii="Arial" w:hAnsi="Arial"/>
    </w:rPr>
  </w:style>
  <w:style w:type="paragraph" w:styleId="Assuntodocomentrio">
    <w:name w:val="annotation subject"/>
    <w:basedOn w:val="Textodecomentrio"/>
    <w:next w:val="Textodecomentrio"/>
    <w:link w:val="AssuntodocomentrioChar"/>
    <w:uiPriority w:val="99"/>
    <w:semiHidden/>
    <w:unhideWhenUsed/>
    <w:rsid w:val="00B90221"/>
    <w:rPr>
      <w:b/>
      <w:bCs/>
    </w:rPr>
  </w:style>
  <w:style w:type="character" w:customStyle="1" w:styleId="AssuntodocomentrioChar">
    <w:name w:val="Assunto do comentário Char"/>
    <w:basedOn w:val="TextodecomentrioChar"/>
    <w:link w:val="Assuntodocomentrio"/>
    <w:uiPriority w:val="99"/>
    <w:semiHidden/>
    <w:rsid w:val="00B90221"/>
    <w:rPr>
      <w:b/>
      <w:bCs/>
    </w:rPr>
  </w:style>
</w:styles>
</file>

<file path=word/webSettings.xml><?xml version="1.0" encoding="utf-8"?>
<w:webSettings xmlns:r="http://schemas.openxmlformats.org/officeDocument/2006/relationships" xmlns:w="http://schemas.openxmlformats.org/wordprocessingml/2006/main">
  <w:divs>
    <w:div w:id="158351084">
      <w:bodyDiv w:val="1"/>
      <w:marLeft w:val="0"/>
      <w:marRight w:val="0"/>
      <w:marTop w:val="0"/>
      <w:marBottom w:val="0"/>
      <w:divBdr>
        <w:top w:val="none" w:sz="0" w:space="0" w:color="auto"/>
        <w:left w:val="none" w:sz="0" w:space="0" w:color="auto"/>
        <w:bottom w:val="none" w:sz="0" w:space="0" w:color="auto"/>
        <w:right w:val="none" w:sz="0" w:space="0" w:color="auto"/>
      </w:divBdr>
    </w:div>
    <w:div w:id="628901027">
      <w:bodyDiv w:val="1"/>
      <w:marLeft w:val="0"/>
      <w:marRight w:val="0"/>
      <w:marTop w:val="0"/>
      <w:marBottom w:val="0"/>
      <w:divBdr>
        <w:top w:val="none" w:sz="0" w:space="0" w:color="auto"/>
        <w:left w:val="none" w:sz="0" w:space="0" w:color="auto"/>
        <w:bottom w:val="none" w:sz="0" w:space="0" w:color="auto"/>
        <w:right w:val="none" w:sz="0" w:space="0" w:color="auto"/>
      </w:divBdr>
    </w:div>
    <w:div w:id="1036194314">
      <w:bodyDiv w:val="1"/>
      <w:marLeft w:val="0"/>
      <w:marRight w:val="0"/>
      <w:marTop w:val="0"/>
      <w:marBottom w:val="0"/>
      <w:divBdr>
        <w:top w:val="none" w:sz="0" w:space="0" w:color="auto"/>
        <w:left w:val="none" w:sz="0" w:space="0" w:color="auto"/>
        <w:bottom w:val="none" w:sz="0" w:space="0" w:color="auto"/>
        <w:right w:val="none" w:sz="0" w:space="0" w:color="auto"/>
      </w:divBdr>
    </w:div>
    <w:div w:id="1909729130">
      <w:bodyDiv w:val="1"/>
      <w:marLeft w:val="0"/>
      <w:marRight w:val="0"/>
      <w:marTop w:val="0"/>
      <w:marBottom w:val="0"/>
      <w:divBdr>
        <w:top w:val="none" w:sz="0" w:space="0" w:color="auto"/>
        <w:left w:val="none" w:sz="0" w:space="0" w:color="auto"/>
        <w:bottom w:val="none" w:sz="0" w:space="0" w:color="auto"/>
        <w:right w:val="none" w:sz="0" w:space="0" w:color="auto"/>
      </w:divBdr>
    </w:div>
    <w:div w:id="1950702727">
      <w:bodyDiv w:val="1"/>
      <w:marLeft w:val="0"/>
      <w:marRight w:val="0"/>
      <w:marTop w:val="0"/>
      <w:marBottom w:val="0"/>
      <w:divBdr>
        <w:top w:val="none" w:sz="0" w:space="0" w:color="auto"/>
        <w:left w:val="none" w:sz="0" w:space="0" w:color="auto"/>
        <w:bottom w:val="none" w:sz="0" w:space="0" w:color="auto"/>
        <w:right w:val="none" w:sz="0" w:space="0" w:color="auto"/>
      </w:divBdr>
    </w:div>
    <w:div w:id="20889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p.gov.br" TargetMode="External"/><Relationship Id="rId4" Type="http://schemas.openxmlformats.org/officeDocument/2006/relationships/settings" Target="settings.xml"/><Relationship Id="rId9" Type="http://schemas.openxmlformats.org/officeDocument/2006/relationships/hyperlink" Target="http://www.an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5292-3F41-4F4D-B2AA-6988700B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2498</Words>
  <Characters>13847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Ofício nº  01/SGI</vt:lpstr>
    </vt:vector>
  </TitlesOfParts>
  <Company>Anp</Company>
  <LinksUpToDate>false</LinksUpToDate>
  <CharactersWithSpaces>16313</CharactersWithSpaces>
  <SharedDoc>false</SharedDoc>
  <HLinks>
    <vt:vector size="18" baseType="variant">
      <vt:variant>
        <vt:i4>6684707</vt:i4>
      </vt:variant>
      <vt:variant>
        <vt:i4>6</vt:i4>
      </vt:variant>
      <vt:variant>
        <vt:i4>0</vt:i4>
      </vt:variant>
      <vt:variant>
        <vt:i4>5</vt:i4>
      </vt:variant>
      <vt:variant>
        <vt:lpwstr>http://www.anp.gov.br/</vt:lpwstr>
      </vt:variant>
      <vt:variant>
        <vt:lpwstr/>
      </vt:variant>
      <vt:variant>
        <vt:i4>6684707</vt:i4>
      </vt:variant>
      <vt:variant>
        <vt:i4>3</vt:i4>
      </vt:variant>
      <vt:variant>
        <vt:i4>0</vt:i4>
      </vt:variant>
      <vt:variant>
        <vt:i4>5</vt:i4>
      </vt:variant>
      <vt:variant>
        <vt:lpwstr>http://www.anp.gov.br/</vt:lpwstr>
      </vt:variant>
      <vt:variant>
        <vt:lpwstr/>
      </vt:variant>
      <vt:variant>
        <vt:i4>6684707</vt:i4>
      </vt:variant>
      <vt:variant>
        <vt:i4>0</vt:i4>
      </vt:variant>
      <vt:variant>
        <vt:i4>0</vt:i4>
      </vt:variant>
      <vt:variant>
        <vt:i4>5</vt:i4>
      </vt:variant>
      <vt:variant>
        <vt:lpwstr>http://www.anp.gov.br/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01/SGI</dc:title>
  <dc:creator>Patricia Carvalho de Franca</dc:creator>
  <cp:lastModifiedBy>lmsouza</cp:lastModifiedBy>
  <cp:revision>15</cp:revision>
  <cp:lastPrinted>2014-04-14T19:53:00Z</cp:lastPrinted>
  <dcterms:created xsi:type="dcterms:W3CDTF">2014-05-09T12:02:00Z</dcterms:created>
  <dcterms:modified xsi:type="dcterms:W3CDTF">2014-05-13T15:19:00Z</dcterms:modified>
</cp:coreProperties>
</file>