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 xml:space="preserve">AGÊNCIA NACIONAL DO PETRÓLEO, GÁS </w:t>
      </w:r>
      <w:proofErr w:type="gramStart"/>
      <w:r w:rsidRPr="006E092A">
        <w:rPr>
          <w:sz w:val="24"/>
          <w:szCs w:val="24"/>
        </w:rPr>
        <w:t>NATURAL E BIOCOMBUSTÍVEIS</w:t>
      </w:r>
      <w:proofErr w:type="gramEnd"/>
    </w:p>
    <w:p w:rsidR="00C03364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23E80" w:rsidRPr="009A1B41" w:rsidRDefault="00C03364" w:rsidP="00023E8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 xml:space="preserve">AVISO DE CONSULTA PÚBLICA E AUDIÊNCIA PÚBLICA Nº </w:t>
      </w:r>
      <w:r w:rsidR="00023E80">
        <w:rPr>
          <w:sz w:val="24"/>
          <w:szCs w:val="24"/>
        </w:rPr>
        <w:t>03/2013</w:t>
      </w:r>
    </w:p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6004C" w:rsidRPr="006E092A" w:rsidRDefault="00023E80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03BDD">
        <w:rPr>
          <w:color w:val="000000"/>
          <w:sz w:val="24"/>
          <w:szCs w:val="24"/>
        </w:rPr>
        <w:t xml:space="preserve">O DIRETOR-GERAL SUBSTITUTO DA AGÊNCIA NACIONAL DO PETRÓLEO, GÁS </w:t>
      </w:r>
      <w:proofErr w:type="gramStart"/>
      <w:r w:rsidRPr="00803BDD">
        <w:rPr>
          <w:color w:val="000000"/>
          <w:sz w:val="24"/>
          <w:szCs w:val="24"/>
        </w:rPr>
        <w:t>NATURAL E BIOCOMBUSTÍVEIS</w:t>
      </w:r>
      <w:proofErr w:type="gramEnd"/>
      <w:r w:rsidRPr="00803BDD">
        <w:rPr>
          <w:color w:val="000000"/>
          <w:sz w:val="24"/>
          <w:szCs w:val="24"/>
        </w:rPr>
        <w:t xml:space="preserve"> – ANP, no uso das atribuições que lhe foram conferidas pela Portaria nº 261, de 03 de setembro de 2012, com base na Resolução de Diretoria </w:t>
      </w:r>
      <w:r w:rsidRPr="009A1B41">
        <w:rPr>
          <w:color w:val="000000"/>
          <w:sz w:val="24"/>
          <w:szCs w:val="24"/>
        </w:rPr>
        <w:t xml:space="preserve">nº </w:t>
      </w:r>
      <w:r>
        <w:rPr>
          <w:color w:val="000000"/>
          <w:sz w:val="24"/>
          <w:szCs w:val="24"/>
        </w:rPr>
        <w:t>102</w:t>
      </w:r>
      <w:r w:rsidRPr="009A1B41">
        <w:rPr>
          <w:color w:val="000000"/>
          <w:sz w:val="24"/>
          <w:szCs w:val="24"/>
        </w:rPr>
        <w:t xml:space="preserve">, de </w:t>
      </w:r>
      <w:r>
        <w:rPr>
          <w:color w:val="000000"/>
          <w:sz w:val="24"/>
          <w:szCs w:val="24"/>
        </w:rPr>
        <w:t>23</w:t>
      </w:r>
      <w:r w:rsidRPr="009A1B41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janeiro</w:t>
      </w:r>
      <w:r w:rsidRPr="009A1B41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2013</w:t>
      </w:r>
      <w:r w:rsidRPr="00803BDD">
        <w:rPr>
          <w:color w:val="000000"/>
          <w:sz w:val="24"/>
          <w:szCs w:val="24"/>
        </w:rPr>
        <w:t>, e no que consta no</w:t>
      </w:r>
      <w:r w:rsidRPr="009A1B41">
        <w:rPr>
          <w:sz w:val="24"/>
          <w:szCs w:val="24"/>
        </w:rPr>
        <w:t xml:space="preserve"> processo nº </w:t>
      </w:r>
      <w:r>
        <w:rPr>
          <w:sz w:val="24"/>
          <w:szCs w:val="24"/>
        </w:rPr>
        <w:t>48610</w:t>
      </w:r>
      <w:r w:rsidRPr="009A1B41">
        <w:rPr>
          <w:sz w:val="24"/>
          <w:szCs w:val="24"/>
        </w:rPr>
        <w:t>.</w:t>
      </w:r>
      <w:r>
        <w:rPr>
          <w:sz w:val="24"/>
          <w:szCs w:val="24"/>
        </w:rPr>
        <w:t>014812</w:t>
      </w:r>
      <w:r w:rsidRPr="009A1B41">
        <w:rPr>
          <w:sz w:val="24"/>
          <w:szCs w:val="24"/>
        </w:rPr>
        <w:t>/</w:t>
      </w:r>
      <w:r>
        <w:rPr>
          <w:sz w:val="24"/>
          <w:szCs w:val="24"/>
        </w:rPr>
        <w:t>2012</w:t>
      </w:r>
      <w:r w:rsidRPr="009A1B41">
        <w:rPr>
          <w:sz w:val="24"/>
          <w:szCs w:val="24"/>
        </w:rPr>
        <w:t>-</w:t>
      </w:r>
      <w:r>
        <w:rPr>
          <w:sz w:val="24"/>
          <w:szCs w:val="24"/>
        </w:rPr>
        <w:t>22</w:t>
      </w:r>
      <w:r w:rsidR="006E092A" w:rsidRPr="009A1B41">
        <w:rPr>
          <w:sz w:val="24"/>
          <w:szCs w:val="24"/>
        </w:rPr>
        <w:t>,</w:t>
      </w:r>
    </w:p>
    <w:p w:rsidR="0036004C" w:rsidRPr="006E092A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COMUNICA: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Aos agentes econômicos do setor </w:t>
      </w:r>
      <w:r w:rsidR="00604B66">
        <w:rPr>
          <w:sz w:val="24"/>
          <w:szCs w:val="24"/>
        </w:rPr>
        <w:t>de exploração de petróleo e gás natural</w:t>
      </w:r>
      <w:r w:rsidRPr="006E092A">
        <w:rPr>
          <w:sz w:val="24"/>
          <w:szCs w:val="24"/>
        </w:rPr>
        <w:t xml:space="preserve"> e aos demais interessados que realizará Audiência Pública, precedida de Consulta Pública, com as características apresentadas a seguir: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 OBJETIVO: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092A" w:rsidRPr="006E092A" w:rsidRDefault="00C03364" w:rsidP="00604B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1.1 Obter subsídios e informações adicionais sobre </w:t>
      </w:r>
      <w:r w:rsidR="00604B66">
        <w:rPr>
          <w:sz w:val="24"/>
          <w:szCs w:val="24"/>
        </w:rPr>
        <w:t>a minuta de revisão da Resolução ANP n° 13/2011, norma vigente que regulamenta os procedimentos de desativação de instalações e devolução de áreas de concessão na Fase de Exploração.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1.2 Propiciar aos agentes econômicos e aos demais interessados a possibilidade de encaminhamento de opiniões e sugestões.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1.3 Identificar, da forma mais ampla possível, todos os aspectos relevantes à matéria objeto </w:t>
      </w:r>
      <w:proofErr w:type="gramStart"/>
      <w:r w:rsidRPr="006E092A">
        <w:rPr>
          <w:sz w:val="24"/>
          <w:szCs w:val="24"/>
        </w:rPr>
        <w:t>da</w:t>
      </w:r>
      <w:proofErr w:type="gramEnd"/>
      <w:r w:rsidRPr="006E092A">
        <w:rPr>
          <w:sz w:val="24"/>
          <w:szCs w:val="24"/>
        </w:rPr>
        <w:t xml:space="preserve"> </w:t>
      </w:r>
      <w:proofErr w:type="gramStart"/>
      <w:r w:rsidRPr="006E092A">
        <w:rPr>
          <w:sz w:val="24"/>
          <w:szCs w:val="24"/>
        </w:rPr>
        <w:t>audiência</w:t>
      </w:r>
      <w:proofErr w:type="gramEnd"/>
      <w:r w:rsidRPr="006E092A">
        <w:rPr>
          <w:sz w:val="24"/>
          <w:szCs w:val="24"/>
        </w:rPr>
        <w:t xml:space="preserve"> pública.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1.4 Dar publicidade, transparência e legitimidade às ações da ANP.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2. DISPONIBILIZAÇÃO DE INFORMAÇÕES: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2.1 A minuta de Resolução objeto desta Audiência, estará à disposição dos interessados nos seguintes endereços: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INTERNET - http://www.anp.gov.br/conheca/audiencias_publicas.asp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ANP - Protocolo – Avenida Rio Branco, nº 65, térreo, Centro, Rio de Janeiro/</w:t>
      </w:r>
      <w:proofErr w:type="gramStart"/>
      <w:r w:rsidRPr="006E092A">
        <w:rPr>
          <w:sz w:val="24"/>
          <w:szCs w:val="24"/>
        </w:rPr>
        <w:t>RJ</w:t>
      </w:r>
      <w:proofErr w:type="gramEnd"/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ANP - Protocolo – SGAN Q.603, Módulo “I”, térreo, Brasília/</w:t>
      </w:r>
      <w:proofErr w:type="gramStart"/>
      <w:r w:rsidRPr="006E092A">
        <w:rPr>
          <w:sz w:val="24"/>
          <w:szCs w:val="24"/>
        </w:rPr>
        <w:t>DF</w:t>
      </w:r>
      <w:proofErr w:type="gramEnd"/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ANP - Protocolo – Rua Professor Aprígio Gonzaga, 78, 14º andar - São Judas, São Paulo/</w:t>
      </w:r>
      <w:proofErr w:type="gramStart"/>
      <w:r w:rsidRPr="006E092A">
        <w:rPr>
          <w:sz w:val="24"/>
          <w:szCs w:val="24"/>
        </w:rPr>
        <w:t>SP</w:t>
      </w:r>
      <w:proofErr w:type="gramEnd"/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ANP - Protocolo – Avenida Tancredo Neves, nº 450 – Ed. Suarez Trade – Sala 1401, Caminho das Árvores, Salvador/</w:t>
      </w:r>
      <w:proofErr w:type="gramStart"/>
      <w:r w:rsidRPr="006E092A">
        <w:rPr>
          <w:sz w:val="24"/>
          <w:szCs w:val="24"/>
        </w:rPr>
        <w:t>BA</w:t>
      </w:r>
      <w:proofErr w:type="gramEnd"/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589" w:rsidRPr="006E092A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Da Consulta Pública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3. PRAZO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3.1 O prazo da Consulta Pública é de </w:t>
      </w:r>
      <w:r w:rsidR="00604B66">
        <w:rPr>
          <w:sz w:val="24"/>
          <w:szCs w:val="24"/>
        </w:rPr>
        <w:t>30 (trinta</w:t>
      </w:r>
      <w:r w:rsidR="006E092A">
        <w:rPr>
          <w:sz w:val="24"/>
          <w:szCs w:val="24"/>
        </w:rPr>
        <w:t>)</w:t>
      </w:r>
      <w:r w:rsidRPr="006E092A">
        <w:rPr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4. ENVIO DE COMENTÁRIOS / SUGESTÕES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4.1 Os comentários/sugestões deverão ser encaminhados à ANP para o endereço eletrônico:</w:t>
      </w:r>
      <w:r w:rsidR="0036004C" w:rsidRPr="006E092A">
        <w:rPr>
          <w:sz w:val="24"/>
          <w:szCs w:val="24"/>
        </w:rPr>
        <w:t xml:space="preserve"> </w:t>
      </w:r>
      <w:r w:rsidR="00B23246">
        <w:rPr>
          <w:sz w:val="24"/>
          <w:szCs w:val="24"/>
        </w:rPr>
        <w:t>rev_desat_SEP</w:t>
      </w:r>
      <w:r w:rsidRPr="006E092A">
        <w:rPr>
          <w:sz w:val="24"/>
          <w:szCs w:val="24"/>
        </w:rPr>
        <w:t xml:space="preserve">@anp.gov.br, fax (21) </w:t>
      </w:r>
      <w:r w:rsidR="00F94951">
        <w:rPr>
          <w:sz w:val="24"/>
          <w:szCs w:val="24"/>
        </w:rPr>
        <w:t>2112-8419</w:t>
      </w:r>
      <w:r w:rsidRPr="006E092A">
        <w:rPr>
          <w:sz w:val="24"/>
          <w:szCs w:val="24"/>
        </w:rPr>
        <w:t xml:space="preserve"> ou diretamente em um dos protocolos da ANP, por meio de formulário próprio disponibilizado nos endereços indicados no item 2.1 deste aviso</w:t>
      </w:r>
      <w:r w:rsidR="006E092A">
        <w:rPr>
          <w:sz w:val="24"/>
          <w:szCs w:val="24"/>
        </w:rPr>
        <w:t>.</w:t>
      </w: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Da Aud</w:t>
      </w:r>
      <w:r w:rsidR="006E092A">
        <w:rPr>
          <w:sz w:val="24"/>
          <w:szCs w:val="24"/>
        </w:rPr>
        <w:t>i</w:t>
      </w:r>
      <w:r w:rsidR="00C03364" w:rsidRPr="006E092A">
        <w:rPr>
          <w:sz w:val="24"/>
          <w:szCs w:val="24"/>
        </w:rPr>
        <w:t>ência Pública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5. DATA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5.1 A Audiência Pública ocorrerá </w:t>
      </w:r>
      <w:r w:rsidR="006E092A" w:rsidRPr="009A1B41">
        <w:rPr>
          <w:sz w:val="24"/>
          <w:szCs w:val="24"/>
        </w:rPr>
        <w:t xml:space="preserve">das </w:t>
      </w:r>
      <w:proofErr w:type="gramStart"/>
      <w:r w:rsidR="00B23246">
        <w:rPr>
          <w:sz w:val="24"/>
          <w:szCs w:val="24"/>
        </w:rPr>
        <w:t>9:00</w:t>
      </w:r>
      <w:proofErr w:type="gramEnd"/>
      <w:r w:rsidR="00B23246">
        <w:rPr>
          <w:sz w:val="24"/>
          <w:szCs w:val="24"/>
        </w:rPr>
        <w:t xml:space="preserve"> </w:t>
      </w:r>
      <w:r w:rsidR="006E092A" w:rsidRPr="009A1B41">
        <w:rPr>
          <w:sz w:val="24"/>
          <w:szCs w:val="24"/>
        </w:rPr>
        <w:t xml:space="preserve">h às </w:t>
      </w:r>
      <w:r w:rsidR="00B23246">
        <w:rPr>
          <w:sz w:val="24"/>
          <w:szCs w:val="24"/>
        </w:rPr>
        <w:t>11</w:t>
      </w:r>
      <w:r w:rsidR="006E092A" w:rsidRPr="009A1B41">
        <w:rPr>
          <w:sz w:val="24"/>
          <w:szCs w:val="24"/>
        </w:rPr>
        <w:t xml:space="preserve">h </w:t>
      </w:r>
      <w:r w:rsidR="00B23246">
        <w:rPr>
          <w:sz w:val="24"/>
          <w:szCs w:val="24"/>
        </w:rPr>
        <w:t xml:space="preserve">30 </w:t>
      </w:r>
      <w:proofErr w:type="spellStart"/>
      <w:r w:rsidR="006E092A" w:rsidRPr="009A1B41">
        <w:rPr>
          <w:sz w:val="24"/>
          <w:szCs w:val="24"/>
        </w:rPr>
        <w:t>min</w:t>
      </w:r>
      <w:proofErr w:type="spellEnd"/>
      <w:r w:rsidR="006E092A">
        <w:rPr>
          <w:sz w:val="24"/>
          <w:szCs w:val="24"/>
        </w:rPr>
        <w:t>,</w:t>
      </w:r>
      <w:r w:rsidRPr="006E092A">
        <w:rPr>
          <w:sz w:val="24"/>
          <w:szCs w:val="24"/>
        </w:rPr>
        <w:t xml:space="preserve"> do dia </w:t>
      </w:r>
      <w:r w:rsidR="00B23246">
        <w:rPr>
          <w:sz w:val="24"/>
          <w:szCs w:val="24"/>
        </w:rPr>
        <w:t>0</w:t>
      </w:r>
      <w:r w:rsidR="00355CDD">
        <w:rPr>
          <w:sz w:val="24"/>
          <w:szCs w:val="24"/>
        </w:rPr>
        <w:t>8</w:t>
      </w:r>
      <w:r w:rsidRPr="006E092A">
        <w:rPr>
          <w:sz w:val="24"/>
          <w:szCs w:val="24"/>
        </w:rPr>
        <w:t xml:space="preserve"> de </w:t>
      </w:r>
      <w:r w:rsidR="00B23246">
        <w:rPr>
          <w:sz w:val="24"/>
          <w:szCs w:val="24"/>
        </w:rPr>
        <w:t xml:space="preserve">março </w:t>
      </w:r>
      <w:r w:rsidRPr="006E092A">
        <w:rPr>
          <w:sz w:val="24"/>
          <w:szCs w:val="24"/>
        </w:rPr>
        <w:t xml:space="preserve">de </w:t>
      </w:r>
      <w:r w:rsidR="00B23246">
        <w:rPr>
          <w:sz w:val="24"/>
          <w:szCs w:val="24"/>
        </w:rPr>
        <w:t>2013</w:t>
      </w:r>
      <w:r w:rsidRPr="006E092A">
        <w:rPr>
          <w:sz w:val="24"/>
          <w:szCs w:val="24"/>
        </w:rPr>
        <w:t>, no Escritório Central da ANP, na Avenida Rio Branco, 65, 13º andar, Centro, Rio de Janeiro/RJ.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 FORMA DE PARTICIPAÇÃO E CADASTRAMENTO DE EXPOSITORES NA AUDIÊNCIA PÚBLICA: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6.1 As inscrições de expositores interessados em se manifestar verbalmente durante a Audiência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6E092A">
        <w:rPr>
          <w:sz w:val="24"/>
          <w:szCs w:val="24"/>
        </w:rPr>
        <w:t>deverão</w:t>
      </w:r>
      <w:proofErr w:type="gramEnd"/>
      <w:r w:rsidRPr="006E092A">
        <w:rPr>
          <w:sz w:val="24"/>
          <w:szCs w:val="24"/>
        </w:rPr>
        <w:t xml:space="preserve"> ser realizadas até as </w:t>
      </w:r>
      <w:r w:rsidR="00B23246">
        <w:rPr>
          <w:sz w:val="24"/>
          <w:szCs w:val="24"/>
        </w:rPr>
        <w:t>16</w:t>
      </w:r>
      <w:r w:rsidRPr="006E092A">
        <w:rPr>
          <w:sz w:val="24"/>
          <w:szCs w:val="24"/>
        </w:rPr>
        <w:t xml:space="preserve"> horas do dia </w:t>
      </w:r>
      <w:r w:rsidR="00355CDD">
        <w:rPr>
          <w:sz w:val="24"/>
          <w:szCs w:val="24"/>
        </w:rPr>
        <w:t>05</w:t>
      </w:r>
      <w:r w:rsidRPr="006E092A">
        <w:rPr>
          <w:sz w:val="24"/>
          <w:szCs w:val="24"/>
        </w:rPr>
        <w:t xml:space="preserve"> de </w:t>
      </w:r>
      <w:r w:rsidR="00B23246">
        <w:rPr>
          <w:sz w:val="24"/>
          <w:szCs w:val="24"/>
        </w:rPr>
        <w:t>março</w:t>
      </w:r>
      <w:r w:rsidRPr="006E092A">
        <w:rPr>
          <w:sz w:val="24"/>
          <w:szCs w:val="24"/>
        </w:rPr>
        <w:t xml:space="preserve"> de </w:t>
      </w:r>
      <w:r w:rsidR="00B23246">
        <w:rPr>
          <w:sz w:val="24"/>
          <w:szCs w:val="24"/>
        </w:rPr>
        <w:t>2013</w:t>
      </w:r>
      <w:r w:rsidRPr="006E092A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B23246">
        <w:rPr>
          <w:sz w:val="24"/>
          <w:szCs w:val="24"/>
        </w:rPr>
        <w:t>rev_desat_SEP</w:t>
      </w:r>
      <w:r w:rsidRPr="006E092A">
        <w:rPr>
          <w:sz w:val="24"/>
          <w:szCs w:val="24"/>
        </w:rPr>
        <w:t xml:space="preserve">@anp.gov.br, fax (21) </w:t>
      </w:r>
      <w:r w:rsidR="00F94951">
        <w:rPr>
          <w:sz w:val="24"/>
          <w:szCs w:val="24"/>
        </w:rPr>
        <w:t>2112-8419</w:t>
      </w:r>
      <w:r w:rsidRPr="006E092A">
        <w:rPr>
          <w:sz w:val="24"/>
          <w:szCs w:val="24"/>
        </w:rPr>
        <w:t>, ou diretamente em um dos protocolos da ANP.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6.3 Para </w:t>
      </w:r>
      <w:proofErr w:type="gramStart"/>
      <w:r w:rsidRPr="006E092A">
        <w:rPr>
          <w:sz w:val="24"/>
          <w:szCs w:val="24"/>
        </w:rPr>
        <w:t>otimizar</w:t>
      </w:r>
      <w:proofErr w:type="gramEnd"/>
      <w:r w:rsidRPr="006E092A">
        <w:rPr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as </w:t>
      </w:r>
      <w:r w:rsidR="00604B66">
        <w:rPr>
          <w:sz w:val="24"/>
          <w:szCs w:val="24"/>
        </w:rPr>
        <w:t>14</w:t>
      </w:r>
      <w:r w:rsidRPr="006E092A">
        <w:rPr>
          <w:sz w:val="24"/>
          <w:szCs w:val="24"/>
        </w:rPr>
        <w:t xml:space="preserve"> horas do dia </w:t>
      </w:r>
      <w:r w:rsidR="00355CDD">
        <w:rPr>
          <w:sz w:val="24"/>
          <w:szCs w:val="24"/>
        </w:rPr>
        <w:t>05</w:t>
      </w:r>
      <w:r w:rsidRPr="006E092A">
        <w:rPr>
          <w:sz w:val="24"/>
          <w:szCs w:val="24"/>
        </w:rPr>
        <w:t xml:space="preserve"> de </w:t>
      </w:r>
      <w:r w:rsidR="00604B66">
        <w:rPr>
          <w:sz w:val="24"/>
          <w:szCs w:val="24"/>
        </w:rPr>
        <w:t>março</w:t>
      </w:r>
      <w:r w:rsidRPr="006E092A">
        <w:rPr>
          <w:sz w:val="24"/>
          <w:szCs w:val="24"/>
        </w:rPr>
        <w:t xml:space="preserve"> de </w:t>
      </w:r>
      <w:r w:rsidR="00604B66">
        <w:rPr>
          <w:sz w:val="24"/>
          <w:szCs w:val="24"/>
        </w:rPr>
        <w:t>2013</w:t>
      </w:r>
      <w:r w:rsidRPr="006E092A">
        <w:rPr>
          <w:sz w:val="24"/>
          <w:szCs w:val="24"/>
        </w:rPr>
        <w:t>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6.5 Inicialmente, será permitida a manifestação de pessoas físicas e de </w:t>
      </w:r>
      <w:proofErr w:type="gramStart"/>
      <w:r w:rsidRPr="006E092A">
        <w:rPr>
          <w:sz w:val="24"/>
          <w:szCs w:val="24"/>
        </w:rPr>
        <w:t>1</w:t>
      </w:r>
      <w:proofErr w:type="gramEnd"/>
      <w:r w:rsidRPr="006E092A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Pr="006E092A">
        <w:rPr>
          <w:sz w:val="24"/>
          <w:szCs w:val="24"/>
        </w:rPr>
        <w:t>a oitiva de todas as partes interessadas, observado</w:t>
      </w:r>
      <w:proofErr w:type="gramEnd"/>
      <w:r w:rsidRPr="006E092A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7. PRESIDÊNCIA E SECRETARIADO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Fica designado como Presidente da Audiência Pública o servidor </w:t>
      </w:r>
      <w:proofErr w:type="spellStart"/>
      <w:r w:rsidR="00604B66">
        <w:rPr>
          <w:sz w:val="24"/>
          <w:szCs w:val="24"/>
        </w:rPr>
        <w:t>Theognis</w:t>
      </w:r>
      <w:proofErr w:type="spellEnd"/>
      <w:r w:rsidR="00604B66">
        <w:rPr>
          <w:sz w:val="24"/>
          <w:szCs w:val="24"/>
        </w:rPr>
        <w:t xml:space="preserve"> </w:t>
      </w:r>
      <w:proofErr w:type="spellStart"/>
      <w:r w:rsidR="00604B66">
        <w:rPr>
          <w:sz w:val="24"/>
          <w:szCs w:val="24"/>
        </w:rPr>
        <w:t>Castejon</w:t>
      </w:r>
      <w:proofErr w:type="spellEnd"/>
      <w:r w:rsidR="00604B66">
        <w:rPr>
          <w:sz w:val="24"/>
          <w:szCs w:val="24"/>
        </w:rPr>
        <w:t xml:space="preserve"> Rodrigues</w:t>
      </w:r>
      <w:r w:rsidRPr="006E092A">
        <w:rPr>
          <w:sz w:val="24"/>
          <w:szCs w:val="24"/>
        </w:rPr>
        <w:t xml:space="preserve"> e como Secretário o servidor </w:t>
      </w:r>
      <w:r w:rsidR="00604B66">
        <w:rPr>
          <w:sz w:val="24"/>
          <w:szCs w:val="24"/>
        </w:rPr>
        <w:t>Nilce Olivier Costa</w:t>
      </w:r>
      <w:r w:rsidRPr="006E092A">
        <w:rPr>
          <w:sz w:val="24"/>
          <w:szCs w:val="24"/>
        </w:rPr>
        <w:t>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8. PROGRAMAÇÃO</w:t>
      </w:r>
    </w:p>
    <w:p w:rsidR="00A52589" w:rsidRPr="006E092A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5"/>
        <w:gridCol w:w="1046"/>
        <w:gridCol w:w="7687"/>
      </w:tblGrid>
      <w:tr w:rsidR="0036004C" w:rsidRPr="006E092A" w:rsidTr="006E092A">
        <w:tc>
          <w:tcPr>
            <w:tcW w:w="534" w:type="pct"/>
          </w:tcPr>
          <w:p w:rsidR="0036004C" w:rsidRPr="006E092A" w:rsidRDefault="00604B66" w:rsidP="006043DC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napToGrid w:val="0"/>
                <w:color w:val="000000"/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535" w:type="pct"/>
          </w:tcPr>
          <w:p w:rsidR="0036004C" w:rsidRPr="006E092A" w:rsidRDefault="00604B66" w:rsidP="006043DC">
            <w:pPr>
              <w:ind w:lef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9:30</w:t>
            </w:r>
            <w:proofErr w:type="gramEnd"/>
          </w:p>
        </w:tc>
        <w:tc>
          <w:tcPr>
            <w:tcW w:w="3931" w:type="pct"/>
          </w:tcPr>
          <w:p w:rsidR="0036004C" w:rsidRPr="006E092A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92A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6004C" w:rsidRPr="006E092A" w:rsidTr="006E092A">
        <w:tc>
          <w:tcPr>
            <w:tcW w:w="534" w:type="pct"/>
          </w:tcPr>
          <w:p w:rsidR="0036004C" w:rsidRPr="006E092A" w:rsidRDefault="00604B66" w:rsidP="00604B66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9:30</w:t>
            </w:r>
            <w:proofErr w:type="gramEnd"/>
          </w:p>
        </w:tc>
        <w:tc>
          <w:tcPr>
            <w:tcW w:w="535" w:type="pct"/>
          </w:tcPr>
          <w:p w:rsidR="0036004C" w:rsidRPr="006E092A" w:rsidRDefault="00604B66" w:rsidP="006043DC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3931" w:type="pct"/>
          </w:tcPr>
          <w:p w:rsidR="0036004C" w:rsidRPr="006E092A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92A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36004C" w:rsidRPr="006E092A" w:rsidTr="006E092A">
        <w:tc>
          <w:tcPr>
            <w:tcW w:w="534" w:type="pct"/>
          </w:tcPr>
          <w:p w:rsidR="0036004C" w:rsidRPr="006E092A" w:rsidRDefault="00604B66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535" w:type="pct"/>
          </w:tcPr>
          <w:p w:rsidR="0036004C" w:rsidRPr="006E092A" w:rsidRDefault="00604B66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3931" w:type="pct"/>
          </w:tcPr>
          <w:p w:rsidR="0036004C" w:rsidRPr="006E092A" w:rsidRDefault="0036004C" w:rsidP="00023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92A">
              <w:rPr>
                <w:sz w:val="24"/>
                <w:szCs w:val="24"/>
              </w:rPr>
              <w:t xml:space="preserve">Exposição do tema pela Superintendência </w:t>
            </w:r>
          </w:p>
        </w:tc>
      </w:tr>
      <w:tr w:rsidR="0036004C" w:rsidRPr="006E092A" w:rsidTr="006E092A">
        <w:tc>
          <w:tcPr>
            <w:tcW w:w="534" w:type="pct"/>
          </w:tcPr>
          <w:p w:rsidR="0036004C" w:rsidRPr="006E092A" w:rsidRDefault="00604B66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proofErr w:type="gramEnd"/>
          </w:p>
        </w:tc>
        <w:tc>
          <w:tcPr>
            <w:tcW w:w="535" w:type="pct"/>
          </w:tcPr>
          <w:p w:rsidR="0036004C" w:rsidRPr="006E092A" w:rsidRDefault="00604B66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3931" w:type="pct"/>
          </w:tcPr>
          <w:p w:rsidR="0036004C" w:rsidRPr="006E092A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92A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36004C" w:rsidRPr="006E092A" w:rsidTr="006E092A">
        <w:tc>
          <w:tcPr>
            <w:tcW w:w="534" w:type="pct"/>
          </w:tcPr>
          <w:p w:rsidR="0036004C" w:rsidRPr="006E092A" w:rsidRDefault="00604B66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535" w:type="pct"/>
          </w:tcPr>
          <w:p w:rsidR="0036004C" w:rsidRPr="006E092A" w:rsidRDefault="00604B66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11:30</w:t>
            </w:r>
            <w:proofErr w:type="gramEnd"/>
          </w:p>
        </w:tc>
        <w:tc>
          <w:tcPr>
            <w:tcW w:w="3931" w:type="pct"/>
          </w:tcPr>
          <w:p w:rsidR="0036004C" w:rsidRPr="006E092A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092A">
              <w:rPr>
                <w:sz w:val="24"/>
                <w:szCs w:val="24"/>
              </w:rPr>
              <w:t>Comentários finais e encerramento</w:t>
            </w:r>
          </w:p>
        </w:tc>
      </w:tr>
    </w:tbl>
    <w:p w:rsidR="00023E80" w:rsidRDefault="00023E80" w:rsidP="00023E80">
      <w:pPr>
        <w:pStyle w:val="Ttulo4"/>
      </w:pPr>
    </w:p>
    <w:p w:rsidR="00023E80" w:rsidRDefault="00023E80" w:rsidP="00023E80">
      <w:pPr>
        <w:pStyle w:val="Ttulo4"/>
      </w:pPr>
      <w:r>
        <w:t>H</w:t>
      </w:r>
      <w:r w:rsidRPr="00F7758A">
        <w:t xml:space="preserve">ELDER </w:t>
      </w:r>
      <w:r>
        <w:t>Q</w:t>
      </w:r>
      <w:r w:rsidRPr="00F7758A">
        <w:t>UEIROZ PINTO JUNIOR</w:t>
      </w:r>
    </w:p>
    <w:p w:rsidR="00C03364" w:rsidRPr="006E092A" w:rsidRDefault="00C03364" w:rsidP="00023E8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07" w:rsidRDefault="00BB5207" w:rsidP="006E092A">
      <w:r>
        <w:separator/>
      </w:r>
    </w:p>
  </w:endnote>
  <w:endnote w:type="continuationSeparator" w:id="0">
    <w:p w:rsidR="00BB5207" w:rsidRDefault="00BB5207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07" w:rsidRDefault="00BB5207" w:rsidP="006E092A">
      <w:r>
        <w:separator/>
      </w:r>
    </w:p>
  </w:footnote>
  <w:footnote w:type="continuationSeparator" w:id="0">
    <w:p w:rsidR="00BB5207" w:rsidRDefault="00BB5207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23E80"/>
    <w:rsid w:val="00091E43"/>
    <w:rsid w:val="000C64F8"/>
    <w:rsid w:val="000C71E6"/>
    <w:rsid w:val="000D1543"/>
    <w:rsid w:val="000E5734"/>
    <w:rsid w:val="001A0DB4"/>
    <w:rsid w:val="001B5A54"/>
    <w:rsid w:val="001D57EC"/>
    <w:rsid w:val="00217FD7"/>
    <w:rsid w:val="00236134"/>
    <w:rsid w:val="00291174"/>
    <w:rsid w:val="002D2A51"/>
    <w:rsid w:val="002D387C"/>
    <w:rsid w:val="002F68C8"/>
    <w:rsid w:val="00330112"/>
    <w:rsid w:val="00355CDD"/>
    <w:rsid w:val="0036004C"/>
    <w:rsid w:val="00366DAE"/>
    <w:rsid w:val="003A5522"/>
    <w:rsid w:val="003B4646"/>
    <w:rsid w:val="003C56E7"/>
    <w:rsid w:val="003D448B"/>
    <w:rsid w:val="003D5D69"/>
    <w:rsid w:val="0040335E"/>
    <w:rsid w:val="004A0159"/>
    <w:rsid w:val="004A44DF"/>
    <w:rsid w:val="004A7FF7"/>
    <w:rsid w:val="004C7202"/>
    <w:rsid w:val="00505EC9"/>
    <w:rsid w:val="00524759"/>
    <w:rsid w:val="00537D67"/>
    <w:rsid w:val="00553D98"/>
    <w:rsid w:val="00570E8B"/>
    <w:rsid w:val="005779B3"/>
    <w:rsid w:val="006043DC"/>
    <w:rsid w:val="00604B66"/>
    <w:rsid w:val="00636938"/>
    <w:rsid w:val="00687607"/>
    <w:rsid w:val="00687F8A"/>
    <w:rsid w:val="00695E7A"/>
    <w:rsid w:val="006E092A"/>
    <w:rsid w:val="00851ABA"/>
    <w:rsid w:val="008B4381"/>
    <w:rsid w:val="008B7872"/>
    <w:rsid w:val="008D2E42"/>
    <w:rsid w:val="00910D7C"/>
    <w:rsid w:val="00954EE6"/>
    <w:rsid w:val="009737E9"/>
    <w:rsid w:val="0099076D"/>
    <w:rsid w:val="0099730C"/>
    <w:rsid w:val="009E5076"/>
    <w:rsid w:val="00A1155C"/>
    <w:rsid w:val="00A52589"/>
    <w:rsid w:val="00A83A56"/>
    <w:rsid w:val="00AA741E"/>
    <w:rsid w:val="00AB2EC8"/>
    <w:rsid w:val="00B2269E"/>
    <w:rsid w:val="00B23246"/>
    <w:rsid w:val="00BB25D6"/>
    <w:rsid w:val="00BB5207"/>
    <w:rsid w:val="00BB6725"/>
    <w:rsid w:val="00BC4CA0"/>
    <w:rsid w:val="00BD0AE5"/>
    <w:rsid w:val="00C03364"/>
    <w:rsid w:val="00C11200"/>
    <w:rsid w:val="00C534C8"/>
    <w:rsid w:val="00CE721B"/>
    <w:rsid w:val="00D06981"/>
    <w:rsid w:val="00D5666D"/>
    <w:rsid w:val="00DC13F5"/>
    <w:rsid w:val="00DD3C7A"/>
    <w:rsid w:val="00E00897"/>
    <w:rsid w:val="00E3206D"/>
    <w:rsid w:val="00E465CB"/>
    <w:rsid w:val="00E60A59"/>
    <w:rsid w:val="00E85F12"/>
    <w:rsid w:val="00E860C0"/>
    <w:rsid w:val="00F31703"/>
    <w:rsid w:val="00F66E9A"/>
    <w:rsid w:val="00F87764"/>
    <w:rsid w:val="00F94951"/>
    <w:rsid w:val="00FC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paragraph" w:styleId="Ttulo4">
    <w:name w:val="heading 4"/>
    <w:basedOn w:val="Normal"/>
    <w:next w:val="Normal"/>
    <w:link w:val="Ttulo4Char"/>
    <w:qFormat/>
    <w:rsid w:val="00023E80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character" w:customStyle="1" w:styleId="Ttulo4Char">
    <w:name w:val="Título 4 Char"/>
    <w:basedOn w:val="Fontepargpadro"/>
    <w:link w:val="Ttulo4"/>
    <w:rsid w:val="00023E8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sesteves</cp:lastModifiedBy>
  <cp:revision>2</cp:revision>
  <cp:lastPrinted>2013-01-09T17:41:00Z</cp:lastPrinted>
  <dcterms:created xsi:type="dcterms:W3CDTF">2013-01-31T18:59:00Z</dcterms:created>
  <dcterms:modified xsi:type="dcterms:W3CDTF">2013-01-31T18:59:00Z</dcterms:modified>
</cp:coreProperties>
</file>