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Pr="00CE3398" w:rsidRDefault="004518B0" w:rsidP="004518B0">
      <w:pPr>
        <w:spacing w:after="120" w:line="240" w:lineRule="auto"/>
        <w:jc w:val="center"/>
        <w:rPr>
          <w:rFonts w:ascii="Times New Roman" w:hAnsi="Times New Roman"/>
          <w:b/>
          <w:sz w:val="24"/>
          <w:szCs w:val="24"/>
        </w:rPr>
      </w:pPr>
    </w:p>
    <w:p w:rsidR="004518B0" w:rsidRPr="00DB7214" w:rsidRDefault="004518B0" w:rsidP="004518B0">
      <w:pPr>
        <w:spacing w:after="120" w:line="240" w:lineRule="auto"/>
        <w:jc w:val="center"/>
        <w:rPr>
          <w:rFonts w:ascii="Times New Roman" w:hAnsi="Times New Roman"/>
          <w:sz w:val="32"/>
          <w:szCs w:val="32"/>
        </w:rPr>
      </w:pPr>
      <w:r w:rsidRPr="00DB7214">
        <w:rPr>
          <w:rFonts w:ascii="Times New Roman" w:hAnsi="Times New Roman"/>
          <w:b/>
          <w:sz w:val="32"/>
          <w:szCs w:val="32"/>
        </w:rPr>
        <w:t>AVALIAÇÃO DE IMPACTO REGULATÓRIO DA ADITIVAÇÃO MÍNIMA OBRIGATÓRIA DA GASOLINA</w:t>
      </w: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r>
        <w:rPr>
          <w:rFonts w:ascii="Times New Roman" w:hAnsi="Times New Roman"/>
          <w:b/>
          <w:sz w:val="24"/>
          <w:szCs w:val="24"/>
        </w:rPr>
        <w:t>Superintendência de Biocombustíveis e Qualidade de Produtos</w:t>
      </w: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E37941" w:rsidP="0002519A">
      <w:pPr>
        <w:spacing w:after="120"/>
        <w:jc w:val="center"/>
        <w:rPr>
          <w:rFonts w:ascii="Times New Roman" w:hAnsi="Times New Roman"/>
          <w:b/>
          <w:sz w:val="24"/>
          <w:szCs w:val="24"/>
        </w:rPr>
      </w:pPr>
      <w:r>
        <w:rPr>
          <w:rFonts w:ascii="Times New Roman" w:hAnsi="Times New Roman"/>
          <w:b/>
          <w:sz w:val="24"/>
          <w:szCs w:val="24"/>
        </w:rPr>
        <w:t>Junho</w:t>
      </w:r>
      <w:r w:rsidR="004518B0">
        <w:rPr>
          <w:rFonts w:ascii="Times New Roman" w:hAnsi="Times New Roman"/>
          <w:b/>
          <w:sz w:val="24"/>
          <w:szCs w:val="24"/>
        </w:rPr>
        <w:t xml:space="preserve"> de 2013</w:t>
      </w: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Default="004518B0" w:rsidP="0002519A">
      <w:pPr>
        <w:spacing w:after="120"/>
        <w:jc w:val="center"/>
        <w:rPr>
          <w:rFonts w:ascii="Times New Roman" w:hAnsi="Times New Roman"/>
          <w:b/>
          <w:sz w:val="24"/>
          <w:szCs w:val="24"/>
        </w:rPr>
      </w:pPr>
    </w:p>
    <w:p w:rsidR="004518B0" w:rsidRPr="006B0BCE" w:rsidRDefault="004518B0" w:rsidP="004518B0">
      <w:pPr>
        <w:autoSpaceDE w:val="0"/>
        <w:autoSpaceDN w:val="0"/>
        <w:adjustRightInd w:val="0"/>
        <w:spacing w:after="0" w:line="240" w:lineRule="auto"/>
        <w:rPr>
          <w:rFonts w:ascii="Times New Roman" w:hAnsi="Times New Roman"/>
          <w:b/>
          <w:sz w:val="24"/>
          <w:szCs w:val="24"/>
        </w:rPr>
      </w:pPr>
      <w:r w:rsidRPr="006B0BCE">
        <w:rPr>
          <w:rFonts w:ascii="Times New Roman" w:hAnsi="Times New Roman"/>
          <w:b/>
          <w:sz w:val="24"/>
          <w:szCs w:val="24"/>
        </w:rPr>
        <w:t>Superintendente de Biocombustíveis e Qualidade de Produtos</w:t>
      </w:r>
    </w:p>
    <w:p w:rsidR="004518B0" w:rsidRPr="006B0BCE" w:rsidRDefault="004518B0" w:rsidP="004518B0">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Rosângela Moreira de Araujo</w:t>
      </w:r>
    </w:p>
    <w:p w:rsidR="004518B0" w:rsidRPr="006B0BCE" w:rsidRDefault="004518B0" w:rsidP="004518B0">
      <w:pPr>
        <w:autoSpaceDE w:val="0"/>
        <w:autoSpaceDN w:val="0"/>
        <w:adjustRightInd w:val="0"/>
        <w:spacing w:after="0" w:line="240" w:lineRule="auto"/>
        <w:rPr>
          <w:rFonts w:ascii="Times New Roman" w:hAnsi="Times New Roman"/>
          <w:b/>
          <w:sz w:val="24"/>
          <w:szCs w:val="24"/>
        </w:rPr>
      </w:pPr>
    </w:p>
    <w:p w:rsidR="004518B0" w:rsidRPr="006B0BCE" w:rsidRDefault="004518B0" w:rsidP="004518B0">
      <w:pPr>
        <w:autoSpaceDE w:val="0"/>
        <w:autoSpaceDN w:val="0"/>
        <w:adjustRightInd w:val="0"/>
        <w:spacing w:after="0" w:line="240" w:lineRule="auto"/>
        <w:rPr>
          <w:rFonts w:ascii="Times New Roman" w:hAnsi="Times New Roman"/>
          <w:b/>
          <w:sz w:val="24"/>
          <w:szCs w:val="24"/>
        </w:rPr>
      </w:pPr>
      <w:r w:rsidRPr="006B0BCE">
        <w:rPr>
          <w:rFonts w:ascii="Times New Roman" w:hAnsi="Times New Roman"/>
          <w:b/>
          <w:sz w:val="24"/>
          <w:szCs w:val="24"/>
        </w:rPr>
        <w:t>Superintendente Adjunta</w:t>
      </w:r>
    </w:p>
    <w:p w:rsidR="004518B0" w:rsidRPr="006B0BCE" w:rsidRDefault="004518B0" w:rsidP="004518B0">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 xml:space="preserve">Cristiane </w:t>
      </w:r>
      <w:proofErr w:type="spellStart"/>
      <w:r w:rsidRPr="006B0BCE">
        <w:rPr>
          <w:rFonts w:ascii="Times New Roman" w:hAnsi="Times New Roman"/>
          <w:sz w:val="24"/>
          <w:szCs w:val="24"/>
        </w:rPr>
        <w:t>Zulivia</w:t>
      </w:r>
      <w:proofErr w:type="spellEnd"/>
      <w:r w:rsidRPr="006B0BCE">
        <w:rPr>
          <w:rFonts w:ascii="Times New Roman" w:hAnsi="Times New Roman"/>
          <w:sz w:val="24"/>
          <w:szCs w:val="24"/>
        </w:rPr>
        <w:t xml:space="preserve"> de Andrade Monteiro</w:t>
      </w:r>
    </w:p>
    <w:p w:rsidR="004518B0" w:rsidRPr="006B0BCE" w:rsidRDefault="004518B0" w:rsidP="004518B0">
      <w:pPr>
        <w:autoSpaceDE w:val="0"/>
        <w:autoSpaceDN w:val="0"/>
        <w:adjustRightInd w:val="0"/>
        <w:spacing w:after="0" w:line="240" w:lineRule="auto"/>
        <w:rPr>
          <w:rFonts w:ascii="Times New Roman" w:hAnsi="Times New Roman"/>
          <w:b/>
          <w:sz w:val="24"/>
          <w:szCs w:val="24"/>
        </w:rPr>
      </w:pPr>
    </w:p>
    <w:p w:rsidR="004518B0" w:rsidRPr="006B0BCE" w:rsidRDefault="004518B0" w:rsidP="004518B0">
      <w:pPr>
        <w:autoSpaceDE w:val="0"/>
        <w:autoSpaceDN w:val="0"/>
        <w:adjustRightInd w:val="0"/>
        <w:spacing w:after="0" w:line="240" w:lineRule="auto"/>
        <w:rPr>
          <w:rFonts w:ascii="Times New Roman" w:hAnsi="Times New Roman"/>
          <w:b/>
          <w:sz w:val="24"/>
          <w:szCs w:val="24"/>
        </w:rPr>
      </w:pPr>
    </w:p>
    <w:p w:rsidR="004518B0" w:rsidRPr="006B0BCE" w:rsidRDefault="004518B0" w:rsidP="004518B0">
      <w:pPr>
        <w:autoSpaceDE w:val="0"/>
        <w:autoSpaceDN w:val="0"/>
        <w:adjustRightInd w:val="0"/>
        <w:spacing w:after="0" w:line="240" w:lineRule="auto"/>
        <w:rPr>
          <w:rFonts w:ascii="Times New Roman" w:hAnsi="Times New Roman"/>
          <w:b/>
          <w:sz w:val="24"/>
          <w:szCs w:val="24"/>
        </w:rPr>
      </w:pPr>
      <w:r w:rsidRPr="006B0BCE">
        <w:rPr>
          <w:rFonts w:ascii="Times New Roman" w:hAnsi="Times New Roman"/>
          <w:b/>
          <w:sz w:val="24"/>
          <w:szCs w:val="24"/>
        </w:rPr>
        <w:t>Grupo de Trabalho</w:t>
      </w:r>
    </w:p>
    <w:p w:rsidR="003163A6" w:rsidRPr="00DF626E" w:rsidRDefault="003163A6" w:rsidP="004518B0">
      <w:pPr>
        <w:autoSpaceDE w:val="0"/>
        <w:autoSpaceDN w:val="0"/>
        <w:adjustRightInd w:val="0"/>
        <w:spacing w:after="0" w:line="240" w:lineRule="auto"/>
        <w:rPr>
          <w:rFonts w:ascii="Times New Roman" w:hAnsi="Times New Roman"/>
          <w:i/>
          <w:sz w:val="24"/>
          <w:szCs w:val="24"/>
        </w:rPr>
      </w:pPr>
      <w:r w:rsidRPr="00DF626E">
        <w:rPr>
          <w:rFonts w:ascii="Times New Roman" w:hAnsi="Times New Roman"/>
          <w:i/>
          <w:sz w:val="24"/>
          <w:szCs w:val="24"/>
        </w:rPr>
        <w:t>Superintendência de Biocombustíveis e Qualidade de Produtos</w:t>
      </w:r>
    </w:p>
    <w:p w:rsidR="004518B0" w:rsidRPr="006B0BCE" w:rsidRDefault="004518B0" w:rsidP="004518B0">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Jackson da Silva Albuquerque</w:t>
      </w:r>
    </w:p>
    <w:p w:rsidR="003163A6" w:rsidRDefault="003163A6" w:rsidP="004518B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Rita Capra Vieira</w:t>
      </w:r>
    </w:p>
    <w:p w:rsidR="003163A6" w:rsidRDefault="003163A6" w:rsidP="004518B0">
      <w:pPr>
        <w:autoSpaceDE w:val="0"/>
        <w:autoSpaceDN w:val="0"/>
        <w:adjustRightInd w:val="0"/>
        <w:spacing w:after="0" w:line="240" w:lineRule="auto"/>
        <w:rPr>
          <w:rFonts w:ascii="Times New Roman" w:hAnsi="Times New Roman"/>
          <w:sz w:val="24"/>
          <w:szCs w:val="24"/>
        </w:rPr>
      </w:pPr>
    </w:p>
    <w:p w:rsidR="003163A6" w:rsidRPr="00DF626E" w:rsidRDefault="003163A6" w:rsidP="004518B0">
      <w:pPr>
        <w:autoSpaceDE w:val="0"/>
        <w:autoSpaceDN w:val="0"/>
        <w:adjustRightInd w:val="0"/>
        <w:spacing w:after="0" w:line="240" w:lineRule="auto"/>
        <w:rPr>
          <w:rFonts w:ascii="Times New Roman" w:hAnsi="Times New Roman"/>
          <w:i/>
          <w:sz w:val="24"/>
          <w:szCs w:val="24"/>
        </w:rPr>
      </w:pPr>
      <w:r w:rsidRPr="00DF626E">
        <w:rPr>
          <w:rFonts w:ascii="Times New Roman" w:hAnsi="Times New Roman"/>
          <w:i/>
          <w:sz w:val="24"/>
          <w:szCs w:val="24"/>
        </w:rPr>
        <w:t>Superintendência de Fiscalização do Abastecimento</w:t>
      </w:r>
    </w:p>
    <w:p w:rsidR="003163A6" w:rsidRPr="006B0BCE" w:rsidRDefault="003163A6" w:rsidP="003163A6">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Felipe Elias de Oliveira</w:t>
      </w:r>
      <w:r>
        <w:rPr>
          <w:rFonts w:ascii="Times New Roman" w:hAnsi="Times New Roman"/>
          <w:sz w:val="24"/>
          <w:szCs w:val="24"/>
        </w:rPr>
        <w:t xml:space="preserve"> </w:t>
      </w:r>
    </w:p>
    <w:p w:rsidR="003163A6" w:rsidRDefault="003163A6" w:rsidP="004518B0">
      <w:pPr>
        <w:autoSpaceDE w:val="0"/>
        <w:autoSpaceDN w:val="0"/>
        <w:adjustRightInd w:val="0"/>
        <w:spacing w:after="0" w:line="240" w:lineRule="auto"/>
        <w:rPr>
          <w:rFonts w:ascii="Times New Roman" w:hAnsi="Times New Roman"/>
          <w:sz w:val="24"/>
          <w:szCs w:val="24"/>
        </w:rPr>
      </w:pPr>
    </w:p>
    <w:p w:rsidR="003163A6" w:rsidRPr="00DF626E" w:rsidRDefault="003163A6" w:rsidP="004518B0">
      <w:pPr>
        <w:autoSpaceDE w:val="0"/>
        <w:autoSpaceDN w:val="0"/>
        <w:adjustRightInd w:val="0"/>
        <w:spacing w:after="0" w:line="240" w:lineRule="auto"/>
        <w:rPr>
          <w:rFonts w:ascii="Times New Roman" w:hAnsi="Times New Roman"/>
          <w:i/>
          <w:sz w:val="24"/>
          <w:szCs w:val="24"/>
        </w:rPr>
      </w:pPr>
      <w:r w:rsidRPr="00DF626E">
        <w:rPr>
          <w:rFonts w:ascii="Times New Roman" w:hAnsi="Times New Roman"/>
          <w:i/>
          <w:sz w:val="24"/>
          <w:szCs w:val="24"/>
        </w:rPr>
        <w:t>Superintendência de Abastec</w:t>
      </w:r>
      <w:r w:rsidR="00401641" w:rsidRPr="00DF626E">
        <w:rPr>
          <w:rFonts w:ascii="Times New Roman" w:hAnsi="Times New Roman"/>
          <w:i/>
          <w:sz w:val="24"/>
          <w:szCs w:val="24"/>
        </w:rPr>
        <w:t>i</w:t>
      </w:r>
      <w:r w:rsidRPr="00DF626E">
        <w:rPr>
          <w:rFonts w:ascii="Times New Roman" w:hAnsi="Times New Roman"/>
          <w:i/>
          <w:sz w:val="24"/>
          <w:szCs w:val="24"/>
        </w:rPr>
        <w:t>mento</w:t>
      </w:r>
    </w:p>
    <w:p w:rsidR="004518B0" w:rsidRPr="006B0BCE" w:rsidRDefault="004518B0" w:rsidP="004518B0">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 xml:space="preserve">Renata </w:t>
      </w:r>
      <w:proofErr w:type="spellStart"/>
      <w:r w:rsidRPr="006B0BCE">
        <w:rPr>
          <w:rFonts w:ascii="Times New Roman" w:hAnsi="Times New Roman"/>
          <w:sz w:val="24"/>
          <w:szCs w:val="24"/>
        </w:rPr>
        <w:t>Bona</w:t>
      </w:r>
      <w:proofErr w:type="spellEnd"/>
      <w:r w:rsidRPr="006B0BCE">
        <w:rPr>
          <w:rFonts w:ascii="Times New Roman" w:hAnsi="Times New Roman"/>
          <w:sz w:val="24"/>
          <w:szCs w:val="24"/>
        </w:rPr>
        <w:t xml:space="preserve"> </w:t>
      </w:r>
      <w:proofErr w:type="spellStart"/>
      <w:r w:rsidRPr="006B0BCE">
        <w:rPr>
          <w:rFonts w:ascii="Times New Roman" w:hAnsi="Times New Roman"/>
          <w:sz w:val="24"/>
          <w:szCs w:val="24"/>
        </w:rPr>
        <w:t>Mallemont</w:t>
      </w:r>
      <w:proofErr w:type="spellEnd"/>
      <w:r w:rsidRPr="006B0BCE">
        <w:rPr>
          <w:rFonts w:ascii="Times New Roman" w:hAnsi="Times New Roman"/>
          <w:sz w:val="24"/>
          <w:szCs w:val="24"/>
        </w:rPr>
        <w:t xml:space="preserve"> Rebello</w:t>
      </w:r>
    </w:p>
    <w:p w:rsidR="004518B0" w:rsidRDefault="004518B0" w:rsidP="004518B0">
      <w:pPr>
        <w:autoSpaceDE w:val="0"/>
        <w:autoSpaceDN w:val="0"/>
        <w:adjustRightInd w:val="0"/>
        <w:spacing w:after="0" w:line="240" w:lineRule="auto"/>
        <w:rPr>
          <w:rFonts w:ascii="Times New Roman" w:hAnsi="Times New Roman"/>
          <w:b/>
          <w:sz w:val="24"/>
          <w:szCs w:val="24"/>
        </w:rPr>
      </w:pPr>
    </w:p>
    <w:p w:rsidR="003163A6" w:rsidRPr="00DF626E" w:rsidRDefault="003163A6" w:rsidP="003163A6">
      <w:pPr>
        <w:autoSpaceDE w:val="0"/>
        <w:autoSpaceDN w:val="0"/>
        <w:adjustRightInd w:val="0"/>
        <w:spacing w:after="0" w:line="240" w:lineRule="auto"/>
        <w:rPr>
          <w:rFonts w:ascii="Times New Roman" w:hAnsi="Times New Roman"/>
          <w:i/>
          <w:sz w:val="24"/>
          <w:szCs w:val="24"/>
        </w:rPr>
      </w:pPr>
      <w:r w:rsidRPr="00DF626E">
        <w:rPr>
          <w:rFonts w:ascii="Times New Roman" w:hAnsi="Times New Roman"/>
          <w:i/>
          <w:sz w:val="24"/>
          <w:szCs w:val="24"/>
        </w:rPr>
        <w:t>Superintendência de Pesquisa e Desenvolvimento Tecnológico</w:t>
      </w:r>
    </w:p>
    <w:p w:rsidR="003163A6" w:rsidRDefault="003163A6" w:rsidP="003163A6">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Jose Carlos Soares Tigre</w:t>
      </w:r>
      <w:r w:rsidRPr="006B0BCE" w:rsidDel="00E9112D">
        <w:rPr>
          <w:rFonts w:ascii="Times New Roman" w:hAnsi="Times New Roman"/>
          <w:sz w:val="24"/>
          <w:szCs w:val="24"/>
        </w:rPr>
        <w:t xml:space="preserve"> </w:t>
      </w:r>
    </w:p>
    <w:p w:rsidR="003163A6" w:rsidRPr="006B0BCE" w:rsidRDefault="003163A6" w:rsidP="003163A6">
      <w:pPr>
        <w:autoSpaceDE w:val="0"/>
        <w:autoSpaceDN w:val="0"/>
        <w:adjustRightInd w:val="0"/>
        <w:spacing w:after="0" w:line="240" w:lineRule="auto"/>
        <w:rPr>
          <w:rFonts w:ascii="Times New Roman" w:hAnsi="Times New Roman"/>
          <w:sz w:val="24"/>
          <w:szCs w:val="24"/>
        </w:rPr>
      </w:pPr>
    </w:p>
    <w:p w:rsidR="003163A6" w:rsidRPr="00DF626E" w:rsidRDefault="003163A6" w:rsidP="003163A6">
      <w:pPr>
        <w:autoSpaceDE w:val="0"/>
        <w:autoSpaceDN w:val="0"/>
        <w:adjustRightInd w:val="0"/>
        <w:spacing w:after="0" w:line="240" w:lineRule="auto"/>
        <w:rPr>
          <w:rFonts w:ascii="Times New Roman" w:hAnsi="Times New Roman"/>
          <w:i/>
          <w:sz w:val="24"/>
          <w:szCs w:val="24"/>
        </w:rPr>
      </w:pPr>
      <w:r w:rsidRPr="00DF626E">
        <w:rPr>
          <w:rFonts w:ascii="Times New Roman" w:hAnsi="Times New Roman"/>
          <w:i/>
          <w:sz w:val="24"/>
          <w:szCs w:val="24"/>
        </w:rPr>
        <w:t>Superintendência de Refino e Processamento de Gás Natural</w:t>
      </w:r>
    </w:p>
    <w:p w:rsidR="003163A6" w:rsidRPr="006B0BCE" w:rsidRDefault="003163A6" w:rsidP="003163A6">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Luciana Tavares dos Santos de Almeida</w:t>
      </w:r>
    </w:p>
    <w:p w:rsidR="003163A6" w:rsidRDefault="003163A6" w:rsidP="003163A6">
      <w:pPr>
        <w:autoSpaceDE w:val="0"/>
        <w:autoSpaceDN w:val="0"/>
        <w:adjustRightInd w:val="0"/>
        <w:spacing w:after="0" w:line="240" w:lineRule="auto"/>
        <w:rPr>
          <w:rFonts w:ascii="Times New Roman" w:hAnsi="Times New Roman"/>
          <w:sz w:val="24"/>
          <w:szCs w:val="24"/>
        </w:rPr>
      </w:pPr>
    </w:p>
    <w:p w:rsidR="003163A6" w:rsidRPr="00DF626E" w:rsidRDefault="003163A6" w:rsidP="003163A6">
      <w:pPr>
        <w:autoSpaceDE w:val="0"/>
        <w:autoSpaceDN w:val="0"/>
        <w:adjustRightInd w:val="0"/>
        <w:spacing w:after="0" w:line="240" w:lineRule="auto"/>
        <w:rPr>
          <w:rFonts w:ascii="Times New Roman" w:hAnsi="Times New Roman"/>
          <w:i/>
          <w:sz w:val="24"/>
          <w:szCs w:val="24"/>
        </w:rPr>
      </w:pPr>
      <w:r w:rsidRPr="00DF626E">
        <w:rPr>
          <w:rFonts w:ascii="Times New Roman" w:hAnsi="Times New Roman"/>
          <w:i/>
          <w:sz w:val="24"/>
          <w:szCs w:val="24"/>
        </w:rPr>
        <w:t>Coordenadoria de Defesa da Concorrência</w:t>
      </w:r>
    </w:p>
    <w:p w:rsidR="003163A6" w:rsidRPr="006B0BCE" w:rsidRDefault="003163A6" w:rsidP="003163A6">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Marcio de Araújo Alves Dias</w:t>
      </w:r>
      <w:r>
        <w:rPr>
          <w:rFonts w:ascii="Times New Roman" w:hAnsi="Times New Roman"/>
          <w:sz w:val="24"/>
          <w:szCs w:val="24"/>
        </w:rPr>
        <w:t xml:space="preserve"> </w:t>
      </w:r>
    </w:p>
    <w:p w:rsidR="003163A6" w:rsidRPr="006B0BCE" w:rsidRDefault="003163A6" w:rsidP="004518B0">
      <w:pPr>
        <w:autoSpaceDE w:val="0"/>
        <w:autoSpaceDN w:val="0"/>
        <w:adjustRightInd w:val="0"/>
        <w:spacing w:after="0" w:line="240" w:lineRule="auto"/>
        <w:rPr>
          <w:rFonts w:ascii="Times New Roman" w:hAnsi="Times New Roman"/>
          <w:b/>
          <w:sz w:val="24"/>
          <w:szCs w:val="24"/>
        </w:rPr>
      </w:pPr>
    </w:p>
    <w:p w:rsidR="004518B0" w:rsidRPr="006B0BCE" w:rsidRDefault="004518B0" w:rsidP="004518B0">
      <w:pPr>
        <w:autoSpaceDE w:val="0"/>
        <w:autoSpaceDN w:val="0"/>
        <w:adjustRightInd w:val="0"/>
        <w:spacing w:after="0" w:line="240" w:lineRule="auto"/>
        <w:rPr>
          <w:rFonts w:ascii="Times New Roman" w:hAnsi="Times New Roman"/>
          <w:b/>
          <w:sz w:val="24"/>
          <w:szCs w:val="24"/>
        </w:rPr>
      </w:pPr>
    </w:p>
    <w:p w:rsidR="004518B0" w:rsidRDefault="004518B0" w:rsidP="004518B0">
      <w:pPr>
        <w:autoSpaceDE w:val="0"/>
        <w:autoSpaceDN w:val="0"/>
        <w:adjustRightInd w:val="0"/>
        <w:spacing w:after="0" w:line="240" w:lineRule="auto"/>
        <w:rPr>
          <w:rFonts w:ascii="Times New Roman" w:hAnsi="Times New Roman"/>
          <w:b/>
          <w:sz w:val="24"/>
          <w:szCs w:val="24"/>
        </w:rPr>
      </w:pPr>
      <w:r w:rsidRPr="006B0BCE">
        <w:rPr>
          <w:rFonts w:ascii="Times New Roman" w:hAnsi="Times New Roman"/>
          <w:b/>
          <w:sz w:val="24"/>
          <w:szCs w:val="24"/>
        </w:rPr>
        <w:t>Colaboradores</w:t>
      </w:r>
    </w:p>
    <w:p w:rsidR="001944B3" w:rsidRPr="00676DC1" w:rsidRDefault="001944B3" w:rsidP="001944B3">
      <w:pPr>
        <w:autoSpaceDE w:val="0"/>
        <w:autoSpaceDN w:val="0"/>
        <w:adjustRightInd w:val="0"/>
        <w:spacing w:after="0" w:line="240" w:lineRule="auto"/>
        <w:rPr>
          <w:rFonts w:ascii="Times New Roman" w:hAnsi="Times New Roman"/>
          <w:sz w:val="24"/>
          <w:szCs w:val="24"/>
        </w:rPr>
      </w:pPr>
      <w:r w:rsidRPr="00676DC1">
        <w:rPr>
          <w:rFonts w:ascii="Times New Roman" w:hAnsi="Times New Roman"/>
          <w:sz w:val="24"/>
          <w:szCs w:val="24"/>
        </w:rPr>
        <w:t>Alexandre Duarte da Silva (SBQ)</w:t>
      </w:r>
    </w:p>
    <w:p w:rsidR="001944B3" w:rsidRPr="006B0BCE" w:rsidRDefault="001944B3" w:rsidP="001944B3">
      <w:pPr>
        <w:autoSpaceDE w:val="0"/>
        <w:autoSpaceDN w:val="0"/>
        <w:adjustRightInd w:val="0"/>
        <w:spacing w:after="0" w:line="240" w:lineRule="auto"/>
        <w:rPr>
          <w:rFonts w:ascii="Times New Roman" w:hAnsi="Times New Roman"/>
          <w:sz w:val="24"/>
          <w:szCs w:val="24"/>
        </w:rPr>
      </w:pPr>
      <w:proofErr w:type="spellStart"/>
      <w:r w:rsidRPr="006B0BCE">
        <w:rPr>
          <w:rFonts w:ascii="Times New Roman" w:hAnsi="Times New Roman"/>
          <w:sz w:val="24"/>
          <w:szCs w:val="24"/>
        </w:rPr>
        <w:t>Alexsander</w:t>
      </w:r>
      <w:proofErr w:type="spellEnd"/>
      <w:r w:rsidRPr="006B0BCE">
        <w:rPr>
          <w:rFonts w:ascii="Times New Roman" w:hAnsi="Times New Roman"/>
          <w:sz w:val="24"/>
          <w:szCs w:val="24"/>
        </w:rPr>
        <w:t xml:space="preserve"> de Vasconcellos </w:t>
      </w:r>
      <w:proofErr w:type="spellStart"/>
      <w:r w:rsidRPr="006B0BCE">
        <w:rPr>
          <w:rFonts w:ascii="Times New Roman" w:hAnsi="Times New Roman"/>
          <w:sz w:val="24"/>
          <w:szCs w:val="24"/>
        </w:rPr>
        <w:t>Pizzolotto</w:t>
      </w:r>
      <w:proofErr w:type="spellEnd"/>
      <w:r>
        <w:rPr>
          <w:rFonts w:ascii="Times New Roman" w:hAnsi="Times New Roman"/>
          <w:sz w:val="24"/>
          <w:szCs w:val="24"/>
        </w:rPr>
        <w:t xml:space="preserve"> (SBQ)</w:t>
      </w:r>
    </w:p>
    <w:p w:rsidR="001944B3" w:rsidRPr="006B0BCE" w:rsidRDefault="001944B3" w:rsidP="001944B3">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Ana Amélia Magalhães Gomes Martini</w:t>
      </w:r>
      <w:r w:rsidRPr="006B0BCE" w:rsidDel="005F026E">
        <w:rPr>
          <w:rFonts w:ascii="Times New Roman" w:hAnsi="Times New Roman"/>
          <w:sz w:val="24"/>
          <w:szCs w:val="24"/>
        </w:rPr>
        <w:t xml:space="preserve"> </w:t>
      </w:r>
      <w:r>
        <w:rPr>
          <w:rFonts w:ascii="Times New Roman" w:hAnsi="Times New Roman"/>
          <w:sz w:val="24"/>
          <w:szCs w:val="24"/>
        </w:rPr>
        <w:t>(SAB)</w:t>
      </w:r>
    </w:p>
    <w:p w:rsidR="001944B3" w:rsidRDefault="001944B3" w:rsidP="001944B3">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 xml:space="preserve">Cristiane </w:t>
      </w:r>
      <w:proofErr w:type="spellStart"/>
      <w:r w:rsidRPr="006B0BCE">
        <w:rPr>
          <w:rFonts w:ascii="Times New Roman" w:hAnsi="Times New Roman"/>
          <w:sz w:val="24"/>
          <w:szCs w:val="24"/>
        </w:rPr>
        <w:t>Zulivia</w:t>
      </w:r>
      <w:proofErr w:type="spellEnd"/>
      <w:r w:rsidRPr="006B0BCE">
        <w:rPr>
          <w:rFonts w:ascii="Times New Roman" w:hAnsi="Times New Roman"/>
          <w:sz w:val="24"/>
          <w:szCs w:val="24"/>
        </w:rPr>
        <w:t xml:space="preserve"> de Andrade Monteiro</w:t>
      </w:r>
      <w:r>
        <w:rPr>
          <w:rFonts w:ascii="Times New Roman" w:hAnsi="Times New Roman"/>
          <w:sz w:val="24"/>
          <w:szCs w:val="24"/>
        </w:rPr>
        <w:t xml:space="preserve"> (SBQ)</w:t>
      </w:r>
    </w:p>
    <w:p w:rsidR="001944B3" w:rsidRPr="006B0BCE" w:rsidRDefault="001944B3" w:rsidP="001944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Daniela Godoy Marins Corrêa (DIR IV)</w:t>
      </w:r>
    </w:p>
    <w:p w:rsidR="001944B3" w:rsidRPr="006B0BCE" w:rsidRDefault="001944B3" w:rsidP="001944B3">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 xml:space="preserve">Danielle Lanchares </w:t>
      </w:r>
      <w:proofErr w:type="spellStart"/>
      <w:r w:rsidRPr="006B0BCE">
        <w:rPr>
          <w:rFonts w:ascii="Times New Roman" w:hAnsi="Times New Roman"/>
          <w:sz w:val="24"/>
          <w:szCs w:val="24"/>
        </w:rPr>
        <w:t>Ornelas</w:t>
      </w:r>
      <w:proofErr w:type="spellEnd"/>
      <w:r w:rsidRPr="006B0BCE">
        <w:rPr>
          <w:rFonts w:ascii="Times New Roman" w:hAnsi="Times New Roman"/>
          <w:sz w:val="24"/>
          <w:szCs w:val="24"/>
        </w:rPr>
        <w:t xml:space="preserve"> </w:t>
      </w:r>
      <w:proofErr w:type="spellStart"/>
      <w:r w:rsidRPr="006B0BCE">
        <w:rPr>
          <w:rFonts w:ascii="Times New Roman" w:hAnsi="Times New Roman"/>
          <w:sz w:val="24"/>
          <w:szCs w:val="24"/>
        </w:rPr>
        <w:t>Santangelo</w:t>
      </w:r>
      <w:proofErr w:type="spellEnd"/>
      <w:r>
        <w:rPr>
          <w:rFonts w:ascii="Times New Roman" w:hAnsi="Times New Roman"/>
          <w:sz w:val="24"/>
          <w:szCs w:val="24"/>
        </w:rPr>
        <w:t xml:space="preserve"> (SSM)</w:t>
      </w:r>
    </w:p>
    <w:p w:rsidR="001944B3" w:rsidRPr="006B0BCE" w:rsidRDefault="001944B3" w:rsidP="001944B3">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Felipe de Araujo</w:t>
      </w:r>
      <w:r>
        <w:rPr>
          <w:rFonts w:ascii="Times New Roman" w:hAnsi="Times New Roman"/>
          <w:sz w:val="24"/>
          <w:szCs w:val="24"/>
        </w:rPr>
        <w:t xml:space="preserve"> </w:t>
      </w:r>
      <w:r w:rsidR="00DB7214" w:rsidRPr="006B0BCE">
        <w:rPr>
          <w:rFonts w:ascii="Times New Roman" w:hAnsi="Times New Roman"/>
          <w:sz w:val="24"/>
          <w:szCs w:val="24"/>
        </w:rPr>
        <w:t xml:space="preserve">Lima </w:t>
      </w:r>
      <w:r>
        <w:rPr>
          <w:rFonts w:ascii="Times New Roman" w:hAnsi="Times New Roman"/>
          <w:sz w:val="24"/>
          <w:szCs w:val="24"/>
        </w:rPr>
        <w:t>(SBQ)</w:t>
      </w:r>
    </w:p>
    <w:p w:rsidR="001944B3" w:rsidRPr="006B0BCE" w:rsidRDefault="001944B3" w:rsidP="001944B3">
      <w:pPr>
        <w:autoSpaceDE w:val="0"/>
        <w:autoSpaceDN w:val="0"/>
        <w:adjustRightInd w:val="0"/>
        <w:spacing w:after="0" w:line="240" w:lineRule="auto"/>
        <w:rPr>
          <w:rFonts w:ascii="Times New Roman" w:hAnsi="Times New Roman"/>
          <w:sz w:val="24"/>
          <w:szCs w:val="24"/>
        </w:rPr>
      </w:pPr>
      <w:proofErr w:type="spellStart"/>
      <w:r w:rsidRPr="006B0BCE">
        <w:rPr>
          <w:rFonts w:ascii="Times New Roman" w:hAnsi="Times New Roman"/>
          <w:sz w:val="24"/>
          <w:szCs w:val="24"/>
        </w:rPr>
        <w:t>Patricia</w:t>
      </w:r>
      <w:proofErr w:type="spellEnd"/>
      <w:r w:rsidRPr="006B0BCE">
        <w:rPr>
          <w:rFonts w:ascii="Times New Roman" w:hAnsi="Times New Roman"/>
          <w:sz w:val="24"/>
          <w:szCs w:val="24"/>
        </w:rPr>
        <w:t xml:space="preserve"> </w:t>
      </w:r>
      <w:proofErr w:type="spellStart"/>
      <w:r w:rsidRPr="006B0BCE">
        <w:rPr>
          <w:rFonts w:ascii="Times New Roman" w:hAnsi="Times New Roman"/>
          <w:sz w:val="24"/>
          <w:szCs w:val="24"/>
        </w:rPr>
        <w:t>Huguenin</w:t>
      </w:r>
      <w:proofErr w:type="spellEnd"/>
      <w:r w:rsidRPr="006B0BCE">
        <w:rPr>
          <w:rFonts w:ascii="Times New Roman" w:hAnsi="Times New Roman"/>
          <w:sz w:val="24"/>
          <w:szCs w:val="24"/>
        </w:rPr>
        <w:t xml:space="preserve"> Baran</w:t>
      </w:r>
      <w:r w:rsidRPr="006B0BCE" w:rsidDel="00E9112D">
        <w:rPr>
          <w:rFonts w:ascii="Times New Roman" w:hAnsi="Times New Roman"/>
          <w:sz w:val="24"/>
          <w:szCs w:val="24"/>
        </w:rPr>
        <w:t xml:space="preserve"> </w:t>
      </w:r>
      <w:r>
        <w:rPr>
          <w:rFonts w:ascii="Times New Roman" w:hAnsi="Times New Roman"/>
          <w:sz w:val="24"/>
          <w:szCs w:val="24"/>
        </w:rPr>
        <w:t>(SPD)</w:t>
      </w:r>
    </w:p>
    <w:p w:rsidR="001944B3" w:rsidRPr="006B0BCE" w:rsidRDefault="001944B3" w:rsidP="001944B3">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Leandro Trinta de Farias</w:t>
      </w:r>
      <w:r>
        <w:rPr>
          <w:rFonts w:ascii="Times New Roman" w:hAnsi="Times New Roman"/>
          <w:sz w:val="24"/>
          <w:szCs w:val="24"/>
        </w:rPr>
        <w:t xml:space="preserve"> (SBQ)</w:t>
      </w:r>
    </w:p>
    <w:p w:rsidR="001944B3" w:rsidRPr="006B0BCE" w:rsidRDefault="001944B3" w:rsidP="001944B3">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 xml:space="preserve">Marcus Vinicius </w:t>
      </w:r>
      <w:proofErr w:type="spellStart"/>
      <w:r w:rsidRPr="006B0BCE">
        <w:rPr>
          <w:rFonts w:ascii="Times New Roman" w:hAnsi="Times New Roman"/>
          <w:sz w:val="24"/>
          <w:szCs w:val="24"/>
        </w:rPr>
        <w:t>Quintanilha</w:t>
      </w:r>
      <w:proofErr w:type="spellEnd"/>
      <w:r w:rsidRPr="006B0BCE">
        <w:rPr>
          <w:rFonts w:ascii="Times New Roman" w:hAnsi="Times New Roman"/>
          <w:sz w:val="24"/>
          <w:szCs w:val="24"/>
        </w:rPr>
        <w:t xml:space="preserve"> Werner</w:t>
      </w:r>
      <w:r>
        <w:rPr>
          <w:rFonts w:ascii="Times New Roman" w:hAnsi="Times New Roman"/>
          <w:sz w:val="24"/>
          <w:szCs w:val="24"/>
        </w:rPr>
        <w:t xml:space="preserve"> (NFP)</w:t>
      </w:r>
    </w:p>
    <w:p w:rsidR="001944B3" w:rsidRPr="006B0BCE" w:rsidRDefault="001944B3" w:rsidP="001944B3">
      <w:pPr>
        <w:autoSpaceDE w:val="0"/>
        <w:autoSpaceDN w:val="0"/>
        <w:adjustRightInd w:val="0"/>
        <w:spacing w:after="0" w:line="240" w:lineRule="auto"/>
        <w:rPr>
          <w:rFonts w:ascii="Times New Roman" w:hAnsi="Times New Roman"/>
          <w:sz w:val="24"/>
          <w:szCs w:val="24"/>
        </w:rPr>
      </w:pPr>
      <w:r w:rsidRPr="006B0BCE">
        <w:rPr>
          <w:rFonts w:ascii="Times New Roman" w:hAnsi="Times New Roman"/>
          <w:sz w:val="24"/>
          <w:szCs w:val="24"/>
        </w:rPr>
        <w:t>Silvio Roberto Pereira da Costa</w:t>
      </w:r>
      <w:r>
        <w:rPr>
          <w:rFonts w:ascii="Times New Roman" w:hAnsi="Times New Roman"/>
          <w:sz w:val="24"/>
          <w:szCs w:val="24"/>
        </w:rPr>
        <w:t xml:space="preserve"> (SBQ)</w:t>
      </w:r>
    </w:p>
    <w:p w:rsidR="00E66BEF" w:rsidRDefault="001944B3" w:rsidP="001944B3">
      <w:pPr>
        <w:autoSpaceDE w:val="0"/>
        <w:autoSpaceDN w:val="0"/>
        <w:adjustRightInd w:val="0"/>
        <w:spacing w:after="0" w:line="240" w:lineRule="auto"/>
        <w:rPr>
          <w:rFonts w:ascii="Times New Roman" w:hAnsi="Times New Roman"/>
          <w:sz w:val="24"/>
          <w:szCs w:val="24"/>
        </w:rPr>
        <w:sectPr w:rsidR="00E66BEF" w:rsidSect="00B43F06">
          <w:headerReference w:type="default" r:id="rId9"/>
          <w:footerReference w:type="even" r:id="rId10"/>
          <w:footerReference w:type="default" r:id="rId11"/>
          <w:headerReference w:type="first" r:id="rId12"/>
          <w:footerReference w:type="first" r:id="rId13"/>
          <w:pgSz w:w="11907" w:h="16840" w:code="9"/>
          <w:pgMar w:top="1440" w:right="1080" w:bottom="1440" w:left="1080" w:header="680" w:footer="1012" w:gutter="0"/>
          <w:cols w:space="720"/>
          <w:titlePg/>
          <w:docGrid w:linePitch="299"/>
        </w:sectPr>
      </w:pPr>
      <w:r w:rsidRPr="006B0BCE">
        <w:rPr>
          <w:rFonts w:ascii="Times New Roman" w:hAnsi="Times New Roman"/>
          <w:sz w:val="24"/>
          <w:szCs w:val="24"/>
        </w:rPr>
        <w:t xml:space="preserve">Thiago Machado </w:t>
      </w:r>
      <w:proofErr w:type="spellStart"/>
      <w:r w:rsidRPr="006B0BCE">
        <w:rPr>
          <w:rFonts w:ascii="Times New Roman" w:hAnsi="Times New Roman"/>
          <w:sz w:val="24"/>
          <w:szCs w:val="24"/>
        </w:rPr>
        <w:t>Karashima</w:t>
      </w:r>
      <w:proofErr w:type="spellEnd"/>
      <w:r>
        <w:rPr>
          <w:rFonts w:ascii="Times New Roman" w:hAnsi="Times New Roman"/>
          <w:sz w:val="24"/>
          <w:szCs w:val="24"/>
        </w:rPr>
        <w:t xml:space="preserve"> (CPT/SBQ</w:t>
      </w:r>
      <w:proofErr w:type="gramStart"/>
      <w:r>
        <w:rPr>
          <w:rFonts w:ascii="Times New Roman" w:hAnsi="Times New Roman"/>
          <w:sz w:val="24"/>
          <w:szCs w:val="24"/>
        </w:rPr>
        <w:t>)</w:t>
      </w:r>
      <w:proofErr w:type="gramEnd"/>
    </w:p>
    <w:p w:rsidR="001944B3" w:rsidRPr="006B0BCE" w:rsidRDefault="001944B3" w:rsidP="001944B3">
      <w:pPr>
        <w:autoSpaceDE w:val="0"/>
        <w:autoSpaceDN w:val="0"/>
        <w:adjustRightInd w:val="0"/>
        <w:spacing w:after="0" w:line="240" w:lineRule="auto"/>
        <w:rPr>
          <w:rFonts w:ascii="Times New Roman" w:hAnsi="Times New Roman"/>
          <w:sz w:val="24"/>
          <w:szCs w:val="24"/>
        </w:rPr>
      </w:pPr>
    </w:p>
    <w:p w:rsidR="004518B0" w:rsidRPr="004518B0" w:rsidRDefault="004518B0" w:rsidP="004518B0">
      <w:pPr>
        <w:autoSpaceDE w:val="0"/>
        <w:autoSpaceDN w:val="0"/>
        <w:adjustRightInd w:val="0"/>
        <w:spacing w:after="0" w:line="240" w:lineRule="auto"/>
        <w:rPr>
          <w:rFonts w:ascii="Helvetica" w:hAnsi="Helvetica" w:cs="Helvetica"/>
          <w:sz w:val="19"/>
          <w:szCs w:val="19"/>
          <w:lang w:eastAsia="pt-BR"/>
        </w:rPr>
      </w:pPr>
    </w:p>
    <w:p w:rsidR="00676DC1" w:rsidRPr="00676DC1" w:rsidRDefault="00676DC1" w:rsidP="00676DC1">
      <w:pPr>
        <w:autoSpaceDE w:val="0"/>
        <w:autoSpaceDN w:val="0"/>
        <w:adjustRightInd w:val="0"/>
        <w:spacing w:after="120"/>
        <w:jc w:val="both"/>
        <w:rPr>
          <w:rFonts w:ascii="Times New Roman" w:hAnsi="Times New Roman"/>
          <w:sz w:val="24"/>
          <w:szCs w:val="24"/>
        </w:rPr>
      </w:pPr>
      <w:r w:rsidRPr="00676DC1">
        <w:rPr>
          <w:rFonts w:ascii="Times New Roman" w:hAnsi="Times New Roman"/>
          <w:sz w:val="24"/>
          <w:szCs w:val="24"/>
        </w:rPr>
        <w:t xml:space="preserve">Nota Técnica n.º </w:t>
      </w:r>
      <w:r w:rsidR="008C0453">
        <w:rPr>
          <w:rFonts w:ascii="Times New Roman" w:hAnsi="Times New Roman"/>
          <w:sz w:val="24"/>
          <w:szCs w:val="24"/>
        </w:rPr>
        <w:t>97</w:t>
      </w:r>
      <w:r w:rsidRPr="00676DC1">
        <w:rPr>
          <w:rFonts w:ascii="Times New Roman" w:hAnsi="Times New Roman"/>
          <w:sz w:val="24"/>
          <w:szCs w:val="24"/>
        </w:rPr>
        <w:t>/201</w:t>
      </w:r>
      <w:r>
        <w:rPr>
          <w:rFonts w:ascii="Times New Roman" w:hAnsi="Times New Roman"/>
          <w:sz w:val="24"/>
          <w:szCs w:val="24"/>
        </w:rPr>
        <w:t>3</w:t>
      </w:r>
      <w:r w:rsidR="00E66BEF">
        <w:rPr>
          <w:rFonts w:ascii="Times New Roman" w:hAnsi="Times New Roman"/>
          <w:sz w:val="24"/>
          <w:szCs w:val="24"/>
        </w:rPr>
        <w:t>/SBQ/RJ</w:t>
      </w:r>
    </w:p>
    <w:p w:rsidR="00676DC1" w:rsidRPr="00676DC1" w:rsidRDefault="00676DC1" w:rsidP="00676DC1">
      <w:pPr>
        <w:autoSpaceDE w:val="0"/>
        <w:autoSpaceDN w:val="0"/>
        <w:adjustRightInd w:val="0"/>
        <w:spacing w:after="120"/>
        <w:jc w:val="both"/>
        <w:rPr>
          <w:rFonts w:ascii="Times New Roman" w:hAnsi="Times New Roman"/>
          <w:sz w:val="24"/>
          <w:szCs w:val="24"/>
        </w:rPr>
      </w:pPr>
    </w:p>
    <w:p w:rsidR="00676DC1" w:rsidRPr="00676DC1" w:rsidRDefault="00676DC1" w:rsidP="00676DC1">
      <w:pPr>
        <w:spacing w:after="120" w:line="240" w:lineRule="auto"/>
        <w:rPr>
          <w:rFonts w:ascii="Times New Roman" w:hAnsi="Times New Roman"/>
          <w:sz w:val="24"/>
          <w:szCs w:val="24"/>
        </w:rPr>
      </w:pPr>
      <w:r w:rsidRPr="00676DC1">
        <w:rPr>
          <w:rFonts w:ascii="Times New Roman" w:hAnsi="Times New Roman"/>
          <w:sz w:val="24"/>
          <w:szCs w:val="24"/>
        </w:rPr>
        <w:t>Assunto: A</w:t>
      </w:r>
      <w:r>
        <w:rPr>
          <w:rFonts w:ascii="Times New Roman" w:hAnsi="Times New Roman"/>
          <w:sz w:val="24"/>
          <w:szCs w:val="24"/>
        </w:rPr>
        <w:t>valiação de Impacto Regulatório da Aditivação Mínima Obrigatória da Gasolina</w:t>
      </w:r>
    </w:p>
    <w:p w:rsidR="004518B0" w:rsidRDefault="004518B0" w:rsidP="00E66BEF">
      <w:pPr>
        <w:spacing w:after="120"/>
        <w:rPr>
          <w:rFonts w:ascii="Times New Roman" w:hAnsi="Times New Roman"/>
          <w:b/>
          <w:sz w:val="24"/>
          <w:szCs w:val="24"/>
        </w:rPr>
      </w:pPr>
    </w:p>
    <w:p w:rsidR="0002519A" w:rsidRPr="00CE3398" w:rsidRDefault="0002519A" w:rsidP="0002519A">
      <w:pPr>
        <w:pStyle w:val="PargrafodaLista"/>
        <w:numPr>
          <w:ilvl w:val="0"/>
          <w:numId w:val="4"/>
        </w:numPr>
        <w:spacing w:after="120" w:line="240" w:lineRule="auto"/>
        <w:contextualSpacing w:val="0"/>
        <w:rPr>
          <w:rFonts w:ascii="Times New Roman" w:hAnsi="Times New Roman"/>
          <w:b/>
          <w:sz w:val="24"/>
          <w:szCs w:val="24"/>
        </w:rPr>
      </w:pPr>
      <w:r w:rsidRPr="00CE3398">
        <w:rPr>
          <w:rFonts w:ascii="Times New Roman" w:hAnsi="Times New Roman"/>
          <w:b/>
          <w:sz w:val="24"/>
          <w:szCs w:val="24"/>
        </w:rPr>
        <w:t>O PROBLEMA</w:t>
      </w:r>
    </w:p>
    <w:p w:rsidR="0072557A" w:rsidRPr="00CE3398" w:rsidRDefault="00596CBA" w:rsidP="0072557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A </w:t>
      </w:r>
      <w:r w:rsidR="00E02F4B" w:rsidRPr="00CE3398">
        <w:rPr>
          <w:rFonts w:ascii="Times New Roman" w:hAnsi="Times New Roman"/>
          <w:sz w:val="24"/>
          <w:szCs w:val="24"/>
        </w:rPr>
        <w:t xml:space="preserve">Agência Nacional do Petróleo, Gás </w:t>
      </w:r>
      <w:proofErr w:type="gramStart"/>
      <w:r w:rsidR="00E02F4B" w:rsidRPr="00CE3398">
        <w:rPr>
          <w:rFonts w:ascii="Times New Roman" w:hAnsi="Times New Roman"/>
          <w:sz w:val="24"/>
          <w:szCs w:val="24"/>
        </w:rPr>
        <w:t>Natural e Biocombustíveis (ANP)</w:t>
      </w:r>
      <w:proofErr w:type="gramEnd"/>
      <w:r w:rsidR="00E02F4B" w:rsidRPr="00CE3398">
        <w:rPr>
          <w:rFonts w:ascii="Times New Roman" w:hAnsi="Times New Roman"/>
          <w:sz w:val="24"/>
          <w:szCs w:val="24"/>
        </w:rPr>
        <w:t xml:space="preserve"> publicou a Resolução ANP nº 38, de </w:t>
      </w:r>
      <w:r w:rsidRPr="00CE3398">
        <w:rPr>
          <w:rFonts w:ascii="Times New Roman" w:hAnsi="Times New Roman"/>
          <w:sz w:val="24"/>
          <w:szCs w:val="24"/>
        </w:rPr>
        <w:t>09</w:t>
      </w:r>
      <w:r w:rsidR="00E02F4B" w:rsidRPr="00CE3398">
        <w:rPr>
          <w:rFonts w:ascii="Times New Roman" w:hAnsi="Times New Roman"/>
          <w:sz w:val="24"/>
          <w:szCs w:val="24"/>
        </w:rPr>
        <w:t xml:space="preserve"> de </w:t>
      </w:r>
      <w:r w:rsidRPr="00CE3398">
        <w:rPr>
          <w:rFonts w:ascii="Times New Roman" w:hAnsi="Times New Roman"/>
          <w:sz w:val="24"/>
          <w:szCs w:val="24"/>
        </w:rPr>
        <w:t>dezembro</w:t>
      </w:r>
      <w:r w:rsidR="00E02F4B" w:rsidRPr="00CE3398">
        <w:rPr>
          <w:rFonts w:ascii="Times New Roman" w:hAnsi="Times New Roman"/>
          <w:sz w:val="24"/>
          <w:szCs w:val="24"/>
        </w:rPr>
        <w:t xml:space="preserve"> de 2009, que trata da especificação da gasolina automotiva para atendimento </w:t>
      </w:r>
      <w:r w:rsidR="006D31F9" w:rsidRPr="00CE3398">
        <w:rPr>
          <w:rFonts w:ascii="Times New Roman" w:hAnsi="Times New Roman"/>
          <w:sz w:val="24"/>
          <w:szCs w:val="24"/>
        </w:rPr>
        <w:t>à</w:t>
      </w:r>
      <w:r w:rsidR="00E02F4B" w:rsidRPr="00CE3398">
        <w:rPr>
          <w:rFonts w:ascii="Times New Roman" w:hAnsi="Times New Roman"/>
          <w:sz w:val="24"/>
          <w:szCs w:val="24"/>
        </w:rPr>
        <w:t xml:space="preserve"> nova fase </w:t>
      </w:r>
      <w:r w:rsidR="006D31F9" w:rsidRPr="00CE3398">
        <w:rPr>
          <w:rFonts w:ascii="Times New Roman" w:hAnsi="Times New Roman"/>
          <w:sz w:val="24"/>
          <w:szCs w:val="24"/>
        </w:rPr>
        <w:t xml:space="preserve">do </w:t>
      </w:r>
      <w:r w:rsidRPr="00CE3398">
        <w:rPr>
          <w:rFonts w:ascii="Times New Roman" w:hAnsi="Times New Roman"/>
          <w:sz w:val="24"/>
          <w:szCs w:val="24"/>
        </w:rPr>
        <w:t xml:space="preserve">Programa de Controle de </w:t>
      </w:r>
      <w:r w:rsidR="006D31F9" w:rsidRPr="00CE3398">
        <w:rPr>
          <w:rFonts w:ascii="Times New Roman" w:hAnsi="Times New Roman"/>
          <w:sz w:val="24"/>
          <w:szCs w:val="24"/>
        </w:rPr>
        <w:t>P</w:t>
      </w:r>
      <w:r w:rsidRPr="00CE3398">
        <w:rPr>
          <w:rFonts w:ascii="Times New Roman" w:hAnsi="Times New Roman"/>
          <w:sz w:val="24"/>
          <w:szCs w:val="24"/>
        </w:rPr>
        <w:t xml:space="preserve">oluição do Ar por Veículos Automotores – </w:t>
      </w:r>
      <w:r w:rsidR="00E02F4B" w:rsidRPr="00CE3398">
        <w:rPr>
          <w:rFonts w:ascii="Times New Roman" w:hAnsi="Times New Roman"/>
          <w:sz w:val="24"/>
          <w:szCs w:val="24"/>
        </w:rPr>
        <w:t xml:space="preserve">PROCONVE para motores </w:t>
      </w:r>
      <w:r w:rsidR="00065B79" w:rsidRPr="00CE3398">
        <w:rPr>
          <w:rFonts w:ascii="Times New Roman" w:hAnsi="Times New Roman"/>
          <w:sz w:val="24"/>
          <w:szCs w:val="24"/>
        </w:rPr>
        <w:t>c</w:t>
      </w:r>
      <w:r w:rsidRPr="00CE3398">
        <w:rPr>
          <w:rFonts w:ascii="Times New Roman" w:hAnsi="Times New Roman"/>
          <w:sz w:val="24"/>
          <w:szCs w:val="24"/>
        </w:rPr>
        <w:t xml:space="preserve">iclo </w:t>
      </w:r>
      <w:r w:rsidR="00E02F4B" w:rsidRPr="00CE3398">
        <w:rPr>
          <w:rFonts w:ascii="Times New Roman" w:hAnsi="Times New Roman"/>
          <w:sz w:val="24"/>
          <w:szCs w:val="24"/>
        </w:rPr>
        <w:t>Otto. Neste mesmo regulamento foi determinado que</w:t>
      </w:r>
      <w:r w:rsidRPr="00CE3398">
        <w:rPr>
          <w:rFonts w:ascii="Times New Roman" w:hAnsi="Times New Roman"/>
          <w:sz w:val="24"/>
          <w:szCs w:val="24"/>
        </w:rPr>
        <w:t>,</w:t>
      </w:r>
      <w:r w:rsidR="00E02F4B" w:rsidRPr="00CE3398">
        <w:rPr>
          <w:rFonts w:ascii="Times New Roman" w:hAnsi="Times New Roman"/>
          <w:sz w:val="24"/>
          <w:szCs w:val="24"/>
        </w:rPr>
        <w:t xml:space="preserve"> a partir de 1º de janeiro de 2014</w:t>
      </w:r>
      <w:r w:rsidRPr="00CE3398">
        <w:rPr>
          <w:rFonts w:ascii="Times New Roman" w:hAnsi="Times New Roman"/>
          <w:sz w:val="24"/>
          <w:szCs w:val="24"/>
        </w:rPr>
        <w:t>,</w:t>
      </w:r>
      <w:r w:rsidR="00E02F4B" w:rsidRPr="00CE3398">
        <w:rPr>
          <w:rFonts w:ascii="Times New Roman" w:hAnsi="Times New Roman"/>
          <w:sz w:val="24"/>
          <w:szCs w:val="24"/>
        </w:rPr>
        <w:t xml:space="preserve"> toda gasolina comercializada no Brasil deverá conter uma quantidade de aditivos detergentes dispersantes </w:t>
      </w:r>
      <w:r w:rsidR="00F87D74" w:rsidRPr="00F87D74">
        <w:rPr>
          <w:rFonts w:ascii="Times New Roman" w:hAnsi="Times New Roman"/>
          <w:sz w:val="24"/>
          <w:szCs w:val="24"/>
        </w:rPr>
        <w:t>nos critérios a serem estabelecidos pela ANP</w:t>
      </w:r>
      <w:r w:rsidR="00F87D74">
        <w:rPr>
          <w:rFonts w:ascii="Times New Roman" w:hAnsi="Times New Roman"/>
          <w:sz w:val="24"/>
          <w:szCs w:val="24"/>
        </w:rPr>
        <w:t xml:space="preserve">. </w:t>
      </w:r>
      <w:r w:rsidR="00787CE5">
        <w:rPr>
          <w:rFonts w:ascii="Times New Roman" w:hAnsi="Times New Roman"/>
          <w:sz w:val="24"/>
          <w:szCs w:val="24"/>
        </w:rPr>
        <w:t xml:space="preserve">Esta aditivação seria </w:t>
      </w:r>
      <w:r w:rsidR="00E02F4B" w:rsidRPr="00CE3398">
        <w:rPr>
          <w:rFonts w:ascii="Times New Roman" w:hAnsi="Times New Roman"/>
          <w:sz w:val="24"/>
          <w:szCs w:val="24"/>
        </w:rPr>
        <w:t>suficiente para retardar a formação de depósitos nas válvulas de admissão dos motores.</w:t>
      </w:r>
    </w:p>
    <w:p w:rsidR="001106B6" w:rsidRPr="00CE3398" w:rsidRDefault="00344ACE" w:rsidP="001106B6">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Estabelecida </w:t>
      </w:r>
      <w:proofErr w:type="gramStart"/>
      <w:r w:rsidRPr="00CE3398">
        <w:rPr>
          <w:rFonts w:ascii="Times New Roman" w:hAnsi="Times New Roman"/>
          <w:sz w:val="24"/>
          <w:szCs w:val="24"/>
        </w:rPr>
        <w:t>a</w:t>
      </w:r>
      <w:proofErr w:type="gramEnd"/>
      <w:r w:rsidRPr="00CE3398">
        <w:rPr>
          <w:rFonts w:ascii="Times New Roman" w:hAnsi="Times New Roman"/>
          <w:sz w:val="24"/>
          <w:szCs w:val="24"/>
        </w:rPr>
        <w:t xml:space="preserve"> regra geral, resta à ANP </w:t>
      </w:r>
      <w:r w:rsidR="001106B6" w:rsidRPr="00CE3398">
        <w:rPr>
          <w:rFonts w:ascii="Times New Roman" w:hAnsi="Times New Roman"/>
          <w:sz w:val="24"/>
          <w:szCs w:val="24"/>
        </w:rPr>
        <w:t xml:space="preserve">apresentar análise técnica e econômica de modo a definir qual o agente econômico da cadeia de abastecimento que será responsável pela adição desses detergentes dispersantes em toda gasolina automotiva brasileira. </w:t>
      </w:r>
    </w:p>
    <w:p w:rsidR="0002519A" w:rsidRPr="00CE3398" w:rsidRDefault="0002519A" w:rsidP="0002519A">
      <w:pPr>
        <w:tabs>
          <w:tab w:val="left" w:pos="960"/>
        </w:tabs>
        <w:spacing w:after="120" w:line="240" w:lineRule="auto"/>
        <w:ind w:firstLine="708"/>
        <w:jc w:val="both"/>
        <w:rPr>
          <w:rFonts w:ascii="Times New Roman" w:hAnsi="Times New Roman"/>
          <w:sz w:val="24"/>
          <w:szCs w:val="24"/>
        </w:rPr>
      </w:pPr>
    </w:p>
    <w:p w:rsidR="0002519A" w:rsidRPr="00CE3398" w:rsidRDefault="0002519A" w:rsidP="007E35F1">
      <w:pPr>
        <w:pStyle w:val="PargrafodaLista"/>
        <w:numPr>
          <w:ilvl w:val="1"/>
          <w:numId w:val="4"/>
        </w:numPr>
        <w:spacing w:after="120" w:line="240" w:lineRule="auto"/>
        <w:ind w:left="426" w:hanging="426"/>
        <w:contextualSpacing w:val="0"/>
        <w:rPr>
          <w:rFonts w:ascii="Times New Roman" w:hAnsi="Times New Roman"/>
          <w:b/>
          <w:sz w:val="24"/>
          <w:szCs w:val="24"/>
        </w:rPr>
      </w:pPr>
      <w:r w:rsidRPr="00CE3398">
        <w:rPr>
          <w:rFonts w:ascii="Times New Roman" w:hAnsi="Times New Roman"/>
          <w:b/>
          <w:sz w:val="24"/>
          <w:szCs w:val="24"/>
        </w:rPr>
        <w:t>DESCRIÇÃO</w:t>
      </w:r>
    </w:p>
    <w:p w:rsidR="0002519A" w:rsidRPr="00CE3398" w:rsidRDefault="0002519A"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A Lei nº 9.478, de </w:t>
      </w:r>
      <w:proofErr w:type="gramStart"/>
      <w:r w:rsidRPr="00CE3398">
        <w:rPr>
          <w:rFonts w:ascii="Times New Roman" w:hAnsi="Times New Roman"/>
          <w:sz w:val="24"/>
          <w:szCs w:val="24"/>
        </w:rPr>
        <w:t>6</w:t>
      </w:r>
      <w:proofErr w:type="gramEnd"/>
      <w:r w:rsidRPr="00CE3398">
        <w:rPr>
          <w:rFonts w:ascii="Times New Roman" w:hAnsi="Times New Roman"/>
          <w:sz w:val="24"/>
          <w:szCs w:val="24"/>
        </w:rPr>
        <w:t xml:space="preserve"> de agosto de 1997, estabelece, dentre as atribuições da ANP, a especificação da qualidade dos derivados de petróleo, do gás natural e seus derivados e dos biocombustíveis, com foco na proteção dos interesses dos consumidores quanto a preço, qualidade e oferta dos produtos. Nesse sentido, a Agência busca melhorias constantes nas especificações dos diversos combustíveis e no controle de sua qualidade. </w:t>
      </w:r>
    </w:p>
    <w:p w:rsidR="0002519A" w:rsidRPr="00CE3398" w:rsidRDefault="0002519A"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Em convergência com os esforços de diversos órgãos federais, estaduais e da própria indústria automobilística, a Resolução ANP nº 38/2009 prevê, a partir de 1º de janeiro de 2014,</w:t>
      </w:r>
      <w:r w:rsidR="00AD4CF7" w:rsidRPr="00CE3398">
        <w:rPr>
          <w:rFonts w:ascii="Times New Roman" w:hAnsi="Times New Roman"/>
          <w:sz w:val="24"/>
          <w:szCs w:val="24"/>
        </w:rPr>
        <w:t xml:space="preserve"> a adição de uma quantidade mínima de aditivo detergente dispersante a toda gasolina comercializada no Brasil, com vistas a retardar a formação de depósitos nas válvulas de admissão dos motores, </w:t>
      </w:r>
      <w:r w:rsidRPr="00CE3398">
        <w:rPr>
          <w:rFonts w:ascii="Times New Roman" w:hAnsi="Times New Roman"/>
          <w:sz w:val="24"/>
          <w:szCs w:val="24"/>
        </w:rPr>
        <w:t>melhorando a qualidade do produto e contribuindo para a redução da participação do setor de transportes na geração de poluição atmosférica.</w:t>
      </w:r>
    </w:p>
    <w:p w:rsidR="0002519A" w:rsidRPr="00CE3398" w:rsidRDefault="0002519A" w:rsidP="0002519A">
      <w:pPr>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Essa nova exigência </w:t>
      </w:r>
      <w:r w:rsidR="00D7426D" w:rsidRPr="00CE3398">
        <w:rPr>
          <w:rFonts w:ascii="Times New Roman" w:hAnsi="Times New Roman"/>
          <w:sz w:val="24"/>
          <w:szCs w:val="24"/>
        </w:rPr>
        <w:t xml:space="preserve">justifica-se </w:t>
      </w:r>
      <w:r w:rsidRPr="00CE3398">
        <w:rPr>
          <w:rFonts w:ascii="Times New Roman" w:hAnsi="Times New Roman"/>
          <w:sz w:val="24"/>
          <w:szCs w:val="24"/>
        </w:rPr>
        <w:t xml:space="preserve">pela necessidade de mitigar o nível das emissões veiculares globais derivadas do uso de gasolina por veículos automotores, e tem o benefício adicional de oferecer ao consumidor um combustível capaz de aumentar a vida útil dos motores. Por outro lado, pode implicar alterações </w:t>
      </w:r>
      <w:r w:rsidR="00596CBA" w:rsidRPr="00CE3398">
        <w:rPr>
          <w:rFonts w:ascii="Times New Roman" w:hAnsi="Times New Roman"/>
          <w:sz w:val="24"/>
          <w:szCs w:val="24"/>
        </w:rPr>
        <w:t>nos segmentos</w:t>
      </w:r>
      <w:r w:rsidRPr="00CE3398">
        <w:rPr>
          <w:rFonts w:ascii="Times New Roman" w:hAnsi="Times New Roman"/>
          <w:sz w:val="24"/>
          <w:szCs w:val="24"/>
        </w:rPr>
        <w:t xml:space="preserve"> de produção e </w:t>
      </w:r>
      <w:r w:rsidR="00596CBA" w:rsidRPr="00CE3398">
        <w:rPr>
          <w:rFonts w:ascii="Times New Roman" w:hAnsi="Times New Roman"/>
          <w:sz w:val="24"/>
          <w:szCs w:val="24"/>
        </w:rPr>
        <w:t xml:space="preserve">de </w:t>
      </w:r>
      <w:r w:rsidRPr="00CE3398">
        <w:rPr>
          <w:rFonts w:ascii="Times New Roman" w:hAnsi="Times New Roman"/>
          <w:sz w:val="24"/>
          <w:szCs w:val="24"/>
        </w:rPr>
        <w:t xml:space="preserve">abastecimento da gasolina, com custos associados e potenciais impactos sobre o preço final do produto. Deve-se salientar que, com a medida regulatória, a ANP não visa acabar com o mercado de gasolina aditivada, mas apenas obrigar que toda gasolina automotiva comercializada no Brasil </w:t>
      </w:r>
      <w:proofErr w:type="gramStart"/>
      <w:r w:rsidRPr="00CE3398">
        <w:rPr>
          <w:rFonts w:ascii="Times New Roman" w:hAnsi="Times New Roman"/>
          <w:sz w:val="24"/>
          <w:szCs w:val="24"/>
        </w:rPr>
        <w:t>tenha</w:t>
      </w:r>
      <w:proofErr w:type="gramEnd"/>
      <w:r w:rsidRPr="00CE3398">
        <w:rPr>
          <w:rFonts w:ascii="Times New Roman" w:hAnsi="Times New Roman"/>
          <w:sz w:val="24"/>
          <w:szCs w:val="24"/>
        </w:rPr>
        <w:t xml:space="preserve"> um nível mínimo de aditivo detergente dispersante.</w:t>
      </w:r>
    </w:p>
    <w:p w:rsidR="0002519A" w:rsidRPr="00CE3398" w:rsidRDefault="0002519A" w:rsidP="00C6153F">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lastRenderedPageBreak/>
        <w:t xml:space="preserve">De modo a </w:t>
      </w:r>
      <w:r w:rsidR="00CC1CDA" w:rsidRPr="00CE3398">
        <w:rPr>
          <w:rFonts w:ascii="Times New Roman" w:hAnsi="Times New Roman"/>
          <w:sz w:val="24"/>
          <w:szCs w:val="24"/>
        </w:rPr>
        <w:t>avaliar os</w:t>
      </w:r>
      <w:r w:rsidRPr="00CE3398">
        <w:rPr>
          <w:rFonts w:ascii="Times New Roman" w:hAnsi="Times New Roman"/>
          <w:sz w:val="24"/>
          <w:szCs w:val="24"/>
        </w:rPr>
        <w:t xml:space="preserve"> impactos da </w:t>
      </w:r>
      <w:r w:rsidR="00596CBA" w:rsidRPr="00CE3398">
        <w:rPr>
          <w:rFonts w:ascii="Times New Roman" w:hAnsi="Times New Roman"/>
          <w:sz w:val="24"/>
          <w:szCs w:val="24"/>
        </w:rPr>
        <w:t>definição do ponto de aditivação</w:t>
      </w:r>
      <w:r w:rsidRPr="00CE3398">
        <w:rPr>
          <w:rFonts w:ascii="Times New Roman" w:hAnsi="Times New Roman"/>
          <w:sz w:val="24"/>
          <w:szCs w:val="24"/>
        </w:rPr>
        <w:t xml:space="preserve">, </w:t>
      </w:r>
      <w:r w:rsidR="00A05FDC" w:rsidRPr="00CE3398">
        <w:rPr>
          <w:rFonts w:ascii="Times New Roman" w:hAnsi="Times New Roman"/>
          <w:sz w:val="24"/>
          <w:szCs w:val="24"/>
        </w:rPr>
        <w:t xml:space="preserve">ou seja, se a aditivação obrigatória ocorrerá na fase de produção da gasolina A ou na distribuição, </w:t>
      </w:r>
      <w:r w:rsidRPr="00CE3398">
        <w:rPr>
          <w:rFonts w:ascii="Times New Roman" w:hAnsi="Times New Roman"/>
          <w:sz w:val="24"/>
          <w:szCs w:val="24"/>
        </w:rPr>
        <w:t xml:space="preserve">foram consultados os principais agentes econômicos </w:t>
      </w:r>
      <w:r w:rsidR="00596CBA" w:rsidRPr="00CE3398">
        <w:rPr>
          <w:rFonts w:ascii="Times New Roman" w:hAnsi="Times New Roman"/>
          <w:sz w:val="24"/>
          <w:szCs w:val="24"/>
        </w:rPr>
        <w:t xml:space="preserve">que serão </w:t>
      </w:r>
      <w:r w:rsidRPr="00CE3398">
        <w:rPr>
          <w:rFonts w:ascii="Times New Roman" w:hAnsi="Times New Roman"/>
          <w:sz w:val="24"/>
          <w:szCs w:val="24"/>
        </w:rPr>
        <w:t>afetados (</w:t>
      </w:r>
      <w:r w:rsidR="00CC1CDA" w:rsidRPr="00CE3398">
        <w:rPr>
          <w:rFonts w:ascii="Times New Roman" w:hAnsi="Times New Roman"/>
          <w:sz w:val="24"/>
          <w:szCs w:val="24"/>
        </w:rPr>
        <w:t>fornecedores</w:t>
      </w:r>
      <w:r w:rsidRPr="00CE3398">
        <w:rPr>
          <w:rFonts w:ascii="Times New Roman" w:hAnsi="Times New Roman"/>
          <w:sz w:val="24"/>
          <w:szCs w:val="24"/>
        </w:rPr>
        <w:t xml:space="preserve"> de aditivos, distribuidores de combustíveis, produtores de gasolina A e Associação Nacional dos Fabri</w:t>
      </w:r>
      <w:r w:rsidR="00204E70" w:rsidRPr="00CE3398">
        <w:rPr>
          <w:rFonts w:ascii="Times New Roman" w:hAnsi="Times New Roman"/>
          <w:sz w:val="24"/>
          <w:szCs w:val="24"/>
        </w:rPr>
        <w:t xml:space="preserve">cantes de Veículos Automotores – </w:t>
      </w:r>
      <w:proofErr w:type="spellStart"/>
      <w:proofErr w:type="gramStart"/>
      <w:r w:rsidRPr="00CE3398">
        <w:rPr>
          <w:rFonts w:ascii="Times New Roman" w:hAnsi="Times New Roman"/>
          <w:sz w:val="24"/>
          <w:szCs w:val="24"/>
        </w:rPr>
        <w:t>Anfavea</w:t>
      </w:r>
      <w:proofErr w:type="spellEnd"/>
      <w:proofErr w:type="gramEnd"/>
      <w:r w:rsidRPr="00CE3398">
        <w:rPr>
          <w:rFonts w:ascii="Times New Roman" w:hAnsi="Times New Roman"/>
          <w:sz w:val="24"/>
          <w:szCs w:val="24"/>
        </w:rPr>
        <w:t xml:space="preserve">). Seja a partir da realização de reuniões com integrantes do </w:t>
      </w:r>
      <w:r w:rsidR="005C326A" w:rsidRPr="00CE3398">
        <w:rPr>
          <w:rFonts w:ascii="Times New Roman" w:hAnsi="Times New Roman"/>
          <w:sz w:val="24"/>
          <w:szCs w:val="24"/>
        </w:rPr>
        <w:t>G</w:t>
      </w:r>
      <w:r w:rsidRPr="00CE3398">
        <w:rPr>
          <w:rFonts w:ascii="Times New Roman" w:hAnsi="Times New Roman"/>
          <w:sz w:val="24"/>
          <w:szCs w:val="24"/>
        </w:rPr>
        <w:t xml:space="preserve">rupo </w:t>
      </w:r>
      <w:r w:rsidR="005C326A" w:rsidRPr="00CE3398">
        <w:rPr>
          <w:rFonts w:ascii="Times New Roman" w:hAnsi="Times New Roman"/>
          <w:sz w:val="24"/>
          <w:szCs w:val="24"/>
        </w:rPr>
        <w:t xml:space="preserve">de Trabalho </w:t>
      </w:r>
      <w:r w:rsidRPr="00CE3398">
        <w:rPr>
          <w:rFonts w:ascii="Times New Roman" w:hAnsi="Times New Roman"/>
          <w:sz w:val="24"/>
          <w:szCs w:val="24"/>
        </w:rPr>
        <w:t xml:space="preserve">que conduziu a avaliação de impacto da regulamentação ou </w:t>
      </w:r>
      <w:r w:rsidR="004426CA" w:rsidRPr="00CE3398">
        <w:rPr>
          <w:rFonts w:ascii="Times New Roman" w:hAnsi="Times New Roman"/>
          <w:sz w:val="24"/>
          <w:szCs w:val="24"/>
        </w:rPr>
        <w:t>com base nas</w:t>
      </w:r>
      <w:r w:rsidRPr="00CE3398">
        <w:rPr>
          <w:rFonts w:ascii="Times New Roman" w:hAnsi="Times New Roman"/>
          <w:sz w:val="24"/>
          <w:szCs w:val="24"/>
        </w:rPr>
        <w:t xml:space="preserve"> respostas a questionários enviados, esses agentes </w:t>
      </w:r>
      <w:r w:rsidR="005C326A" w:rsidRPr="00CE3398">
        <w:rPr>
          <w:rFonts w:ascii="Times New Roman" w:hAnsi="Times New Roman"/>
          <w:sz w:val="24"/>
          <w:szCs w:val="24"/>
        </w:rPr>
        <w:t xml:space="preserve">econômicos </w:t>
      </w:r>
      <w:r w:rsidRPr="00CE3398">
        <w:rPr>
          <w:rFonts w:ascii="Times New Roman" w:hAnsi="Times New Roman"/>
          <w:sz w:val="24"/>
          <w:szCs w:val="24"/>
        </w:rPr>
        <w:t>tiveram oportunidade de apresentar seus argumentos, contribuindo para o embasamento dos resultados apresentados na sequência desta Nota Técnica.</w:t>
      </w:r>
    </w:p>
    <w:p w:rsidR="006F1AAC" w:rsidRPr="00CE3398" w:rsidRDefault="006F1AAC" w:rsidP="00C6153F">
      <w:pPr>
        <w:tabs>
          <w:tab w:val="left" w:pos="960"/>
        </w:tabs>
        <w:spacing w:after="120" w:line="240" w:lineRule="auto"/>
        <w:ind w:firstLine="708"/>
        <w:jc w:val="both"/>
        <w:rPr>
          <w:rFonts w:ascii="Times New Roman" w:hAnsi="Times New Roman"/>
          <w:sz w:val="24"/>
          <w:szCs w:val="24"/>
        </w:rPr>
      </w:pPr>
    </w:p>
    <w:p w:rsidR="0002519A" w:rsidRPr="00CE3398" w:rsidRDefault="0002519A" w:rsidP="00E66BEF">
      <w:pPr>
        <w:pStyle w:val="PargrafodaLista"/>
        <w:numPr>
          <w:ilvl w:val="1"/>
          <w:numId w:val="4"/>
        </w:numPr>
        <w:spacing w:after="120" w:line="240" w:lineRule="auto"/>
        <w:ind w:left="425" w:hanging="425"/>
        <w:contextualSpacing w:val="0"/>
        <w:rPr>
          <w:rFonts w:ascii="Times New Roman" w:hAnsi="Times New Roman"/>
          <w:b/>
          <w:sz w:val="24"/>
          <w:szCs w:val="24"/>
        </w:rPr>
      </w:pPr>
      <w:r w:rsidRPr="00CE3398">
        <w:rPr>
          <w:rFonts w:ascii="Times New Roman" w:hAnsi="Times New Roman"/>
          <w:b/>
          <w:sz w:val="24"/>
          <w:szCs w:val="24"/>
        </w:rPr>
        <w:t>HISTÓRICO</w:t>
      </w:r>
    </w:p>
    <w:p w:rsidR="0002519A" w:rsidRPr="00CE3398" w:rsidRDefault="0002519A"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O Conselho Nacional do Meio Ambiente – CONAMA, criado pela Lei nº 6.938, de 31 de agosto de 1981, tem entre as suas atribuições “estabelecer, privativamente, normas e padrões nacionais de controle da poluição por veículos automotores, aeronaves e embarcações, mediante audiência dos Ministérios competentes”.</w:t>
      </w:r>
    </w:p>
    <w:p w:rsidR="0002519A" w:rsidRPr="00CE3398" w:rsidRDefault="0002519A"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De acordo com informações constantes do </w:t>
      </w:r>
      <w:r w:rsidR="005C326A" w:rsidRPr="00CE3398">
        <w:rPr>
          <w:rFonts w:ascii="Times New Roman" w:hAnsi="Times New Roman"/>
          <w:sz w:val="24"/>
          <w:szCs w:val="24"/>
        </w:rPr>
        <w:t>sítio eletrônico</w:t>
      </w:r>
      <w:r w:rsidRPr="00CE3398">
        <w:rPr>
          <w:rFonts w:ascii="Times New Roman" w:hAnsi="Times New Roman"/>
          <w:sz w:val="24"/>
          <w:szCs w:val="24"/>
        </w:rPr>
        <w:t xml:space="preserve"> do Ministério do Meio Ambiente</w:t>
      </w:r>
      <w:r w:rsidRPr="00CE3398">
        <w:rPr>
          <w:rStyle w:val="Refdenotaderodap"/>
          <w:rFonts w:ascii="Times New Roman" w:hAnsi="Times New Roman"/>
          <w:sz w:val="24"/>
          <w:szCs w:val="24"/>
        </w:rPr>
        <w:footnoteReference w:id="1"/>
      </w:r>
      <w:r w:rsidRPr="00CE3398">
        <w:rPr>
          <w:rFonts w:ascii="Times New Roman" w:hAnsi="Times New Roman"/>
          <w:sz w:val="24"/>
          <w:szCs w:val="24"/>
        </w:rPr>
        <w:t xml:space="preserve">, </w:t>
      </w:r>
      <w:proofErr w:type="gramStart"/>
      <w:r w:rsidRPr="00CE3398">
        <w:rPr>
          <w:rFonts w:ascii="Times New Roman" w:hAnsi="Times New Roman"/>
          <w:sz w:val="24"/>
          <w:szCs w:val="24"/>
        </w:rPr>
        <w:t>o aumento da frota de automóveis e das emissões atmosféricas, sobretudo nas grandes cidades, demandam</w:t>
      </w:r>
      <w:proofErr w:type="gramEnd"/>
      <w:r w:rsidRPr="00CE3398">
        <w:rPr>
          <w:rFonts w:ascii="Times New Roman" w:hAnsi="Times New Roman"/>
          <w:sz w:val="24"/>
          <w:szCs w:val="24"/>
        </w:rPr>
        <w:t xml:space="preserve"> maior atenção para a qualidade dos combustíveis automotivos e para a tecnologia dos veículos, além de soluções de mobilidade urbana, que constituem um conjunto de medidas necessárias ao alcance dos padrões de qualidade do ar compatíveis com a proteção da saúde da população</w:t>
      </w:r>
      <w:r w:rsidR="00AD7BD7" w:rsidRPr="00CE3398">
        <w:rPr>
          <w:rFonts w:ascii="Times New Roman" w:hAnsi="Times New Roman"/>
          <w:sz w:val="24"/>
          <w:szCs w:val="24"/>
        </w:rPr>
        <w:t>.</w:t>
      </w:r>
      <w:r w:rsidRPr="00CE3398">
        <w:rPr>
          <w:rFonts w:ascii="Times New Roman" w:hAnsi="Times New Roman"/>
          <w:sz w:val="24"/>
          <w:szCs w:val="24"/>
        </w:rPr>
        <w:t xml:space="preserve"> </w:t>
      </w:r>
    </w:p>
    <w:p w:rsidR="0002519A" w:rsidRPr="00CE3398" w:rsidRDefault="00AD7BD7"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Nesse </w:t>
      </w:r>
      <w:r w:rsidR="0002519A" w:rsidRPr="00CE3398">
        <w:rPr>
          <w:rFonts w:ascii="Times New Roman" w:hAnsi="Times New Roman"/>
          <w:sz w:val="24"/>
          <w:szCs w:val="24"/>
        </w:rPr>
        <w:t xml:space="preserve">contexto, foi </w:t>
      </w:r>
      <w:r w:rsidR="005C326A" w:rsidRPr="00CE3398">
        <w:rPr>
          <w:rFonts w:ascii="Times New Roman" w:hAnsi="Times New Roman"/>
          <w:sz w:val="24"/>
          <w:szCs w:val="24"/>
        </w:rPr>
        <w:t xml:space="preserve">criado o PROCONVE, por meio da Resolução CONAMA nº 18, de </w:t>
      </w:r>
      <w:proofErr w:type="gramStart"/>
      <w:r w:rsidR="0002519A" w:rsidRPr="00CE3398">
        <w:rPr>
          <w:rFonts w:ascii="Times New Roman" w:hAnsi="Times New Roman"/>
          <w:sz w:val="24"/>
          <w:szCs w:val="24"/>
        </w:rPr>
        <w:t>6</w:t>
      </w:r>
      <w:proofErr w:type="gramEnd"/>
      <w:r w:rsidR="0002519A" w:rsidRPr="00CE3398">
        <w:rPr>
          <w:rFonts w:ascii="Times New Roman" w:hAnsi="Times New Roman"/>
          <w:sz w:val="24"/>
          <w:szCs w:val="24"/>
        </w:rPr>
        <w:t xml:space="preserve"> de maio de 1986</w:t>
      </w:r>
      <w:r w:rsidR="005C326A" w:rsidRPr="00CE3398">
        <w:rPr>
          <w:rFonts w:ascii="Times New Roman" w:hAnsi="Times New Roman"/>
          <w:sz w:val="24"/>
          <w:szCs w:val="24"/>
        </w:rPr>
        <w:t>.</w:t>
      </w:r>
      <w:r w:rsidR="0002519A" w:rsidRPr="00CE3398">
        <w:rPr>
          <w:rFonts w:ascii="Times New Roman" w:hAnsi="Times New Roman"/>
          <w:sz w:val="24"/>
          <w:szCs w:val="24"/>
        </w:rPr>
        <w:t xml:space="preserve"> </w:t>
      </w:r>
      <w:r w:rsidR="005C326A" w:rsidRPr="00CE3398">
        <w:rPr>
          <w:rFonts w:ascii="Times New Roman" w:hAnsi="Times New Roman"/>
          <w:sz w:val="24"/>
          <w:szCs w:val="24"/>
        </w:rPr>
        <w:t>E</w:t>
      </w:r>
      <w:r w:rsidR="0002519A" w:rsidRPr="00CE3398">
        <w:rPr>
          <w:rFonts w:ascii="Times New Roman" w:hAnsi="Times New Roman"/>
          <w:sz w:val="24"/>
          <w:szCs w:val="24"/>
        </w:rPr>
        <w:t xml:space="preserve">ntre </w:t>
      </w:r>
      <w:r w:rsidR="005C326A" w:rsidRPr="00CE3398">
        <w:rPr>
          <w:rFonts w:ascii="Times New Roman" w:hAnsi="Times New Roman"/>
          <w:sz w:val="24"/>
          <w:szCs w:val="24"/>
        </w:rPr>
        <w:t>os objetivos do referido Programa, consta</w:t>
      </w:r>
      <w:r w:rsidR="0002519A" w:rsidRPr="00CE3398">
        <w:rPr>
          <w:rFonts w:ascii="Times New Roman" w:hAnsi="Times New Roman"/>
          <w:sz w:val="24"/>
          <w:szCs w:val="24"/>
        </w:rPr>
        <w:t xml:space="preserve"> “reduzir os níveis de emissão de poluentes por veículos automotores visando o atendimento aos Padrões de Qualidade do Ar, especialmente nos centros urbanos”.  Em cada etapa do PROCONVE são estabelecidos limites máximos de emissões veiculares a serem cumpridos nas homologações pelos veículos automotores novos. Cabe à ANP especificar o combustível que viabilize o cumprimento dessas etapas.</w:t>
      </w:r>
    </w:p>
    <w:p w:rsidR="0002519A" w:rsidRPr="00CE3398" w:rsidRDefault="00AD7BD7"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A </w:t>
      </w:r>
      <w:r w:rsidR="0002519A" w:rsidRPr="00CE3398">
        <w:rPr>
          <w:rFonts w:ascii="Times New Roman" w:hAnsi="Times New Roman"/>
          <w:sz w:val="24"/>
          <w:szCs w:val="24"/>
        </w:rPr>
        <w:t>ANP</w:t>
      </w:r>
      <w:r w:rsidRPr="00CE3398">
        <w:rPr>
          <w:rFonts w:ascii="Times New Roman" w:hAnsi="Times New Roman"/>
          <w:sz w:val="24"/>
          <w:szCs w:val="24"/>
        </w:rPr>
        <w:t xml:space="preserve"> </w:t>
      </w:r>
      <w:r w:rsidR="0002519A" w:rsidRPr="00CE3398">
        <w:rPr>
          <w:rFonts w:ascii="Times New Roman" w:hAnsi="Times New Roman"/>
          <w:sz w:val="24"/>
          <w:szCs w:val="24"/>
        </w:rPr>
        <w:t>vem promovendo melhorias na qualidade dos combustíveis</w:t>
      </w:r>
      <w:r w:rsidRPr="00CE3398">
        <w:rPr>
          <w:rFonts w:ascii="Times New Roman" w:hAnsi="Times New Roman"/>
          <w:sz w:val="24"/>
          <w:szCs w:val="24"/>
        </w:rPr>
        <w:t xml:space="preserve"> por meio de inúmeras medidas</w:t>
      </w:r>
      <w:r w:rsidR="0002519A" w:rsidRPr="00CE3398">
        <w:rPr>
          <w:rFonts w:ascii="Times New Roman" w:hAnsi="Times New Roman"/>
          <w:sz w:val="24"/>
          <w:szCs w:val="24"/>
        </w:rPr>
        <w:t xml:space="preserve">, entre </w:t>
      </w:r>
      <w:r w:rsidR="004426CA" w:rsidRPr="00CE3398">
        <w:rPr>
          <w:rFonts w:ascii="Times New Roman" w:hAnsi="Times New Roman"/>
          <w:sz w:val="24"/>
          <w:szCs w:val="24"/>
        </w:rPr>
        <w:t xml:space="preserve">as quais </w:t>
      </w:r>
      <w:r w:rsidR="0002519A" w:rsidRPr="00CE3398">
        <w:rPr>
          <w:rFonts w:ascii="Times New Roman" w:hAnsi="Times New Roman"/>
          <w:sz w:val="24"/>
          <w:szCs w:val="24"/>
        </w:rPr>
        <w:t xml:space="preserve">a redução do teor </w:t>
      </w:r>
      <w:r w:rsidR="00EB0ACC" w:rsidRPr="00CE3398">
        <w:rPr>
          <w:rFonts w:ascii="Times New Roman" w:hAnsi="Times New Roman"/>
          <w:sz w:val="24"/>
          <w:szCs w:val="24"/>
        </w:rPr>
        <w:t xml:space="preserve">máximo </w:t>
      </w:r>
      <w:r w:rsidR="0002519A" w:rsidRPr="00CE3398">
        <w:rPr>
          <w:rFonts w:ascii="Times New Roman" w:hAnsi="Times New Roman"/>
          <w:sz w:val="24"/>
          <w:szCs w:val="24"/>
        </w:rPr>
        <w:t>de enxofre na gasolina. A Resolução ANP nº 57</w:t>
      </w:r>
      <w:r w:rsidR="008218F6" w:rsidRPr="00CE3398">
        <w:rPr>
          <w:rFonts w:ascii="Times New Roman" w:hAnsi="Times New Roman"/>
          <w:sz w:val="24"/>
          <w:szCs w:val="24"/>
        </w:rPr>
        <w:t xml:space="preserve">, de 20 de outubro de </w:t>
      </w:r>
      <w:r w:rsidR="0002519A" w:rsidRPr="00CE3398">
        <w:rPr>
          <w:rFonts w:ascii="Times New Roman" w:hAnsi="Times New Roman"/>
          <w:sz w:val="24"/>
          <w:szCs w:val="24"/>
        </w:rPr>
        <w:t>2011</w:t>
      </w:r>
      <w:r w:rsidR="008218F6" w:rsidRPr="00CE3398">
        <w:rPr>
          <w:rFonts w:ascii="Times New Roman" w:hAnsi="Times New Roman"/>
          <w:sz w:val="24"/>
          <w:szCs w:val="24"/>
        </w:rPr>
        <w:t>,</w:t>
      </w:r>
      <w:r w:rsidR="0002519A" w:rsidRPr="00CE3398">
        <w:rPr>
          <w:rFonts w:ascii="Times New Roman" w:hAnsi="Times New Roman"/>
          <w:sz w:val="24"/>
          <w:szCs w:val="24"/>
        </w:rPr>
        <w:t xml:space="preserve"> reduziu este teor, que era de 1000 </w:t>
      </w:r>
      <w:proofErr w:type="gramStart"/>
      <w:r w:rsidR="0002519A" w:rsidRPr="00CE3398">
        <w:rPr>
          <w:rFonts w:ascii="Times New Roman" w:hAnsi="Times New Roman"/>
          <w:sz w:val="24"/>
          <w:szCs w:val="24"/>
        </w:rPr>
        <w:t>mg</w:t>
      </w:r>
      <w:proofErr w:type="gramEnd"/>
      <w:r w:rsidR="0002519A" w:rsidRPr="00CE3398">
        <w:rPr>
          <w:rFonts w:ascii="Times New Roman" w:hAnsi="Times New Roman"/>
          <w:sz w:val="24"/>
          <w:szCs w:val="24"/>
        </w:rPr>
        <w:t xml:space="preserve">/kg desde 2001, para 800 mg/kg, </w:t>
      </w:r>
      <w:r w:rsidR="00065B79" w:rsidRPr="00CE3398">
        <w:rPr>
          <w:rFonts w:ascii="Times New Roman" w:hAnsi="Times New Roman"/>
          <w:sz w:val="24"/>
          <w:szCs w:val="24"/>
        </w:rPr>
        <w:t>e</w:t>
      </w:r>
      <w:r w:rsidR="008218F6" w:rsidRPr="00CE3398">
        <w:rPr>
          <w:rFonts w:ascii="Times New Roman" w:hAnsi="Times New Roman"/>
          <w:sz w:val="24"/>
          <w:szCs w:val="24"/>
        </w:rPr>
        <w:t xml:space="preserve"> </w:t>
      </w:r>
      <w:r w:rsidR="0002519A" w:rsidRPr="00CE3398">
        <w:rPr>
          <w:rFonts w:ascii="Times New Roman" w:hAnsi="Times New Roman"/>
          <w:sz w:val="24"/>
          <w:szCs w:val="24"/>
        </w:rPr>
        <w:t>a Resolução ANP nº 38</w:t>
      </w:r>
      <w:r w:rsidR="008218F6" w:rsidRPr="00CE3398">
        <w:rPr>
          <w:rFonts w:ascii="Times New Roman" w:hAnsi="Times New Roman"/>
          <w:sz w:val="24"/>
          <w:szCs w:val="24"/>
        </w:rPr>
        <w:t xml:space="preserve">, de 9 de dezembro de </w:t>
      </w:r>
      <w:r w:rsidR="0002519A" w:rsidRPr="00CE3398">
        <w:rPr>
          <w:rFonts w:ascii="Times New Roman" w:hAnsi="Times New Roman"/>
          <w:sz w:val="24"/>
          <w:szCs w:val="24"/>
        </w:rPr>
        <w:t>2009</w:t>
      </w:r>
      <w:r w:rsidR="008218F6" w:rsidRPr="00CE3398">
        <w:rPr>
          <w:rFonts w:ascii="Times New Roman" w:hAnsi="Times New Roman"/>
          <w:sz w:val="24"/>
          <w:szCs w:val="24"/>
        </w:rPr>
        <w:t>,</w:t>
      </w:r>
      <w:r w:rsidR="0002519A" w:rsidRPr="00CE3398">
        <w:rPr>
          <w:rFonts w:ascii="Times New Roman" w:hAnsi="Times New Roman"/>
          <w:sz w:val="24"/>
          <w:szCs w:val="24"/>
        </w:rPr>
        <w:t xml:space="preserve"> estabelece que a gasolina comercializada a partir de </w:t>
      </w:r>
      <w:r w:rsidR="008218F6" w:rsidRPr="00CE3398">
        <w:rPr>
          <w:rFonts w:ascii="Times New Roman" w:hAnsi="Times New Roman"/>
          <w:sz w:val="24"/>
          <w:szCs w:val="24"/>
        </w:rPr>
        <w:t xml:space="preserve">1º de janeiro de </w:t>
      </w:r>
      <w:r w:rsidR="0002519A" w:rsidRPr="00CE3398">
        <w:rPr>
          <w:rFonts w:ascii="Times New Roman" w:hAnsi="Times New Roman"/>
          <w:sz w:val="24"/>
          <w:szCs w:val="24"/>
        </w:rPr>
        <w:t xml:space="preserve">2014 deverá possuir, no máximo, 50 mg/kg de enxofre. Esta última também determina a redução dos hidrocarbonetos aromáticos e </w:t>
      </w:r>
      <w:proofErr w:type="spellStart"/>
      <w:r w:rsidR="0002519A" w:rsidRPr="00CE3398">
        <w:rPr>
          <w:rFonts w:ascii="Times New Roman" w:hAnsi="Times New Roman"/>
          <w:sz w:val="24"/>
          <w:szCs w:val="24"/>
        </w:rPr>
        <w:t>olefínicos</w:t>
      </w:r>
      <w:proofErr w:type="spellEnd"/>
      <w:r w:rsidR="0002519A" w:rsidRPr="00CE3398">
        <w:rPr>
          <w:rFonts w:ascii="Times New Roman" w:hAnsi="Times New Roman"/>
          <w:sz w:val="24"/>
          <w:szCs w:val="24"/>
        </w:rPr>
        <w:t xml:space="preserve"> e do benzeno, além de incluir os parâmetros teor de fósforo, silício e hidrocarbonetos saturados. Essas determinações vão ao encontro da fase L-6 do PROCONVE, estabelecida pela Resolução CONAMA nº 415</w:t>
      </w:r>
      <w:r w:rsidR="008676FB" w:rsidRPr="00CE3398">
        <w:rPr>
          <w:rFonts w:ascii="Times New Roman" w:hAnsi="Times New Roman"/>
          <w:sz w:val="24"/>
          <w:szCs w:val="24"/>
        </w:rPr>
        <w:t xml:space="preserve">, de 24 de setembro de </w:t>
      </w:r>
      <w:r w:rsidR="0002519A" w:rsidRPr="00CE3398">
        <w:rPr>
          <w:rFonts w:ascii="Times New Roman" w:hAnsi="Times New Roman"/>
          <w:sz w:val="24"/>
          <w:szCs w:val="24"/>
        </w:rPr>
        <w:t>2009</w:t>
      </w:r>
      <w:r w:rsidR="0002519A" w:rsidRPr="00CE3398">
        <w:rPr>
          <w:rStyle w:val="Refdenotaderodap"/>
          <w:rFonts w:ascii="Times New Roman" w:hAnsi="Times New Roman"/>
          <w:sz w:val="24"/>
          <w:szCs w:val="24"/>
        </w:rPr>
        <w:footnoteReference w:id="2"/>
      </w:r>
      <w:r w:rsidR="0002519A" w:rsidRPr="00CE3398">
        <w:rPr>
          <w:rFonts w:ascii="Times New Roman" w:hAnsi="Times New Roman"/>
          <w:sz w:val="24"/>
          <w:szCs w:val="24"/>
        </w:rPr>
        <w:t xml:space="preserve">, que impôs limites mais restritos para os níveis de emissões de motores </w:t>
      </w:r>
      <w:r w:rsidR="00065B79" w:rsidRPr="00CE3398">
        <w:rPr>
          <w:rFonts w:ascii="Times New Roman" w:hAnsi="Times New Roman"/>
          <w:sz w:val="24"/>
          <w:szCs w:val="24"/>
        </w:rPr>
        <w:t>c</w:t>
      </w:r>
      <w:r w:rsidR="0002519A" w:rsidRPr="00CE3398">
        <w:rPr>
          <w:rFonts w:ascii="Times New Roman" w:hAnsi="Times New Roman"/>
          <w:sz w:val="24"/>
          <w:szCs w:val="24"/>
        </w:rPr>
        <w:t xml:space="preserve">iclo Otto a partir de 2014. </w:t>
      </w:r>
    </w:p>
    <w:p w:rsidR="00E66BEF" w:rsidRDefault="00E66BEF">
      <w:pPr>
        <w:spacing w:after="0" w:line="240" w:lineRule="auto"/>
        <w:rPr>
          <w:rFonts w:ascii="Times New Roman" w:hAnsi="Times New Roman"/>
          <w:sz w:val="24"/>
          <w:szCs w:val="24"/>
        </w:rPr>
      </w:pPr>
      <w:r>
        <w:rPr>
          <w:rFonts w:ascii="Times New Roman" w:hAnsi="Times New Roman"/>
          <w:sz w:val="24"/>
          <w:szCs w:val="24"/>
        </w:rPr>
        <w:br w:type="page"/>
      </w:r>
    </w:p>
    <w:p w:rsidR="0002519A" w:rsidRPr="00CE3398" w:rsidRDefault="0002519A" w:rsidP="00B90A47">
      <w:pPr>
        <w:pStyle w:val="PargrafodaLista"/>
        <w:numPr>
          <w:ilvl w:val="1"/>
          <w:numId w:val="4"/>
        </w:numPr>
        <w:spacing w:after="120" w:line="240" w:lineRule="auto"/>
        <w:ind w:left="426" w:hanging="426"/>
        <w:contextualSpacing w:val="0"/>
        <w:rPr>
          <w:rFonts w:ascii="Times New Roman" w:hAnsi="Times New Roman"/>
          <w:b/>
          <w:sz w:val="24"/>
          <w:szCs w:val="24"/>
        </w:rPr>
      </w:pPr>
      <w:r w:rsidRPr="00CE3398">
        <w:rPr>
          <w:rFonts w:ascii="Times New Roman" w:hAnsi="Times New Roman"/>
          <w:b/>
          <w:sz w:val="24"/>
          <w:szCs w:val="24"/>
        </w:rPr>
        <w:lastRenderedPageBreak/>
        <w:t>FUNDAMENTAÇÃO LEGAL</w:t>
      </w:r>
    </w:p>
    <w:p w:rsidR="0002519A" w:rsidRPr="00CE3398" w:rsidRDefault="0002519A"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A ANP é o órgão governamental responsável por especificar a qualidade do</w:t>
      </w:r>
      <w:r w:rsidR="00EA24FD" w:rsidRPr="00CE3398">
        <w:rPr>
          <w:rFonts w:ascii="Times New Roman" w:hAnsi="Times New Roman"/>
          <w:sz w:val="24"/>
          <w:szCs w:val="24"/>
        </w:rPr>
        <w:t>s</w:t>
      </w:r>
      <w:r w:rsidRPr="00CE3398">
        <w:rPr>
          <w:rFonts w:ascii="Times New Roman" w:hAnsi="Times New Roman"/>
          <w:sz w:val="24"/>
          <w:szCs w:val="24"/>
        </w:rPr>
        <w:t xml:space="preserve"> </w:t>
      </w:r>
      <w:r w:rsidR="00274469" w:rsidRPr="00CE3398">
        <w:rPr>
          <w:rFonts w:ascii="Times New Roman" w:hAnsi="Times New Roman"/>
          <w:sz w:val="24"/>
          <w:szCs w:val="24"/>
        </w:rPr>
        <w:t>derivados</w:t>
      </w:r>
      <w:r w:rsidR="00EA24FD" w:rsidRPr="00CE3398">
        <w:rPr>
          <w:rFonts w:ascii="Times New Roman" w:hAnsi="Times New Roman"/>
          <w:sz w:val="24"/>
          <w:szCs w:val="24"/>
        </w:rPr>
        <w:t xml:space="preserve"> de petróleo</w:t>
      </w:r>
      <w:r w:rsidRPr="00CE3398">
        <w:rPr>
          <w:rFonts w:ascii="Times New Roman" w:hAnsi="Times New Roman"/>
          <w:sz w:val="24"/>
          <w:szCs w:val="24"/>
        </w:rPr>
        <w:t xml:space="preserve">, gás natural e </w:t>
      </w:r>
      <w:r w:rsidR="00EA24FD" w:rsidRPr="00CE3398">
        <w:rPr>
          <w:rFonts w:ascii="Times New Roman" w:hAnsi="Times New Roman"/>
          <w:sz w:val="24"/>
          <w:szCs w:val="24"/>
        </w:rPr>
        <w:t xml:space="preserve">seus derivados, e </w:t>
      </w:r>
      <w:r w:rsidRPr="00CE3398">
        <w:rPr>
          <w:rFonts w:ascii="Times New Roman" w:hAnsi="Times New Roman"/>
          <w:sz w:val="24"/>
          <w:szCs w:val="24"/>
        </w:rPr>
        <w:t>biocombustíveis. Por meio dessas especificações, garantem-se as propriedades mínimas necessárias ao bom desempenho do produto. Busca-se, ainda, atender à conservação da qualidade do ar, sem perder de vista a necessidade de assegurar, em todo o território nacional, a oferta e a adequação ao uso dos combustíveis que fazem parte da matriz energética brasileira.</w:t>
      </w:r>
    </w:p>
    <w:p w:rsidR="0002519A" w:rsidRPr="00CE3398" w:rsidRDefault="0002519A"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As regulamentações propostas pela ANP atendem à Política </w:t>
      </w:r>
      <w:r w:rsidR="004426CA" w:rsidRPr="00CE3398">
        <w:rPr>
          <w:rFonts w:ascii="Times New Roman" w:hAnsi="Times New Roman"/>
          <w:sz w:val="24"/>
          <w:szCs w:val="24"/>
        </w:rPr>
        <w:t xml:space="preserve">Nacional </w:t>
      </w:r>
      <w:r w:rsidRPr="00CE3398">
        <w:rPr>
          <w:rFonts w:ascii="Times New Roman" w:hAnsi="Times New Roman"/>
          <w:sz w:val="24"/>
          <w:szCs w:val="24"/>
        </w:rPr>
        <w:t>Energética e aos anseios da sociedade quanto à adequação ao uso, ao meio ambiente e aos interesses do consumidor, considerando a realidade nacional, e t</w:t>
      </w:r>
      <w:r w:rsidR="00D6766F" w:rsidRPr="00CE3398">
        <w:rPr>
          <w:rFonts w:ascii="Times New Roman" w:hAnsi="Times New Roman"/>
          <w:sz w:val="24"/>
          <w:szCs w:val="24"/>
        </w:rPr>
        <w:t>e</w:t>
      </w:r>
      <w:r w:rsidRPr="00CE3398">
        <w:rPr>
          <w:rFonts w:ascii="Times New Roman" w:hAnsi="Times New Roman"/>
          <w:sz w:val="24"/>
          <w:szCs w:val="24"/>
        </w:rPr>
        <w:t>m como princípios</w:t>
      </w:r>
      <w:r w:rsidR="00EC1E3A" w:rsidRPr="00CE3398">
        <w:rPr>
          <w:rFonts w:ascii="Times New Roman" w:hAnsi="Times New Roman"/>
          <w:sz w:val="24"/>
          <w:szCs w:val="24"/>
        </w:rPr>
        <w:t>, entre outros</w:t>
      </w:r>
      <w:r w:rsidRPr="00CE3398">
        <w:rPr>
          <w:rFonts w:ascii="Times New Roman" w:hAnsi="Times New Roman"/>
          <w:sz w:val="24"/>
          <w:szCs w:val="24"/>
        </w:rPr>
        <w:t>:</w:t>
      </w:r>
    </w:p>
    <w:p w:rsidR="0002519A" w:rsidRPr="00CE3398" w:rsidRDefault="00D6766F" w:rsidP="007D487A">
      <w:pPr>
        <w:pStyle w:val="PargrafodaLista"/>
        <w:numPr>
          <w:ilvl w:val="0"/>
          <w:numId w:val="2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Proteger</w:t>
      </w:r>
      <w:r w:rsidR="0002519A" w:rsidRPr="00CE3398">
        <w:rPr>
          <w:rFonts w:ascii="Times New Roman" w:hAnsi="Times New Roman"/>
          <w:sz w:val="24"/>
          <w:szCs w:val="24"/>
        </w:rPr>
        <w:t xml:space="preserve"> os interesses do consumidor, garantindo derivados de petróleo, gás natural e biocombustíveis adequados ao uso;</w:t>
      </w:r>
    </w:p>
    <w:p w:rsidR="0002519A" w:rsidRPr="00CE3398" w:rsidRDefault="00D6766F" w:rsidP="007D487A">
      <w:pPr>
        <w:pStyle w:val="PargrafodaLista"/>
        <w:numPr>
          <w:ilvl w:val="0"/>
          <w:numId w:val="2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Proteger</w:t>
      </w:r>
      <w:r w:rsidR="0002519A" w:rsidRPr="00CE3398">
        <w:rPr>
          <w:rFonts w:ascii="Times New Roman" w:hAnsi="Times New Roman"/>
          <w:sz w:val="24"/>
          <w:szCs w:val="24"/>
        </w:rPr>
        <w:t xml:space="preserve"> os interesses da sociedade, tendo em mente a qualidade de vida e as questões ambientais na especificação da qualidade dos produtos;</w:t>
      </w:r>
    </w:p>
    <w:p w:rsidR="0002519A" w:rsidRPr="00CE3398" w:rsidRDefault="00D6766F" w:rsidP="007D487A">
      <w:pPr>
        <w:pStyle w:val="PargrafodaLista"/>
        <w:numPr>
          <w:ilvl w:val="0"/>
          <w:numId w:val="2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Preservar</w:t>
      </w:r>
      <w:r w:rsidR="0002519A" w:rsidRPr="00CE3398">
        <w:rPr>
          <w:rFonts w:ascii="Times New Roman" w:hAnsi="Times New Roman"/>
          <w:sz w:val="24"/>
          <w:szCs w:val="24"/>
        </w:rPr>
        <w:t xml:space="preserve"> os interesses nacionais, definindo a qualidade dos derivados de petróleo, do gás natural e </w:t>
      </w:r>
      <w:r w:rsidR="003009CC" w:rsidRPr="00CE3398">
        <w:rPr>
          <w:rFonts w:ascii="Times New Roman" w:hAnsi="Times New Roman"/>
          <w:sz w:val="24"/>
          <w:szCs w:val="24"/>
        </w:rPr>
        <w:t xml:space="preserve">dos </w:t>
      </w:r>
      <w:r w:rsidR="0002519A" w:rsidRPr="00CE3398">
        <w:rPr>
          <w:rFonts w:ascii="Times New Roman" w:hAnsi="Times New Roman"/>
          <w:sz w:val="24"/>
          <w:szCs w:val="24"/>
        </w:rPr>
        <w:t>biocombustíveis, em conformidade com a realidade brasileira;</w:t>
      </w:r>
    </w:p>
    <w:p w:rsidR="0002519A" w:rsidRPr="00CE3398" w:rsidRDefault="00D6766F" w:rsidP="007D487A">
      <w:pPr>
        <w:pStyle w:val="PargrafodaLista"/>
        <w:numPr>
          <w:ilvl w:val="0"/>
          <w:numId w:val="2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Estimular</w:t>
      </w:r>
      <w:r w:rsidR="0002519A" w:rsidRPr="00CE3398">
        <w:rPr>
          <w:rFonts w:ascii="Times New Roman" w:hAnsi="Times New Roman"/>
          <w:sz w:val="24"/>
          <w:szCs w:val="24"/>
        </w:rPr>
        <w:t xml:space="preserve"> o desenvolvimento, por intermédio de especificações que induzam à evolução tecnológica;</w:t>
      </w:r>
    </w:p>
    <w:p w:rsidR="0002519A" w:rsidRPr="00CE3398" w:rsidRDefault="00D6766F" w:rsidP="007D487A">
      <w:pPr>
        <w:pStyle w:val="PargrafodaLista"/>
        <w:numPr>
          <w:ilvl w:val="0"/>
          <w:numId w:val="2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Promover</w:t>
      </w:r>
      <w:r w:rsidR="0002519A" w:rsidRPr="00CE3398">
        <w:rPr>
          <w:rFonts w:ascii="Times New Roman" w:hAnsi="Times New Roman"/>
          <w:sz w:val="24"/>
          <w:szCs w:val="24"/>
        </w:rPr>
        <w:t xml:space="preserve"> a livre concorrência por intermédio das especificações dos produtos, evitando reservas de mercado;</w:t>
      </w:r>
      <w:r w:rsidR="00361CCF" w:rsidRPr="00CE3398">
        <w:rPr>
          <w:rFonts w:ascii="Times New Roman" w:hAnsi="Times New Roman"/>
          <w:sz w:val="24"/>
          <w:szCs w:val="24"/>
        </w:rPr>
        <w:t xml:space="preserve"> </w:t>
      </w:r>
      <w:proofErr w:type="gramStart"/>
      <w:r w:rsidR="00361CCF" w:rsidRPr="00CE3398">
        <w:rPr>
          <w:rFonts w:ascii="Times New Roman" w:hAnsi="Times New Roman"/>
          <w:sz w:val="24"/>
          <w:szCs w:val="24"/>
        </w:rPr>
        <w:t>e</w:t>
      </w:r>
      <w:proofErr w:type="gramEnd"/>
    </w:p>
    <w:p w:rsidR="0002519A" w:rsidRPr="00CE3398" w:rsidRDefault="00D6766F" w:rsidP="007D487A">
      <w:pPr>
        <w:pStyle w:val="PargrafodaLista"/>
        <w:numPr>
          <w:ilvl w:val="0"/>
          <w:numId w:val="2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Conferir</w:t>
      </w:r>
      <w:r w:rsidR="0002519A" w:rsidRPr="00CE3398">
        <w:rPr>
          <w:rFonts w:ascii="Times New Roman" w:hAnsi="Times New Roman"/>
          <w:sz w:val="24"/>
          <w:szCs w:val="24"/>
        </w:rPr>
        <w:t xml:space="preserve"> credibilidade à qualidade dos produtos consumidos no País.</w:t>
      </w:r>
    </w:p>
    <w:p w:rsidR="0002519A" w:rsidRPr="00CE3398" w:rsidRDefault="0002519A"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Nesse sentido, ao propor uma nova especificação (ou alterações na especificação de um produto)</w:t>
      </w:r>
      <w:r w:rsidR="009373B4" w:rsidRPr="00CE3398">
        <w:rPr>
          <w:rFonts w:ascii="Times New Roman" w:hAnsi="Times New Roman"/>
          <w:sz w:val="24"/>
          <w:szCs w:val="24"/>
        </w:rPr>
        <w:t>,</w:t>
      </w:r>
      <w:r w:rsidRPr="00CE3398">
        <w:rPr>
          <w:rFonts w:ascii="Times New Roman" w:hAnsi="Times New Roman"/>
          <w:sz w:val="24"/>
          <w:szCs w:val="24"/>
        </w:rPr>
        <w:t xml:space="preserve"> diversos aspectos devem ser levados em consideração, entre os quais se destacam:</w:t>
      </w:r>
    </w:p>
    <w:p w:rsidR="0002519A" w:rsidRPr="00CE3398" w:rsidRDefault="00D6766F" w:rsidP="00134661">
      <w:pPr>
        <w:pStyle w:val="PargrafodaLista"/>
        <w:numPr>
          <w:ilvl w:val="0"/>
          <w:numId w:val="28"/>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Estrutura</w:t>
      </w:r>
      <w:r w:rsidR="0002519A" w:rsidRPr="00CE3398">
        <w:rPr>
          <w:rFonts w:ascii="Times New Roman" w:hAnsi="Times New Roman"/>
          <w:sz w:val="24"/>
          <w:szCs w:val="24"/>
        </w:rPr>
        <w:t xml:space="preserve"> de refino e de abastecimento no país;</w:t>
      </w:r>
    </w:p>
    <w:p w:rsidR="0002519A" w:rsidRPr="00CE3398" w:rsidRDefault="00D6766F" w:rsidP="00134661">
      <w:pPr>
        <w:pStyle w:val="PargrafodaLista"/>
        <w:numPr>
          <w:ilvl w:val="0"/>
          <w:numId w:val="28"/>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Qualidade</w:t>
      </w:r>
      <w:r w:rsidR="0002519A" w:rsidRPr="00CE3398">
        <w:rPr>
          <w:rFonts w:ascii="Times New Roman" w:hAnsi="Times New Roman"/>
          <w:sz w:val="24"/>
          <w:szCs w:val="24"/>
        </w:rPr>
        <w:t xml:space="preserve"> dos derivados de petróleo, gás </w:t>
      </w:r>
      <w:proofErr w:type="gramStart"/>
      <w:r w:rsidR="0002519A" w:rsidRPr="00CE3398">
        <w:rPr>
          <w:rFonts w:ascii="Times New Roman" w:hAnsi="Times New Roman"/>
          <w:sz w:val="24"/>
          <w:szCs w:val="24"/>
        </w:rPr>
        <w:t>natural e biocombustíveis no mundo</w:t>
      </w:r>
      <w:proofErr w:type="gramEnd"/>
      <w:r w:rsidR="0002519A" w:rsidRPr="00CE3398">
        <w:rPr>
          <w:rFonts w:ascii="Times New Roman" w:hAnsi="Times New Roman"/>
          <w:sz w:val="24"/>
          <w:szCs w:val="24"/>
        </w:rPr>
        <w:t>;</w:t>
      </w:r>
    </w:p>
    <w:p w:rsidR="0002519A" w:rsidRPr="00CE3398" w:rsidRDefault="00D6766F" w:rsidP="00134661">
      <w:pPr>
        <w:pStyle w:val="PargrafodaLista"/>
        <w:numPr>
          <w:ilvl w:val="0"/>
          <w:numId w:val="28"/>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Meio</w:t>
      </w:r>
      <w:r w:rsidR="0002519A" w:rsidRPr="00CE3398">
        <w:rPr>
          <w:rFonts w:ascii="Times New Roman" w:hAnsi="Times New Roman"/>
          <w:sz w:val="24"/>
          <w:szCs w:val="24"/>
        </w:rPr>
        <w:t xml:space="preserve"> ambiente;</w:t>
      </w:r>
    </w:p>
    <w:p w:rsidR="0002519A" w:rsidRPr="00CE3398" w:rsidRDefault="00D6766F" w:rsidP="00134661">
      <w:pPr>
        <w:pStyle w:val="PargrafodaLista"/>
        <w:numPr>
          <w:ilvl w:val="0"/>
          <w:numId w:val="28"/>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Distribuição</w:t>
      </w:r>
      <w:r w:rsidR="0002519A" w:rsidRPr="00CE3398">
        <w:rPr>
          <w:rFonts w:ascii="Times New Roman" w:hAnsi="Times New Roman"/>
          <w:sz w:val="24"/>
          <w:szCs w:val="24"/>
        </w:rPr>
        <w:t xml:space="preserve"> dos modais de transporte no Brasil;</w:t>
      </w:r>
    </w:p>
    <w:p w:rsidR="0002519A" w:rsidRPr="00CE3398" w:rsidRDefault="00D6766F" w:rsidP="00134661">
      <w:pPr>
        <w:pStyle w:val="PargrafodaLista"/>
        <w:numPr>
          <w:ilvl w:val="0"/>
          <w:numId w:val="28"/>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Evolução</w:t>
      </w:r>
      <w:r w:rsidR="0002519A" w:rsidRPr="00CE3398">
        <w:rPr>
          <w:rFonts w:ascii="Times New Roman" w:hAnsi="Times New Roman"/>
          <w:sz w:val="24"/>
          <w:szCs w:val="24"/>
        </w:rPr>
        <w:t xml:space="preserve"> da tecnologia dos </w:t>
      </w:r>
      <w:r w:rsidR="004426CA" w:rsidRPr="00CE3398">
        <w:rPr>
          <w:rFonts w:ascii="Times New Roman" w:hAnsi="Times New Roman"/>
          <w:sz w:val="24"/>
          <w:szCs w:val="24"/>
        </w:rPr>
        <w:t xml:space="preserve">motores e </w:t>
      </w:r>
      <w:r w:rsidR="0002519A" w:rsidRPr="00CE3398">
        <w:rPr>
          <w:rFonts w:ascii="Times New Roman" w:hAnsi="Times New Roman"/>
          <w:sz w:val="24"/>
          <w:szCs w:val="24"/>
        </w:rPr>
        <w:t>equipamentos;</w:t>
      </w:r>
    </w:p>
    <w:p w:rsidR="0002519A" w:rsidRPr="00CE3398" w:rsidRDefault="00D6766F" w:rsidP="00134661">
      <w:pPr>
        <w:pStyle w:val="PargrafodaLista"/>
        <w:numPr>
          <w:ilvl w:val="0"/>
          <w:numId w:val="28"/>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Utilização</w:t>
      </w:r>
      <w:r w:rsidR="0002519A" w:rsidRPr="00CE3398">
        <w:rPr>
          <w:rFonts w:ascii="Times New Roman" w:hAnsi="Times New Roman"/>
          <w:sz w:val="24"/>
          <w:szCs w:val="24"/>
        </w:rPr>
        <w:t xml:space="preserve"> de produtos alternativos;</w:t>
      </w:r>
    </w:p>
    <w:p w:rsidR="0002519A" w:rsidRPr="00CE3398" w:rsidRDefault="00D6766F" w:rsidP="00134661">
      <w:pPr>
        <w:pStyle w:val="PargrafodaLista"/>
        <w:numPr>
          <w:ilvl w:val="0"/>
          <w:numId w:val="28"/>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Uso</w:t>
      </w:r>
      <w:r w:rsidR="0002519A" w:rsidRPr="00CE3398">
        <w:rPr>
          <w:rFonts w:ascii="Times New Roman" w:hAnsi="Times New Roman"/>
          <w:sz w:val="24"/>
          <w:szCs w:val="24"/>
        </w:rPr>
        <w:t xml:space="preserve"> eficiente dos produtos.</w:t>
      </w:r>
    </w:p>
    <w:p w:rsidR="0002519A" w:rsidRPr="00CE3398" w:rsidRDefault="0002519A" w:rsidP="0002519A">
      <w:pPr>
        <w:tabs>
          <w:tab w:val="left" w:pos="960"/>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No que se refere aos aspectos ambientais, a ANP busca </w:t>
      </w:r>
      <w:r w:rsidR="003009CC" w:rsidRPr="00CE3398">
        <w:rPr>
          <w:rFonts w:ascii="Times New Roman" w:hAnsi="Times New Roman"/>
          <w:sz w:val="24"/>
          <w:szCs w:val="24"/>
        </w:rPr>
        <w:t xml:space="preserve">promover </w:t>
      </w:r>
      <w:r w:rsidRPr="00CE3398">
        <w:rPr>
          <w:rFonts w:ascii="Times New Roman" w:hAnsi="Times New Roman"/>
          <w:sz w:val="24"/>
          <w:szCs w:val="24"/>
        </w:rPr>
        <w:t>melhorias constantes nas especificações dos diversos combustíveis e no controle d</w:t>
      </w:r>
      <w:r w:rsidR="003D6910" w:rsidRPr="00CE3398">
        <w:rPr>
          <w:rFonts w:ascii="Times New Roman" w:hAnsi="Times New Roman"/>
          <w:sz w:val="24"/>
          <w:szCs w:val="24"/>
        </w:rPr>
        <w:t>a</w:t>
      </w:r>
      <w:r w:rsidRPr="00CE3398">
        <w:rPr>
          <w:rFonts w:ascii="Times New Roman" w:hAnsi="Times New Roman"/>
          <w:sz w:val="24"/>
          <w:szCs w:val="24"/>
        </w:rPr>
        <w:t xml:space="preserve"> sua qualidade, atuando em estrita consonância com o PROCONVE. </w:t>
      </w:r>
    </w:p>
    <w:p w:rsidR="0002519A" w:rsidRPr="00CE3398" w:rsidRDefault="0002519A" w:rsidP="0002519A">
      <w:pPr>
        <w:pStyle w:val="PargrafodaLista"/>
        <w:spacing w:after="120" w:line="240" w:lineRule="auto"/>
        <w:ind w:left="0"/>
        <w:contextualSpacing w:val="0"/>
        <w:jc w:val="both"/>
        <w:rPr>
          <w:rFonts w:ascii="Times New Roman" w:hAnsi="Times New Roman"/>
          <w:sz w:val="24"/>
          <w:szCs w:val="24"/>
        </w:rPr>
      </w:pPr>
    </w:p>
    <w:p w:rsidR="0002519A" w:rsidRPr="00CE3398" w:rsidRDefault="0002519A" w:rsidP="003D6910">
      <w:pPr>
        <w:pStyle w:val="PargrafodaLista"/>
        <w:numPr>
          <w:ilvl w:val="1"/>
          <w:numId w:val="4"/>
        </w:numPr>
        <w:spacing w:after="120" w:line="240" w:lineRule="auto"/>
        <w:ind w:left="426" w:hanging="426"/>
        <w:contextualSpacing w:val="0"/>
        <w:rPr>
          <w:rFonts w:ascii="Times New Roman" w:hAnsi="Times New Roman"/>
          <w:b/>
          <w:sz w:val="24"/>
          <w:szCs w:val="24"/>
        </w:rPr>
      </w:pPr>
      <w:r w:rsidRPr="00CE3398">
        <w:rPr>
          <w:rFonts w:ascii="Times New Roman" w:hAnsi="Times New Roman"/>
          <w:b/>
          <w:sz w:val="24"/>
          <w:szCs w:val="24"/>
        </w:rPr>
        <w:t>GRUPOS AFETADOS</w:t>
      </w:r>
    </w:p>
    <w:p w:rsidR="0072557A" w:rsidRPr="00CE3398" w:rsidRDefault="00F161DD" w:rsidP="0072557A">
      <w:pPr>
        <w:tabs>
          <w:tab w:val="left" w:pos="709"/>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D</w:t>
      </w:r>
      <w:r w:rsidR="00E02F4B" w:rsidRPr="00CE3398">
        <w:rPr>
          <w:rFonts w:ascii="Times New Roman" w:hAnsi="Times New Roman"/>
          <w:sz w:val="24"/>
          <w:szCs w:val="24"/>
        </w:rPr>
        <w:t xml:space="preserve">iversos grupos </w:t>
      </w:r>
      <w:r w:rsidRPr="00CE3398">
        <w:rPr>
          <w:rFonts w:ascii="Times New Roman" w:hAnsi="Times New Roman"/>
          <w:sz w:val="24"/>
          <w:szCs w:val="24"/>
        </w:rPr>
        <w:t xml:space="preserve">serão </w:t>
      </w:r>
      <w:r w:rsidR="00E02F4B" w:rsidRPr="00CE3398">
        <w:rPr>
          <w:rFonts w:ascii="Times New Roman" w:hAnsi="Times New Roman"/>
          <w:sz w:val="24"/>
          <w:szCs w:val="24"/>
        </w:rPr>
        <w:t xml:space="preserve">afetados pela </w:t>
      </w:r>
      <w:r w:rsidR="007550BD" w:rsidRPr="00CE3398">
        <w:rPr>
          <w:rFonts w:ascii="Times New Roman" w:hAnsi="Times New Roman"/>
          <w:sz w:val="24"/>
          <w:szCs w:val="24"/>
        </w:rPr>
        <w:t>aditivação mínima obrigatória da gasolina</w:t>
      </w:r>
      <w:r w:rsidR="00E02F4B" w:rsidRPr="00CE3398">
        <w:rPr>
          <w:rFonts w:ascii="Times New Roman" w:hAnsi="Times New Roman"/>
          <w:sz w:val="24"/>
          <w:szCs w:val="24"/>
        </w:rPr>
        <w:t>.</w:t>
      </w:r>
      <w:r w:rsidR="007550BD" w:rsidRPr="00CE3398">
        <w:rPr>
          <w:rFonts w:ascii="Times New Roman" w:hAnsi="Times New Roman"/>
          <w:sz w:val="24"/>
          <w:szCs w:val="24"/>
        </w:rPr>
        <w:t xml:space="preserve"> </w:t>
      </w:r>
      <w:r w:rsidR="00E02F4B" w:rsidRPr="00CE3398">
        <w:rPr>
          <w:rFonts w:ascii="Times New Roman" w:hAnsi="Times New Roman"/>
          <w:sz w:val="24"/>
          <w:szCs w:val="24"/>
        </w:rPr>
        <w:t xml:space="preserve">Em primeiro lugar, a população em geral, </w:t>
      </w:r>
      <w:r w:rsidR="007550BD" w:rsidRPr="00CE3398">
        <w:rPr>
          <w:rFonts w:ascii="Times New Roman" w:hAnsi="Times New Roman"/>
          <w:sz w:val="24"/>
          <w:szCs w:val="24"/>
        </w:rPr>
        <w:t>pelos</w:t>
      </w:r>
      <w:r w:rsidR="00E02F4B" w:rsidRPr="00CE3398">
        <w:rPr>
          <w:rFonts w:ascii="Times New Roman" w:hAnsi="Times New Roman"/>
          <w:sz w:val="24"/>
          <w:szCs w:val="24"/>
        </w:rPr>
        <w:t xml:space="preserve"> efeitos indiretos da redução da emissão de gases poluentes</w:t>
      </w:r>
      <w:r w:rsidR="000D3625" w:rsidRPr="00CE3398">
        <w:rPr>
          <w:rFonts w:ascii="Times New Roman" w:hAnsi="Times New Roman"/>
          <w:sz w:val="24"/>
          <w:szCs w:val="24"/>
        </w:rPr>
        <w:t xml:space="preserve"> e</w:t>
      </w:r>
      <w:r w:rsidR="007550BD" w:rsidRPr="00CE3398">
        <w:rPr>
          <w:rFonts w:ascii="Times New Roman" w:hAnsi="Times New Roman"/>
          <w:sz w:val="24"/>
          <w:szCs w:val="24"/>
        </w:rPr>
        <w:t xml:space="preserve"> pela</w:t>
      </w:r>
      <w:r w:rsidR="00E02F4B" w:rsidRPr="00CE3398">
        <w:rPr>
          <w:rFonts w:ascii="Times New Roman" w:hAnsi="Times New Roman"/>
          <w:sz w:val="24"/>
          <w:szCs w:val="24"/>
        </w:rPr>
        <w:t xml:space="preserve"> diminuição do número de casos de doenças respiratórias.</w:t>
      </w:r>
    </w:p>
    <w:p w:rsidR="0072557A" w:rsidRPr="00CE3398" w:rsidRDefault="00E02F4B" w:rsidP="0072557A">
      <w:pPr>
        <w:tabs>
          <w:tab w:val="left" w:pos="709"/>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Também s</w:t>
      </w:r>
      <w:r w:rsidR="00F161DD" w:rsidRPr="00CE3398">
        <w:rPr>
          <w:rFonts w:ascii="Times New Roman" w:hAnsi="Times New Roman"/>
          <w:sz w:val="24"/>
          <w:szCs w:val="24"/>
        </w:rPr>
        <w:t>er</w:t>
      </w:r>
      <w:r w:rsidRPr="00CE3398">
        <w:rPr>
          <w:rFonts w:ascii="Times New Roman" w:hAnsi="Times New Roman"/>
          <w:sz w:val="24"/>
          <w:szCs w:val="24"/>
        </w:rPr>
        <w:t xml:space="preserve">ão afetados os </w:t>
      </w:r>
      <w:r w:rsidR="000D3625" w:rsidRPr="00CE3398">
        <w:rPr>
          <w:rFonts w:ascii="Times New Roman" w:hAnsi="Times New Roman"/>
          <w:sz w:val="24"/>
          <w:szCs w:val="24"/>
        </w:rPr>
        <w:t>proprietários</w:t>
      </w:r>
      <w:r w:rsidR="00F161DD" w:rsidRPr="00CE3398">
        <w:rPr>
          <w:rFonts w:ascii="Times New Roman" w:hAnsi="Times New Roman"/>
          <w:sz w:val="24"/>
          <w:szCs w:val="24"/>
        </w:rPr>
        <w:t xml:space="preserve"> de veículos movidos </w:t>
      </w:r>
      <w:proofErr w:type="gramStart"/>
      <w:r w:rsidR="00F161DD" w:rsidRPr="00CE3398">
        <w:rPr>
          <w:rFonts w:ascii="Times New Roman" w:hAnsi="Times New Roman"/>
          <w:sz w:val="24"/>
          <w:szCs w:val="24"/>
        </w:rPr>
        <w:t>a</w:t>
      </w:r>
      <w:proofErr w:type="gramEnd"/>
      <w:r w:rsidR="00F161DD" w:rsidRPr="00CE3398">
        <w:rPr>
          <w:rFonts w:ascii="Times New Roman" w:hAnsi="Times New Roman"/>
          <w:sz w:val="24"/>
          <w:szCs w:val="24"/>
        </w:rPr>
        <w:t xml:space="preserve"> </w:t>
      </w:r>
      <w:r w:rsidRPr="00CE3398">
        <w:rPr>
          <w:rFonts w:ascii="Times New Roman" w:hAnsi="Times New Roman"/>
          <w:sz w:val="24"/>
          <w:szCs w:val="24"/>
        </w:rPr>
        <w:t>gasolina</w:t>
      </w:r>
      <w:r w:rsidR="000D3625" w:rsidRPr="00CE3398">
        <w:rPr>
          <w:rFonts w:ascii="Times New Roman" w:hAnsi="Times New Roman"/>
          <w:sz w:val="24"/>
          <w:szCs w:val="24"/>
        </w:rPr>
        <w:t xml:space="preserve"> que,</w:t>
      </w:r>
      <w:r w:rsidRPr="00CE3398">
        <w:rPr>
          <w:rFonts w:ascii="Times New Roman" w:hAnsi="Times New Roman"/>
          <w:sz w:val="24"/>
          <w:szCs w:val="24"/>
        </w:rPr>
        <w:t xml:space="preserve"> </w:t>
      </w:r>
      <w:r w:rsidR="00D21BC5" w:rsidRPr="00CE3398">
        <w:rPr>
          <w:rFonts w:ascii="Times New Roman" w:hAnsi="Times New Roman"/>
          <w:sz w:val="24"/>
          <w:szCs w:val="24"/>
        </w:rPr>
        <w:t xml:space="preserve">se por um lado poderão submeter-se a um possível </w:t>
      </w:r>
      <w:r w:rsidRPr="00CE3398">
        <w:rPr>
          <w:rFonts w:ascii="Times New Roman" w:hAnsi="Times New Roman"/>
          <w:sz w:val="24"/>
          <w:szCs w:val="24"/>
        </w:rPr>
        <w:t xml:space="preserve">aumento de preço do </w:t>
      </w:r>
      <w:r w:rsidR="000D3625" w:rsidRPr="00CE3398">
        <w:rPr>
          <w:rFonts w:ascii="Times New Roman" w:hAnsi="Times New Roman"/>
          <w:sz w:val="24"/>
          <w:szCs w:val="24"/>
        </w:rPr>
        <w:t>combustível</w:t>
      </w:r>
      <w:r w:rsidRPr="00CE3398">
        <w:rPr>
          <w:rFonts w:ascii="Times New Roman" w:hAnsi="Times New Roman"/>
          <w:sz w:val="24"/>
          <w:szCs w:val="24"/>
        </w:rPr>
        <w:t xml:space="preserve">, </w:t>
      </w:r>
      <w:r w:rsidR="00D21BC5" w:rsidRPr="00CE3398">
        <w:rPr>
          <w:rFonts w:ascii="Times New Roman" w:hAnsi="Times New Roman"/>
          <w:sz w:val="24"/>
          <w:szCs w:val="24"/>
        </w:rPr>
        <w:t xml:space="preserve">por outro, </w:t>
      </w:r>
      <w:r w:rsidRPr="00CE3398">
        <w:rPr>
          <w:rFonts w:ascii="Times New Roman" w:hAnsi="Times New Roman"/>
          <w:sz w:val="24"/>
          <w:szCs w:val="24"/>
        </w:rPr>
        <w:t>s</w:t>
      </w:r>
      <w:r w:rsidR="00F161DD" w:rsidRPr="00CE3398">
        <w:rPr>
          <w:rFonts w:ascii="Times New Roman" w:hAnsi="Times New Roman"/>
          <w:sz w:val="24"/>
          <w:szCs w:val="24"/>
        </w:rPr>
        <w:t>er</w:t>
      </w:r>
      <w:r w:rsidRPr="00CE3398">
        <w:rPr>
          <w:rFonts w:ascii="Times New Roman" w:hAnsi="Times New Roman"/>
          <w:sz w:val="24"/>
          <w:szCs w:val="24"/>
        </w:rPr>
        <w:t xml:space="preserve">ão beneficiados </w:t>
      </w:r>
      <w:r w:rsidR="0031248B">
        <w:rPr>
          <w:rFonts w:ascii="Times New Roman" w:hAnsi="Times New Roman"/>
          <w:sz w:val="24"/>
          <w:szCs w:val="24"/>
        </w:rPr>
        <w:lastRenderedPageBreak/>
        <w:t>por uma taxa de crescimento menor do</w:t>
      </w:r>
      <w:r w:rsidRPr="00CE3398">
        <w:rPr>
          <w:rFonts w:ascii="Times New Roman" w:hAnsi="Times New Roman"/>
          <w:sz w:val="24"/>
          <w:szCs w:val="24"/>
        </w:rPr>
        <w:t xml:space="preserve"> consumo de combustível dos veículos ao longo do tempo e pelo possível aumento de durabilidade dos motores.</w:t>
      </w:r>
    </w:p>
    <w:p w:rsidR="0072557A" w:rsidRPr="00CE3398" w:rsidRDefault="00E02F4B" w:rsidP="0072557A">
      <w:pPr>
        <w:tabs>
          <w:tab w:val="left" w:pos="709"/>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Produtores e fornecedores de aditivos serão diretamente afetados pela expansão do mercado</w:t>
      </w:r>
      <w:r w:rsidR="004426CA" w:rsidRPr="00CE3398">
        <w:rPr>
          <w:rFonts w:ascii="Times New Roman" w:hAnsi="Times New Roman"/>
          <w:sz w:val="24"/>
          <w:szCs w:val="24"/>
        </w:rPr>
        <w:t xml:space="preserve">, assim como </w:t>
      </w:r>
      <w:r w:rsidRPr="00CE3398">
        <w:rPr>
          <w:rFonts w:ascii="Times New Roman" w:hAnsi="Times New Roman"/>
          <w:sz w:val="24"/>
          <w:szCs w:val="24"/>
        </w:rPr>
        <w:t xml:space="preserve">pela escolha do ponto de aditivação, que pode restringir o número de compradores. No entanto, para garantia do desempenho dos aditivos, deverão incorrer em </w:t>
      </w:r>
      <w:r w:rsidR="00D10F9A" w:rsidRPr="00CE3398">
        <w:rPr>
          <w:rFonts w:ascii="Times New Roman" w:hAnsi="Times New Roman"/>
          <w:sz w:val="24"/>
          <w:szCs w:val="24"/>
        </w:rPr>
        <w:t xml:space="preserve">despesas </w:t>
      </w:r>
      <w:r w:rsidRPr="00CE3398">
        <w:rPr>
          <w:rFonts w:ascii="Times New Roman" w:hAnsi="Times New Roman"/>
          <w:sz w:val="24"/>
          <w:szCs w:val="24"/>
        </w:rPr>
        <w:t>com ensaios para seu registro junto à ANP e de envio de dados para o controle da movimentação de seus produtos.</w:t>
      </w:r>
    </w:p>
    <w:p w:rsidR="0072557A" w:rsidRDefault="00E02F4B" w:rsidP="0072557A">
      <w:pPr>
        <w:tabs>
          <w:tab w:val="left" w:pos="709"/>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Para os produtores ou distribuidores de gasoli</w:t>
      </w:r>
      <w:r w:rsidR="000D3625" w:rsidRPr="00CE3398">
        <w:rPr>
          <w:rFonts w:ascii="Times New Roman" w:hAnsi="Times New Roman"/>
          <w:sz w:val="24"/>
          <w:szCs w:val="24"/>
        </w:rPr>
        <w:t>na –</w:t>
      </w:r>
      <w:r w:rsidRPr="00CE3398">
        <w:rPr>
          <w:rFonts w:ascii="Times New Roman" w:hAnsi="Times New Roman"/>
          <w:sz w:val="24"/>
          <w:szCs w:val="24"/>
        </w:rPr>
        <w:t xml:space="preserve"> </w:t>
      </w:r>
      <w:r w:rsidR="000D3625" w:rsidRPr="00CE3398">
        <w:rPr>
          <w:rFonts w:ascii="Times New Roman" w:hAnsi="Times New Roman"/>
          <w:sz w:val="24"/>
          <w:szCs w:val="24"/>
        </w:rPr>
        <w:t xml:space="preserve">dependendo de qual agente for responsável pela aditivação – </w:t>
      </w:r>
      <w:r w:rsidRPr="00CE3398">
        <w:rPr>
          <w:rFonts w:ascii="Times New Roman" w:hAnsi="Times New Roman"/>
          <w:sz w:val="24"/>
          <w:szCs w:val="24"/>
        </w:rPr>
        <w:t xml:space="preserve">haverá a necessidade de adaptação da infraestrutura para a aditivação e </w:t>
      </w:r>
      <w:r w:rsidR="00D10F9A" w:rsidRPr="00CE3398">
        <w:rPr>
          <w:rFonts w:ascii="Times New Roman" w:hAnsi="Times New Roman"/>
          <w:sz w:val="24"/>
          <w:szCs w:val="24"/>
        </w:rPr>
        <w:t xml:space="preserve">aumento de gastos </w:t>
      </w:r>
      <w:r w:rsidRPr="00CE3398">
        <w:rPr>
          <w:rFonts w:ascii="Times New Roman" w:hAnsi="Times New Roman"/>
          <w:sz w:val="24"/>
          <w:szCs w:val="24"/>
        </w:rPr>
        <w:t>administrativos</w:t>
      </w:r>
      <w:r w:rsidR="00C21E96" w:rsidRPr="00CE3398">
        <w:rPr>
          <w:rFonts w:ascii="Times New Roman" w:hAnsi="Times New Roman"/>
          <w:sz w:val="24"/>
          <w:szCs w:val="24"/>
        </w:rPr>
        <w:t xml:space="preserve"> e operacionais</w:t>
      </w:r>
      <w:r w:rsidR="000D3625" w:rsidRPr="00CE3398">
        <w:rPr>
          <w:rFonts w:ascii="Times New Roman" w:hAnsi="Times New Roman"/>
          <w:sz w:val="24"/>
          <w:szCs w:val="24"/>
        </w:rPr>
        <w:t>.</w:t>
      </w:r>
    </w:p>
    <w:p w:rsidR="006C16FB" w:rsidRPr="00CE3398" w:rsidRDefault="006C16FB" w:rsidP="006C16FB">
      <w:pPr>
        <w:tabs>
          <w:tab w:val="left" w:pos="709"/>
        </w:tabs>
        <w:spacing w:after="120" w:line="240" w:lineRule="auto"/>
        <w:ind w:firstLine="708"/>
        <w:jc w:val="both"/>
        <w:rPr>
          <w:rFonts w:ascii="Times New Roman" w:hAnsi="Times New Roman"/>
          <w:sz w:val="24"/>
          <w:szCs w:val="24"/>
        </w:rPr>
      </w:pPr>
      <w:r>
        <w:rPr>
          <w:rFonts w:ascii="Times New Roman" w:hAnsi="Times New Roman"/>
          <w:sz w:val="24"/>
          <w:szCs w:val="24"/>
        </w:rPr>
        <w:t>Transportadores também poderão ser afetados, uma vez que são contratados pelos produtores de gasolina quando da necessidade da movimentação do combustível por polidutos</w:t>
      </w:r>
      <w:r w:rsidR="002A2852">
        <w:rPr>
          <w:rFonts w:ascii="Times New Roman" w:hAnsi="Times New Roman"/>
          <w:sz w:val="24"/>
          <w:szCs w:val="24"/>
        </w:rPr>
        <w:t>, por cabotagem</w:t>
      </w:r>
      <w:r w:rsidR="00283FC0">
        <w:rPr>
          <w:rFonts w:ascii="Times New Roman" w:hAnsi="Times New Roman"/>
          <w:sz w:val="24"/>
          <w:szCs w:val="24"/>
        </w:rPr>
        <w:t xml:space="preserve"> e em alguns casos por caminhões-tanques</w:t>
      </w:r>
      <w:r>
        <w:rPr>
          <w:rFonts w:ascii="Times New Roman" w:hAnsi="Times New Roman"/>
          <w:sz w:val="24"/>
          <w:szCs w:val="24"/>
        </w:rPr>
        <w:t>.</w:t>
      </w:r>
    </w:p>
    <w:p w:rsidR="0072557A" w:rsidRPr="00CE3398" w:rsidRDefault="00E02F4B" w:rsidP="0072557A">
      <w:pPr>
        <w:tabs>
          <w:tab w:val="left" w:pos="709"/>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Além desses, a </w:t>
      </w:r>
      <w:r w:rsidR="00B95411" w:rsidRPr="00CE3398">
        <w:rPr>
          <w:rFonts w:ascii="Times New Roman" w:hAnsi="Times New Roman"/>
          <w:sz w:val="24"/>
          <w:szCs w:val="24"/>
        </w:rPr>
        <w:t>indústria</w:t>
      </w:r>
      <w:r w:rsidRPr="00CE3398">
        <w:rPr>
          <w:rFonts w:ascii="Times New Roman" w:hAnsi="Times New Roman"/>
          <w:sz w:val="24"/>
          <w:szCs w:val="24"/>
        </w:rPr>
        <w:t xml:space="preserve"> automotiva poderá </w:t>
      </w:r>
      <w:r w:rsidR="00C009B0" w:rsidRPr="00CE3398">
        <w:rPr>
          <w:rFonts w:ascii="Times New Roman" w:hAnsi="Times New Roman"/>
          <w:sz w:val="24"/>
          <w:szCs w:val="24"/>
        </w:rPr>
        <w:t xml:space="preserve">beneficiar-se </w:t>
      </w:r>
      <w:r w:rsidRPr="00CE3398">
        <w:rPr>
          <w:rFonts w:ascii="Times New Roman" w:hAnsi="Times New Roman"/>
          <w:sz w:val="24"/>
          <w:szCs w:val="24"/>
        </w:rPr>
        <w:t xml:space="preserve">da adição dos detergentes dispersantes à gasolina, uma vez que </w:t>
      </w:r>
      <w:r w:rsidR="00FB011D">
        <w:rPr>
          <w:rFonts w:ascii="Times New Roman" w:hAnsi="Times New Roman"/>
          <w:sz w:val="24"/>
          <w:szCs w:val="24"/>
        </w:rPr>
        <w:t>esses aditivos, juntamente com a melhoria da qualidade da gasolina, poderão facilitar</w:t>
      </w:r>
      <w:r w:rsidR="00C009B0" w:rsidRPr="00CE3398">
        <w:rPr>
          <w:rFonts w:ascii="Times New Roman" w:hAnsi="Times New Roman"/>
          <w:sz w:val="24"/>
          <w:szCs w:val="24"/>
        </w:rPr>
        <w:t xml:space="preserve"> a introdução de</w:t>
      </w:r>
      <w:r w:rsidRPr="00CE3398">
        <w:rPr>
          <w:rFonts w:ascii="Times New Roman" w:hAnsi="Times New Roman"/>
          <w:sz w:val="24"/>
          <w:szCs w:val="24"/>
        </w:rPr>
        <w:t xml:space="preserve"> novas tecnologias</w:t>
      </w:r>
      <w:r w:rsidR="00A05FDC" w:rsidRPr="00CE3398">
        <w:rPr>
          <w:rFonts w:ascii="Times New Roman" w:hAnsi="Times New Roman"/>
          <w:sz w:val="24"/>
          <w:szCs w:val="24"/>
        </w:rPr>
        <w:t xml:space="preserve"> de motor</w:t>
      </w:r>
      <w:r w:rsidRPr="00CE3398">
        <w:rPr>
          <w:rFonts w:ascii="Times New Roman" w:hAnsi="Times New Roman"/>
          <w:sz w:val="24"/>
          <w:szCs w:val="24"/>
        </w:rPr>
        <w:t xml:space="preserve"> adotadas em maior escala.</w:t>
      </w:r>
    </w:p>
    <w:p w:rsidR="0072557A" w:rsidRPr="00CE3398" w:rsidRDefault="00E02F4B" w:rsidP="0072557A">
      <w:pPr>
        <w:tabs>
          <w:tab w:val="left" w:pos="709"/>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Por fim, a própria ANP será afetada, </w:t>
      </w:r>
      <w:r w:rsidR="007F1AFF" w:rsidRPr="00CE3398">
        <w:rPr>
          <w:rFonts w:ascii="Times New Roman" w:hAnsi="Times New Roman"/>
          <w:sz w:val="24"/>
          <w:szCs w:val="24"/>
        </w:rPr>
        <w:t>pois</w:t>
      </w:r>
      <w:r w:rsidRPr="00CE3398">
        <w:rPr>
          <w:rFonts w:ascii="Times New Roman" w:hAnsi="Times New Roman"/>
          <w:sz w:val="24"/>
          <w:szCs w:val="24"/>
        </w:rPr>
        <w:t xml:space="preserve"> deverá homologar os aditivos</w:t>
      </w:r>
      <w:r w:rsidR="007F1AFF" w:rsidRPr="00CE3398">
        <w:rPr>
          <w:rFonts w:ascii="Times New Roman" w:hAnsi="Times New Roman"/>
          <w:sz w:val="24"/>
          <w:szCs w:val="24"/>
        </w:rPr>
        <w:t xml:space="preserve"> e incorrer em</w:t>
      </w:r>
      <w:r w:rsidRPr="00CE3398">
        <w:rPr>
          <w:rFonts w:ascii="Times New Roman" w:hAnsi="Times New Roman"/>
          <w:sz w:val="24"/>
          <w:szCs w:val="24"/>
        </w:rPr>
        <w:t xml:space="preserve"> </w:t>
      </w:r>
      <w:r w:rsidR="00D10F9A" w:rsidRPr="00CE3398">
        <w:rPr>
          <w:rFonts w:ascii="Times New Roman" w:hAnsi="Times New Roman"/>
          <w:sz w:val="24"/>
          <w:szCs w:val="24"/>
        </w:rPr>
        <w:t>gastos</w:t>
      </w:r>
      <w:r w:rsidRPr="00CE3398">
        <w:rPr>
          <w:rFonts w:ascii="Times New Roman" w:hAnsi="Times New Roman"/>
          <w:sz w:val="24"/>
          <w:szCs w:val="24"/>
        </w:rPr>
        <w:t xml:space="preserve"> para controle e verificação de sua movimentação. Outro impacto para a Agência </w:t>
      </w:r>
      <w:r w:rsidR="005B165C" w:rsidRPr="00CE3398">
        <w:rPr>
          <w:rFonts w:ascii="Times New Roman" w:hAnsi="Times New Roman"/>
          <w:sz w:val="24"/>
          <w:szCs w:val="24"/>
        </w:rPr>
        <w:t>diz respeito</w:t>
      </w:r>
      <w:r w:rsidRPr="00CE3398">
        <w:rPr>
          <w:rFonts w:ascii="Times New Roman" w:hAnsi="Times New Roman"/>
          <w:sz w:val="24"/>
          <w:szCs w:val="24"/>
        </w:rPr>
        <w:t xml:space="preserve"> às análises </w:t>
      </w:r>
      <w:r w:rsidR="005B165C" w:rsidRPr="00CE3398">
        <w:rPr>
          <w:rFonts w:ascii="Times New Roman" w:hAnsi="Times New Roman"/>
          <w:sz w:val="24"/>
          <w:szCs w:val="24"/>
        </w:rPr>
        <w:t xml:space="preserve">necessárias </w:t>
      </w:r>
      <w:r w:rsidRPr="00CE3398">
        <w:rPr>
          <w:rFonts w:ascii="Times New Roman" w:hAnsi="Times New Roman"/>
          <w:sz w:val="24"/>
          <w:szCs w:val="24"/>
        </w:rPr>
        <w:t>(</w:t>
      </w:r>
      <w:r w:rsidR="005B165C" w:rsidRPr="00CE3398">
        <w:rPr>
          <w:rFonts w:ascii="Times New Roman" w:hAnsi="Times New Roman"/>
          <w:sz w:val="24"/>
          <w:szCs w:val="24"/>
        </w:rPr>
        <w:t xml:space="preserve">realizadas </w:t>
      </w:r>
      <w:r w:rsidRPr="00CE3398">
        <w:rPr>
          <w:rFonts w:ascii="Times New Roman" w:hAnsi="Times New Roman"/>
          <w:sz w:val="24"/>
          <w:szCs w:val="24"/>
        </w:rPr>
        <w:t xml:space="preserve">no </w:t>
      </w:r>
      <w:r w:rsidR="007F1AFF" w:rsidRPr="00CE3398">
        <w:rPr>
          <w:rFonts w:ascii="Times New Roman" w:hAnsi="Times New Roman"/>
          <w:sz w:val="24"/>
          <w:szCs w:val="24"/>
        </w:rPr>
        <w:t xml:space="preserve">Centro de Pesquisas e Análises Tecnológicas – </w:t>
      </w:r>
      <w:r w:rsidRPr="00CE3398">
        <w:rPr>
          <w:rFonts w:ascii="Times New Roman" w:hAnsi="Times New Roman"/>
          <w:sz w:val="24"/>
          <w:szCs w:val="24"/>
        </w:rPr>
        <w:t>CPT</w:t>
      </w:r>
      <w:r w:rsidR="007D487A" w:rsidRPr="00CE3398">
        <w:rPr>
          <w:rFonts w:ascii="Times New Roman" w:hAnsi="Times New Roman"/>
          <w:sz w:val="24"/>
          <w:szCs w:val="24"/>
        </w:rPr>
        <w:t>/SBQ</w:t>
      </w:r>
      <w:r w:rsidRPr="00CE3398">
        <w:rPr>
          <w:rFonts w:ascii="Times New Roman" w:hAnsi="Times New Roman"/>
          <w:sz w:val="24"/>
          <w:szCs w:val="24"/>
        </w:rPr>
        <w:t xml:space="preserve">) para </w:t>
      </w:r>
      <w:r w:rsidR="00254207" w:rsidRPr="00CE3398">
        <w:rPr>
          <w:rFonts w:ascii="Times New Roman" w:hAnsi="Times New Roman"/>
          <w:sz w:val="24"/>
          <w:szCs w:val="24"/>
        </w:rPr>
        <w:t xml:space="preserve">verificar a presença do </w:t>
      </w:r>
      <w:r w:rsidR="005B165C" w:rsidRPr="00CE3398">
        <w:rPr>
          <w:rFonts w:ascii="Times New Roman" w:hAnsi="Times New Roman"/>
          <w:sz w:val="24"/>
          <w:szCs w:val="24"/>
        </w:rPr>
        <w:t>aditivo detergente dispersante</w:t>
      </w:r>
      <w:r w:rsidR="00D1736B" w:rsidRPr="00CE3398">
        <w:rPr>
          <w:rFonts w:ascii="Times New Roman" w:hAnsi="Times New Roman"/>
          <w:sz w:val="24"/>
          <w:szCs w:val="24"/>
        </w:rPr>
        <w:t xml:space="preserve"> na concentração mínima exigida</w:t>
      </w:r>
      <w:r w:rsidR="00A05FDC" w:rsidRPr="00CE3398">
        <w:rPr>
          <w:rFonts w:ascii="Times New Roman" w:hAnsi="Times New Roman"/>
          <w:sz w:val="24"/>
          <w:szCs w:val="24"/>
        </w:rPr>
        <w:t>, na gasolina C comercializada</w:t>
      </w:r>
      <w:r w:rsidRPr="00CE3398">
        <w:rPr>
          <w:rFonts w:ascii="Times New Roman" w:hAnsi="Times New Roman"/>
          <w:sz w:val="24"/>
          <w:szCs w:val="24"/>
        </w:rPr>
        <w:t>.</w:t>
      </w:r>
    </w:p>
    <w:p w:rsidR="0002519A" w:rsidRPr="00CE3398" w:rsidRDefault="0002519A" w:rsidP="0002519A">
      <w:pPr>
        <w:pStyle w:val="PargrafodaLista"/>
        <w:tabs>
          <w:tab w:val="left" w:pos="0"/>
        </w:tabs>
        <w:spacing w:after="120" w:line="240" w:lineRule="auto"/>
        <w:ind w:left="1429"/>
        <w:contextualSpacing w:val="0"/>
        <w:jc w:val="both"/>
        <w:rPr>
          <w:rFonts w:ascii="Times New Roman" w:hAnsi="Times New Roman"/>
          <w:sz w:val="24"/>
          <w:szCs w:val="24"/>
        </w:rPr>
      </w:pPr>
    </w:p>
    <w:p w:rsidR="0002519A" w:rsidRPr="00CE3398" w:rsidRDefault="0002519A" w:rsidP="0002519A">
      <w:pPr>
        <w:pStyle w:val="PargrafodaLista"/>
        <w:numPr>
          <w:ilvl w:val="1"/>
          <w:numId w:val="4"/>
        </w:numPr>
        <w:spacing w:after="120" w:line="240" w:lineRule="auto"/>
        <w:ind w:left="426" w:hanging="426"/>
        <w:contextualSpacing w:val="0"/>
        <w:rPr>
          <w:rFonts w:ascii="Times New Roman" w:hAnsi="Times New Roman"/>
          <w:b/>
          <w:sz w:val="24"/>
          <w:szCs w:val="24"/>
        </w:rPr>
      </w:pPr>
      <w:r w:rsidRPr="00CE3398">
        <w:rPr>
          <w:rFonts w:ascii="Times New Roman" w:hAnsi="Times New Roman"/>
          <w:b/>
          <w:sz w:val="24"/>
          <w:szCs w:val="24"/>
        </w:rPr>
        <w:t>ÁREAS DE INTERFACE NA ANP</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 aditivação da gasolina traz implicações para diferentes áreas da ANP</w:t>
      </w:r>
      <w:r w:rsidR="00AD7BD7" w:rsidRPr="00CE3398">
        <w:rPr>
          <w:rFonts w:ascii="Times New Roman" w:hAnsi="Times New Roman"/>
          <w:sz w:val="24"/>
          <w:szCs w:val="24"/>
        </w:rPr>
        <w:t xml:space="preserve">. São descritas a seguir, de maneira sucinta, as formas pelas quais </w:t>
      </w:r>
      <w:r w:rsidR="00A05FDC" w:rsidRPr="00CE3398">
        <w:rPr>
          <w:rFonts w:ascii="Times New Roman" w:hAnsi="Times New Roman"/>
          <w:sz w:val="24"/>
          <w:szCs w:val="24"/>
        </w:rPr>
        <w:t xml:space="preserve">as </w:t>
      </w:r>
      <w:r w:rsidR="00AD7BD7" w:rsidRPr="00CE3398">
        <w:rPr>
          <w:rFonts w:ascii="Times New Roman" w:hAnsi="Times New Roman"/>
          <w:sz w:val="24"/>
          <w:szCs w:val="24"/>
        </w:rPr>
        <w:t xml:space="preserve">diferentes áreas da </w:t>
      </w:r>
      <w:r w:rsidR="00A05FDC" w:rsidRPr="00CE3398">
        <w:rPr>
          <w:rFonts w:ascii="Times New Roman" w:hAnsi="Times New Roman"/>
          <w:sz w:val="24"/>
          <w:szCs w:val="24"/>
        </w:rPr>
        <w:t xml:space="preserve">Agência </w:t>
      </w:r>
      <w:r w:rsidR="00AD7BD7" w:rsidRPr="00CE3398">
        <w:rPr>
          <w:rFonts w:ascii="Times New Roman" w:hAnsi="Times New Roman"/>
          <w:sz w:val="24"/>
          <w:szCs w:val="24"/>
        </w:rPr>
        <w:t>serão afetadas pela entrada em vigor da nova regulamentação</w:t>
      </w:r>
      <w:r w:rsidRPr="00CE3398">
        <w:rPr>
          <w:rFonts w:ascii="Times New Roman" w:hAnsi="Times New Roman"/>
          <w:sz w:val="24"/>
          <w:szCs w:val="24"/>
        </w:rPr>
        <w:t>:</w:t>
      </w:r>
    </w:p>
    <w:p w:rsidR="0002519A" w:rsidRPr="00CE3398" w:rsidRDefault="0002519A" w:rsidP="00134661">
      <w:pPr>
        <w:pStyle w:val="PargrafodaLista"/>
        <w:numPr>
          <w:ilvl w:val="0"/>
          <w:numId w:val="29"/>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 xml:space="preserve">Superintendência de Biocombustíveis e Qualidade de Produtos (SBQ): </w:t>
      </w:r>
      <w:r w:rsidR="00BD4656" w:rsidRPr="00CE3398">
        <w:rPr>
          <w:rFonts w:ascii="Times New Roman" w:hAnsi="Times New Roman"/>
          <w:sz w:val="24"/>
          <w:szCs w:val="24"/>
        </w:rPr>
        <w:t xml:space="preserve">por sua atribuição de gerir </w:t>
      </w:r>
      <w:r w:rsidRPr="00CE3398">
        <w:rPr>
          <w:rFonts w:ascii="Times New Roman" w:hAnsi="Times New Roman"/>
          <w:sz w:val="24"/>
          <w:szCs w:val="24"/>
        </w:rPr>
        <w:t>as atividades relacionadas com a qualidade do</w:t>
      </w:r>
      <w:r w:rsidR="004069D6" w:rsidRPr="00CE3398">
        <w:rPr>
          <w:rFonts w:ascii="Times New Roman" w:hAnsi="Times New Roman"/>
          <w:sz w:val="24"/>
          <w:szCs w:val="24"/>
        </w:rPr>
        <w:t xml:space="preserve">s derivados do </w:t>
      </w:r>
      <w:r w:rsidRPr="00CE3398">
        <w:rPr>
          <w:rFonts w:ascii="Times New Roman" w:hAnsi="Times New Roman"/>
          <w:sz w:val="24"/>
          <w:szCs w:val="24"/>
        </w:rPr>
        <w:t>petróleo</w:t>
      </w:r>
      <w:r w:rsidR="004069D6" w:rsidRPr="00CE3398">
        <w:rPr>
          <w:rFonts w:ascii="Times New Roman" w:hAnsi="Times New Roman"/>
          <w:sz w:val="24"/>
          <w:szCs w:val="24"/>
        </w:rPr>
        <w:t xml:space="preserve">, </w:t>
      </w:r>
      <w:r w:rsidR="004426CA" w:rsidRPr="00CE3398">
        <w:rPr>
          <w:rFonts w:ascii="Times New Roman" w:hAnsi="Times New Roman"/>
          <w:sz w:val="24"/>
          <w:szCs w:val="24"/>
        </w:rPr>
        <w:t xml:space="preserve">do gás natural e seus derivados, e dos biocombustíveis, </w:t>
      </w:r>
      <w:r w:rsidRPr="00CE3398">
        <w:rPr>
          <w:rFonts w:ascii="Times New Roman" w:hAnsi="Times New Roman"/>
          <w:sz w:val="24"/>
          <w:szCs w:val="24"/>
        </w:rPr>
        <w:t xml:space="preserve">bem como </w:t>
      </w:r>
      <w:r w:rsidR="00AD65A9" w:rsidRPr="00CE3398">
        <w:rPr>
          <w:rFonts w:ascii="Times New Roman" w:hAnsi="Times New Roman"/>
          <w:sz w:val="24"/>
          <w:szCs w:val="24"/>
        </w:rPr>
        <w:t xml:space="preserve">ao </w:t>
      </w:r>
      <w:r w:rsidRPr="00CE3398">
        <w:rPr>
          <w:rFonts w:ascii="Times New Roman" w:hAnsi="Times New Roman"/>
          <w:sz w:val="24"/>
          <w:szCs w:val="24"/>
        </w:rPr>
        <w:t>estabelecimento de suas especificações.</w:t>
      </w:r>
    </w:p>
    <w:p w:rsidR="0002519A" w:rsidRPr="00CE3398" w:rsidRDefault="0002519A" w:rsidP="00134661">
      <w:pPr>
        <w:pStyle w:val="PargrafodaLista"/>
        <w:numPr>
          <w:ilvl w:val="0"/>
          <w:numId w:val="29"/>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 xml:space="preserve">Superintendência de Abastecimento (SAB): </w:t>
      </w:r>
      <w:r w:rsidR="00A05FDC" w:rsidRPr="00CE3398">
        <w:rPr>
          <w:rFonts w:ascii="Times New Roman" w:hAnsi="Times New Roman"/>
          <w:sz w:val="24"/>
          <w:szCs w:val="24"/>
        </w:rPr>
        <w:t>por sua atribuição de gerir o processo de regulação das atividades relacionadas com o abastecimento nacional de derivados de petróleo e biocombustíveis;</w:t>
      </w:r>
      <w:r w:rsidR="00A05FDC" w:rsidRPr="00CE3398" w:rsidDel="00A05FDC">
        <w:rPr>
          <w:rFonts w:ascii="Times New Roman" w:hAnsi="Times New Roman"/>
          <w:sz w:val="24"/>
          <w:szCs w:val="24"/>
          <w:highlight w:val="yellow"/>
        </w:rPr>
        <w:t xml:space="preserve"> </w:t>
      </w:r>
    </w:p>
    <w:p w:rsidR="0002519A" w:rsidRPr="00CE3398" w:rsidRDefault="0002519A" w:rsidP="00134661">
      <w:pPr>
        <w:pStyle w:val="PargrafodaLista"/>
        <w:numPr>
          <w:ilvl w:val="0"/>
          <w:numId w:val="29"/>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 xml:space="preserve">Superintendência de Fiscalização do Abastecimento (SFI): </w:t>
      </w:r>
      <w:r w:rsidR="0077078E" w:rsidRPr="00CE3398">
        <w:rPr>
          <w:rFonts w:ascii="Times New Roman" w:hAnsi="Times New Roman"/>
          <w:sz w:val="24"/>
          <w:szCs w:val="24"/>
        </w:rPr>
        <w:t>pela missão institucional de fiscalizar</w:t>
      </w:r>
      <w:r w:rsidR="0058795C" w:rsidRPr="00CE3398">
        <w:rPr>
          <w:rFonts w:ascii="Times New Roman" w:hAnsi="Times New Roman"/>
          <w:sz w:val="24"/>
          <w:szCs w:val="24"/>
        </w:rPr>
        <w:t xml:space="preserve"> a conformidade</w:t>
      </w:r>
      <w:r w:rsidR="0077078E" w:rsidRPr="00CE3398">
        <w:rPr>
          <w:rFonts w:ascii="Times New Roman" w:hAnsi="Times New Roman"/>
          <w:sz w:val="24"/>
          <w:szCs w:val="24"/>
        </w:rPr>
        <w:t xml:space="preserve"> </w:t>
      </w:r>
      <w:r w:rsidR="0058795C" w:rsidRPr="00CE3398">
        <w:rPr>
          <w:rFonts w:ascii="Times New Roman" w:hAnsi="Times New Roman"/>
          <w:sz w:val="24"/>
          <w:szCs w:val="24"/>
        </w:rPr>
        <w:t>d</w:t>
      </w:r>
      <w:r w:rsidR="0077078E" w:rsidRPr="00CE3398">
        <w:rPr>
          <w:rFonts w:ascii="Times New Roman" w:hAnsi="Times New Roman"/>
          <w:sz w:val="24"/>
          <w:szCs w:val="24"/>
        </w:rPr>
        <w:t>os combustíveis comercializados nacionalmente estão de acordo com as especificações estabelecidas pela Agência;</w:t>
      </w:r>
    </w:p>
    <w:p w:rsidR="0002519A" w:rsidRPr="00CE3398" w:rsidRDefault="0002519A" w:rsidP="00134661">
      <w:pPr>
        <w:pStyle w:val="PargrafodaLista"/>
        <w:numPr>
          <w:ilvl w:val="0"/>
          <w:numId w:val="29"/>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 xml:space="preserve">Superintendência de Refino e Processamento de Gás Natural (SRP): </w:t>
      </w:r>
      <w:r w:rsidR="00F72775" w:rsidRPr="00CE3398">
        <w:rPr>
          <w:rFonts w:ascii="Times New Roman" w:hAnsi="Times New Roman"/>
          <w:sz w:val="24"/>
          <w:szCs w:val="24"/>
        </w:rPr>
        <w:t>por sua atribuição de autorizar e fiscalizar as atividades do p</w:t>
      </w:r>
      <w:r w:rsidR="002A2852">
        <w:rPr>
          <w:rFonts w:ascii="Times New Roman" w:hAnsi="Times New Roman"/>
          <w:sz w:val="24"/>
          <w:szCs w:val="24"/>
        </w:rPr>
        <w:t>rodutor de combustível nacional</w:t>
      </w:r>
      <w:r w:rsidRPr="00CE3398">
        <w:rPr>
          <w:rFonts w:ascii="Times New Roman" w:hAnsi="Times New Roman"/>
          <w:sz w:val="24"/>
          <w:szCs w:val="24"/>
        </w:rPr>
        <w:t>;</w:t>
      </w:r>
      <w:r w:rsidR="00E338B1" w:rsidRPr="00CE3398">
        <w:rPr>
          <w:rFonts w:ascii="Times New Roman" w:hAnsi="Times New Roman"/>
          <w:sz w:val="24"/>
          <w:szCs w:val="24"/>
        </w:rPr>
        <w:t xml:space="preserve"> </w:t>
      </w:r>
      <w:proofErr w:type="gramStart"/>
      <w:r w:rsidR="00E338B1" w:rsidRPr="00CE3398">
        <w:rPr>
          <w:rFonts w:ascii="Times New Roman" w:hAnsi="Times New Roman"/>
          <w:sz w:val="24"/>
          <w:szCs w:val="24"/>
        </w:rPr>
        <w:t>e</w:t>
      </w:r>
      <w:proofErr w:type="gramEnd"/>
    </w:p>
    <w:p w:rsidR="0002519A" w:rsidRPr="00CE3398" w:rsidRDefault="0002519A" w:rsidP="00134661">
      <w:pPr>
        <w:pStyle w:val="PargrafodaLista"/>
        <w:numPr>
          <w:ilvl w:val="0"/>
          <w:numId w:val="29"/>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Coordenadoria de Defesa da Concorrência (CDC):</w:t>
      </w:r>
      <w:r w:rsidR="00E338B1" w:rsidRPr="00CE3398">
        <w:rPr>
          <w:rFonts w:ascii="Times New Roman" w:hAnsi="Times New Roman"/>
          <w:sz w:val="24"/>
          <w:szCs w:val="24"/>
        </w:rPr>
        <w:t xml:space="preserve"> </w:t>
      </w:r>
      <w:r w:rsidR="00CF6AC3" w:rsidRPr="00CE3398">
        <w:rPr>
          <w:rFonts w:ascii="Times New Roman" w:hAnsi="Times New Roman"/>
          <w:sz w:val="24"/>
          <w:szCs w:val="24"/>
        </w:rPr>
        <w:t>por sua atribuição de emitir p</w:t>
      </w:r>
      <w:r w:rsidR="00BD4656" w:rsidRPr="00CE3398">
        <w:rPr>
          <w:rFonts w:ascii="Times New Roman" w:hAnsi="Times New Roman"/>
          <w:sz w:val="24"/>
          <w:szCs w:val="24"/>
        </w:rPr>
        <w:t xml:space="preserve">arecer sobre possíveis atos que </w:t>
      </w:r>
      <w:r w:rsidR="00E338B1" w:rsidRPr="00CE3398">
        <w:rPr>
          <w:rFonts w:ascii="Times New Roman" w:hAnsi="Times New Roman"/>
          <w:sz w:val="24"/>
          <w:szCs w:val="24"/>
        </w:rPr>
        <w:t xml:space="preserve">afetem a concorrência na indústria do petróleo, seus derivados, </w:t>
      </w:r>
      <w:proofErr w:type="gramStart"/>
      <w:r w:rsidR="00E338B1" w:rsidRPr="00CE3398">
        <w:rPr>
          <w:rFonts w:ascii="Times New Roman" w:hAnsi="Times New Roman"/>
          <w:sz w:val="24"/>
          <w:szCs w:val="24"/>
        </w:rPr>
        <w:t>gás natural e biocombustíveis</w:t>
      </w:r>
      <w:proofErr w:type="gramEnd"/>
      <w:r w:rsidR="00BD4656" w:rsidRPr="00CE3398">
        <w:rPr>
          <w:rFonts w:ascii="Times New Roman" w:hAnsi="Times New Roman"/>
          <w:sz w:val="24"/>
          <w:szCs w:val="24"/>
        </w:rPr>
        <w:t>.</w:t>
      </w:r>
    </w:p>
    <w:p w:rsidR="00E66BEF" w:rsidRDefault="0002519A">
      <w:pPr>
        <w:spacing w:after="0" w:line="240" w:lineRule="auto"/>
        <w:rPr>
          <w:rFonts w:ascii="Times New Roman" w:hAnsi="Times New Roman"/>
          <w:sz w:val="24"/>
          <w:szCs w:val="24"/>
        </w:rPr>
      </w:pPr>
      <w:r w:rsidRPr="00CE3398">
        <w:rPr>
          <w:rFonts w:ascii="Times New Roman" w:hAnsi="Times New Roman"/>
          <w:sz w:val="24"/>
          <w:szCs w:val="24"/>
        </w:rPr>
        <w:t xml:space="preserve"> </w:t>
      </w:r>
      <w:r w:rsidR="00E66BEF">
        <w:rPr>
          <w:rFonts w:ascii="Times New Roman" w:hAnsi="Times New Roman"/>
          <w:sz w:val="24"/>
          <w:szCs w:val="24"/>
        </w:rPr>
        <w:br w:type="page"/>
      </w:r>
    </w:p>
    <w:p w:rsidR="0002519A" w:rsidRPr="00CE3398" w:rsidRDefault="0002519A" w:rsidP="00394E3C">
      <w:pPr>
        <w:pStyle w:val="PargrafodaLista"/>
        <w:numPr>
          <w:ilvl w:val="0"/>
          <w:numId w:val="4"/>
        </w:numPr>
        <w:spacing w:after="120" w:line="240" w:lineRule="auto"/>
        <w:contextualSpacing w:val="0"/>
        <w:rPr>
          <w:rFonts w:ascii="Times New Roman" w:hAnsi="Times New Roman"/>
          <w:b/>
          <w:sz w:val="24"/>
          <w:szCs w:val="24"/>
        </w:rPr>
      </w:pPr>
      <w:r w:rsidRPr="00CE3398">
        <w:rPr>
          <w:rFonts w:ascii="Times New Roman" w:hAnsi="Times New Roman"/>
          <w:b/>
          <w:sz w:val="24"/>
          <w:szCs w:val="24"/>
        </w:rPr>
        <w:lastRenderedPageBreak/>
        <w:t>OBJETIVOS DA INTERVENÇÃO REGULATÓRIA</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 aditivação </w:t>
      </w:r>
      <w:r w:rsidR="0037622D" w:rsidRPr="00CE3398">
        <w:rPr>
          <w:rFonts w:ascii="Times New Roman" w:hAnsi="Times New Roman"/>
          <w:sz w:val="24"/>
          <w:szCs w:val="24"/>
        </w:rPr>
        <w:t xml:space="preserve">mínima </w:t>
      </w:r>
      <w:r w:rsidRPr="00CE3398">
        <w:rPr>
          <w:rFonts w:ascii="Times New Roman" w:hAnsi="Times New Roman"/>
          <w:sz w:val="24"/>
          <w:szCs w:val="24"/>
        </w:rPr>
        <w:t xml:space="preserve">da gasolina tem como finalidade mitigar as emissões veiculares globais, conferindo benefícios adicionais aos consumidores, </w:t>
      </w:r>
      <w:r w:rsidR="004426CA" w:rsidRPr="00CE3398">
        <w:rPr>
          <w:rFonts w:ascii="Times New Roman" w:hAnsi="Times New Roman"/>
          <w:sz w:val="24"/>
          <w:szCs w:val="24"/>
        </w:rPr>
        <w:t xml:space="preserve">ao meio-ambiente e </w:t>
      </w:r>
      <w:r w:rsidRPr="00CE3398">
        <w:rPr>
          <w:rFonts w:ascii="Times New Roman" w:hAnsi="Times New Roman"/>
          <w:sz w:val="24"/>
          <w:szCs w:val="24"/>
        </w:rPr>
        <w:t xml:space="preserve">à saúde humana. Ao considerar a aditivação </w:t>
      </w:r>
      <w:r w:rsidR="0037622D" w:rsidRPr="00CE3398">
        <w:rPr>
          <w:rFonts w:ascii="Times New Roman" w:hAnsi="Times New Roman"/>
          <w:sz w:val="24"/>
          <w:szCs w:val="24"/>
        </w:rPr>
        <w:t>mínima</w:t>
      </w:r>
      <w:r w:rsidRPr="00CE3398">
        <w:rPr>
          <w:rFonts w:ascii="Times New Roman" w:hAnsi="Times New Roman"/>
          <w:sz w:val="24"/>
          <w:szCs w:val="24"/>
        </w:rPr>
        <w:t xml:space="preserve">, no entanto, deve-se garantir a disponibilidade do combustível aditivado ao menor custo final possível, dentro das alternativas existentes. </w:t>
      </w:r>
    </w:p>
    <w:p w:rsidR="007B558F" w:rsidRPr="00CE3398" w:rsidRDefault="0002519A" w:rsidP="007B558F">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O Fluxograma </w:t>
      </w:r>
      <w:proofErr w:type="gramStart"/>
      <w:r w:rsidRPr="00CE3398">
        <w:rPr>
          <w:rFonts w:ascii="Times New Roman" w:hAnsi="Times New Roman"/>
          <w:sz w:val="24"/>
          <w:szCs w:val="24"/>
        </w:rPr>
        <w:t>1</w:t>
      </w:r>
      <w:proofErr w:type="gramEnd"/>
      <w:r w:rsidRPr="00CE3398">
        <w:rPr>
          <w:rFonts w:ascii="Times New Roman" w:hAnsi="Times New Roman"/>
          <w:sz w:val="24"/>
          <w:szCs w:val="24"/>
        </w:rPr>
        <w:t xml:space="preserve"> retrata os efeitos diretos e indiretos da nova regulamentação</w:t>
      </w:r>
      <w:r w:rsidR="008863E7" w:rsidRPr="00CE3398">
        <w:rPr>
          <w:rFonts w:ascii="Times New Roman" w:hAnsi="Times New Roman"/>
          <w:sz w:val="24"/>
          <w:szCs w:val="24"/>
        </w:rPr>
        <w:t>.</w:t>
      </w:r>
      <w:r w:rsidR="00D11AB5" w:rsidRPr="00CE3398">
        <w:rPr>
          <w:rFonts w:ascii="Times New Roman" w:hAnsi="Times New Roman"/>
          <w:sz w:val="24"/>
          <w:szCs w:val="24"/>
        </w:rPr>
        <w:t xml:space="preserve"> </w:t>
      </w:r>
      <w:r w:rsidRPr="00CE3398">
        <w:rPr>
          <w:rFonts w:ascii="Times New Roman" w:hAnsi="Times New Roman"/>
          <w:sz w:val="24"/>
          <w:szCs w:val="24"/>
        </w:rPr>
        <w:t xml:space="preserve">A aditivação </w:t>
      </w:r>
      <w:r w:rsidR="006F5267" w:rsidRPr="00CE3398">
        <w:rPr>
          <w:rFonts w:ascii="Times New Roman" w:hAnsi="Times New Roman"/>
          <w:sz w:val="24"/>
          <w:szCs w:val="24"/>
        </w:rPr>
        <w:t xml:space="preserve">da gasolina com detergentes dispersantes </w:t>
      </w:r>
      <w:r w:rsidRPr="00CE3398">
        <w:rPr>
          <w:rFonts w:ascii="Times New Roman" w:hAnsi="Times New Roman"/>
          <w:sz w:val="24"/>
          <w:szCs w:val="24"/>
        </w:rPr>
        <w:t>contribuirá para a</w:t>
      </w:r>
      <w:r w:rsidR="000B291B" w:rsidRPr="00CE3398">
        <w:rPr>
          <w:rFonts w:ascii="Times New Roman" w:hAnsi="Times New Roman"/>
          <w:sz w:val="24"/>
          <w:szCs w:val="24"/>
        </w:rPr>
        <w:t xml:space="preserve"> manutenção da</w:t>
      </w:r>
      <w:r w:rsidRPr="00CE3398">
        <w:rPr>
          <w:rFonts w:ascii="Times New Roman" w:hAnsi="Times New Roman"/>
          <w:sz w:val="24"/>
          <w:szCs w:val="24"/>
        </w:rPr>
        <w:t xml:space="preserve"> limpeza dos motores, o que, por sua vez, </w:t>
      </w:r>
      <w:r w:rsidR="000B291B" w:rsidRPr="00CE3398">
        <w:rPr>
          <w:rFonts w:ascii="Times New Roman" w:hAnsi="Times New Roman"/>
          <w:sz w:val="24"/>
          <w:szCs w:val="24"/>
        </w:rPr>
        <w:t xml:space="preserve">traduz-se </w:t>
      </w:r>
      <w:r w:rsidRPr="00CE3398">
        <w:rPr>
          <w:rFonts w:ascii="Times New Roman" w:hAnsi="Times New Roman"/>
          <w:sz w:val="24"/>
          <w:szCs w:val="24"/>
        </w:rPr>
        <w:t>em maior vida útil e redução no consumo</w:t>
      </w:r>
      <w:r w:rsidR="008863E7" w:rsidRPr="00CE3398">
        <w:rPr>
          <w:rFonts w:ascii="Times New Roman" w:hAnsi="Times New Roman"/>
          <w:sz w:val="24"/>
          <w:szCs w:val="24"/>
        </w:rPr>
        <w:t xml:space="preserve"> de combustível</w:t>
      </w:r>
      <w:r w:rsidRPr="00CE3398">
        <w:rPr>
          <w:rFonts w:ascii="Times New Roman" w:hAnsi="Times New Roman"/>
          <w:sz w:val="24"/>
          <w:szCs w:val="24"/>
        </w:rPr>
        <w:t>. Os desdobramentos desses efeitos geram economias</w:t>
      </w:r>
      <w:r w:rsidR="005A59A2" w:rsidRPr="00CE3398">
        <w:rPr>
          <w:rFonts w:ascii="Times New Roman" w:hAnsi="Times New Roman"/>
          <w:sz w:val="24"/>
          <w:szCs w:val="24"/>
        </w:rPr>
        <w:t>,</w:t>
      </w:r>
      <w:r w:rsidRPr="00CE3398">
        <w:rPr>
          <w:rFonts w:ascii="Times New Roman" w:hAnsi="Times New Roman"/>
          <w:sz w:val="24"/>
          <w:szCs w:val="24"/>
        </w:rPr>
        <w:t xml:space="preserve"> tanto no que diz respeito ao dispêndio com reabastecimento, como em relação aos custos de manutenção dos veículos. Além dos aspectos econômicos, a aditivação tende a contribuir para o bem-estar </w:t>
      </w:r>
      <w:r w:rsidR="005A59A2" w:rsidRPr="00CE3398">
        <w:rPr>
          <w:rFonts w:ascii="Times New Roman" w:hAnsi="Times New Roman"/>
          <w:sz w:val="24"/>
          <w:szCs w:val="24"/>
        </w:rPr>
        <w:t xml:space="preserve">da população em função da </w:t>
      </w:r>
      <w:r w:rsidRPr="00CE3398">
        <w:rPr>
          <w:rFonts w:ascii="Times New Roman" w:hAnsi="Times New Roman"/>
          <w:sz w:val="24"/>
          <w:szCs w:val="24"/>
        </w:rPr>
        <w:t>redução da emissão de poluentes, mitigando os efeitos nocivos sobre a saúde e sobre o aquecimento</w:t>
      </w:r>
      <w:r w:rsidR="006F5267" w:rsidRPr="00CE3398">
        <w:rPr>
          <w:rFonts w:ascii="Times New Roman" w:hAnsi="Times New Roman"/>
          <w:sz w:val="24"/>
          <w:szCs w:val="24"/>
        </w:rPr>
        <w:t xml:space="preserve"> do planeta</w:t>
      </w:r>
      <w:r w:rsidRPr="00CE3398">
        <w:rPr>
          <w:rFonts w:ascii="Times New Roman" w:hAnsi="Times New Roman"/>
          <w:sz w:val="24"/>
          <w:szCs w:val="24"/>
        </w:rPr>
        <w:t>.</w:t>
      </w:r>
      <w:r w:rsidR="007B558F" w:rsidRPr="00CE3398">
        <w:rPr>
          <w:rFonts w:ascii="Times New Roman" w:hAnsi="Times New Roman"/>
          <w:sz w:val="24"/>
          <w:szCs w:val="24"/>
        </w:rPr>
        <w:t xml:space="preserve"> O Anexo </w:t>
      </w:r>
      <w:r w:rsidR="00F367D5" w:rsidRPr="00CE3398">
        <w:rPr>
          <w:rFonts w:ascii="Times New Roman" w:hAnsi="Times New Roman"/>
          <w:sz w:val="24"/>
          <w:szCs w:val="24"/>
        </w:rPr>
        <w:t xml:space="preserve">I </w:t>
      </w:r>
      <w:r w:rsidR="007B558F" w:rsidRPr="00CE3398">
        <w:rPr>
          <w:rFonts w:ascii="Times New Roman" w:hAnsi="Times New Roman"/>
          <w:sz w:val="24"/>
          <w:szCs w:val="24"/>
        </w:rPr>
        <w:t>apresenta informações detalhadas sobre os benefícios mencionados.</w:t>
      </w:r>
    </w:p>
    <w:p w:rsidR="001768B5" w:rsidRDefault="001768B5" w:rsidP="007B558F">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O objetivo da intervenção regulatória deve focar na justificativa do ponto de aditivação uma vez que a obrigação da aditivação já é premissa do AIR.</w:t>
      </w:r>
    </w:p>
    <w:p w:rsidR="000D0239" w:rsidRPr="00CE3398" w:rsidRDefault="000D0239" w:rsidP="007B558F">
      <w:pPr>
        <w:tabs>
          <w:tab w:val="left" w:pos="0"/>
        </w:tabs>
        <w:spacing w:after="120" w:line="240" w:lineRule="auto"/>
        <w:ind w:firstLine="709"/>
        <w:jc w:val="both"/>
        <w:rPr>
          <w:rFonts w:ascii="Times New Roman" w:hAnsi="Times New Roman"/>
          <w:sz w:val="24"/>
          <w:szCs w:val="24"/>
        </w:rPr>
      </w:pPr>
    </w:p>
    <w:p w:rsidR="00B43F06" w:rsidRPr="00D22805" w:rsidRDefault="00B43F06" w:rsidP="00B43F06">
      <w:pPr>
        <w:pStyle w:val="Legenda"/>
        <w:spacing w:after="0"/>
        <w:jc w:val="center"/>
        <w:rPr>
          <w:rFonts w:ascii="Times New Roman" w:hAnsi="Times New Roman"/>
          <w:color w:val="auto"/>
          <w:sz w:val="20"/>
          <w:szCs w:val="20"/>
        </w:rPr>
      </w:pPr>
      <w:r w:rsidRPr="00D22805">
        <w:rPr>
          <w:rFonts w:ascii="Times New Roman" w:hAnsi="Times New Roman"/>
          <w:color w:val="auto"/>
          <w:sz w:val="20"/>
          <w:szCs w:val="20"/>
        </w:rPr>
        <w:t xml:space="preserve">Fluxograma </w:t>
      </w:r>
      <w:r w:rsidR="0010373C" w:rsidRPr="00D22805">
        <w:rPr>
          <w:rFonts w:ascii="Times New Roman" w:hAnsi="Times New Roman"/>
          <w:color w:val="auto"/>
          <w:sz w:val="20"/>
          <w:szCs w:val="20"/>
        </w:rPr>
        <w:fldChar w:fldCharType="begin"/>
      </w:r>
      <w:r w:rsidRPr="00D22805">
        <w:rPr>
          <w:rFonts w:ascii="Times New Roman" w:hAnsi="Times New Roman"/>
          <w:color w:val="auto"/>
          <w:sz w:val="20"/>
          <w:szCs w:val="20"/>
        </w:rPr>
        <w:instrText xml:space="preserve"> SEQ Fluxograma \* ARABIC </w:instrText>
      </w:r>
      <w:r w:rsidR="0010373C" w:rsidRPr="00D22805">
        <w:rPr>
          <w:rFonts w:ascii="Times New Roman" w:hAnsi="Times New Roman"/>
          <w:color w:val="auto"/>
          <w:sz w:val="20"/>
          <w:szCs w:val="20"/>
        </w:rPr>
        <w:fldChar w:fldCharType="separate"/>
      </w:r>
      <w:r w:rsidR="00C46797">
        <w:rPr>
          <w:rFonts w:ascii="Times New Roman" w:hAnsi="Times New Roman"/>
          <w:noProof/>
          <w:color w:val="auto"/>
          <w:sz w:val="20"/>
          <w:szCs w:val="20"/>
        </w:rPr>
        <w:t>1</w:t>
      </w:r>
      <w:r w:rsidR="0010373C" w:rsidRPr="00D22805">
        <w:rPr>
          <w:rFonts w:ascii="Times New Roman" w:hAnsi="Times New Roman"/>
          <w:color w:val="auto"/>
          <w:sz w:val="20"/>
          <w:szCs w:val="20"/>
        </w:rPr>
        <w:fldChar w:fldCharType="end"/>
      </w:r>
      <w:r w:rsidRPr="00D22805">
        <w:rPr>
          <w:rFonts w:ascii="Times New Roman" w:hAnsi="Times New Roman"/>
          <w:color w:val="auto"/>
          <w:sz w:val="20"/>
          <w:szCs w:val="20"/>
        </w:rPr>
        <w:t xml:space="preserve"> - Cadeia de efeitos esperados da nova regulamentação</w:t>
      </w:r>
    </w:p>
    <w:p w:rsidR="0002519A" w:rsidRPr="00CE3398" w:rsidRDefault="0010373C" w:rsidP="00E72EA0">
      <w:pPr>
        <w:tabs>
          <w:tab w:val="left" w:pos="0"/>
        </w:tabs>
        <w:spacing w:after="120" w:line="240" w:lineRule="auto"/>
        <w:ind w:firstLine="709"/>
        <w:jc w:val="both"/>
        <w:rPr>
          <w:rFonts w:ascii="Times New Roman" w:hAnsi="Times New Roman"/>
          <w:sz w:val="24"/>
          <w:szCs w:val="24"/>
        </w:rPr>
      </w:pPr>
      <w:r>
        <w:rPr>
          <w:rFonts w:ascii="Times New Roman" w:hAnsi="Times New Roman"/>
          <w:noProof/>
          <w:sz w:val="24"/>
          <w:szCs w:val="24"/>
          <w:lang w:eastAsia="pt-BR"/>
        </w:rPr>
        <w:pict>
          <v:group id="_x0000_s1081" editas="canvas" style="position:absolute;left:0;text-align:left;margin-left:0;margin-top:6.55pt;width:305.6pt;height:285.85pt;z-index:251657727;mso-position-horizontal:center;mso-position-horizontal-relative:margin;mso-position-vertical-relative:line" coordorigin="2909,7156" coordsize="6112,5717" o:regroupid="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2909;top:7156;width:6112;height:5717" o:preferrelative="f" filled="t" stroked="t">
              <v:fill o:detectmouseclick="t"/>
              <v:path o:extrusionok="t" o:connecttype="none"/>
              <o:lock v:ext="edit" text="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3" type="#_x0000_t176" style="position:absolute;left:5109;top:12253;width:1446;height:594" fillcolor="#365f91">
              <v:textbox style="mso-next-textbox:#_x0000_s1083" inset="2.10819mm,1.0541mm,2.10819mm,1.0541mm">
                <w:txbxContent>
                  <w:p w:rsidR="00E03752" w:rsidRPr="00B43F06" w:rsidRDefault="00E03752" w:rsidP="00AB15C6">
                    <w:pPr>
                      <w:jc w:val="center"/>
                      <w:rPr>
                        <w:b/>
                        <w:color w:val="FFFFFF"/>
                        <w:sz w:val="15"/>
                        <w:szCs w:val="18"/>
                      </w:rPr>
                    </w:pPr>
                    <w:r w:rsidRPr="00B43F06">
                      <w:rPr>
                        <w:b/>
                        <w:color w:val="FFFFFF"/>
                        <w:sz w:val="15"/>
                        <w:szCs w:val="18"/>
                      </w:rPr>
                      <w:t>Nova Regulamentação</w:t>
                    </w:r>
                  </w:p>
                </w:txbxContent>
              </v:textbox>
            </v:shape>
            <v:shapetype id="_x0000_t32" coordsize="21600,21600" o:spt="32" o:oned="t" path="m,l21600,21600e" filled="f">
              <v:path arrowok="t" fillok="f" o:connecttype="none"/>
              <o:lock v:ext="edit" shapetype="t"/>
            </v:shapetype>
            <v:shape id="_x0000_s1084" type="#_x0000_t32" style="position:absolute;left:5822;top:12040;width:10;height:213;flip:x y" o:connectortype="straight" strokecolor="#548dd4">
              <v:stroke endarrow="block"/>
            </v:shape>
            <v:roundrect id="_x0000_s1085" style="position:absolute;left:5168;top:11451;width:1308;height:589" arcsize="10923f" fillcolor="#365f91">
              <v:fill opacity="42598f"/>
              <v:textbox style="mso-next-textbox:#_x0000_s1085" inset="2.10819mm,1.0541mm,2.10819mm,1.0541mm">
                <w:txbxContent>
                  <w:p w:rsidR="00E03752" w:rsidRPr="00B43F06" w:rsidRDefault="00E03752" w:rsidP="00AB15C6">
                    <w:pPr>
                      <w:jc w:val="center"/>
                      <w:rPr>
                        <w:color w:val="FFFFFF"/>
                        <w:sz w:val="15"/>
                        <w:szCs w:val="18"/>
                      </w:rPr>
                    </w:pPr>
                    <w:r w:rsidRPr="00B43F06">
                      <w:rPr>
                        <w:color w:val="FFFFFF"/>
                        <w:sz w:val="15"/>
                        <w:szCs w:val="18"/>
                      </w:rPr>
                      <w:t>Aditivação Compulsória</w:t>
                    </w:r>
                  </w:p>
                </w:txbxContent>
              </v:textbox>
            </v:roundrect>
            <v:shape id="_x0000_s1087" type="#_x0000_t32" style="position:absolute;left:5822;top:11243;width:1;height:208;flip:y" o:connectortype="straight" strokecolor="#548dd4">
              <v:stroke endarrow="block"/>
            </v:shape>
            <v:roundrect id="_x0000_s1088" style="position:absolute;left:3317;top:9978;width:1620;height:640" arcsize="10923f" fillcolor="#365f91">
              <v:fill opacity="42598f"/>
              <v:textbox style="mso-next-textbox:#_x0000_s1088" inset="2.10819mm,1.0541mm,2.10819mm,1.0541mm">
                <w:txbxContent>
                  <w:p w:rsidR="00E03752" w:rsidRPr="00B43F06" w:rsidRDefault="00E03752" w:rsidP="00AB15C6">
                    <w:pPr>
                      <w:jc w:val="center"/>
                      <w:rPr>
                        <w:color w:val="FFFFFF"/>
                        <w:sz w:val="15"/>
                        <w:szCs w:val="18"/>
                      </w:rPr>
                    </w:pPr>
                    <w:r w:rsidRPr="00B43F06">
                      <w:rPr>
                        <w:color w:val="FFFFFF"/>
                        <w:sz w:val="15"/>
                        <w:szCs w:val="18"/>
                      </w:rPr>
                      <w:t>Redução de consumo de combustível</w:t>
                    </w:r>
                  </w:p>
                </w:txbxContent>
              </v:textbox>
            </v:roundrect>
            <v:roundrect id="_x0000_s1089" style="position:absolute;left:6707;top:10095;width:1596;height:595" arcsize="10923f" fillcolor="#365f91">
              <v:fill opacity="42598f"/>
              <v:textbox style="mso-next-textbox:#_x0000_s1089" inset="2.10819mm,1.0541mm,2.10819mm,1.0541mm">
                <w:txbxContent>
                  <w:p w:rsidR="00E03752" w:rsidRPr="00B43F06" w:rsidRDefault="00E03752" w:rsidP="00AB15C6">
                    <w:pPr>
                      <w:jc w:val="center"/>
                      <w:rPr>
                        <w:color w:val="FFFFFF"/>
                        <w:sz w:val="15"/>
                        <w:szCs w:val="18"/>
                      </w:rPr>
                    </w:pPr>
                    <w:r w:rsidRPr="00B43F06">
                      <w:rPr>
                        <w:color w:val="FFFFFF"/>
                        <w:sz w:val="15"/>
                        <w:szCs w:val="18"/>
                      </w:rPr>
                      <w:t>Maior vida útil dos motores</w:t>
                    </w:r>
                  </w:p>
                </w:txbxContent>
              </v:textbox>
            </v:roundrect>
            <v:roundrect id="_x0000_s1090" style="position:absolute;left:5109;top:9240;width:1402;height:673" arcsize="10923f" fillcolor="#365f91">
              <v:fill opacity="42598f"/>
              <v:textbox style="mso-next-textbox:#_x0000_s1090" inset="2.10819mm,1.0541mm,2.10819mm,1.0541mm">
                <w:txbxContent>
                  <w:p w:rsidR="00E03752" w:rsidRPr="00B43F06" w:rsidRDefault="00E03752" w:rsidP="00AB15C6">
                    <w:pPr>
                      <w:jc w:val="center"/>
                      <w:rPr>
                        <w:color w:val="FFFFFF"/>
                        <w:sz w:val="15"/>
                        <w:szCs w:val="18"/>
                      </w:rPr>
                    </w:pPr>
                    <w:r w:rsidRPr="00B43F06">
                      <w:rPr>
                        <w:color w:val="FFFFFF"/>
                        <w:sz w:val="15"/>
                        <w:szCs w:val="18"/>
                      </w:rPr>
                      <w:t>Emissões mais limpas</w:t>
                    </w:r>
                  </w:p>
                  <w:p w:rsidR="00E03752" w:rsidRPr="00B43F06" w:rsidRDefault="00E03752" w:rsidP="00AB15C6">
                    <w:pPr>
                      <w:jc w:val="center"/>
                      <w:rPr>
                        <w:color w:val="FFFFFF"/>
                        <w:sz w:val="15"/>
                        <w:szCs w:val="18"/>
                      </w:rPr>
                    </w:pPr>
                  </w:p>
                </w:txbxContent>
              </v:textbox>
            </v:roundrect>
            <v:shape id="_x0000_s1091" type="#_x0000_t32" style="position:absolute;left:5810;top:9913;width:12;height:777;flip:x y" o:connectortype="straight" strokecolor="#548dd4">
              <v:stroke endarrow="block"/>
            </v:shape>
            <v:roundrect id="_x0000_s1093" style="position:absolute;left:7786;top:9176;width:1229;height:737" arcsize="10923f" fillcolor="#365f91">
              <v:textbox style="mso-next-textbox:#_x0000_s1093" inset="2.10819mm,1.0541mm,2.10819mm,1.0541mm">
                <w:txbxContent>
                  <w:p w:rsidR="00E03752" w:rsidRPr="00B43F06" w:rsidRDefault="00E03752" w:rsidP="00AB15C6">
                    <w:pPr>
                      <w:spacing w:after="0" w:line="240" w:lineRule="auto"/>
                      <w:jc w:val="center"/>
                      <w:rPr>
                        <w:b/>
                        <w:color w:val="FFFFFF"/>
                        <w:sz w:val="15"/>
                        <w:szCs w:val="18"/>
                      </w:rPr>
                    </w:pPr>
                    <w:r w:rsidRPr="00B43F06">
                      <w:rPr>
                        <w:b/>
                        <w:color w:val="FFFFFF"/>
                        <w:sz w:val="15"/>
                        <w:szCs w:val="18"/>
                      </w:rPr>
                      <w:t>Menores custos de manutenção</w:t>
                    </w:r>
                  </w:p>
                </w:txbxContent>
              </v:textbox>
            </v:roundrect>
            <v:roundrect id="_x0000_s1094" style="position:absolute;left:6763;top:8406;width:1668;height:559" arcsize="10923f" fillcolor="#365f91">
              <v:textbox style="mso-next-textbox:#_x0000_s1094" inset="2.10819mm,1.0541mm,2.10819mm,1.0541mm">
                <w:txbxContent>
                  <w:p w:rsidR="00E03752" w:rsidRPr="00B43F06" w:rsidRDefault="00E03752" w:rsidP="00AB15C6">
                    <w:pPr>
                      <w:jc w:val="center"/>
                      <w:rPr>
                        <w:b/>
                        <w:color w:val="FFFFFF"/>
                        <w:sz w:val="15"/>
                        <w:szCs w:val="18"/>
                      </w:rPr>
                    </w:pPr>
                    <w:r w:rsidRPr="00B43F06">
                      <w:rPr>
                        <w:b/>
                        <w:color w:val="FFFFFF"/>
                        <w:sz w:val="15"/>
                        <w:szCs w:val="18"/>
                      </w:rPr>
                      <w:t>Redução de custos (compra de veículos)</w:t>
                    </w:r>
                  </w:p>
                  <w:p w:rsidR="00E03752" w:rsidRPr="00B43F06" w:rsidRDefault="00E03752" w:rsidP="00AB15C6">
                    <w:pPr>
                      <w:rPr>
                        <w:b/>
                        <w:color w:val="FFFFFF"/>
                        <w:sz w:val="15"/>
                        <w:szCs w:val="18"/>
                      </w:rPr>
                    </w:pPr>
                  </w:p>
                </w:txbxContent>
              </v:textbox>
            </v:roundrect>
            <v:shape id="_x0000_s1095" type="#_x0000_t32" style="position:absolute;left:6941;top:9529;width:1130;height:1;rotation:270" o:connectortype="elbow" adj="-143458,-1,-143458" strokecolor="#548dd4">
              <v:stroke endarrow="block"/>
            </v:shape>
            <v:roundrect id="_x0000_s1096" style="position:absolute;left:5030;top:8094;width:1573;height:586" arcsize="10923f" fillcolor="#365f91">
              <v:fill opacity="42598f"/>
              <v:textbox style="mso-next-textbox:#_x0000_s1096" inset="2.10819mm,1.0541mm,2.10819mm,1.0541mm">
                <w:txbxContent>
                  <w:p w:rsidR="00E03752" w:rsidRPr="00B43F06" w:rsidRDefault="00E03752" w:rsidP="00AB15C6">
                    <w:pPr>
                      <w:jc w:val="center"/>
                      <w:rPr>
                        <w:color w:val="FFFFFF"/>
                        <w:sz w:val="15"/>
                        <w:szCs w:val="18"/>
                      </w:rPr>
                    </w:pPr>
                    <w:r w:rsidRPr="00B43F06">
                      <w:rPr>
                        <w:color w:val="FFFFFF"/>
                        <w:sz w:val="15"/>
                        <w:szCs w:val="18"/>
                      </w:rPr>
                      <w:t>Redução de emissão de poluentes</w:t>
                    </w:r>
                  </w:p>
                </w:txbxContent>
              </v:textbox>
            </v:roundrect>
            <v:shape id="_x0000_s1097" type="#_x0000_t32" style="position:absolute;left:5810;top:8680;width:7;height:560;flip:y" o:connectortype="straight" strokecolor="#548dd4">
              <v:stroke endarrow="block"/>
            </v:shape>
            <v:roundrect id="_x0000_s1098" style="position:absolute;left:2915;top:8740;width:1620;height:623" arcsize="10923f" fillcolor="#365f91">
              <v:textbox style="mso-next-textbox:#_x0000_s1098" inset="2.10819mm,1.0541mm,2.10819mm,1.0541mm">
                <w:txbxContent>
                  <w:p w:rsidR="00E03752" w:rsidRPr="00B43F06" w:rsidRDefault="00E03752" w:rsidP="00AB15C6">
                    <w:pPr>
                      <w:jc w:val="center"/>
                      <w:rPr>
                        <w:b/>
                        <w:color w:val="FFFFFF"/>
                        <w:sz w:val="15"/>
                        <w:szCs w:val="18"/>
                      </w:rPr>
                    </w:pPr>
                    <w:r w:rsidRPr="00B43F06">
                      <w:rPr>
                        <w:b/>
                        <w:color w:val="FFFFFF"/>
                        <w:sz w:val="15"/>
                        <w:szCs w:val="18"/>
                      </w:rPr>
                      <w:t>Menores custos com combustível</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9" type="#_x0000_t34" style="position:absolute;left:3618;top:9470;width:615;height:402;rotation:270;flip:x" o:connectortype="elbow" adj="10818,518830,-144562" strokecolor="#548dd4">
              <v:stroke endarrow="block"/>
            </v:shape>
            <v:shape id="_x0000_s1100" type="#_x0000_t32" style="position:absolute;left:4127;top:8680;width:1690;height:994;flip:y" o:connectortype="straight" strokecolor="#548dd4">
              <v:stroke endarrow="block"/>
            </v:shape>
            <v:roundrect id="_x0000_s1101" style="position:absolute;left:3456;top:7224;width:1574;height:570" arcsize="10923f" fillcolor="#365f91" strokecolor="#17365d">
              <v:textbox style="mso-next-textbox:#_x0000_s1101" inset="2.10819mm,1.0541mm,2.10819mm,1.0541mm">
                <w:txbxContent>
                  <w:p w:rsidR="00E03752" w:rsidRPr="00B43F06" w:rsidRDefault="00E03752" w:rsidP="00AB15C6">
                    <w:pPr>
                      <w:jc w:val="center"/>
                      <w:rPr>
                        <w:b/>
                        <w:color w:val="FFFFFF"/>
                        <w:sz w:val="15"/>
                        <w:szCs w:val="18"/>
                      </w:rPr>
                    </w:pPr>
                    <w:r w:rsidRPr="00B43F06">
                      <w:rPr>
                        <w:b/>
                        <w:color w:val="FFFFFF"/>
                        <w:sz w:val="15"/>
                        <w:szCs w:val="18"/>
                      </w:rPr>
                      <w:t>Menor impacto para o aquecimento global</w:t>
                    </w:r>
                  </w:p>
                </w:txbxContent>
              </v:textbox>
            </v:roundrect>
            <v:roundrect id="_x0000_s1102" style="position:absolute;left:6603;top:7263;width:1574;height:491" arcsize="10923f" fillcolor="#365f91">
              <v:textbox style="mso-next-textbox:#_x0000_s1102" inset="2.10819mm,1.0541mm,2.10819mm,1.0541mm">
                <w:txbxContent>
                  <w:p w:rsidR="00E03752" w:rsidRPr="00B43F06" w:rsidRDefault="00E03752" w:rsidP="00AB15C6">
                    <w:pPr>
                      <w:spacing w:after="0" w:line="240" w:lineRule="auto"/>
                      <w:jc w:val="center"/>
                      <w:rPr>
                        <w:b/>
                        <w:color w:val="FFFFFF"/>
                        <w:sz w:val="15"/>
                        <w:szCs w:val="18"/>
                      </w:rPr>
                    </w:pPr>
                    <w:r w:rsidRPr="00B43F06">
                      <w:rPr>
                        <w:b/>
                        <w:color w:val="FFFFFF"/>
                        <w:sz w:val="15"/>
                        <w:szCs w:val="18"/>
                      </w:rPr>
                      <w:t xml:space="preserve">Benefícios à </w:t>
                    </w:r>
                  </w:p>
                  <w:p w:rsidR="00E03752" w:rsidRPr="00B43F06" w:rsidRDefault="00E03752" w:rsidP="00AB15C6">
                    <w:pPr>
                      <w:spacing w:after="0" w:line="240" w:lineRule="auto"/>
                      <w:jc w:val="center"/>
                      <w:rPr>
                        <w:b/>
                        <w:color w:val="FFFFFF"/>
                        <w:sz w:val="15"/>
                        <w:szCs w:val="18"/>
                      </w:rPr>
                    </w:pPr>
                    <w:proofErr w:type="gramStart"/>
                    <w:r w:rsidRPr="00B43F06">
                      <w:rPr>
                        <w:b/>
                        <w:color w:val="FFFFFF"/>
                        <w:sz w:val="15"/>
                        <w:szCs w:val="18"/>
                      </w:rPr>
                      <w:t>saúde</w:t>
                    </w:r>
                    <w:proofErr w:type="gramEnd"/>
                  </w:p>
                </w:txbxContent>
              </v:textbox>
            </v:roundrect>
            <v:shape id="_x0000_s1103" type="#_x0000_t32" style="position:absolute;left:5030;top:7509;width:1573;height:1" o:connectortype="straight" strokecolor="#548dd4">
              <v:stroke startarrow="block" endarrow="block"/>
            </v:shape>
            <v:shape id="_x0000_s1104" type="#_x0000_t32" style="position:absolute;left:5817;top:7510;width:1;height:584;flip:y" o:connectortype="straight" strokecolor="#548dd4">
              <v:stroke endarrow="block"/>
            </v:shape>
            <v:shapetype id="_x0000_t33" coordsize="21600,21600" o:spt="33" o:oned="t" path="m,l21600,r,21600e" filled="f">
              <v:stroke joinstyle="miter"/>
              <v:path arrowok="t" fillok="f" o:connecttype="none"/>
              <o:lock v:ext="edit" shapetype="t"/>
            </v:shapetype>
            <v:shape id="_x0000_s1105" type="#_x0000_t33" style="position:absolute;left:7371;top:9679;width:550;height:281;rotation:270" o:connectortype="elbow" adj="-294742,-784979,-294742" strokecolor="#548dd4">
              <v:stroke endarrow="block"/>
            </v:shape>
            <v:roundrect id="_x0000_s1086" style="position:absolute;left:5168;top:10690;width:1308;height:553" arcsize="10923f" fillcolor="#365f91">
              <v:fill opacity="42598f"/>
              <v:textbox style="mso-next-textbox:#_x0000_s1086" inset="2.10819mm,1.0541mm,2.10819mm,1.0541mm">
                <w:txbxContent>
                  <w:p w:rsidR="00E03752" w:rsidRPr="00B43F06" w:rsidRDefault="00E03752" w:rsidP="00AB15C6">
                    <w:pPr>
                      <w:jc w:val="center"/>
                      <w:rPr>
                        <w:color w:val="FFFFFF"/>
                        <w:sz w:val="15"/>
                        <w:szCs w:val="18"/>
                      </w:rPr>
                    </w:pPr>
                    <w:r w:rsidRPr="00B43F06">
                      <w:rPr>
                        <w:color w:val="FFFFFF"/>
                        <w:sz w:val="15"/>
                        <w:szCs w:val="18"/>
                      </w:rPr>
                      <w:t>Motores mais limpos</w:t>
                    </w:r>
                  </w:p>
                </w:txbxContent>
              </v:textbox>
            </v:roundrect>
            <v:shape id="_x0000_s1321" type="#_x0000_t32" style="position:absolute;left:4127;top:10976;width:1041;height:1" o:connectortype="straight" strokecolor="#548dd4">
              <v:stroke endarrow="block"/>
            </v:shape>
            <v:shape id="_x0000_s1322" type="#_x0000_t32" style="position:absolute;left:4127;top:10618;width:0;height:359;flip:y" o:connectortype="straight" strokecolor="#548dd4 [1951]"/>
            <v:shape id="_x0000_s1324" type="#_x0000_t32" style="position:absolute;left:7505;top:10674;width:1;height:302;flip:y" o:connectortype="straight" strokecolor="#548dd4">
              <v:stroke endarrow="block"/>
            </v:shape>
            <v:shape id="_x0000_s1325" type="#_x0000_t32" style="position:absolute;left:6473;top:10976;width:1020;height:1" o:connectortype="straight" strokecolor="#548dd4 [1951]"/>
            <w10:wrap anchorx="margin"/>
          </v:group>
        </w:pict>
      </w:r>
      <w:r>
        <w:rPr>
          <w:rFonts w:ascii="Times New Roman" w:hAnsi="Times New Roman"/>
          <w:noProof/>
          <w:sz w:val="24"/>
          <w:szCs w:val="24"/>
          <w:lang w:eastAsia="pt-BR"/>
        </w:rPr>
        <w:pict>
          <v:shapetype id="_x0000_t202" coordsize="21600,21600" o:spt="202" path="m,l,21600r21600,l21600,xe">
            <v:stroke joinstyle="miter"/>
            <v:path gradientshapeok="t" o:connecttype="rect"/>
          </v:shapetype>
          <v:shape id="_x0000_s1115" type="#_x0000_t202" style="position:absolute;left:0;text-align:left;margin-left:90.9pt;margin-top:291.75pt;width:70.4pt;height:18.3pt;z-index:251668992;mso-width-relative:margin;mso-height-relative:margin" o:regroupid="2" filled="f" stroked="f">
            <v:textbox>
              <w:txbxContent>
                <w:p w:rsidR="00E03752" w:rsidRPr="004C25FB" w:rsidRDefault="00E03752">
                  <w:pPr>
                    <w:rPr>
                      <w:rFonts w:ascii="Times New Roman" w:hAnsi="Times New Roman"/>
                      <w:b/>
                      <w:sz w:val="20"/>
                      <w:szCs w:val="20"/>
                    </w:rPr>
                  </w:pPr>
                  <w:r w:rsidRPr="004C25FB">
                    <w:rPr>
                      <w:rFonts w:ascii="Times New Roman" w:hAnsi="Times New Roman"/>
                      <w:b/>
                      <w:sz w:val="20"/>
                      <w:szCs w:val="20"/>
                    </w:rPr>
                    <w:t>Fonte: ANP</w:t>
                  </w:r>
                </w:p>
              </w:txbxContent>
            </v:textbox>
          </v:shape>
        </w:pict>
      </w:r>
      <w:r w:rsidRPr="0010373C">
        <w:rPr>
          <w:rFonts w:ascii="Times New Roman" w:hAnsi="Times New Roman"/>
          <w:color w:val="FFFFFF"/>
          <w:sz w:val="24"/>
          <w:szCs w:val="24"/>
        </w:rPr>
        <w:pict>
          <v:shape id="_x0000_i1025" type="#_x0000_t75" style="width:446.25pt;height:311.1pt">
            <v:imagedata croptop="-65520f" cropbottom="65520f"/>
          </v:shape>
        </w:pict>
      </w:r>
    </w:p>
    <w:p w:rsidR="0002519A" w:rsidRPr="00CE3398" w:rsidRDefault="00537368" w:rsidP="008863E7">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Atualmente</w:t>
      </w:r>
      <w:r w:rsidR="0002519A" w:rsidRPr="00CE3398">
        <w:rPr>
          <w:rFonts w:ascii="Times New Roman" w:hAnsi="Times New Roman"/>
          <w:sz w:val="24"/>
          <w:szCs w:val="24"/>
        </w:rPr>
        <w:t>, a aditivação da gasolina é voluntária</w:t>
      </w:r>
      <w:r w:rsidR="007B558F" w:rsidRPr="00CE3398">
        <w:rPr>
          <w:rStyle w:val="Refdenotaderodap"/>
          <w:rFonts w:ascii="Times New Roman" w:hAnsi="Times New Roman"/>
          <w:sz w:val="24"/>
          <w:szCs w:val="24"/>
        </w:rPr>
        <w:footnoteReference w:id="3"/>
      </w:r>
      <w:r w:rsidR="0002519A" w:rsidRPr="00CE3398">
        <w:rPr>
          <w:rFonts w:ascii="Times New Roman" w:hAnsi="Times New Roman"/>
          <w:sz w:val="24"/>
          <w:szCs w:val="24"/>
        </w:rPr>
        <w:t xml:space="preserve">, sendo promovida pelas distribuidoras. Os pacotes de aditivos utilizados para a formulação da chamada “gasolina aditivada” podem ou não conter aditivos detergentes dispersantes, bem como aditivos de outras naturezas.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 aditivação compulsória já é realidade </w:t>
      </w:r>
      <w:r w:rsidR="00CB785F" w:rsidRPr="00CE3398">
        <w:rPr>
          <w:rFonts w:ascii="Times New Roman" w:hAnsi="Times New Roman"/>
          <w:sz w:val="24"/>
          <w:szCs w:val="24"/>
        </w:rPr>
        <w:t xml:space="preserve">em </w:t>
      </w:r>
      <w:r w:rsidRPr="00CE3398">
        <w:rPr>
          <w:rFonts w:ascii="Times New Roman" w:hAnsi="Times New Roman"/>
          <w:sz w:val="24"/>
          <w:szCs w:val="24"/>
        </w:rPr>
        <w:t xml:space="preserve">diversos países. Para a elaboração desta Nota Técnica, buscou-se analisar a experiência de alguns </w:t>
      </w:r>
      <w:r w:rsidR="00CB785F" w:rsidRPr="00CE3398">
        <w:rPr>
          <w:rFonts w:ascii="Times New Roman" w:hAnsi="Times New Roman"/>
          <w:sz w:val="24"/>
          <w:szCs w:val="24"/>
        </w:rPr>
        <w:t xml:space="preserve">deles </w:t>
      </w:r>
      <w:r w:rsidRPr="00CE3398">
        <w:rPr>
          <w:rFonts w:ascii="Times New Roman" w:hAnsi="Times New Roman"/>
          <w:sz w:val="24"/>
          <w:szCs w:val="24"/>
        </w:rPr>
        <w:t xml:space="preserve">– Estados Unidos da América (EUA), </w:t>
      </w:r>
      <w:r w:rsidRPr="00CE3398">
        <w:rPr>
          <w:rFonts w:ascii="Times New Roman" w:hAnsi="Times New Roman"/>
          <w:sz w:val="24"/>
          <w:szCs w:val="24"/>
        </w:rPr>
        <w:lastRenderedPageBreak/>
        <w:t>México, Colômbia, Tailândia, China e Índia – que já adotam essa prática</w:t>
      </w:r>
      <w:r w:rsidR="00193704" w:rsidRPr="00CE3398">
        <w:rPr>
          <w:rFonts w:ascii="Times New Roman" w:hAnsi="Times New Roman"/>
          <w:sz w:val="24"/>
          <w:szCs w:val="24"/>
        </w:rPr>
        <w:t>,</w:t>
      </w:r>
      <w:r w:rsidRPr="00CE3398">
        <w:rPr>
          <w:rFonts w:ascii="Times New Roman" w:hAnsi="Times New Roman"/>
          <w:sz w:val="24"/>
          <w:szCs w:val="24"/>
        </w:rPr>
        <w:t xml:space="preserve"> motivados, sobretudo, pela mitigação das emissões de poluentes a partir dos escapamentos de veículos automotores.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No caso dos EUA, as emendas ao </w:t>
      </w:r>
      <w:proofErr w:type="spellStart"/>
      <w:r w:rsidRPr="00CE3398">
        <w:rPr>
          <w:rFonts w:ascii="Times New Roman" w:hAnsi="Times New Roman"/>
          <w:i/>
          <w:sz w:val="24"/>
          <w:szCs w:val="24"/>
        </w:rPr>
        <w:t>Clean</w:t>
      </w:r>
      <w:proofErr w:type="spellEnd"/>
      <w:r w:rsidRPr="00CE3398">
        <w:rPr>
          <w:rFonts w:ascii="Times New Roman" w:hAnsi="Times New Roman"/>
          <w:i/>
          <w:sz w:val="24"/>
          <w:szCs w:val="24"/>
        </w:rPr>
        <w:t xml:space="preserve"> </w:t>
      </w:r>
      <w:proofErr w:type="spellStart"/>
      <w:r w:rsidRPr="00CE3398">
        <w:rPr>
          <w:rFonts w:ascii="Times New Roman" w:hAnsi="Times New Roman"/>
          <w:i/>
          <w:sz w:val="24"/>
          <w:szCs w:val="24"/>
        </w:rPr>
        <w:t>Air</w:t>
      </w:r>
      <w:proofErr w:type="spellEnd"/>
      <w:r w:rsidRPr="00CE3398">
        <w:rPr>
          <w:rFonts w:ascii="Times New Roman" w:hAnsi="Times New Roman"/>
          <w:i/>
          <w:sz w:val="24"/>
          <w:szCs w:val="24"/>
        </w:rPr>
        <w:t xml:space="preserve"> </w:t>
      </w:r>
      <w:proofErr w:type="spellStart"/>
      <w:r w:rsidRPr="00CE3398">
        <w:rPr>
          <w:rFonts w:ascii="Times New Roman" w:hAnsi="Times New Roman"/>
          <w:i/>
          <w:sz w:val="24"/>
          <w:szCs w:val="24"/>
        </w:rPr>
        <w:t>Act</w:t>
      </w:r>
      <w:proofErr w:type="spellEnd"/>
      <w:r w:rsidR="000D0239">
        <w:rPr>
          <w:rFonts w:ascii="Times New Roman" w:hAnsi="Times New Roman"/>
          <w:sz w:val="24"/>
          <w:szCs w:val="24"/>
        </w:rPr>
        <w:t xml:space="preserve"> – CAA</w:t>
      </w:r>
      <w:r w:rsidRPr="00CE3398">
        <w:rPr>
          <w:rFonts w:ascii="Times New Roman" w:hAnsi="Times New Roman"/>
          <w:sz w:val="24"/>
          <w:szCs w:val="24"/>
        </w:rPr>
        <w:t xml:space="preserve">, </w:t>
      </w:r>
      <w:r w:rsidR="005A59A2" w:rsidRPr="00CE3398">
        <w:rPr>
          <w:rFonts w:ascii="Times New Roman" w:hAnsi="Times New Roman"/>
          <w:sz w:val="24"/>
          <w:szCs w:val="24"/>
        </w:rPr>
        <w:t xml:space="preserve">efetuadas </w:t>
      </w:r>
      <w:r w:rsidRPr="00CE3398">
        <w:rPr>
          <w:rFonts w:ascii="Times New Roman" w:hAnsi="Times New Roman"/>
          <w:sz w:val="24"/>
          <w:szCs w:val="24"/>
        </w:rPr>
        <w:t>em 1990, proibiram a circulação de gasolina sem aditivo para controle de depósitos em motores, dando início ao pro</w:t>
      </w:r>
      <w:r w:rsidR="002F0F92" w:rsidRPr="00CE3398">
        <w:rPr>
          <w:rFonts w:ascii="Times New Roman" w:hAnsi="Times New Roman"/>
          <w:sz w:val="24"/>
          <w:szCs w:val="24"/>
        </w:rPr>
        <w:t>grama de aditivação da gasolina</w:t>
      </w:r>
      <w:r w:rsidRPr="00CE3398">
        <w:rPr>
          <w:rFonts w:ascii="Times New Roman" w:hAnsi="Times New Roman"/>
          <w:sz w:val="24"/>
          <w:szCs w:val="24"/>
        </w:rPr>
        <w:t xml:space="preserve">. </w:t>
      </w:r>
      <w:r w:rsidR="00E678EF" w:rsidRPr="00CE3398">
        <w:rPr>
          <w:rFonts w:ascii="Times New Roman" w:hAnsi="Times New Roman"/>
          <w:sz w:val="24"/>
          <w:szCs w:val="24"/>
        </w:rPr>
        <w:t>A Tabela 1</w:t>
      </w:r>
      <w:r w:rsidRPr="00CE3398">
        <w:rPr>
          <w:rFonts w:ascii="Times New Roman" w:hAnsi="Times New Roman"/>
          <w:sz w:val="24"/>
          <w:szCs w:val="24"/>
        </w:rPr>
        <w:t xml:space="preserve"> sintetiza informações a respeito da aditivação em alguns países, no que diz respeito a normas, responsabilidades, requisitos mínimos e ponto de aditivação. </w:t>
      </w:r>
      <w:r w:rsidR="0072557A" w:rsidRPr="00CE3398">
        <w:rPr>
          <w:rFonts w:ascii="Times New Roman" w:hAnsi="Times New Roman"/>
          <w:sz w:val="24"/>
          <w:szCs w:val="24"/>
        </w:rPr>
        <w:t xml:space="preserve">A Nota Técnica nº 05/2013/101/CPT, Anexo </w:t>
      </w:r>
      <w:r w:rsidR="00F367D5" w:rsidRPr="00CE3398">
        <w:rPr>
          <w:rFonts w:ascii="Times New Roman" w:hAnsi="Times New Roman"/>
          <w:sz w:val="24"/>
          <w:szCs w:val="24"/>
        </w:rPr>
        <w:t>II</w:t>
      </w:r>
      <w:r w:rsidR="0072557A" w:rsidRPr="00CE3398">
        <w:rPr>
          <w:rFonts w:ascii="Times New Roman" w:hAnsi="Times New Roman"/>
          <w:sz w:val="24"/>
          <w:szCs w:val="24"/>
        </w:rPr>
        <w:t>, traz estudo detalhado sobre a aditivação compulsória da gasolina no mundo.</w:t>
      </w:r>
    </w:p>
    <w:p w:rsidR="00507439" w:rsidRPr="00CE3398" w:rsidRDefault="00507439" w:rsidP="0002519A">
      <w:pPr>
        <w:pStyle w:val="PargrafodaLista"/>
        <w:spacing w:after="120" w:line="240" w:lineRule="auto"/>
        <w:ind w:left="426"/>
        <w:contextualSpacing w:val="0"/>
        <w:rPr>
          <w:rFonts w:ascii="Times New Roman" w:hAnsi="Times New Roman"/>
          <w:sz w:val="24"/>
          <w:szCs w:val="24"/>
        </w:rPr>
        <w:sectPr w:rsidR="00507439" w:rsidRPr="00CE3398" w:rsidSect="00B43F06">
          <w:pgSz w:w="11907" w:h="16840" w:code="9"/>
          <w:pgMar w:top="1440" w:right="1080" w:bottom="1440" w:left="1080" w:header="680" w:footer="1012" w:gutter="0"/>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01"/>
        <w:gridCol w:w="1916"/>
        <w:gridCol w:w="4411"/>
        <w:gridCol w:w="4982"/>
        <w:gridCol w:w="2404"/>
      </w:tblGrid>
      <w:tr w:rsidR="00E1027A" w:rsidRPr="004C25FB" w:rsidTr="00F86EC8">
        <w:trPr>
          <w:tblHeader/>
        </w:trPr>
        <w:tc>
          <w:tcPr>
            <w:tcW w:w="5000" w:type="pct"/>
            <w:gridSpan w:val="5"/>
            <w:tcBorders>
              <w:top w:val="nil"/>
              <w:left w:val="nil"/>
              <w:bottom w:val="nil"/>
              <w:right w:val="nil"/>
            </w:tcBorders>
            <w:tcMar>
              <w:top w:w="85" w:type="dxa"/>
              <w:left w:w="142" w:type="dxa"/>
              <w:bottom w:w="85" w:type="dxa"/>
            </w:tcMar>
          </w:tcPr>
          <w:p w:rsidR="00E1027A" w:rsidRPr="004C25FB" w:rsidRDefault="00E1027A" w:rsidP="00E1027A">
            <w:pPr>
              <w:spacing w:after="0" w:line="240" w:lineRule="auto"/>
              <w:jc w:val="center"/>
              <w:rPr>
                <w:rFonts w:ascii="Times New Roman" w:hAnsi="Times New Roman"/>
                <w:b/>
                <w:sz w:val="20"/>
                <w:szCs w:val="20"/>
              </w:rPr>
            </w:pPr>
            <w:r w:rsidRPr="004C25FB">
              <w:rPr>
                <w:rFonts w:ascii="Times New Roman" w:hAnsi="Times New Roman"/>
                <w:b/>
                <w:sz w:val="20"/>
                <w:szCs w:val="20"/>
              </w:rPr>
              <w:lastRenderedPageBreak/>
              <w:t>Tabela 1 - Principais aspectos da aditivação em países selecionados</w:t>
            </w:r>
          </w:p>
          <w:p w:rsidR="00E1027A" w:rsidRPr="004C25FB" w:rsidRDefault="00E1027A" w:rsidP="00E1027A">
            <w:pPr>
              <w:spacing w:after="0" w:line="240" w:lineRule="auto"/>
              <w:jc w:val="center"/>
              <w:rPr>
                <w:rFonts w:ascii="Times New Roman" w:hAnsi="Times New Roman"/>
                <w:sz w:val="20"/>
                <w:szCs w:val="20"/>
              </w:rPr>
            </w:pPr>
          </w:p>
        </w:tc>
      </w:tr>
      <w:tr w:rsidR="00EB27BB" w:rsidRPr="004C25FB" w:rsidTr="00F86EC8">
        <w:trPr>
          <w:tblHeader/>
        </w:trPr>
        <w:tc>
          <w:tcPr>
            <w:tcW w:w="340" w:type="pct"/>
            <w:tcBorders>
              <w:top w:val="nil"/>
              <w:left w:val="nil"/>
              <w:bottom w:val="single" w:sz="12" w:space="0" w:color="auto"/>
              <w:right w:val="nil"/>
            </w:tcBorders>
            <w:shd w:val="clear" w:color="auto" w:fill="FDE9D9" w:themeFill="accent6" w:themeFillTint="33"/>
            <w:tcMar>
              <w:top w:w="85" w:type="dxa"/>
              <w:left w:w="142" w:type="dxa"/>
              <w:bottom w:w="85" w:type="dxa"/>
            </w:tcMar>
          </w:tcPr>
          <w:p w:rsidR="0002519A" w:rsidRPr="004C25FB" w:rsidRDefault="0002519A" w:rsidP="00E1027A">
            <w:pPr>
              <w:spacing w:after="0" w:line="240" w:lineRule="auto"/>
              <w:jc w:val="center"/>
              <w:rPr>
                <w:rFonts w:ascii="Times New Roman" w:hAnsi="Times New Roman"/>
                <w:b/>
                <w:sz w:val="20"/>
                <w:szCs w:val="20"/>
              </w:rPr>
            </w:pPr>
            <w:r w:rsidRPr="004C25FB">
              <w:rPr>
                <w:rFonts w:ascii="Times New Roman" w:hAnsi="Times New Roman"/>
                <w:b/>
                <w:sz w:val="20"/>
                <w:szCs w:val="20"/>
              </w:rPr>
              <w:t>País</w:t>
            </w:r>
          </w:p>
        </w:tc>
        <w:tc>
          <w:tcPr>
            <w:tcW w:w="651" w:type="pct"/>
            <w:tcBorders>
              <w:top w:val="nil"/>
              <w:left w:val="nil"/>
              <w:bottom w:val="single" w:sz="12" w:space="0" w:color="auto"/>
              <w:right w:val="nil"/>
            </w:tcBorders>
            <w:shd w:val="clear" w:color="auto" w:fill="FDE9D9" w:themeFill="accent6" w:themeFillTint="33"/>
            <w:tcMar>
              <w:top w:w="85" w:type="dxa"/>
              <w:left w:w="85" w:type="dxa"/>
              <w:bottom w:w="85" w:type="dxa"/>
            </w:tcMar>
          </w:tcPr>
          <w:p w:rsidR="0002519A" w:rsidRPr="004C25FB" w:rsidRDefault="0002519A" w:rsidP="00D72BF7">
            <w:pPr>
              <w:spacing w:after="0" w:line="240" w:lineRule="auto"/>
              <w:jc w:val="center"/>
              <w:rPr>
                <w:rFonts w:ascii="Times New Roman" w:hAnsi="Times New Roman"/>
                <w:b/>
                <w:sz w:val="20"/>
                <w:szCs w:val="20"/>
              </w:rPr>
            </w:pPr>
            <w:r w:rsidRPr="004C25FB">
              <w:rPr>
                <w:rFonts w:ascii="Times New Roman" w:hAnsi="Times New Roman"/>
                <w:b/>
                <w:sz w:val="20"/>
                <w:szCs w:val="20"/>
              </w:rPr>
              <w:t>Ato Normativo</w:t>
            </w:r>
          </w:p>
        </w:tc>
        <w:tc>
          <w:tcPr>
            <w:tcW w:w="1499" w:type="pct"/>
            <w:tcBorders>
              <w:top w:val="nil"/>
              <w:left w:val="nil"/>
              <w:bottom w:val="single" w:sz="12" w:space="0" w:color="auto"/>
              <w:right w:val="nil"/>
            </w:tcBorders>
            <w:shd w:val="clear" w:color="auto" w:fill="FDE9D9" w:themeFill="accent6" w:themeFillTint="33"/>
            <w:tcMar>
              <w:top w:w="85" w:type="dxa"/>
              <w:left w:w="85" w:type="dxa"/>
              <w:bottom w:w="85" w:type="dxa"/>
            </w:tcMar>
          </w:tcPr>
          <w:p w:rsidR="0002519A" w:rsidRPr="004C25FB" w:rsidRDefault="0002519A" w:rsidP="00D72BF7">
            <w:pPr>
              <w:spacing w:after="0" w:line="240" w:lineRule="auto"/>
              <w:jc w:val="center"/>
              <w:rPr>
                <w:rFonts w:ascii="Times New Roman" w:hAnsi="Times New Roman"/>
                <w:b/>
                <w:sz w:val="20"/>
                <w:szCs w:val="20"/>
              </w:rPr>
            </w:pPr>
            <w:r w:rsidRPr="004C25FB">
              <w:rPr>
                <w:rFonts w:ascii="Times New Roman" w:hAnsi="Times New Roman"/>
                <w:b/>
                <w:sz w:val="20"/>
                <w:szCs w:val="20"/>
              </w:rPr>
              <w:t>Órgão Responsáve</w:t>
            </w:r>
            <w:r w:rsidR="00D72BF7" w:rsidRPr="004C25FB">
              <w:rPr>
                <w:rFonts w:ascii="Times New Roman" w:hAnsi="Times New Roman"/>
                <w:b/>
                <w:sz w:val="20"/>
                <w:szCs w:val="20"/>
              </w:rPr>
              <w:t>l</w:t>
            </w:r>
          </w:p>
        </w:tc>
        <w:tc>
          <w:tcPr>
            <w:tcW w:w="1693" w:type="pct"/>
            <w:tcBorders>
              <w:top w:val="nil"/>
              <w:left w:val="nil"/>
              <w:bottom w:val="single" w:sz="12" w:space="0" w:color="auto"/>
              <w:right w:val="nil"/>
            </w:tcBorders>
            <w:shd w:val="clear" w:color="auto" w:fill="FDE9D9" w:themeFill="accent6" w:themeFillTint="33"/>
            <w:tcMar>
              <w:top w:w="85" w:type="dxa"/>
              <w:left w:w="85" w:type="dxa"/>
              <w:bottom w:w="85" w:type="dxa"/>
            </w:tcMar>
          </w:tcPr>
          <w:p w:rsidR="0002519A" w:rsidRPr="004C25FB" w:rsidRDefault="0002519A" w:rsidP="00E1027A">
            <w:pPr>
              <w:spacing w:after="0" w:line="240" w:lineRule="auto"/>
              <w:jc w:val="center"/>
              <w:rPr>
                <w:rFonts w:ascii="Times New Roman" w:hAnsi="Times New Roman"/>
                <w:b/>
                <w:sz w:val="20"/>
                <w:szCs w:val="20"/>
              </w:rPr>
            </w:pPr>
            <w:r w:rsidRPr="004C25FB">
              <w:rPr>
                <w:rFonts w:ascii="Times New Roman" w:hAnsi="Times New Roman"/>
                <w:b/>
                <w:sz w:val="20"/>
                <w:szCs w:val="20"/>
              </w:rPr>
              <w:t>Requisitos Mínimos</w:t>
            </w:r>
          </w:p>
        </w:tc>
        <w:tc>
          <w:tcPr>
            <w:tcW w:w="817" w:type="pct"/>
            <w:tcBorders>
              <w:top w:val="nil"/>
              <w:left w:val="nil"/>
              <w:bottom w:val="single" w:sz="12" w:space="0" w:color="auto"/>
              <w:right w:val="nil"/>
            </w:tcBorders>
            <w:shd w:val="clear" w:color="auto" w:fill="FDE9D9" w:themeFill="accent6" w:themeFillTint="33"/>
            <w:tcMar>
              <w:top w:w="85" w:type="dxa"/>
              <w:left w:w="85" w:type="dxa"/>
              <w:bottom w:w="85" w:type="dxa"/>
              <w:right w:w="142" w:type="dxa"/>
            </w:tcMar>
          </w:tcPr>
          <w:p w:rsidR="0002519A" w:rsidRPr="004C25FB" w:rsidRDefault="0002519A" w:rsidP="00E1027A">
            <w:pPr>
              <w:spacing w:after="0" w:line="240" w:lineRule="auto"/>
              <w:jc w:val="center"/>
              <w:rPr>
                <w:rFonts w:ascii="Times New Roman" w:hAnsi="Times New Roman"/>
                <w:b/>
                <w:sz w:val="20"/>
                <w:szCs w:val="20"/>
              </w:rPr>
            </w:pPr>
            <w:r w:rsidRPr="004C25FB">
              <w:rPr>
                <w:rFonts w:ascii="Times New Roman" w:hAnsi="Times New Roman"/>
                <w:b/>
                <w:sz w:val="20"/>
                <w:szCs w:val="20"/>
              </w:rPr>
              <w:t>Ponto de Aditivação</w:t>
            </w:r>
          </w:p>
        </w:tc>
      </w:tr>
      <w:tr w:rsidR="00E1027A" w:rsidRPr="004C25FB" w:rsidTr="00F86EC8">
        <w:tc>
          <w:tcPr>
            <w:tcW w:w="340" w:type="pct"/>
            <w:tcBorders>
              <w:top w:val="single" w:sz="12" w:space="0" w:color="auto"/>
              <w:left w:val="nil"/>
            </w:tcBorders>
            <w:tcMar>
              <w:left w:w="142" w:type="dxa"/>
            </w:tcMar>
            <w:vAlign w:val="center"/>
          </w:tcPr>
          <w:p w:rsidR="00E1027A" w:rsidRPr="004C25FB" w:rsidRDefault="00E1027A" w:rsidP="00E1027A">
            <w:pPr>
              <w:spacing w:after="0" w:line="240" w:lineRule="auto"/>
              <w:jc w:val="both"/>
              <w:rPr>
                <w:rFonts w:ascii="Times New Roman" w:hAnsi="Times New Roman"/>
                <w:sz w:val="20"/>
                <w:szCs w:val="20"/>
              </w:rPr>
            </w:pPr>
            <w:r w:rsidRPr="004C25FB">
              <w:rPr>
                <w:rFonts w:ascii="Times New Roman" w:hAnsi="Times New Roman"/>
                <w:sz w:val="20"/>
                <w:szCs w:val="20"/>
              </w:rPr>
              <w:t>China</w:t>
            </w:r>
          </w:p>
        </w:tc>
        <w:tc>
          <w:tcPr>
            <w:tcW w:w="651" w:type="pct"/>
            <w:tcBorders>
              <w:top w:val="single" w:sz="12" w:space="0" w:color="auto"/>
            </w:tcBorders>
            <w:tcMar>
              <w:left w:w="85" w:type="dxa"/>
            </w:tcMar>
          </w:tcPr>
          <w:p w:rsidR="00E1027A" w:rsidRPr="004C25FB" w:rsidRDefault="00E1027A" w:rsidP="00E1027A">
            <w:pPr>
              <w:spacing w:after="0" w:line="240" w:lineRule="auto"/>
              <w:rPr>
                <w:rFonts w:ascii="Times New Roman" w:hAnsi="Times New Roman"/>
                <w:sz w:val="20"/>
                <w:szCs w:val="20"/>
                <w:lang w:val="en-US"/>
              </w:rPr>
            </w:pPr>
            <w:r w:rsidRPr="004C25FB">
              <w:rPr>
                <w:rFonts w:ascii="Times New Roman" w:hAnsi="Times New Roman"/>
                <w:sz w:val="20"/>
                <w:szCs w:val="20"/>
                <w:lang w:val="en-US"/>
              </w:rPr>
              <w:t>GB 19592-2004 Detergent additive for vehicular gasoline</w:t>
            </w:r>
          </w:p>
        </w:tc>
        <w:tc>
          <w:tcPr>
            <w:tcW w:w="1499" w:type="pct"/>
            <w:tcBorders>
              <w:top w:val="single" w:sz="12" w:space="0" w:color="auto"/>
            </w:tcBorders>
            <w:tcMar>
              <w:left w:w="85" w:type="dxa"/>
            </w:tcMar>
          </w:tcPr>
          <w:p w:rsidR="00E1027A" w:rsidRPr="004C25FB" w:rsidRDefault="00E1027A" w:rsidP="00E1027A">
            <w:pPr>
              <w:spacing w:after="0" w:line="240" w:lineRule="auto"/>
              <w:rPr>
                <w:rFonts w:ascii="Times New Roman" w:hAnsi="Times New Roman"/>
                <w:sz w:val="20"/>
                <w:szCs w:val="20"/>
                <w:lang w:val="en-US"/>
              </w:rPr>
            </w:pPr>
            <w:r w:rsidRPr="004C25FB">
              <w:rPr>
                <w:rFonts w:ascii="Times New Roman" w:hAnsi="Times New Roman"/>
                <w:sz w:val="20"/>
                <w:szCs w:val="20"/>
                <w:lang w:val="en-US"/>
              </w:rPr>
              <w:t>Ministry of Environmental Protection – MEP</w:t>
            </w:r>
          </w:p>
          <w:p w:rsidR="00E1027A" w:rsidRPr="004C25FB" w:rsidRDefault="00E1027A" w:rsidP="00E1027A">
            <w:pPr>
              <w:spacing w:after="0" w:line="240" w:lineRule="auto"/>
              <w:rPr>
                <w:rFonts w:ascii="Times New Roman" w:hAnsi="Times New Roman"/>
                <w:sz w:val="20"/>
                <w:szCs w:val="20"/>
                <w:lang w:val="en-US"/>
              </w:rPr>
            </w:pPr>
            <w:r w:rsidRPr="004C25FB">
              <w:rPr>
                <w:rFonts w:ascii="Times New Roman" w:hAnsi="Times New Roman"/>
                <w:sz w:val="20"/>
                <w:szCs w:val="20"/>
                <w:lang w:val="en-US"/>
              </w:rPr>
              <w:t>Standardization Administration of China – SAC</w:t>
            </w:r>
          </w:p>
        </w:tc>
        <w:tc>
          <w:tcPr>
            <w:tcW w:w="1693" w:type="pct"/>
            <w:tcBorders>
              <w:top w:val="single" w:sz="12" w:space="0" w:color="auto"/>
            </w:tcBorders>
            <w:tcMar>
              <w:left w:w="85"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ND</w:t>
            </w:r>
          </w:p>
        </w:tc>
        <w:tc>
          <w:tcPr>
            <w:tcW w:w="817" w:type="pct"/>
            <w:tcBorders>
              <w:top w:val="single" w:sz="12" w:space="0" w:color="auto"/>
              <w:right w:val="nil"/>
            </w:tcBorders>
            <w:tcMar>
              <w:left w:w="85" w:type="dxa"/>
              <w:right w:w="142"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ND</w:t>
            </w:r>
          </w:p>
        </w:tc>
      </w:tr>
      <w:tr w:rsidR="00E1027A" w:rsidRPr="004C25FB" w:rsidTr="00F86EC8">
        <w:tc>
          <w:tcPr>
            <w:tcW w:w="340" w:type="pct"/>
            <w:tcBorders>
              <w:left w:val="nil"/>
            </w:tcBorders>
            <w:tcMar>
              <w:left w:w="142" w:type="dxa"/>
            </w:tcMar>
            <w:vAlign w:val="center"/>
          </w:tcPr>
          <w:p w:rsidR="00E1027A" w:rsidRPr="004C25FB" w:rsidRDefault="00E1027A" w:rsidP="00E1027A">
            <w:pPr>
              <w:spacing w:after="0" w:line="240" w:lineRule="auto"/>
              <w:jc w:val="both"/>
              <w:rPr>
                <w:rFonts w:ascii="Times New Roman" w:hAnsi="Times New Roman"/>
                <w:sz w:val="20"/>
                <w:szCs w:val="20"/>
              </w:rPr>
            </w:pPr>
            <w:r w:rsidRPr="004C25FB">
              <w:rPr>
                <w:rFonts w:ascii="Times New Roman" w:hAnsi="Times New Roman"/>
                <w:sz w:val="20"/>
                <w:szCs w:val="20"/>
              </w:rPr>
              <w:t>Colômbia</w:t>
            </w:r>
          </w:p>
        </w:tc>
        <w:tc>
          <w:tcPr>
            <w:tcW w:w="651" w:type="pct"/>
            <w:tcMar>
              <w:left w:w="85"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 xml:space="preserve">Resolução nº 81055, de 20 de setembro de </w:t>
            </w:r>
            <w:proofErr w:type="gramStart"/>
            <w:r w:rsidRPr="004C25FB">
              <w:rPr>
                <w:rFonts w:ascii="Times New Roman" w:hAnsi="Times New Roman"/>
                <w:sz w:val="20"/>
                <w:szCs w:val="20"/>
              </w:rPr>
              <w:t>1999</w:t>
            </w:r>
            <w:proofErr w:type="gramEnd"/>
          </w:p>
        </w:tc>
        <w:tc>
          <w:tcPr>
            <w:tcW w:w="1499" w:type="pct"/>
            <w:tcMar>
              <w:left w:w="85" w:type="dxa"/>
            </w:tcMar>
          </w:tcPr>
          <w:p w:rsidR="00E1027A" w:rsidRPr="004C25FB" w:rsidRDefault="00E1027A" w:rsidP="00E1027A">
            <w:pPr>
              <w:keepNext/>
              <w:keepLines/>
              <w:spacing w:after="0" w:line="240" w:lineRule="auto"/>
              <w:outlineLvl w:val="0"/>
              <w:rPr>
                <w:rFonts w:ascii="Times New Roman" w:hAnsi="Times New Roman"/>
                <w:sz w:val="20"/>
                <w:szCs w:val="20"/>
                <w:lang w:val="es-ES"/>
              </w:rPr>
            </w:pPr>
            <w:r w:rsidRPr="004C25FB">
              <w:rPr>
                <w:rFonts w:ascii="Times New Roman" w:hAnsi="Times New Roman"/>
                <w:sz w:val="20"/>
                <w:szCs w:val="20"/>
                <w:lang w:val="es-ES"/>
              </w:rPr>
              <w:t>Ministerio de Minas y Energía - Dirección General de Hidrocarburos</w:t>
            </w:r>
          </w:p>
          <w:p w:rsidR="00E1027A" w:rsidRPr="004C25FB" w:rsidRDefault="00E1027A" w:rsidP="00E1027A">
            <w:pPr>
              <w:keepNext/>
              <w:keepLines/>
              <w:spacing w:after="0" w:line="240" w:lineRule="auto"/>
              <w:outlineLvl w:val="0"/>
              <w:rPr>
                <w:rFonts w:ascii="Times New Roman" w:hAnsi="Times New Roman"/>
                <w:sz w:val="20"/>
                <w:szCs w:val="20"/>
                <w:lang w:val="es-ES"/>
              </w:rPr>
            </w:pPr>
            <w:r w:rsidRPr="004C25FB">
              <w:rPr>
                <w:rFonts w:ascii="Times New Roman" w:hAnsi="Times New Roman"/>
                <w:sz w:val="20"/>
                <w:szCs w:val="20"/>
                <w:lang w:val="es-ES"/>
              </w:rPr>
              <w:t>Empresa Colombiana de Petróleos – Ecopetrol</w:t>
            </w:r>
          </w:p>
          <w:p w:rsidR="00E1027A" w:rsidRPr="004C25FB" w:rsidRDefault="00E1027A" w:rsidP="00E1027A">
            <w:pPr>
              <w:spacing w:after="0" w:line="240" w:lineRule="auto"/>
              <w:rPr>
                <w:rFonts w:ascii="Times New Roman" w:hAnsi="Times New Roman"/>
                <w:sz w:val="20"/>
                <w:szCs w:val="20"/>
                <w:lang w:val="es-ES"/>
              </w:rPr>
            </w:pPr>
            <w:r w:rsidRPr="004C25FB">
              <w:rPr>
                <w:rFonts w:ascii="Times New Roman" w:hAnsi="Times New Roman"/>
                <w:sz w:val="20"/>
                <w:szCs w:val="20"/>
                <w:lang w:val="es-ES"/>
              </w:rPr>
              <w:t>Instituto Colombiano del Petróleo – ICP</w:t>
            </w:r>
          </w:p>
        </w:tc>
        <w:tc>
          <w:tcPr>
            <w:tcW w:w="1693" w:type="pct"/>
            <w:tcMar>
              <w:left w:w="85"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Testes reconhecidos internacionalmente, tais como a ASTM D 5500-98 ou similares que a substituam.</w:t>
            </w:r>
          </w:p>
        </w:tc>
        <w:tc>
          <w:tcPr>
            <w:tcW w:w="817" w:type="pct"/>
            <w:tcBorders>
              <w:right w:val="nil"/>
            </w:tcBorders>
            <w:tcMar>
              <w:left w:w="85" w:type="dxa"/>
              <w:right w:w="142"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Terminais de distribuição e pontos de importação</w:t>
            </w:r>
          </w:p>
        </w:tc>
      </w:tr>
      <w:tr w:rsidR="00E1027A" w:rsidRPr="004C25FB" w:rsidTr="00F86EC8">
        <w:tc>
          <w:tcPr>
            <w:tcW w:w="340" w:type="pct"/>
            <w:tcBorders>
              <w:left w:val="nil"/>
            </w:tcBorders>
            <w:tcMar>
              <w:left w:w="142" w:type="dxa"/>
            </w:tcMar>
            <w:vAlign w:val="center"/>
          </w:tcPr>
          <w:p w:rsidR="00E1027A" w:rsidRPr="004C25FB" w:rsidRDefault="00E1027A" w:rsidP="00E1027A">
            <w:pPr>
              <w:spacing w:after="0" w:line="240" w:lineRule="auto"/>
              <w:jc w:val="both"/>
              <w:rPr>
                <w:rFonts w:ascii="Times New Roman" w:hAnsi="Times New Roman"/>
                <w:sz w:val="20"/>
                <w:szCs w:val="20"/>
              </w:rPr>
            </w:pPr>
            <w:r w:rsidRPr="004C25FB">
              <w:rPr>
                <w:rFonts w:ascii="Times New Roman" w:hAnsi="Times New Roman"/>
                <w:sz w:val="20"/>
                <w:szCs w:val="20"/>
              </w:rPr>
              <w:t>EUA</w:t>
            </w:r>
          </w:p>
        </w:tc>
        <w:tc>
          <w:tcPr>
            <w:tcW w:w="651" w:type="pct"/>
            <w:tcMar>
              <w:left w:w="85" w:type="dxa"/>
            </w:tcMar>
          </w:tcPr>
          <w:p w:rsidR="00E1027A" w:rsidRPr="004C25FB" w:rsidRDefault="00E1027A" w:rsidP="00E1027A">
            <w:pPr>
              <w:pStyle w:val="PargrafodaLista"/>
              <w:keepNext/>
              <w:keepLines/>
              <w:spacing w:after="0" w:line="240" w:lineRule="auto"/>
              <w:ind w:left="0"/>
              <w:outlineLvl w:val="0"/>
              <w:rPr>
                <w:rFonts w:ascii="Times New Roman" w:hAnsi="Times New Roman"/>
                <w:sz w:val="20"/>
                <w:szCs w:val="20"/>
                <w:lang w:val="en-US"/>
              </w:rPr>
            </w:pPr>
            <w:r w:rsidRPr="004C25FB">
              <w:rPr>
                <w:rFonts w:ascii="Times New Roman" w:hAnsi="Times New Roman"/>
                <w:sz w:val="20"/>
                <w:szCs w:val="20"/>
                <w:lang w:val="en-US"/>
              </w:rPr>
              <w:t>Clean Air Act – CAA;</w:t>
            </w:r>
          </w:p>
          <w:p w:rsidR="00E1027A" w:rsidRPr="004C25FB" w:rsidRDefault="00E1027A" w:rsidP="00E1027A">
            <w:pPr>
              <w:pStyle w:val="PargrafodaLista"/>
              <w:spacing w:after="0" w:line="240" w:lineRule="auto"/>
              <w:ind w:left="0"/>
              <w:rPr>
                <w:rFonts w:ascii="Times New Roman" w:hAnsi="Times New Roman"/>
                <w:sz w:val="20"/>
                <w:szCs w:val="20"/>
              </w:rPr>
            </w:pPr>
            <w:r w:rsidRPr="004C25FB">
              <w:rPr>
                <w:rFonts w:ascii="Times New Roman" w:hAnsi="Times New Roman"/>
                <w:sz w:val="20"/>
                <w:szCs w:val="20"/>
                <w:lang w:val="en-US"/>
              </w:rPr>
              <w:t xml:space="preserve">Code of Federal Regulations, Title 40, Ch. </w:t>
            </w:r>
            <w:r w:rsidRPr="004C25FB">
              <w:rPr>
                <w:rFonts w:ascii="Times New Roman" w:hAnsi="Times New Roman"/>
                <w:sz w:val="20"/>
                <w:szCs w:val="20"/>
              </w:rPr>
              <w:t xml:space="preserve">I, </w:t>
            </w:r>
            <w:proofErr w:type="spellStart"/>
            <w:r w:rsidRPr="004C25FB">
              <w:rPr>
                <w:rFonts w:ascii="Times New Roman" w:hAnsi="Times New Roman"/>
                <w:sz w:val="20"/>
                <w:szCs w:val="20"/>
              </w:rPr>
              <w:t>Part</w:t>
            </w:r>
            <w:proofErr w:type="spellEnd"/>
            <w:r w:rsidRPr="004C25FB">
              <w:rPr>
                <w:rFonts w:ascii="Times New Roman" w:hAnsi="Times New Roman"/>
                <w:sz w:val="20"/>
                <w:szCs w:val="20"/>
              </w:rPr>
              <w:t xml:space="preserve"> 80</w:t>
            </w:r>
          </w:p>
        </w:tc>
        <w:tc>
          <w:tcPr>
            <w:tcW w:w="1499" w:type="pct"/>
            <w:tcMar>
              <w:left w:w="85" w:type="dxa"/>
            </w:tcMar>
          </w:tcPr>
          <w:p w:rsidR="00E1027A" w:rsidRPr="004C25FB" w:rsidRDefault="00E1027A" w:rsidP="00E1027A">
            <w:pPr>
              <w:spacing w:after="0" w:line="240" w:lineRule="auto"/>
              <w:rPr>
                <w:rFonts w:ascii="Times New Roman" w:hAnsi="Times New Roman"/>
                <w:sz w:val="20"/>
                <w:szCs w:val="20"/>
              </w:rPr>
            </w:pPr>
            <w:proofErr w:type="spellStart"/>
            <w:r w:rsidRPr="004C25FB">
              <w:rPr>
                <w:rFonts w:ascii="Times New Roman" w:hAnsi="Times New Roman"/>
                <w:sz w:val="20"/>
                <w:szCs w:val="20"/>
              </w:rPr>
              <w:t>Environmental</w:t>
            </w:r>
            <w:proofErr w:type="spellEnd"/>
            <w:r w:rsidRPr="004C25FB">
              <w:rPr>
                <w:rFonts w:ascii="Times New Roman" w:hAnsi="Times New Roman"/>
                <w:sz w:val="20"/>
                <w:szCs w:val="20"/>
              </w:rPr>
              <w:t xml:space="preserve"> </w:t>
            </w:r>
            <w:proofErr w:type="spellStart"/>
            <w:r w:rsidRPr="004C25FB">
              <w:rPr>
                <w:rFonts w:ascii="Times New Roman" w:hAnsi="Times New Roman"/>
                <w:sz w:val="20"/>
                <w:szCs w:val="20"/>
              </w:rPr>
              <w:t>Protection</w:t>
            </w:r>
            <w:proofErr w:type="spellEnd"/>
            <w:r w:rsidRPr="004C25FB">
              <w:rPr>
                <w:rFonts w:ascii="Times New Roman" w:hAnsi="Times New Roman"/>
                <w:sz w:val="20"/>
                <w:szCs w:val="20"/>
              </w:rPr>
              <w:t xml:space="preserve"> </w:t>
            </w:r>
            <w:proofErr w:type="spellStart"/>
            <w:r w:rsidRPr="004C25FB">
              <w:rPr>
                <w:rFonts w:ascii="Times New Roman" w:hAnsi="Times New Roman"/>
                <w:sz w:val="20"/>
                <w:szCs w:val="20"/>
              </w:rPr>
              <w:t>Agency</w:t>
            </w:r>
            <w:proofErr w:type="spellEnd"/>
            <w:r w:rsidRPr="004C25FB">
              <w:rPr>
                <w:rFonts w:ascii="Times New Roman" w:hAnsi="Times New Roman"/>
                <w:sz w:val="20"/>
                <w:szCs w:val="20"/>
              </w:rPr>
              <w:t xml:space="preserve"> – EPA</w:t>
            </w:r>
          </w:p>
        </w:tc>
        <w:tc>
          <w:tcPr>
            <w:tcW w:w="1693" w:type="pct"/>
            <w:tcMar>
              <w:left w:w="85" w:type="dxa"/>
            </w:tcMar>
          </w:tcPr>
          <w:p w:rsidR="00E1027A" w:rsidRPr="004C25FB" w:rsidRDefault="00E1027A" w:rsidP="00E1027A">
            <w:pPr>
              <w:spacing w:after="0" w:line="240" w:lineRule="auto"/>
              <w:ind w:left="284" w:hanging="284"/>
              <w:rPr>
                <w:rFonts w:ascii="Times New Roman" w:hAnsi="Times New Roman"/>
                <w:sz w:val="20"/>
                <w:szCs w:val="20"/>
              </w:rPr>
            </w:pPr>
            <w:r w:rsidRPr="004C25FB">
              <w:rPr>
                <w:rFonts w:ascii="Times New Roman" w:hAnsi="Times New Roman"/>
                <w:sz w:val="20"/>
                <w:szCs w:val="20"/>
              </w:rPr>
              <w:t xml:space="preserve">IVD: ASTM D5500-94. Máximo de 100 </w:t>
            </w:r>
            <w:proofErr w:type="gramStart"/>
            <w:r w:rsidRPr="004C25FB">
              <w:rPr>
                <w:rFonts w:ascii="Times New Roman" w:hAnsi="Times New Roman"/>
                <w:sz w:val="20"/>
                <w:szCs w:val="20"/>
              </w:rPr>
              <w:t>mg</w:t>
            </w:r>
            <w:proofErr w:type="gramEnd"/>
            <w:r w:rsidRPr="004C25FB">
              <w:rPr>
                <w:rFonts w:ascii="Times New Roman" w:hAnsi="Times New Roman"/>
                <w:sz w:val="20"/>
                <w:szCs w:val="20"/>
              </w:rPr>
              <w:t>/válvula, médio</w:t>
            </w:r>
          </w:p>
          <w:p w:rsidR="00E1027A" w:rsidRPr="004C25FB" w:rsidRDefault="00E1027A" w:rsidP="00E1027A">
            <w:pPr>
              <w:spacing w:after="0" w:line="240" w:lineRule="auto"/>
              <w:ind w:left="284" w:hanging="284"/>
              <w:rPr>
                <w:rFonts w:ascii="Times New Roman" w:hAnsi="Times New Roman"/>
                <w:sz w:val="20"/>
                <w:szCs w:val="20"/>
              </w:rPr>
            </w:pPr>
            <w:r w:rsidRPr="004C25FB">
              <w:rPr>
                <w:rFonts w:ascii="Times New Roman" w:hAnsi="Times New Roman"/>
                <w:sz w:val="20"/>
                <w:szCs w:val="20"/>
              </w:rPr>
              <w:t>PFID: ASTM D5598-94. Máximo de 5% de restrição de fluxo em qualquer injetor</w:t>
            </w:r>
          </w:p>
        </w:tc>
        <w:tc>
          <w:tcPr>
            <w:tcW w:w="817" w:type="pct"/>
            <w:tcBorders>
              <w:right w:val="nil"/>
            </w:tcBorders>
            <w:tcMar>
              <w:left w:w="85" w:type="dxa"/>
              <w:right w:w="142" w:type="dxa"/>
            </w:tcMar>
          </w:tcPr>
          <w:p w:rsidR="00E1027A" w:rsidRPr="004C25FB" w:rsidRDefault="00681D86" w:rsidP="00E1027A">
            <w:pPr>
              <w:spacing w:after="0" w:line="240" w:lineRule="auto"/>
              <w:rPr>
                <w:rFonts w:ascii="Times New Roman" w:hAnsi="Times New Roman"/>
                <w:sz w:val="20"/>
                <w:szCs w:val="20"/>
              </w:rPr>
            </w:pPr>
            <w:r w:rsidRPr="004C25FB">
              <w:rPr>
                <w:rFonts w:ascii="Times New Roman" w:hAnsi="Times New Roman"/>
                <w:sz w:val="20"/>
                <w:szCs w:val="20"/>
              </w:rPr>
              <w:t>Base</w:t>
            </w:r>
            <w:proofErr w:type="gramStart"/>
            <w:r w:rsidRPr="004C25FB">
              <w:rPr>
                <w:rFonts w:ascii="Times New Roman" w:hAnsi="Times New Roman"/>
                <w:sz w:val="20"/>
                <w:szCs w:val="20"/>
              </w:rPr>
              <w:t xml:space="preserve"> </w:t>
            </w:r>
            <w:r w:rsidR="00E1027A" w:rsidRPr="004C25FB">
              <w:rPr>
                <w:rFonts w:ascii="Times New Roman" w:hAnsi="Times New Roman"/>
                <w:sz w:val="20"/>
                <w:szCs w:val="20"/>
              </w:rPr>
              <w:t xml:space="preserve"> </w:t>
            </w:r>
            <w:proofErr w:type="gramEnd"/>
            <w:r w:rsidR="00E1027A" w:rsidRPr="004C25FB">
              <w:rPr>
                <w:rFonts w:ascii="Times New Roman" w:hAnsi="Times New Roman"/>
                <w:sz w:val="20"/>
                <w:szCs w:val="20"/>
              </w:rPr>
              <w:t>de distribuição</w:t>
            </w:r>
          </w:p>
        </w:tc>
      </w:tr>
      <w:tr w:rsidR="00E1027A" w:rsidRPr="004C25FB" w:rsidTr="00F86EC8">
        <w:tc>
          <w:tcPr>
            <w:tcW w:w="340" w:type="pct"/>
            <w:tcBorders>
              <w:left w:val="nil"/>
            </w:tcBorders>
            <w:tcMar>
              <w:top w:w="142" w:type="dxa"/>
              <w:left w:w="142" w:type="dxa"/>
            </w:tcMar>
            <w:vAlign w:val="center"/>
          </w:tcPr>
          <w:p w:rsidR="00E1027A" w:rsidRPr="004C25FB" w:rsidRDefault="00E1027A" w:rsidP="00E1027A">
            <w:pPr>
              <w:spacing w:after="0" w:line="240" w:lineRule="auto"/>
              <w:jc w:val="both"/>
              <w:rPr>
                <w:rFonts w:ascii="Times New Roman" w:hAnsi="Times New Roman"/>
                <w:sz w:val="20"/>
                <w:szCs w:val="20"/>
              </w:rPr>
            </w:pPr>
            <w:r w:rsidRPr="004C25FB">
              <w:rPr>
                <w:rFonts w:ascii="Times New Roman" w:hAnsi="Times New Roman"/>
                <w:sz w:val="20"/>
                <w:szCs w:val="20"/>
              </w:rPr>
              <w:t>Índia</w:t>
            </w:r>
          </w:p>
        </w:tc>
        <w:tc>
          <w:tcPr>
            <w:tcW w:w="651" w:type="pct"/>
            <w:tcMar>
              <w:top w:w="142" w:type="dxa"/>
              <w:left w:w="85"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 xml:space="preserve">IS </w:t>
            </w:r>
            <w:proofErr w:type="gramStart"/>
            <w:r w:rsidRPr="004C25FB">
              <w:rPr>
                <w:rFonts w:ascii="Times New Roman" w:hAnsi="Times New Roman"/>
                <w:sz w:val="20"/>
                <w:szCs w:val="20"/>
              </w:rPr>
              <w:t>2796 :</w:t>
            </w:r>
            <w:proofErr w:type="gramEnd"/>
            <w:r w:rsidRPr="004C25FB">
              <w:rPr>
                <w:rFonts w:ascii="Times New Roman" w:hAnsi="Times New Roman"/>
                <w:sz w:val="20"/>
                <w:szCs w:val="20"/>
              </w:rPr>
              <w:t xml:space="preserve"> 2008 – Motor </w:t>
            </w:r>
            <w:proofErr w:type="spellStart"/>
            <w:r w:rsidRPr="004C25FB">
              <w:rPr>
                <w:rFonts w:ascii="Times New Roman" w:hAnsi="Times New Roman"/>
                <w:sz w:val="20"/>
                <w:szCs w:val="20"/>
              </w:rPr>
              <w:t>gasoline</w:t>
            </w:r>
            <w:proofErr w:type="spellEnd"/>
            <w:r w:rsidRPr="004C25FB">
              <w:rPr>
                <w:rFonts w:ascii="Times New Roman" w:hAnsi="Times New Roman"/>
                <w:sz w:val="20"/>
                <w:szCs w:val="20"/>
              </w:rPr>
              <w:t xml:space="preserve"> </w:t>
            </w:r>
            <w:proofErr w:type="spellStart"/>
            <w:r w:rsidRPr="004C25FB">
              <w:rPr>
                <w:rFonts w:ascii="Times New Roman" w:hAnsi="Times New Roman"/>
                <w:sz w:val="20"/>
                <w:szCs w:val="20"/>
              </w:rPr>
              <w:t>specification</w:t>
            </w:r>
            <w:proofErr w:type="spellEnd"/>
          </w:p>
        </w:tc>
        <w:tc>
          <w:tcPr>
            <w:tcW w:w="1499" w:type="pct"/>
            <w:tcMar>
              <w:top w:w="142" w:type="dxa"/>
              <w:left w:w="85" w:type="dxa"/>
            </w:tcMar>
          </w:tcPr>
          <w:p w:rsidR="00E1027A" w:rsidRPr="004C25FB" w:rsidRDefault="00E1027A" w:rsidP="00E1027A">
            <w:pPr>
              <w:spacing w:after="0" w:line="240" w:lineRule="auto"/>
              <w:rPr>
                <w:rFonts w:ascii="Times New Roman" w:hAnsi="Times New Roman"/>
                <w:sz w:val="20"/>
                <w:szCs w:val="20"/>
                <w:lang w:val="en-US"/>
              </w:rPr>
            </w:pPr>
            <w:r w:rsidRPr="004C25FB">
              <w:rPr>
                <w:rFonts w:ascii="Times New Roman" w:hAnsi="Times New Roman"/>
                <w:sz w:val="20"/>
                <w:szCs w:val="20"/>
                <w:lang w:val="en-US"/>
              </w:rPr>
              <w:t>Ministry of Petroleum and Natural Gas</w:t>
            </w:r>
          </w:p>
          <w:p w:rsidR="00E1027A" w:rsidRPr="004C25FB" w:rsidRDefault="00E1027A" w:rsidP="00E1027A">
            <w:pPr>
              <w:spacing w:after="0" w:line="240" w:lineRule="auto"/>
              <w:rPr>
                <w:rFonts w:ascii="Times New Roman" w:hAnsi="Times New Roman"/>
                <w:sz w:val="20"/>
                <w:szCs w:val="20"/>
                <w:lang w:val="en-US"/>
              </w:rPr>
            </w:pPr>
            <w:r w:rsidRPr="004C25FB">
              <w:rPr>
                <w:rFonts w:ascii="Times New Roman" w:hAnsi="Times New Roman"/>
                <w:sz w:val="20"/>
                <w:szCs w:val="20"/>
                <w:lang w:val="en-US"/>
              </w:rPr>
              <w:t>Bureau of Indian Standards – BIS</w:t>
            </w:r>
          </w:p>
        </w:tc>
        <w:tc>
          <w:tcPr>
            <w:tcW w:w="1693" w:type="pct"/>
            <w:tcMar>
              <w:top w:w="142" w:type="dxa"/>
              <w:left w:w="85" w:type="dxa"/>
            </w:tcMar>
          </w:tcPr>
          <w:p w:rsidR="00E1027A" w:rsidRPr="004C25FB" w:rsidRDefault="00E1027A" w:rsidP="00E1027A">
            <w:pPr>
              <w:spacing w:after="0" w:line="240" w:lineRule="auto"/>
              <w:ind w:left="284" w:hanging="284"/>
              <w:rPr>
                <w:rFonts w:ascii="Times New Roman" w:hAnsi="Times New Roman"/>
                <w:sz w:val="20"/>
                <w:szCs w:val="20"/>
              </w:rPr>
            </w:pPr>
            <w:r w:rsidRPr="004C25FB">
              <w:rPr>
                <w:rFonts w:ascii="Times New Roman" w:hAnsi="Times New Roman"/>
                <w:sz w:val="20"/>
                <w:szCs w:val="20"/>
              </w:rPr>
              <w:t>IVD:</w:t>
            </w:r>
          </w:p>
          <w:p w:rsidR="00E1027A" w:rsidRPr="004C25FB" w:rsidRDefault="00E1027A" w:rsidP="00E1027A">
            <w:pPr>
              <w:spacing w:after="0" w:line="240" w:lineRule="auto"/>
              <w:ind w:left="284"/>
              <w:rPr>
                <w:rFonts w:ascii="Times New Roman" w:hAnsi="Times New Roman"/>
                <w:sz w:val="20"/>
                <w:szCs w:val="20"/>
              </w:rPr>
            </w:pPr>
            <w:r w:rsidRPr="004C25FB">
              <w:rPr>
                <w:rFonts w:ascii="Times New Roman" w:hAnsi="Times New Roman"/>
                <w:sz w:val="20"/>
                <w:szCs w:val="20"/>
              </w:rPr>
              <w:t xml:space="preserve">ASTM D5500-97: </w:t>
            </w:r>
            <w:r w:rsidR="008C26FE" w:rsidRPr="004C25FB">
              <w:rPr>
                <w:rFonts w:ascii="Times New Roman" w:hAnsi="Times New Roman"/>
                <w:sz w:val="20"/>
                <w:szCs w:val="20"/>
              </w:rPr>
              <w:t>Média m</w:t>
            </w:r>
            <w:r w:rsidRPr="004C25FB">
              <w:rPr>
                <w:rFonts w:ascii="Times New Roman" w:hAnsi="Times New Roman"/>
                <w:sz w:val="20"/>
                <w:szCs w:val="20"/>
              </w:rPr>
              <w:t>áxim</w:t>
            </w:r>
            <w:r w:rsidR="008C26FE" w:rsidRPr="004C25FB">
              <w:rPr>
                <w:rFonts w:ascii="Times New Roman" w:hAnsi="Times New Roman"/>
                <w:sz w:val="20"/>
                <w:szCs w:val="20"/>
              </w:rPr>
              <w:t>a</w:t>
            </w:r>
            <w:r w:rsidRPr="004C25FB">
              <w:rPr>
                <w:rFonts w:ascii="Times New Roman" w:hAnsi="Times New Roman"/>
                <w:sz w:val="20"/>
                <w:szCs w:val="20"/>
              </w:rPr>
              <w:t xml:space="preserve"> de 100 </w:t>
            </w:r>
            <w:proofErr w:type="gramStart"/>
            <w:r w:rsidRPr="004C25FB">
              <w:rPr>
                <w:rFonts w:ascii="Times New Roman" w:hAnsi="Times New Roman"/>
                <w:sz w:val="20"/>
                <w:szCs w:val="20"/>
              </w:rPr>
              <w:t>mg</w:t>
            </w:r>
            <w:proofErr w:type="gramEnd"/>
            <w:r w:rsidRPr="004C25FB">
              <w:rPr>
                <w:rFonts w:ascii="Times New Roman" w:hAnsi="Times New Roman"/>
                <w:sz w:val="20"/>
                <w:szCs w:val="20"/>
              </w:rPr>
              <w:t>/válvula</w:t>
            </w:r>
          </w:p>
          <w:p w:rsidR="00E1027A" w:rsidRPr="004C25FB" w:rsidRDefault="00E1027A" w:rsidP="00E1027A">
            <w:pPr>
              <w:spacing w:after="0" w:line="240" w:lineRule="auto"/>
              <w:ind w:left="284"/>
              <w:rPr>
                <w:rFonts w:ascii="Times New Roman" w:hAnsi="Times New Roman"/>
                <w:sz w:val="20"/>
                <w:szCs w:val="20"/>
              </w:rPr>
            </w:pPr>
            <w:r w:rsidRPr="004C25FB">
              <w:rPr>
                <w:rFonts w:ascii="Times New Roman" w:hAnsi="Times New Roman"/>
                <w:sz w:val="20"/>
                <w:szCs w:val="20"/>
              </w:rPr>
              <w:t xml:space="preserve">CEC F-05-A-93: </w:t>
            </w:r>
            <w:r w:rsidR="008C26FE" w:rsidRPr="004C25FB">
              <w:rPr>
                <w:rFonts w:ascii="Times New Roman" w:hAnsi="Times New Roman"/>
                <w:sz w:val="20"/>
                <w:szCs w:val="20"/>
              </w:rPr>
              <w:t>Média m</w:t>
            </w:r>
            <w:r w:rsidRPr="004C25FB">
              <w:rPr>
                <w:rFonts w:ascii="Times New Roman" w:hAnsi="Times New Roman"/>
                <w:sz w:val="20"/>
                <w:szCs w:val="20"/>
              </w:rPr>
              <w:t>áxim</w:t>
            </w:r>
            <w:r w:rsidR="008C26FE" w:rsidRPr="004C25FB">
              <w:rPr>
                <w:rFonts w:ascii="Times New Roman" w:hAnsi="Times New Roman"/>
                <w:sz w:val="20"/>
                <w:szCs w:val="20"/>
              </w:rPr>
              <w:t>a</w:t>
            </w:r>
            <w:r w:rsidRPr="004C25FB">
              <w:rPr>
                <w:rFonts w:ascii="Times New Roman" w:hAnsi="Times New Roman"/>
                <w:sz w:val="20"/>
                <w:szCs w:val="20"/>
              </w:rPr>
              <w:t xml:space="preserve"> de 50 </w:t>
            </w:r>
            <w:proofErr w:type="gramStart"/>
            <w:r w:rsidRPr="004C25FB">
              <w:rPr>
                <w:rFonts w:ascii="Times New Roman" w:hAnsi="Times New Roman"/>
                <w:sz w:val="20"/>
                <w:szCs w:val="20"/>
              </w:rPr>
              <w:t>mg</w:t>
            </w:r>
            <w:proofErr w:type="gramEnd"/>
            <w:r w:rsidRPr="004C25FB">
              <w:rPr>
                <w:rFonts w:ascii="Times New Roman" w:hAnsi="Times New Roman"/>
                <w:sz w:val="20"/>
                <w:szCs w:val="20"/>
              </w:rPr>
              <w:t>/válvula</w:t>
            </w:r>
          </w:p>
          <w:p w:rsidR="00E1027A" w:rsidRPr="004C25FB" w:rsidRDefault="00E1027A" w:rsidP="00E1027A">
            <w:pPr>
              <w:spacing w:after="0" w:line="240" w:lineRule="auto"/>
              <w:ind w:left="284"/>
              <w:rPr>
                <w:rFonts w:ascii="Times New Roman" w:hAnsi="Times New Roman"/>
                <w:sz w:val="20"/>
                <w:szCs w:val="20"/>
              </w:rPr>
            </w:pPr>
            <w:r w:rsidRPr="004C25FB">
              <w:rPr>
                <w:rFonts w:ascii="Times New Roman" w:hAnsi="Times New Roman"/>
                <w:sz w:val="20"/>
                <w:szCs w:val="20"/>
              </w:rPr>
              <w:t xml:space="preserve">ASTM D6201: </w:t>
            </w:r>
            <w:r w:rsidR="008C26FE" w:rsidRPr="004C25FB">
              <w:rPr>
                <w:rFonts w:ascii="Times New Roman" w:hAnsi="Times New Roman"/>
                <w:sz w:val="20"/>
                <w:szCs w:val="20"/>
              </w:rPr>
              <w:t>Média m</w:t>
            </w:r>
            <w:r w:rsidRPr="004C25FB">
              <w:rPr>
                <w:rFonts w:ascii="Times New Roman" w:hAnsi="Times New Roman"/>
                <w:sz w:val="20"/>
                <w:szCs w:val="20"/>
              </w:rPr>
              <w:t>áxim</w:t>
            </w:r>
            <w:r w:rsidR="008C26FE" w:rsidRPr="004C25FB">
              <w:rPr>
                <w:rFonts w:ascii="Times New Roman" w:hAnsi="Times New Roman"/>
                <w:sz w:val="20"/>
                <w:szCs w:val="20"/>
              </w:rPr>
              <w:t>a</w:t>
            </w:r>
            <w:r w:rsidRPr="004C25FB">
              <w:rPr>
                <w:rFonts w:ascii="Times New Roman" w:hAnsi="Times New Roman"/>
                <w:sz w:val="20"/>
                <w:szCs w:val="20"/>
              </w:rPr>
              <w:t xml:space="preserve"> de 90 </w:t>
            </w:r>
            <w:proofErr w:type="gramStart"/>
            <w:r w:rsidRPr="004C25FB">
              <w:rPr>
                <w:rFonts w:ascii="Times New Roman" w:hAnsi="Times New Roman"/>
                <w:sz w:val="20"/>
                <w:szCs w:val="20"/>
              </w:rPr>
              <w:t>mg</w:t>
            </w:r>
            <w:proofErr w:type="gramEnd"/>
            <w:r w:rsidRPr="004C25FB">
              <w:rPr>
                <w:rFonts w:ascii="Times New Roman" w:hAnsi="Times New Roman"/>
                <w:sz w:val="20"/>
                <w:szCs w:val="20"/>
              </w:rPr>
              <w:t>/válvula</w:t>
            </w:r>
          </w:p>
          <w:p w:rsidR="00E1027A" w:rsidRPr="004C25FB" w:rsidRDefault="00E1027A" w:rsidP="00E1027A">
            <w:pPr>
              <w:spacing w:after="0" w:line="240" w:lineRule="auto"/>
              <w:ind w:left="284"/>
              <w:rPr>
                <w:rFonts w:ascii="Times New Roman" w:hAnsi="Times New Roman"/>
                <w:sz w:val="20"/>
                <w:szCs w:val="20"/>
              </w:rPr>
            </w:pPr>
            <w:r w:rsidRPr="004C25FB">
              <w:rPr>
                <w:rFonts w:ascii="Times New Roman" w:hAnsi="Times New Roman"/>
                <w:sz w:val="20"/>
                <w:szCs w:val="20"/>
              </w:rPr>
              <w:t xml:space="preserve">CEC F-20-A-98: </w:t>
            </w:r>
            <w:r w:rsidR="008C26FE" w:rsidRPr="004C25FB">
              <w:rPr>
                <w:rFonts w:ascii="Times New Roman" w:hAnsi="Times New Roman"/>
                <w:sz w:val="20"/>
                <w:szCs w:val="20"/>
              </w:rPr>
              <w:t>Média m</w:t>
            </w:r>
            <w:r w:rsidRPr="004C25FB">
              <w:rPr>
                <w:rFonts w:ascii="Times New Roman" w:hAnsi="Times New Roman"/>
                <w:sz w:val="20"/>
                <w:szCs w:val="20"/>
              </w:rPr>
              <w:t>áxim</w:t>
            </w:r>
            <w:r w:rsidR="008C26FE" w:rsidRPr="004C25FB">
              <w:rPr>
                <w:rFonts w:ascii="Times New Roman" w:hAnsi="Times New Roman"/>
                <w:sz w:val="20"/>
                <w:szCs w:val="20"/>
              </w:rPr>
              <w:t>a</w:t>
            </w:r>
            <w:r w:rsidRPr="004C25FB">
              <w:rPr>
                <w:rFonts w:ascii="Times New Roman" w:hAnsi="Times New Roman"/>
                <w:sz w:val="20"/>
                <w:szCs w:val="20"/>
              </w:rPr>
              <w:t xml:space="preserve"> de 50 </w:t>
            </w:r>
            <w:proofErr w:type="gramStart"/>
            <w:r w:rsidRPr="004C25FB">
              <w:rPr>
                <w:rFonts w:ascii="Times New Roman" w:hAnsi="Times New Roman"/>
                <w:sz w:val="20"/>
                <w:szCs w:val="20"/>
              </w:rPr>
              <w:t>mg</w:t>
            </w:r>
            <w:proofErr w:type="gramEnd"/>
            <w:r w:rsidRPr="004C25FB">
              <w:rPr>
                <w:rFonts w:ascii="Times New Roman" w:hAnsi="Times New Roman"/>
                <w:sz w:val="20"/>
                <w:szCs w:val="20"/>
              </w:rPr>
              <w:t>/válvula</w:t>
            </w:r>
          </w:p>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PFID:</w:t>
            </w:r>
          </w:p>
          <w:p w:rsidR="00E1027A" w:rsidRPr="004C25FB" w:rsidRDefault="00E1027A" w:rsidP="00E1027A">
            <w:pPr>
              <w:spacing w:after="0" w:line="240" w:lineRule="auto"/>
              <w:ind w:left="284"/>
              <w:rPr>
                <w:rFonts w:ascii="Times New Roman" w:hAnsi="Times New Roman"/>
                <w:sz w:val="20"/>
                <w:szCs w:val="20"/>
              </w:rPr>
            </w:pPr>
            <w:r w:rsidRPr="004C25FB">
              <w:rPr>
                <w:rFonts w:ascii="Times New Roman" w:hAnsi="Times New Roman"/>
                <w:sz w:val="20"/>
                <w:szCs w:val="20"/>
              </w:rPr>
              <w:t>ASTM D5598-95: máximo de 5% de restrição de fluxo</w:t>
            </w:r>
          </w:p>
          <w:p w:rsidR="00E1027A" w:rsidRPr="004C25FB" w:rsidRDefault="00E1027A" w:rsidP="00E1027A">
            <w:pPr>
              <w:spacing w:after="0" w:line="240" w:lineRule="auto"/>
              <w:ind w:left="284"/>
              <w:rPr>
                <w:rFonts w:ascii="Times New Roman" w:hAnsi="Times New Roman"/>
                <w:sz w:val="20"/>
                <w:szCs w:val="20"/>
              </w:rPr>
            </w:pPr>
            <w:r w:rsidRPr="004C25FB">
              <w:rPr>
                <w:rFonts w:ascii="Times New Roman" w:hAnsi="Times New Roman"/>
                <w:sz w:val="20"/>
                <w:szCs w:val="20"/>
              </w:rPr>
              <w:t>ASTM D6421: máximo de 10% de restrição de fluxo</w:t>
            </w:r>
          </w:p>
        </w:tc>
        <w:tc>
          <w:tcPr>
            <w:tcW w:w="817" w:type="pct"/>
            <w:tcBorders>
              <w:right w:val="nil"/>
            </w:tcBorders>
            <w:tcMar>
              <w:top w:w="142" w:type="dxa"/>
              <w:left w:w="85" w:type="dxa"/>
              <w:right w:w="142"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ND</w:t>
            </w:r>
          </w:p>
        </w:tc>
      </w:tr>
      <w:tr w:rsidR="00E1027A" w:rsidRPr="004C25FB" w:rsidTr="00F86EC8">
        <w:tc>
          <w:tcPr>
            <w:tcW w:w="340" w:type="pct"/>
            <w:tcBorders>
              <w:left w:val="nil"/>
            </w:tcBorders>
            <w:tcMar>
              <w:top w:w="142" w:type="dxa"/>
              <w:left w:w="142" w:type="dxa"/>
            </w:tcMar>
            <w:vAlign w:val="center"/>
          </w:tcPr>
          <w:p w:rsidR="00E1027A" w:rsidRPr="004C25FB" w:rsidRDefault="00E1027A" w:rsidP="00E1027A">
            <w:pPr>
              <w:spacing w:after="0" w:line="240" w:lineRule="auto"/>
              <w:jc w:val="both"/>
              <w:rPr>
                <w:rFonts w:ascii="Times New Roman" w:hAnsi="Times New Roman"/>
                <w:sz w:val="20"/>
                <w:szCs w:val="20"/>
              </w:rPr>
            </w:pPr>
            <w:r w:rsidRPr="004C25FB">
              <w:rPr>
                <w:rFonts w:ascii="Times New Roman" w:hAnsi="Times New Roman"/>
                <w:sz w:val="20"/>
                <w:szCs w:val="20"/>
              </w:rPr>
              <w:t>México</w:t>
            </w:r>
          </w:p>
        </w:tc>
        <w:tc>
          <w:tcPr>
            <w:tcW w:w="651" w:type="pct"/>
            <w:tcMar>
              <w:top w:w="142" w:type="dxa"/>
              <w:left w:w="85"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NOM-086-SEMARNAT-SENER-SCFI-2005</w:t>
            </w:r>
          </w:p>
        </w:tc>
        <w:tc>
          <w:tcPr>
            <w:tcW w:w="1499" w:type="pct"/>
            <w:tcMar>
              <w:top w:w="142" w:type="dxa"/>
              <w:left w:w="85" w:type="dxa"/>
            </w:tcMar>
          </w:tcPr>
          <w:p w:rsidR="00E1027A" w:rsidRPr="004C25FB" w:rsidRDefault="00F71531" w:rsidP="00E1027A">
            <w:pPr>
              <w:keepNext/>
              <w:keepLines/>
              <w:spacing w:after="0" w:line="240" w:lineRule="auto"/>
              <w:outlineLvl w:val="0"/>
              <w:rPr>
                <w:rFonts w:ascii="Times New Roman" w:hAnsi="Times New Roman"/>
                <w:sz w:val="20"/>
                <w:szCs w:val="20"/>
                <w:lang w:val="es-ES"/>
              </w:rPr>
            </w:pPr>
            <w:r w:rsidRPr="004C25FB">
              <w:rPr>
                <w:rFonts w:ascii="Times New Roman" w:hAnsi="Times New Roman"/>
                <w:sz w:val="20"/>
                <w:szCs w:val="20"/>
                <w:lang w:val="es-ES"/>
              </w:rPr>
              <w:t>Secretaría de Medio Ambiente y Recursos Naturales</w:t>
            </w:r>
          </w:p>
          <w:p w:rsidR="00E1027A" w:rsidRPr="004C25FB" w:rsidRDefault="00F71531" w:rsidP="00E1027A">
            <w:pPr>
              <w:keepNext/>
              <w:keepLines/>
              <w:spacing w:after="0" w:line="240" w:lineRule="auto"/>
              <w:outlineLvl w:val="0"/>
              <w:rPr>
                <w:rFonts w:ascii="Times New Roman" w:hAnsi="Times New Roman"/>
                <w:sz w:val="20"/>
                <w:szCs w:val="20"/>
                <w:lang w:val="es-ES"/>
              </w:rPr>
            </w:pPr>
            <w:r w:rsidRPr="004C25FB">
              <w:rPr>
                <w:rFonts w:ascii="Times New Roman" w:hAnsi="Times New Roman"/>
                <w:sz w:val="20"/>
                <w:szCs w:val="20"/>
                <w:lang w:val="es-ES"/>
              </w:rPr>
              <w:t>Secretaría de Energía</w:t>
            </w:r>
          </w:p>
          <w:p w:rsidR="00E1027A" w:rsidRPr="004C25FB" w:rsidRDefault="00F71531" w:rsidP="00E1027A">
            <w:pPr>
              <w:keepNext/>
              <w:keepLines/>
              <w:spacing w:after="0" w:line="240" w:lineRule="auto"/>
              <w:outlineLvl w:val="0"/>
              <w:rPr>
                <w:rFonts w:ascii="Times New Roman" w:hAnsi="Times New Roman"/>
                <w:sz w:val="20"/>
                <w:szCs w:val="20"/>
                <w:lang w:val="es-ES"/>
              </w:rPr>
            </w:pPr>
            <w:r w:rsidRPr="004C25FB">
              <w:rPr>
                <w:rFonts w:ascii="Times New Roman" w:hAnsi="Times New Roman"/>
                <w:sz w:val="20"/>
                <w:szCs w:val="20"/>
                <w:lang w:val="es-ES"/>
              </w:rPr>
              <w:t>Secretaría de Economía</w:t>
            </w:r>
          </w:p>
        </w:tc>
        <w:tc>
          <w:tcPr>
            <w:tcW w:w="1693" w:type="pct"/>
            <w:tcMar>
              <w:top w:w="142" w:type="dxa"/>
              <w:left w:w="85"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Níveis de depósitos estabelecidos nas normas ASTM D5598-01 e ASTM D 5500-98</w:t>
            </w:r>
          </w:p>
        </w:tc>
        <w:tc>
          <w:tcPr>
            <w:tcW w:w="817" w:type="pct"/>
            <w:tcBorders>
              <w:right w:val="nil"/>
            </w:tcBorders>
            <w:tcMar>
              <w:top w:w="142" w:type="dxa"/>
              <w:left w:w="85" w:type="dxa"/>
              <w:right w:w="142"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 xml:space="preserve">Refinarias, terminais de armazenamento e distribuição ou </w:t>
            </w:r>
            <w:proofErr w:type="gramStart"/>
            <w:r w:rsidRPr="004C25FB">
              <w:rPr>
                <w:rFonts w:ascii="Times New Roman" w:hAnsi="Times New Roman"/>
                <w:sz w:val="20"/>
                <w:szCs w:val="20"/>
              </w:rPr>
              <w:t>polidutos</w:t>
            </w:r>
            <w:proofErr w:type="gramEnd"/>
          </w:p>
        </w:tc>
      </w:tr>
      <w:tr w:rsidR="00E1027A" w:rsidRPr="004C25FB" w:rsidTr="00F86EC8">
        <w:tc>
          <w:tcPr>
            <w:tcW w:w="340" w:type="pct"/>
            <w:tcBorders>
              <w:left w:val="nil"/>
              <w:bottom w:val="single" w:sz="4" w:space="0" w:color="auto"/>
            </w:tcBorders>
            <w:tcMar>
              <w:top w:w="142" w:type="dxa"/>
              <w:left w:w="142" w:type="dxa"/>
            </w:tcMar>
            <w:vAlign w:val="center"/>
          </w:tcPr>
          <w:p w:rsidR="00E1027A" w:rsidRPr="004C25FB" w:rsidRDefault="00E1027A" w:rsidP="00E1027A">
            <w:pPr>
              <w:spacing w:after="0" w:line="240" w:lineRule="auto"/>
              <w:jc w:val="both"/>
              <w:rPr>
                <w:rFonts w:ascii="Times New Roman" w:hAnsi="Times New Roman"/>
                <w:sz w:val="20"/>
                <w:szCs w:val="20"/>
              </w:rPr>
            </w:pPr>
            <w:r w:rsidRPr="004C25FB">
              <w:rPr>
                <w:rFonts w:ascii="Times New Roman" w:hAnsi="Times New Roman"/>
                <w:sz w:val="20"/>
                <w:szCs w:val="20"/>
              </w:rPr>
              <w:t>Tailândia</w:t>
            </w:r>
          </w:p>
        </w:tc>
        <w:tc>
          <w:tcPr>
            <w:tcW w:w="651" w:type="pct"/>
            <w:tcBorders>
              <w:bottom w:val="single" w:sz="4" w:space="0" w:color="auto"/>
            </w:tcBorders>
            <w:tcMar>
              <w:top w:w="142" w:type="dxa"/>
              <w:left w:w="85"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ND</w:t>
            </w:r>
          </w:p>
        </w:tc>
        <w:tc>
          <w:tcPr>
            <w:tcW w:w="1499" w:type="pct"/>
            <w:tcBorders>
              <w:bottom w:val="single" w:sz="4" w:space="0" w:color="auto"/>
            </w:tcBorders>
            <w:tcMar>
              <w:top w:w="142" w:type="dxa"/>
              <w:left w:w="85" w:type="dxa"/>
            </w:tcMar>
          </w:tcPr>
          <w:p w:rsidR="00E1027A" w:rsidRPr="004C25FB" w:rsidRDefault="00E1027A" w:rsidP="00E1027A">
            <w:pPr>
              <w:spacing w:after="0" w:line="240" w:lineRule="auto"/>
              <w:rPr>
                <w:rFonts w:ascii="Times New Roman" w:hAnsi="Times New Roman"/>
                <w:sz w:val="20"/>
                <w:szCs w:val="20"/>
              </w:rPr>
            </w:pPr>
            <w:proofErr w:type="spellStart"/>
            <w:r w:rsidRPr="004C25FB">
              <w:rPr>
                <w:rFonts w:ascii="Times New Roman" w:hAnsi="Times New Roman"/>
                <w:sz w:val="20"/>
                <w:szCs w:val="20"/>
              </w:rPr>
              <w:t>Thailand</w:t>
            </w:r>
            <w:proofErr w:type="spellEnd"/>
            <w:r w:rsidRPr="004C25FB">
              <w:rPr>
                <w:rFonts w:ascii="Times New Roman" w:hAnsi="Times New Roman"/>
                <w:sz w:val="20"/>
                <w:szCs w:val="20"/>
              </w:rPr>
              <w:t xml:space="preserve"> </w:t>
            </w:r>
            <w:proofErr w:type="spellStart"/>
            <w:r w:rsidRPr="004C25FB">
              <w:rPr>
                <w:rFonts w:ascii="Times New Roman" w:hAnsi="Times New Roman"/>
                <w:sz w:val="20"/>
                <w:szCs w:val="20"/>
              </w:rPr>
              <w:t>Ministry</w:t>
            </w:r>
            <w:proofErr w:type="spellEnd"/>
            <w:r w:rsidRPr="004C25FB">
              <w:rPr>
                <w:rFonts w:ascii="Times New Roman" w:hAnsi="Times New Roman"/>
                <w:sz w:val="20"/>
                <w:szCs w:val="20"/>
              </w:rPr>
              <w:t xml:space="preserve"> </w:t>
            </w:r>
            <w:proofErr w:type="spellStart"/>
            <w:r w:rsidRPr="004C25FB">
              <w:rPr>
                <w:rFonts w:ascii="Times New Roman" w:hAnsi="Times New Roman"/>
                <w:sz w:val="20"/>
                <w:szCs w:val="20"/>
              </w:rPr>
              <w:t>of</w:t>
            </w:r>
            <w:proofErr w:type="spellEnd"/>
            <w:r w:rsidRPr="004C25FB">
              <w:rPr>
                <w:rFonts w:ascii="Times New Roman" w:hAnsi="Times New Roman"/>
                <w:sz w:val="20"/>
                <w:szCs w:val="20"/>
              </w:rPr>
              <w:t xml:space="preserve"> </w:t>
            </w:r>
            <w:proofErr w:type="spellStart"/>
            <w:r w:rsidRPr="004C25FB">
              <w:rPr>
                <w:rFonts w:ascii="Times New Roman" w:hAnsi="Times New Roman"/>
                <w:sz w:val="20"/>
                <w:szCs w:val="20"/>
              </w:rPr>
              <w:t>Commerce</w:t>
            </w:r>
            <w:proofErr w:type="spellEnd"/>
          </w:p>
        </w:tc>
        <w:tc>
          <w:tcPr>
            <w:tcW w:w="1693" w:type="pct"/>
            <w:tcBorders>
              <w:bottom w:val="single" w:sz="4" w:space="0" w:color="auto"/>
            </w:tcBorders>
            <w:tcMar>
              <w:top w:w="142" w:type="dxa"/>
              <w:left w:w="85"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ND</w:t>
            </w:r>
          </w:p>
        </w:tc>
        <w:tc>
          <w:tcPr>
            <w:tcW w:w="817" w:type="pct"/>
            <w:tcBorders>
              <w:bottom w:val="single" w:sz="4" w:space="0" w:color="auto"/>
              <w:right w:val="nil"/>
            </w:tcBorders>
            <w:tcMar>
              <w:top w:w="142" w:type="dxa"/>
              <w:left w:w="85" w:type="dxa"/>
              <w:right w:w="142" w:type="dxa"/>
            </w:tcMar>
          </w:tcPr>
          <w:p w:rsidR="00E1027A" w:rsidRPr="004C25FB" w:rsidRDefault="00E1027A" w:rsidP="00E1027A">
            <w:pPr>
              <w:spacing w:after="0" w:line="240" w:lineRule="auto"/>
              <w:rPr>
                <w:rFonts w:ascii="Times New Roman" w:hAnsi="Times New Roman"/>
                <w:sz w:val="20"/>
                <w:szCs w:val="20"/>
              </w:rPr>
            </w:pPr>
            <w:r w:rsidRPr="004C25FB">
              <w:rPr>
                <w:rFonts w:ascii="Times New Roman" w:hAnsi="Times New Roman"/>
                <w:sz w:val="20"/>
                <w:szCs w:val="20"/>
              </w:rPr>
              <w:t>ND</w:t>
            </w:r>
          </w:p>
        </w:tc>
      </w:tr>
      <w:tr w:rsidR="00E1027A" w:rsidRPr="004C25FB" w:rsidTr="00F86EC8">
        <w:trPr>
          <w:trHeight w:val="283"/>
        </w:trPr>
        <w:tc>
          <w:tcPr>
            <w:tcW w:w="5000" w:type="pct"/>
            <w:gridSpan w:val="5"/>
            <w:tcBorders>
              <w:left w:val="nil"/>
              <w:bottom w:val="nil"/>
              <w:right w:val="nil"/>
            </w:tcBorders>
            <w:tcMar>
              <w:top w:w="142" w:type="dxa"/>
              <w:left w:w="142" w:type="dxa"/>
            </w:tcMar>
            <w:vAlign w:val="center"/>
          </w:tcPr>
          <w:p w:rsidR="00E1027A" w:rsidRPr="004C25FB" w:rsidRDefault="00E1027A" w:rsidP="00EB27BB">
            <w:pPr>
              <w:spacing w:after="0" w:line="240" w:lineRule="auto"/>
              <w:rPr>
                <w:rFonts w:ascii="Times New Roman" w:hAnsi="Times New Roman"/>
                <w:sz w:val="20"/>
                <w:szCs w:val="20"/>
              </w:rPr>
            </w:pPr>
            <w:r w:rsidRPr="004C25FB">
              <w:rPr>
                <w:rFonts w:ascii="Times New Roman" w:hAnsi="Times New Roman"/>
                <w:sz w:val="20"/>
                <w:szCs w:val="20"/>
              </w:rPr>
              <w:t>Nota: ND = não disponível</w:t>
            </w:r>
          </w:p>
          <w:p w:rsidR="00E1027A" w:rsidRPr="004C25FB" w:rsidRDefault="00E1027A" w:rsidP="00EB27BB">
            <w:pPr>
              <w:spacing w:after="0" w:line="240" w:lineRule="auto"/>
              <w:rPr>
                <w:rFonts w:ascii="Times New Roman" w:hAnsi="Times New Roman"/>
                <w:sz w:val="20"/>
                <w:szCs w:val="20"/>
              </w:rPr>
            </w:pPr>
            <w:r w:rsidRPr="004C25FB">
              <w:rPr>
                <w:rFonts w:ascii="Times New Roman" w:hAnsi="Times New Roman"/>
                <w:sz w:val="20"/>
                <w:szCs w:val="20"/>
              </w:rPr>
              <w:t>Fonte: Nota Técnica n.º 05/2013/101/CPT</w:t>
            </w:r>
          </w:p>
        </w:tc>
      </w:tr>
    </w:tbl>
    <w:p w:rsidR="001768B5" w:rsidRPr="00CE3398" w:rsidRDefault="001768B5" w:rsidP="009954E4">
      <w:pPr>
        <w:spacing w:after="120" w:line="240" w:lineRule="auto"/>
        <w:ind w:left="-142"/>
        <w:rPr>
          <w:rFonts w:ascii="Times New Roman" w:hAnsi="Times New Roman"/>
          <w:b/>
          <w:bCs/>
          <w:sz w:val="24"/>
          <w:szCs w:val="24"/>
        </w:rPr>
      </w:pPr>
    </w:p>
    <w:p w:rsidR="00507439" w:rsidRPr="00CE3398" w:rsidRDefault="00507439" w:rsidP="009954E4">
      <w:pPr>
        <w:spacing w:after="120" w:line="240" w:lineRule="auto"/>
        <w:ind w:left="-142"/>
        <w:rPr>
          <w:rFonts w:ascii="Times New Roman" w:hAnsi="Times New Roman"/>
          <w:sz w:val="24"/>
          <w:szCs w:val="24"/>
        </w:rPr>
        <w:sectPr w:rsidR="00507439" w:rsidRPr="00CE3398" w:rsidSect="00507439">
          <w:headerReference w:type="first" r:id="rId14"/>
          <w:pgSz w:w="16840" w:h="11907" w:orient="landscape" w:code="9"/>
          <w:pgMar w:top="1701" w:right="1134" w:bottom="851" w:left="1134" w:header="680" w:footer="1012" w:gutter="0"/>
          <w:cols w:space="720"/>
          <w:titlePg/>
          <w:docGrid w:linePitch="299"/>
        </w:sectPr>
      </w:pPr>
    </w:p>
    <w:p w:rsidR="0002519A" w:rsidRPr="00CE3398" w:rsidRDefault="0002519A" w:rsidP="0002519A">
      <w:pPr>
        <w:pStyle w:val="PargrafodaLista"/>
        <w:numPr>
          <w:ilvl w:val="0"/>
          <w:numId w:val="4"/>
        </w:numPr>
        <w:spacing w:after="120" w:line="240" w:lineRule="auto"/>
        <w:contextualSpacing w:val="0"/>
        <w:rPr>
          <w:rFonts w:ascii="Times New Roman" w:hAnsi="Times New Roman"/>
          <w:b/>
          <w:sz w:val="24"/>
          <w:szCs w:val="24"/>
        </w:rPr>
      </w:pPr>
      <w:r w:rsidRPr="00CE3398">
        <w:rPr>
          <w:rFonts w:ascii="Times New Roman" w:hAnsi="Times New Roman"/>
          <w:b/>
          <w:sz w:val="24"/>
          <w:szCs w:val="24"/>
        </w:rPr>
        <w:lastRenderedPageBreak/>
        <w:t>ANÁLISE DE IMPACTO REGULATÓRIO</w:t>
      </w:r>
    </w:p>
    <w:p w:rsidR="0002519A" w:rsidRPr="00CE3398" w:rsidRDefault="0002519A" w:rsidP="0002519A">
      <w:pPr>
        <w:pStyle w:val="PargrafodaLista"/>
        <w:spacing w:after="120" w:line="240" w:lineRule="auto"/>
        <w:ind w:left="360"/>
        <w:contextualSpacing w:val="0"/>
        <w:rPr>
          <w:rFonts w:ascii="Times New Roman" w:hAnsi="Times New Roman"/>
          <w:b/>
          <w:sz w:val="24"/>
          <w:szCs w:val="24"/>
        </w:rPr>
      </w:pPr>
    </w:p>
    <w:p w:rsidR="0002519A" w:rsidRPr="00CE3398" w:rsidRDefault="0002519A" w:rsidP="009954E4">
      <w:pPr>
        <w:pStyle w:val="PargrafodaLista"/>
        <w:numPr>
          <w:ilvl w:val="1"/>
          <w:numId w:val="4"/>
        </w:numPr>
        <w:spacing w:after="120" w:line="240" w:lineRule="auto"/>
        <w:ind w:left="426" w:hanging="426"/>
        <w:contextualSpacing w:val="0"/>
        <w:rPr>
          <w:rFonts w:ascii="Times New Roman" w:hAnsi="Times New Roman"/>
          <w:b/>
          <w:sz w:val="24"/>
          <w:szCs w:val="24"/>
        </w:rPr>
      </w:pPr>
      <w:r w:rsidRPr="00CE3398">
        <w:rPr>
          <w:rFonts w:ascii="Times New Roman" w:hAnsi="Times New Roman"/>
          <w:b/>
          <w:sz w:val="24"/>
          <w:szCs w:val="24"/>
        </w:rPr>
        <w:t>IDENTIFICAÇÃO DAS OPÇÕES REGULATÓRIAS</w:t>
      </w:r>
    </w:p>
    <w:p w:rsidR="0002519A" w:rsidRPr="00CE3398" w:rsidRDefault="0002519A" w:rsidP="0002519A">
      <w:pPr>
        <w:tabs>
          <w:tab w:val="left" w:pos="0"/>
        </w:tabs>
        <w:spacing w:after="120" w:line="240" w:lineRule="auto"/>
        <w:jc w:val="both"/>
        <w:rPr>
          <w:rFonts w:ascii="Times New Roman" w:hAnsi="Times New Roman"/>
          <w:sz w:val="24"/>
          <w:szCs w:val="24"/>
        </w:rPr>
      </w:pPr>
      <w:r w:rsidRPr="00CE3398">
        <w:rPr>
          <w:rFonts w:ascii="Times New Roman" w:hAnsi="Times New Roman"/>
          <w:sz w:val="24"/>
          <w:szCs w:val="24"/>
        </w:rPr>
        <w:tab/>
        <w:t xml:space="preserve">Para a realização da Avaliação de Impacto Regulatório, foram considerados dois cenários alternativos </w:t>
      </w:r>
      <w:r w:rsidR="00B40303" w:rsidRPr="00CE3398">
        <w:rPr>
          <w:rFonts w:ascii="Times New Roman" w:hAnsi="Times New Roman"/>
          <w:sz w:val="24"/>
          <w:szCs w:val="24"/>
        </w:rPr>
        <w:t>(</w:t>
      </w:r>
      <w:r w:rsidRPr="00CE3398">
        <w:rPr>
          <w:rFonts w:ascii="Times New Roman" w:hAnsi="Times New Roman"/>
          <w:sz w:val="24"/>
          <w:szCs w:val="24"/>
        </w:rPr>
        <w:t>ou opções regulatórias</w:t>
      </w:r>
      <w:r w:rsidR="00B40303" w:rsidRPr="00CE3398">
        <w:rPr>
          <w:rFonts w:ascii="Times New Roman" w:hAnsi="Times New Roman"/>
          <w:sz w:val="24"/>
          <w:szCs w:val="24"/>
        </w:rPr>
        <w:t>)</w:t>
      </w:r>
      <w:r w:rsidRPr="00CE3398">
        <w:rPr>
          <w:rFonts w:ascii="Times New Roman" w:hAnsi="Times New Roman"/>
          <w:sz w:val="24"/>
          <w:szCs w:val="24"/>
        </w:rPr>
        <w:t xml:space="preserve"> quanto </w:t>
      </w:r>
      <w:r w:rsidR="00B40303" w:rsidRPr="00CE3398">
        <w:rPr>
          <w:rFonts w:ascii="Times New Roman" w:hAnsi="Times New Roman"/>
          <w:sz w:val="24"/>
          <w:szCs w:val="24"/>
        </w:rPr>
        <w:t>à definição do</w:t>
      </w:r>
      <w:r w:rsidRPr="00CE3398">
        <w:rPr>
          <w:rFonts w:ascii="Times New Roman" w:hAnsi="Times New Roman"/>
          <w:sz w:val="24"/>
          <w:szCs w:val="24"/>
        </w:rPr>
        <w:t xml:space="preserve"> ponto de aditivação: (i) aditivação no produtor de gasolina</w:t>
      </w:r>
      <w:r w:rsidR="00B40303" w:rsidRPr="00CE3398">
        <w:rPr>
          <w:rFonts w:ascii="Times New Roman" w:hAnsi="Times New Roman"/>
          <w:sz w:val="24"/>
          <w:szCs w:val="24"/>
        </w:rPr>
        <w:t xml:space="preserve"> A</w:t>
      </w:r>
      <w:r w:rsidRPr="00CE3398">
        <w:rPr>
          <w:rFonts w:ascii="Times New Roman" w:hAnsi="Times New Roman"/>
          <w:sz w:val="24"/>
          <w:szCs w:val="24"/>
        </w:rPr>
        <w:t>; e (</w:t>
      </w:r>
      <w:proofErr w:type="gramStart"/>
      <w:r w:rsidRPr="00CE3398">
        <w:rPr>
          <w:rFonts w:ascii="Times New Roman" w:hAnsi="Times New Roman"/>
          <w:sz w:val="24"/>
          <w:szCs w:val="24"/>
        </w:rPr>
        <w:t>ii</w:t>
      </w:r>
      <w:proofErr w:type="gramEnd"/>
      <w:r w:rsidRPr="00CE3398">
        <w:rPr>
          <w:rFonts w:ascii="Times New Roman" w:hAnsi="Times New Roman"/>
          <w:sz w:val="24"/>
          <w:szCs w:val="24"/>
        </w:rPr>
        <w:t>) aditivação no distribuidor</w:t>
      </w:r>
      <w:r w:rsidR="00B40303" w:rsidRPr="00CE3398">
        <w:rPr>
          <w:rFonts w:ascii="Times New Roman" w:hAnsi="Times New Roman"/>
          <w:sz w:val="24"/>
          <w:szCs w:val="24"/>
        </w:rPr>
        <w:t xml:space="preserve"> de combustíveis</w:t>
      </w:r>
      <w:r w:rsidRPr="00CE3398">
        <w:rPr>
          <w:rFonts w:ascii="Times New Roman" w:hAnsi="Times New Roman"/>
          <w:sz w:val="24"/>
          <w:szCs w:val="24"/>
        </w:rPr>
        <w:t xml:space="preserve">. </w:t>
      </w:r>
      <w:r w:rsidR="00CB785F" w:rsidRPr="00CE3398">
        <w:rPr>
          <w:rFonts w:ascii="Times New Roman" w:hAnsi="Times New Roman"/>
          <w:sz w:val="24"/>
          <w:szCs w:val="24"/>
        </w:rPr>
        <w:t xml:space="preserve">Cabe destacar que, neste caso específico, sendo a aditivação da gasolina com detergentes dispersantes obrigatória, por força da Resolução ANP nº 38/2009, “não </w:t>
      </w:r>
      <w:proofErr w:type="spellStart"/>
      <w:r w:rsidR="00CB785F" w:rsidRPr="00CE3398">
        <w:rPr>
          <w:rFonts w:ascii="Times New Roman" w:hAnsi="Times New Roman"/>
          <w:sz w:val="24"/>
          <w:szCs w:val="24"/>
        </w:rPr>
        <w:t>aditivar</w:t>
      </w:r>
      <w:proofErr w:type="spellEnd"/>
      <w:r w:rsidR="00CB785F" w:rsidRPr="00CE3398">
        <w:rPr>
          <w:rFonts w:ascii="Times New Roman" w:hAnsi="Times New Roman"/>
          <w:sz w:val="24"/>
          <w:szCs w:val="24"/>
        </w:rPr>
        <w:t>” foi uma alternativa descartada do ponto de vista regulatório, restando, assim, definir o ponto de aditivação que geraria melhor</w:t>
      </w:r>
      <w:r w:rsidR="00B40303" w:rsidRPr="00CE3398">
        <w:rPr>
          <w:rFonts w:ascii="Times New Roman" w:hAnsi="Times New Roman"/>
          <w:sz w:val="24"/>
          <w:szCs w:val="24"/>
        </w:rPr>
        <w:t>es resultados</w:t>
      </w:r>
      <w:r w:rsidR="00CB785F" w:rsidRPr="00CE3398">
        <w:rPr>
          <w:rFonts w:ascii="Times New Roman" w:hAnsi="Times New Roman"/>
          <w:sz w:val="24"/>
          <w:szCs w:val="24"/>
        </w:rPr>
        <w:t xml:space="preserve"> para a sociedade.</w:t>
      </w:r>
    </w:p>
    <w:p w:rsidR="0002519A" w:rsidRPr="00CE3398" w:rsidRDefault="0002519A" w:rsidP="0002519A">
      <w:pPr>
        <w:tabs>
          <w:tab w:val="left" w:pos="0"/>
          <w:tab w:val="left" w:pos="709"/>
        </w:tabs>
        <w:spacing w:after="120" w:line="240" w:lineRule="auto"/>
        <w:ind w:firstLine="708"/>
        <w:jc w:val="both"/>
        <w:rPr>
          <w:rFonts w:ascii="Times New Roman" w:hAnsi="Times New Roman"/>
          <w:sz w:val="24"/>
          <w:szCs w:val="24"/>
        </w:rPr>
      </w:pPr>
      <w:r w:rsidRPr="00CE3398">
        <w:rPr>
          <w:rFonts w:ascii="Times New Roman" w:hAnsi="Times New Roman"/>
          <w:sz w:val="24"/>
          <w:szCs w:val="24"/>
        </w:rPr>
        <w:t xml:space="preserve">Os principais grupos afetados pela </w:t>
      </w:r>
      <w:r w:rsidR="00851795" w:rsidRPr="00CE3398">
        <w:rPr>
          <w:rFonts w:ascii="Times New Roman" w:hAnsi="Times New Roman"/>
          <w:sz w:val="24"/>
          <w:szCs w:val="24"/>
        </w:rPr>
        <w:t xml:space="preserve">nova </w:t>
      </w:r>
      <w:r w:rsidRPr="00CE3398">
        <w:rPr>
          <w:rFonts w:ascii="Times New Roman" w:hAnsi="Times New Roman"/>
          <w:sz w:val="24"/>
          <w:szCs w:val="24"/>
        </w:rPr>
        <w:t>regulamentação foram consultados, fornecendo à A</w:t>
      </w:r>
      <w:r w:rsidR="00B40303" w:rsidRPr="00CE3398">
        <w:rPr>
          <w:rFonts w:ascii="Times New Roman" w:hAnsi="Times New Roman"/>
          <w:sz w:val="24"/>
          <w:szCs w:val="24"/>
        </w:rPr>
        <w:t>gência</w:t>
      </w:r>
      <w:r w:rsidRPr="00CE3398">
        <w:rPr>
          <w:rFonts w:ascii="Times New Roman" w:hAnsi="Times New Roman"/>
          <w:sz w:val="24"/>
          <w:szCs w:val="24"/>
        </w:rPr>
        <w:t xml:space="preserve"> elementos para subsidiar a tomada de decisão em relação ao ponto de aditivação da gasolina. </w:t>
      </w:r>
    </w:p>
    <w:p w:rsidR="0002519A" w:rsidRPr="00CE3398" w:rsidRDefault="0002519A" w:rsidP="0002519A">
      <w:pPr>
        <w:spacing w:after="120" w:line="240" w:lineRule="auto"/>
        <w:rPr>
          <w:rFonts w:ascii="Times New Roman" w:hAnsi="Times New Roman"/>
          <w:b/>
          <w:sz w:val="24"/>
          <w:szCs w:val="24"/>
        </w:rPr>
      </w:pPr>
    </w:p>
    <w:p w:rsidR="0002519A" w:rsidRPr="00CE3398" w:rsidRDefault="0002519A" w:rsidP="00851795">
      <w:pPr>
        <w:pStyle w:val="PargrafodaLista"/>
        <w:numPr>
          <w:ilvl w:val="1"/>
          <w:numId w:val="4"/>
        </w:numPr>
        <w:spacing w:after="120" w:line="240" w:lineRule="auto"/>
        <w:ind w:left="426" w:hanging="426"/>
        <w:contextualSpacing w:val="0"/>
        <w:rPr>
          <w:rFonts w:ascii="Times New Roman" w:hAnsi="Times New Roman"/>
          <w:b/>
          <w:sz w:val="24"/>
          <w:szCs w:val="24"/>
        </w:rPr>
      </w:pPr>
      <w:r w:rsidRPr="00CE3398">
        <w:rPr>
          <w:rFonts w:ascii="Times New Roman" w:hAnsi="Times New Roman"/>
          <w:b/>
          <w:sz w:val="24"/>
          <w:szCs w:val="24"/>
        </w:rPr>
        <w:t xml:space="preserve">ASPECTOS TÉCNICOS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 aditivação com detergentes dispersantes será mais um requisito de qualidade da gasolina, configurando um benefício adicional às melhorias já trazidas pela nova especificação que entrará em vigor a partir de 1º de janeiro de 2014. Essa medida, porém, implicará alterações na cadeia de fornecimento da gasolina, com </w:t>
      </w:r>
      <w:r w:rsidR="00C32CB0" w:rsidRPr="00CE3398">
        <w:rPr>
          <w:rFonts w:ascii="Times New Roman" w:hAnsi="Times New Roman"/>
          <w:sz w:val="24"/>
          <w:szCs w:val="24"/>
        </w:rPr>
        <w:t>aumento de dispêndios dos agentes econômicos</w:t>
      </w:r>
      <w:r w:rsidR="00C32CB0" w:rsidRPr="00CE3398" w:rsidDel="00C32CB0">
        <w:rPr>
          <w:rFonts w:ascii="Times New Roman" w:hAnsi="Times New Roman"/>
          <w:sz w:val="24"/>
          <w:szCs w:val="24"/>
        </w:rPr>
        <w:t xml:space="preserve"> </w:t>
      </w:r>
      <w:r w:rsidRPr="00CE3398">
        <w:rPr>
          <w:rFonts w:ascii="Times New Roman" w:hAnsi="Times New Roman"/>
          <w:sz w:val="24"/>
          <w:szCs w:val="24"/>
        </w:rPr>
        <w:t xml:space="preserve">e potenciais impactos sobre o preço final do produto.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As escolhas do ponto de aditivação e das formas de controle da presença de aditivos implicam</w:t>
      </w:r>
      <w:r w:rsidR="00C2773D" w:rsidRPr="00CE3398">
        <w:rPr>
          <w:rFonts w:ascii="Times New Roman" w:hAnsi="Times New Roman"/>
          <w:sz w:val="24"/>
          <w:szCs w:val="24"/>
        </w:rPr>
        <w:t xml:space="preserve"> alternativas com vantagens e desvantagens</w:t>
      </w:r>
      <w:r w:rsidR="000826A3">
        <w:rPr>
          <w:rFonts w:ascii="Times New Roman" w:hAnsi="Times New Roman"/>
          <w:sz w:val="24"/>
          <w:szCs w:val="24"/>
        </w:rPr>
        <w:t xml:space="preserve"> </w:t>
      </w:r>
      <w:r w:rsidRPr="00CE3398">
        <w:rPr>
          <w:rFonts w:ascii="Times New Roman" w:hAnsi="Times New Roman"/>
          <w:sz w:val="24"/>
          <w:szCs w:val="24"/>
        </w:rPr>
        <w:t xml:space="preserve">que envolvem aspectos técnicos, de logística e de fiscalização que precisam ser avaliados para que a aditivação seja </w:t>
      </w:r>
      <w:proofErr w:type="gramStart"/>
      <w:r w:rsidRPr="00CE3398">
        <w:rPr>
          <w:rFonts w:ascii="Times New Roman" w:hAnsi="Times New Roman"/>
          <w:sz w:val="24"/>
          <w:szCs w:val="24"/>
        </w:rPr>
        <w:t>implementada</w:t>
      </w:r>
      <w:proofErr w:type="gramEnd"/>
      <w:r w:rsidRPr="00CE3398">
        <w:rPr>
          <w:rFonts w:ascii="Times New Roman" w:hAnsi="Times New Roman"/>
          <w:sz w:val="24"/>
          <w:szCs w:val="24"/>
        </w:rPr>
        <w:t xml:space="preserve"> com os resultados </w:t>
      </w:r>
      <w:r w:rsidR="004426CA" w:rsidRPr="00CE3398">
        <w:rPr>
          <w:rFonts w:ascii="Times New Roman" w:hAnsi="Times New Roman"/>
          <w:sz w:val="24"/>
          <w:szCs w:val="24"/>
        </w:rPr>
        <w:t xml:space="preserve">almejados </w:t>
      </w:r>
      <w:r w:rsidRPr="00CE3398">
        <w:rPr>
          <w:rFonts w:ascii="Times New Roman" w:hAnsi="Times New Roman"/>
          <w:sz w:val="24"/>
          <w:szCs w:val="24"/>
        </w:rPr>
        <w:t xml:space="preserve">e da maneira menos onerosa para a sociedade, considerando também </w:t>
      </w:r>
      <w:r w:rsidR="00ED16ED" w:rsidRPr="00CE3398">
        <w:rPr>
          <w:rFonts w:ascii="Times New Roman" w:hAnsi="Times New Roman"/>
          <w:sz w:val="24"/>
          <w:szCs w:val="24"/>
        </w:rPr>
        <w:t xml:space="preserve">questões </w:t>
      </w:r>
      <w:r w:rsidRPr="00CE3398">
        <w:rPr>
          <w:rFonts w:ascii="Times New Roman" w:hAnsi="Times New Roman"/>
          <w:sz w:val="24"/>
          <w:szCs w:val="24"/>
        </w:rPr>
        <w:t>de preservação do ambiente concorrencial nos mercados de combustível e de aditivos.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Colocadas essas questões e a competência da ANP de </w:t>
      </w:r>
      <w:proofErr w:type="gramStart"/>
      <w:r w:rsidRPr="00CE3398">
        <w:rPr>
          <w:rFonts w:ascii="Times New Roman" w:hAnsi="Times New Roman"/>
          <w:sz w:val="24"/>
          <w:szCs w:val="24"/>
        </w:rPr>
        <w:t>implementar</w:t>
      </w:r>
      <w:proofErr w:type="gramEnd"/>
      <w:r w:rsidRPr="00CE3398">
        <w:rPr>
          <w:rFonts w:ascii="Times New Roman" w:hAnsi="Times New Roman"/>
          <w:sz w:val="24"/>
          <w:szCs w:val="24"/>
        </w:rPr>
        <w:t xml:space="preserve"> a política nacional do petróleo, </w:t>
      </w:r>
      <w:r w:rsidR="004426CA" w:rsidRPr="00CE3398">
        <w:rPr>
          <w:rFonts w:ascii="Times New Roman" w:hAnsi="Times New Roman"/>
          <w:sz w:val="24"/>
          <w:szCs w:val="24"/>
        </w:rPr>
        <w:t xml:space="preserve">do gás natural e dos biocombustíveis, </w:t>
      </w:r>
      <w:r w:rsidRPr="00CE3398">
        <w:rPr>
          <w:rFonts w:ascii="Times New Roman" w:hAnsi="Times New Roman"/>
          <w:sz w:val="24"/>
          <w:szCs w:val="24"/>
        </w:rPr>
        <w:t>com ênfase na garantia do suprimento em todo o território nacional, e na proteção dos interesses dos consumidores quanto a preço, qualidade e oferta de produtos, buscou-se realizar uma avaliação mais detalhada das melhores alternativas para a implementação d</w:t>
      </w:r>
      <w:r w:rsidR="00695911" w:rsidRPr="00CE3398">
        <w:rPr>
          <w:rFonts w:ascii="Times New Roman" w:hAnsi="Times New Roman"/>
          <w:sz w:val="24"/>
          <w:szCs w:val="24"/>
        </w:rPr>
        <w:t>a resolução</w:t>
      </w:r>
      <w:r w:rsidRPr="00CE3398">
        <w:rPr>
          <w:rFonts w:ascii="Times New Roman" w:hAnsi="Times New Roman"/>
          <w:sz w:val="24"/>
          <w:szCs w:val="24"/>
        </w:rPr>
        <w:t>, com ampla consulta aos agentes afetados, a fim de subsidiar as futuras tomadas de decisão.</w:t>
      </w:r>
    </w:p>
    <w:p w:rsidR="0002519A" w:rsidRPr="00CE3398" w:rsidRDefault="0002519A" w:rsidP="0002519A">
      <w:pPr>
        <w:tabs>
          <w:tab w:val="left" w:pos="0"/>
        </w:tabs>
        <w:spacing w:after="120" w:line="240" w:lineRule="auto"/>
        <w:jc w:val="both"/>
        <w:rPr>
          <w:rFonts w:ascii="Times New Roman" w:hAnsi="Times New Roman"/>
          <w:sz w:val="24"/>
          <w:szCs w:val="24"/>
        </w:rPr>
      </w:pPr>
    </w:p>
    <w:p w:rsidR="0002519A" w:rsidRPr="00CE3398" w:rsidRDefault="0002519A" w:rsidP="0002519A">
      <w:pPr>
        <w:pStyle w:val="PargrafodaLista"/>
        <w:numPr>
          <w:ilvl w:val="1"/>
          <w:numId w:val="4"/>
        </w:numPr>
        <w:spacing w:after="120" w:line="240" w:lineRule="auto"/>
        <w:ind w:left="426" w:hanging="426"/>
        <w:contextualSpacing w:val="0"/>
        <w:rPr>
          <w:rFonts w:ascii="Times New Roman" w:hAnsi="Times New Roman"/>
          <w:b/>
          <w:sz w:val="24"/>
          <w:szCs w:val="24"/>
        </w:rPr>
      </w:pPr>
      <w:r w:rsidRPr="00CE3398">
        <w:rPr>
          <w:rFonts w:ascii="Times New Roman" w:hAnsi="Times New Roman"/>
          <w:b/>
          <w:sz w:val="24"/>
          <w:szCs w:val="24"/>
        </w:rPr>
        <w:t>CONSULTA AOS GRUPOS AFETADOS</w:t>
      </w:r>
    </w:p>
    <w:p w:rsidR="0002519A" w:rsidRPr="00CE3398" w:rsidRDefault="0002519A" w:rsidP="0002519A">
      <w:pPr>
        <w:tabs>
          <w:tab w:val="left" w:pos="0"/>
        </w:tabs>
        <w:spacing w:after="120" w:line="240" w:lineRule="auto"/>
        <w:jc w:val="both"/>
        <w:rPr>
          <w:rFonts w:ascii="Times New Roman" w:hAnsi="Times New Roman"/>
          <w:sz w:val="24"/>
          <w:szCs w:val="24"/>
        </w:rPr>
      </w:pPr>
      <w:r w:rsidRPr="00CE3398">
        <w:rPr>
          <w:rFonts w:ascii="Times New Roman" w:hAnsi="Times New Roman"/>
          <w:sz w:val="24"/>
          <w:szCs w:val="24"/>
        </w:rPr>
        <w:tab/>
      </w:r>
      <w:r w:rsidR="006E5C7A" w:rsidRPr="00CE3398">
        <w:rPr>
          <w:rFonts w:ascii="Times New Roman" w:hAnsi="Times New Roman"/>
          <w:sz w:val="24"/>
          <w:szCs w:val="24"/>
        </w:rPr>
        <w:t xml:space="preserve">Fornecedores </w:t>
      </w:r>
      <w:r w:rsidR="00B074E2" w:rsidRPr="00CE3398">
        <w:rPr>
          <w:rFonts w:ascii="Times New Roman" w:hAnsi="Times New Roman"/>
          <w:sz w:val="24"/>
          <w:szCs w:val="24"/>
        </w:rPr>
        <w:t xml:space="preserve">de aditivos, produtores e distribuidores de gasolina A, e a </w:t>
      </w:r>
      <w:proofErr w:type="spellStart"/>
      <w:proofErr w:type="gramStart"/>
      <w:r w:rsidR="00B074E2" w:rsidRPr="00CE3398">
        <w:rPr>
          <w:rFonts w:ascii="Times New Roman" w:hAnsi="Times New Roman"/>
          <w:sz w:val="24"/>
          <w:szCs w:val="24"/>
        </w:rPr>
        <w:t>Anfavea</w:t>
      </w:r>
      <w:proofErr w:type="spellEnd"/>
      <w:proofErr w:type="gramEnd"/>
      <w:r w:rsidR="00157832" w:rsidRPr="00CE3398">
        <w:rPr>
          <w:rFonts w:ascii="Times New Roman" w:hAnsi="Times New Roman"/>
          <w:sz w:val="24"/>
          <w:szCs w:val="24"/>
        </w:rPr>
        <w:t xml:space="preserve"> participaram do processo de discussão sobre a regulamentação, por meio de reuniões e consultas. Foram encaminhados, para esses agentes, </w:t>
      </w:r>
      <w:r w:rsidRPr="00CE3398">
        <w:rPr>
          <w:rFonts w:ascii="Times New Roman" w:hAnsi="Times New Roman"/>
          <w:sz w:val="24"/>
          <w:szCs w:val="24"/>
        </w:rPr>
        <w:t xml:space="preserve">questionários </w:t>
      </w:r>
      <w:r w:rsidR="00157832" w:rsidRPr="00CE3398">
        <w:rPr>
          <w:rFonts w:ascii="Times New Roman" w:hAnsi="Times New Roman"/>
          <w:sz w:val="24"/>
          <w:szCs w:val="24"/>
        </w:rPr>
        <w:t xml:space="preserve">que abordaram questões relativas a </w:t>
      </w:r>
      <w:r w:rsidR="002D20B3" w:rsidRPr="00CE3398">
        <w:rPr>
          <w:rFonts w:ascii="Times New Roman" w:hAnsi="Times New Roman"/>
          <w:sz w:val="24"/>
          <w:szCs w:val="24"/>
        </w:rPr>
        <w:t xml:space="preserve">dispêndios </w:t>
      </w:r>
      <w:r w:rsidR="00157832" w:rsidRPr="00CE3398">
        <w:rPr>
          <w:rFonts w:ascii="Times New Roman" w:hAnsi="Times New Roman"/>
          <w:sz w:val="24"/>
          <w:szCs w:val="24"/>
        </w:rPr>
        <w:t xml:space="preserve">e prazos de adaptação, benefícios e desafios para o atendimento da aditivação proposta. As principais </w:t>
      </w:r>
      <w:r w:rsidRPr="00CE3398">
        <w:rPr>
          <w:rFonts w:ascii="Times New Roman" w:hAnsi="Times New Roman"/>
          <w:sz w:val="24"/>
          <w:szCs w:val="24"/>
        </w:rPr>
        <w:t>informações extraídas a partir desses questionários estão sintetizadas abaixo, preservando a identificação dos agentes.</w:t>
      </w:r>
    </w:p>
    <w:p w:rsidR="0002519A" w:rsidRPr="00CE3398" w:rsidRDefault="00157832" w:rsidP="00157832">
      <w:pPr>
        <w:tabs>
          <w:tab w:val="left" w:pos="0"/>
        </w:tabs>
        <w:spacing w:after="120" w:line="240" w:lineRule="auto"/>
        <w:jc w:val="both"/>
        <w:rPr>
          <w:rFonts w:ascii="Times New Roman" w:hAnsi="Times New Roman"/>
          <w:sz w:val="24"/>
          <w:szCs w:val="24"/>
        </w:rPr>
      </w:pPr>
      <w:r w:rsidRPr="00CE3398">
        <w:rPr>
          <w:rFonts w:ascii="Times New Roman" w:hAnsi="Times New Roman"/>
          <w:sz w:val="24"/>
          <w:szCs w:val="24"/>
        </w:rPr>
        <w:tab/>
      </w:r>
      <w:r w:rsidR="0002519A" w:rsidRPr="00CE3398">
        <w:rPr>
          <w:rFonts w:ascii="Times New Roman" w:hAnsi="Times New Roman"/>
          <w:sz w:val="24"/>
          <w:szCs w:val="24"/>
        </w:rPr>
        <w:t xml:space="preserve">As respostas ao primeiro pedido de informação, fornecidas pelos produtores de gasolina A e pelos distribuidores, variaram muito tanto em termos de valores quanto em relação aos parâmetros utilizados para o cálculo, o que impossibilitou uma comparação objetiva dos </w:t>
      </w:r>
      <w:r w:rsidR="002D20B3" w:rsidRPr="00CE3398">
        <w:rPr>
          <w:rFonts w:ascii="Times New Roman" w:hAnsi="Times New Roman"/>
          <w:sz w:val="24"/>
          <w:szCs w:val="24"/>
        </w:rPr>
        <w:t>dispêndios com</w:t>
      </w:r>
      <w:r w:rsidR="0002519A" w:rsidRPr="00CE3398">
        <w:rPr>
          <w:rFonts w:ascii="Times New Roman" w:hAnsi="Times New Roman"/>
          <w:sz w:val="24"/>
          <w:szCs w:val="24"/>
        </w:rPr>
        <w:t xml:space="preserve"> adaptação. Dessa forma, em novembro de 2012, esses agentes receberam novo </w:t>
      </w:r>
      <w:r w:rsidR="0002519A" w:rsidRPr="00CE3398">
        <w:rPr>
          <w:rFonts w:ascii="Times New Roman" w:hAnsi="Times New Roman"/>
          <w:sz w:val="24"/>
          <w:szCs w:val="24"/>
        </w:rPr>
        <w:lastRenderedPageBreak/>
        <w:t>pedido de informaç</w:t>
      </w:r>
      <w:r w:rsidR="00371675" w:rsidRPr="00CE3398">
        <w:rPr>
          <w:rFonts w:ascii="Times New Roman" w:hAnsi="Times New Roman"/>
          <w:sz w:val="24"/>
          <w:szCs w:val="24"/>
        </w:rPr>
        <w:t>ões</w:t>
      </w:r>
      <w:r w:rsidR="0002519A" w:rsidRPr="00CE3398">
        <w:rPr>
          <w:rFonts w:ascii="Times New Roman" w:hAnsi="Times New Roman"/>
          <w:sz w:val="24"/>
          <w:szCs w:val="24"/>
        </w:rPr>
        <w:t xml:space="preserve"> por parte da ANP, </w:t>
      </w:r>
      <w:r w:rsidR="002D20B3" w:rsidRPr="00CE3398">
        <w:rPr>
          <w:rFonts w:ascii="Times New Roman" w:hAnsi="Times New Roman"/>
          <w:sz w:val="24"/>
          <w:szCs w:val="24"/>
        </w:rPr>
        <w:t>já com a definição das</w:t>
      </w:r>
      <w:r w:rsidR="0002519A" w:rsidRPr="00CE3398">
        <w:rPr>
          <w:rFonts w:ascii="Times New Roman" w:hAnsi="Times New Roman"/>
          <w:sz w:val="24"/>
          <w:szCs w:val="24"/>
        </w:rPr>
        <w:t xml:space="preserve"> categorias de </w:t>
      </w:r>
      <w:r w:rsidR="002D20B3" w:rsidRPr="00CE3398">
        <w:rPr>
          <w:rFonts w:ascii="Times New Roman" w:hAnsi="Times New Roman"/>
          <w:sz w:val="24"/>
          <w:szCs w:val="24"/>
        </w:rPr>
        <w:t xml:space="preserve">dispêndio </w:t>
      </w:r>
      <w:r w:rsidR="0002519A" w:rsidRPr="00CE3398">
        <w:rPr>
          <w:rFonts w:ascii="Times New Roman" w:hAnsi="Times New Roman"/>
          <w:sz w:val="24"/>
          <w:szCs w:val="24"/>
        </w:rPr>
        <w:t>a serem observadas quando da elaboração d</w:t>
      </w:r>
      <w:r w:rsidR="00371675" w:rsidRPr="00CE3398">
        <w:rPr>
          <w:rFonts w:ascii="Times New Roman" w:hAnsi="Times New Roman"/>
          <w:sz w:val="24"/>
          <w:szCs w:val="24"/>
        </w:rPr>
        <w:t>e</w:t>
      </w:r>
      <w:r w:rsidR="0002519A" w:rsidRPr="00CE3398">
        <w:rPr>
          <w:rFonts w:ascii="Times New Roman" w:hAnsi="Times New Roman"/>
          <w:sz w:val="24"/>
          <w:szCs w:val="24"/>
        </w:rPr>
        <w:t xml:space="preserve"> suas estimativas.</w:t>
      </w:r>
    </w:p>
    <w:p w:rsidR="0002519A" w:rsidRPr="00CE3398" w:rsidRDefault="0002519A" w:rsidP="0002519A">
      <w:pPr>
        <w:tabs>
          <w:tab w:val="left" w:pos="0"/>
        </w:tabs>
        <w:spacing w:after="120" w:line="240" w:lineRule="auto"/>
        <w:jc w:val="both"/>
        <w:rPr>
          <w:rFonts w:ascii="Times New Roman" w:hAnsi="Times New Roman"/>
          <w:sz w:val="24"/>
          <w:szCs w:val="24"/>
        </w:rPr>
      </w:pPr>
    </w:p>
    <w:p w:rsidR="0002519A" w:rsidRPr="00CE3398" w:rsidRDefault="003645F6" w:rsidP="0002519A">
      <w:pPr>
        <w:pStyle w:val="PargrafodaLista"/>
        <w:numPr>
          <w:ilvl w:val="2"/>
          <w:numId w:val="4"/>
        </w:numPr>
        <w:spacing w:after="120" w:line="240" w:lineRule="auto"/>
        <w:ind w:left="709" w:hanging="709"/>
        <w:contextualSpacing w:val="0"/>
        <w:rPr>
          <w:rFonts w:ascii="Times New Roman" w:hAnsi="Times New Roman"/>
          <w:b/>
          <w:sz w:val="24"/>
          <w:szCs w:val="24"/>
        </w:rPr>
      </w:pPr>
      <w:r w:rsidRPr="00CE3398">
        <w:rPr>
          <w:rFonts w:ascii="Times New Roman" w:hAnsi="Times New Roman"/>
          <w:b/>
          <w:sz w:val="24"/>
          <w:szCs w:val="24"/>
        </w:rPr>
        <w:t>FORNECEDORES DE ADITIVOS</w:t>
      </w:r>
    </w:p>
    <w:p w:rsidR="0002519A" w:rsidRPr="00CE3398" w:rsidRDefault="00157832"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Quatro </w:t>
      </w:r>
      <w:r w:rsidR="0002519A" w:rsidRPr="00CE3398">
        <w:rPr>
          <w:rFonts w:ascii="Times New Roman" w:hAnsi="Times New Roman"/>
          <w:sz w:val="24"/>
          <w:szCs w:val="24"/>
        </w:rPr>
        <w:t xml:space="preserve">fornecedores de aditivos responderam </w:t>
      </w:r>
      <w:r w:rsidR="00B154EA" w:rsidRPr="00CE3398">
        <w:rPr>
          <w:rFonts w:ascii="Times New Roman" w:hAnsi="Times New Roman"/>
          <w:sz w:val="24"/>
          <w:szCs w:val="24"/>
        </w:rPr>
        <w:t>a</w:t>
      </w:r>
      <w:r w:rsidR="0002519A" w:rsidRPr="00CE3398">
        <w:rPr>
          <w:rFonts w:ascii="Times New Roman" w:hAnsi="Times New Roman"/>
          <w:sz w:val="24"/>
          <w:szCs w:val="24"/>
        </w:rPr>
        <w:t xml:space="preserve">os questionários enviados (Anexo </w:t>
      </w:r>
      <w:r w:rsidR="00F367D5" w:rsidRPr="00CE3398">
        <w:rPr>
          <w:rFonts w:ascii="Times New Roman" w:hAnsi="Times New Roman"/>
          <w:sz w:val="24"/>
          <w:szCs w:val="24"/>
        </w:rPr>
        <w:t>III</w:t>
      </w:r>
      <w:r w:rsidR="0002519A" w:rsidRPr="00CE3398">
        <w:rPr>
          <w:rFonts w:ascii="Times New Roman" w:hAnsi="Times New Roman"/>
          <w:sz w:val="24"/>
          <w:szCs w:val="24"/>
        </w:rPr>
        <w:t>), que abordavam</w:t>
      </w:r>
      <w:r w:rsidR="004E4482" w:rsidRPr="00CE3398">
        <w:rPr>
          <w:rFonts w:ascii="Times New Roman" w:hAnsi="Times New Roman"/>
          <w:sz w:val="24"/>
          <w:szCs w:val="24"/>
        </w:rPr>
        <w:t xml:space="preserve">, dentre outros, pontos </w:t>
      </w:r>
      <w:r w:rsidR="0002519A" w:rsidRPr="00CE3398">
        <w:rPr>
          <w:rFonts w:ascii="Times New Roman" w:hAnsi="Times New Roman"/>
          <w:sz w:val="24"/>
          <w:szCs w:val="24"/>
        </w:rPr>
        <w:t>relativ</w:t>
      </w:r>
      <w:r w:rsidR="004E4482" w:rsidRPr="00CE3398">
        <w:rPr>
          <w:rFonts w:ascii="Times New Roman" w:hAnsi="Times New Roman"/>
          <w:sz w:val="24"/>
          <w:szCs w:val="24"/>
        </w:rPr>
        <w:t>o</w:t>
      </w:r>
      <w:r w:rsidR="0002519A" w:rsidRPr="00CE3398">
        <w:rPr>
          <w:rFonts w:ascii="Times New Roman" w:hAnsi="Times New Roman"/>
          <w:sz w:val="24"/>
          <w:szCs w:val="24"/>
        </w:rPr>
        <w:t xml:space="preserve">s </w:t>
      </w:r>
      <w:r w:rsidR="001768B5" w:rsidRPr="00CE3398">
        <w:rPr>
          <w:rFonts w:ascii="Times New Roman" w:hAnsi="Times New Roman"/>
          <w:sz w:val="24"/>
          <w:szCs w:val="24"/>
        </w:rPr>
        <w:t>às</w:t>
      </w:r>
      <w:r w:rsidR="0002519A" w:rsidRPr="00CE3398">
        <w:rPr>
          <w:rFonts w:ascii="Times New Roman" w:hAnsi="Times New Roman"/>
          <w:sz w:val="24"/>
          <w:szCs w:val="24"/>
        </w:rPr>
        <w:t xml:space="preserve"> estimativas de </w:t>
      </w:r>
      <w:r w:rsidR="00534373" w:rsidRPr="00CE3398">
        <w:rPr>
          <w:rFonts w:ascii="Times New Roman" w:hAnsi="Times New Roman"/>
          <w:sz w:val="24"/>
          <w:szCs w:val="24"/>
        </w:rPr>
        <w:t>dispêndios com a</w:t>
      </w:r>
      <w:r w:rsidR="0002519A" w:rsidRPr="00CE3398">
        <w:rPr>
          <w:rFonts w:ascii="Times New Roman" w:hAnsi="Times New Roman"/>
          <w:sz w:val="24"/>
          <w:szCs w:val="24"/>
        </w:rPr>
        <w:t xml:space="preserve"> expansão da capacidade, preços, compatibilidade entre diferentes aditivos </w:t>
      </w:r>
      <w:r w:rsidR="00371675" w:rsidRPr="00CE3398">
        <w:rPr>
          <w:rFonts w:ascii="Times New Roman" w:hAnsi="Times New Roman"/>
          <w:sz w:val="24"/>
          <w:szCs w:val="24"/>
        </w:rPr>
        <w:t>na</w:t>
      </w:r>
      <w:r w:rsidR="0002519A" w:rsidRPr="00CE3398">
        <w:rPr>
          <w:rFonts w:ascii="Times New Roman" w:hAnsi="Times New Roman"/>
          <w:sz w:val="24"/>
          <w:szCs w:val="24"/>
        </w:rPr>
        <w:t xml:space="preserve"> gasolina. As respostas </w:t>
      </w:r>
      <w:r w:rsidR="000952CA" w:rsidRPr="00CE3398">
        <w:rPr>
          <w:rFonts w:ascii="Times New Roman" w:hAnsi="Times New Roman"/>
          <w:sz w:val="24"/>
          <w:szCs w:val="24"/>
        </w:rPr>
        <w:t>desses agentes</w:t>
      </w:r>
      <w:r w:rsidR="0002519A" w:rsidRPr="00CE3398">
        <w:rPr>
          <w:rFonts w:ascii="Times New Roman" w:hAnsi="Times New Roman"/>
          <w:sz w:val="24"/>
          <w:szCs w:val="24"/>
        </w:rPr>
        <w:t xml:space="preserve"> proveram os insumos necessários para avaliar a questão da disponibilidade </w:t>
      </w:r>
      <w:r w:rsidR="00371A4E" w:rsidRPr="00CE3398">
        <w:rPr>
          <w:rFonts w:ascii="Times New Roman" w:hAnsi="Times New Roman"/>
          <w:sz w:val="24"/>
          <w:szCs w:val="24"/>
        </w:rPr>
        <w:t>com vistas a</w:t>
      </w:r>
      <w:r w:rsidR="00891129" w:rsidRPr="00CE3398">
        <w:rPr>
          <w:rFonts w:ascii="Times New Roman" w:hAnsi="Times New Roman"/>
          <w:sz w:val="24"/>
          <w:szCs w:val="24"/>
        </w:rPr>
        <w:t xml:space="preserve">o </w:t>
      </w:r>
      <w:r w:rsidR="0002519A" w:rsidRPr="00CE3398">
        <w:rPr>
          <w:rFonts w:ascii="Times New Roman" w:hAnsi="Times New Roman"/>
          <w:sz w:val="24"/>
          <w:szCs w:val="24"/>
        </w:rPr>
        <w:t>atendimento da demanda potencial, bem como conhecer os impactos estimados sobre o preço final do combustível.</w:t>
      </w:r>
    </w:p>
    <w:p w:rsidR="0002519A" w:rsidRPr="00CE3398" w:rsidRDefault="0002519A" w:rsidP="0002519A">
      <w:pPr>
        <w:tabs>
          <w:tab w:val="left" w:pos="0"/>
        </w:tabs>
        <w:spacing w:after="120" w:line="240" w:lineRule="auto"/>
        <w:jc w:val="both"/>
        <w:rPr>
          <w:rFonts w:ascii="Times New Roman" w:hAnsi="Times New Roman"/>
          <w:sz w:val="24"/>
          <w:szCs w:val="24"/>
        </w:rPr>
      </w:pPr>
    </w:p>
    <w:p w:rsidR="0002519A" w:rsidRPr="00CE3398" w:rsidRDefault="00534373" w:rsidP="00515DE5">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 xml:space="preserve">Dispêndios </w:t>
      </w:r>
      <w:r w:rsidR="0002519A" w:rsidRPr="00CE3398">
        <w:rPr>
          <w:rFonts w:ascii="Times New Roman" w:hAnsi="Times New Roman"/>
          <w:b/>
          <w:sz w:val="24"/>
          <w:szCs w:val="24"/>
        </w:rPr>
        <w:t>e Prazos da Adaptação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Quando questionados sobre os </w:t>
      </w:r>
      <w:r w:rsidR="00534373" w:rsidRPr="00CE3398">
        <w:rPr>
          <w:rFonts w:ascii="Times New Roman" w:hAnsi="Times New Roman"/>
          <w:sz w:val="24"/>
          <w:szCs w:val="24"/>
        </w:rPr>
        <w:t xml:space="preserve">dispêndios </w:t>
      </w:r>
      <w:r w:rsidRPr="00CE3398">
        <w:rPr>
          <w:rFonts w:ascii="Times New Roman" w:hAnsi="Times New Roman"/>
          <w:sz w:val="24"/>
          <w:szCs w:val="24"/>
        </w:rPr>
        <w:t xml:space="preserve">necessários à aditivação </w:t>
      </w:r>
      <w:r w:rsidR="0037622D" w:rsidRPr="00CE3398">
        <w:rPr>
          <w:rFonts w:ascii="Times New Roman" w:hAnsi="Times New Roman"/>
          <w:sz w:val="24"/>
          <w:szCs w:val="24"/>
        </w:rPr>
        <w:t xml:space="preserve">mínima </w:t>
      </w:r>
      <w:r w:rsidRPr="00CE3398">
        <w:rPr>
          <w:rFonts w:ascii="Times New Roman" w:hAnsi="Times New Roman"/>
          <w:sz w:val="24"/>
          <w:szCs w:val="24"/>
        </w:rPr>
        <w:t xml:space="preserve">da gasolina, os fornecedores de aditivos apresentaram respostas bastante divergentes, variando de nenhum </w:t>
      </w:r>
      <w:r w:rsidR="00534373" w:rsidRPr="00CE3398">
        <w:rPr>
          <w:rFonts w:ascii="Times New Roman" w:hAnsi="Times New Roman"/>
          <w:sz w:val="24"/>
          <w:szCs w:val="24"/>
        </w:rPr>
        <w:t xml:space="preserve">dispêndio </w:t>
      </w:r>
      <w:r w:rsidRPr="00CE3398">
        <w:rPr>
          <w:rFonts w:ascii="Times New Roman" w:hAnsi="Times New Roman"/>
          <w:sz w:val="24"/>
          <w:szCs w:val="24"/>
        </w:rPr>
        <w:t>adicional necessário até US$ 750 mil, caso a produção seja local.</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Além dos investimentos em adequação da infraestrutura, os maiores </w:t>
      </w:r>
      <w:r w:rsidR="00534373" w:rsidRPr="00CE3398">
        <w:rPr>
          <w:rFonts w:ascii="Times New Roman" w:hAnsi="Times New Roman"/>
          <w:sz w:val="24"/>
          <w:szCs w:val="24"/>
        </w:rPr>
        <w:t>dispêndios</w:t>
      </w:r>
      <w:r w:rsidRPr="00CE3398">
        <w:rPr>
          <w:rFonts w:ascii="Times New Roman" w:hAnsi="Times New Roman"/>
          <w:sz w:val="24"/>
          <w:szCs w:val="24"/>
        </w:rPr>
        <w:t xml:space="preserve"> relatados pelos </w:t>
      </w:r>
      <w:r w:rsidR="00313C16" w:rsidRPr="00CE3398">
        <w:rPr>
          <w:rFonts w:ascii="Times New Roman" w:hAnsi="Times New Roman"/>
          <w:sz w:val="24"/>
          <w:szCs w:val="24"/>
        </w:rPr>
        <w:t xml:space="preserve">fornecedores </w:t>
      </w:r>
      <w:r w:rsidRPr="00CE3398">
        <w:rPr>
          <w:rFonts w:ascii="Times New Roman" w:hAnsi="Times New Roman"/>
          <w:sz w:val="24"/>
          <w:szCs w:val="24"/>
        </w:rPr>
        <w:t>de aditivos estão relacionados a testes e registro</w:t>
      </w:r>
      <w:r w:rsidR="004E4482" w:rsidRPr="00CE3398">
        <w:rPr>
          <w:rFonts w:ascii="Times New Roman" w:hAnsi="Times New Roman"/>
          <w:sz w:val="24"/>
          <w:szCs w:val="24"/>
        </w:rPr>
        <w:t>s</w:t>
      </w:r>
      <w:r w:rsidRPr="00CE3398">
        <w:rPr>
          <w:rFonts w:ascii="Times New Roman" w:hAnsi="Times New Roman"/>
          <w:sz w:val="24"/>
          <w:szCs w:val="24"/>
        </w:rPr>
        <w:t xml:space="preserve"> dos produtos, cuja estima</w:t>
      </w:r>
      <w:r w:rsidR="00891129" w:rsidRPr="00CE3398">
        <w:rPr>
          <w:rFonts w:ascii="Times New Roman" w:hAnsi="Times New Roman"/>
          <w:sz w:val="24"/>
          <w:szCs w:val="24"/>
        </w:rPr>
        <w:t>tiva</w:t>
      </w:r>
      <w:r w:rsidRPr="00CE3398">
        <w:rPr>
          <w:rFonts w:ascii="Times New Roman" w:hAnsi="Times New Roman"/>
          <w:sz w:val="24"/>
          <w:szCs w:val="24"/>
        </w:rPr>
        <w:t xml:space="preserve"> pelos agentes variou entre R$ 100 mil e R$ 550 mil. Nem todas as empresas questionadas souberam estimar esses valores, alegando indefinição sobre os </w:t>
      </w:r>
      <w:r w:rsidR="00534373" w:rsidRPr="00CE3398">
        <w:rPr>
          <w:rFonts w:ascii="Times New Roman" w:hAnsi="Times New Roman"/>
          <w:sz w:val="24"/>
          <w:szCs w:val="24"/>
        </w:rPr>
        <w:t xml:space="preserve">preços </w:t>
      </w:r>
      <w:r w:rsidRPr="00CE3398">
        <w:rPr>
          <w:rFonts w:ascii="Times New Roman" w:hAnsi="Times New Roman"/>
          <w:sz w:val="24"/>
          <w:szCs w:val="24"/>
        </w:rPr>
        <w:t xml:space="preserve">dos testes nos laboratórios brasileiros e sobre a especificação da gasolina </w:t>
      </w:r>
      <w:r w:rsidR="00371A4E" w:rsidRPr="00CE3398">
        <w:rPr>
          <w:rFonts w:ascii="Times New Roman" w:hAnsi="Times New Roman"/>
          <w:sz w:val="24"/>
          <w:szCs w:val="24"/>
        </w:rPr>
        <w:t xml:space="preserve">a </w:t>
      </w:r>
      <w:r w:rsidRPr="00CE3398">
        <w:rPr>
          <w:rFonts w:ascii="Times New Roman" w:hAnsi="Times New Roman"/>
          <w:sz w:val="24"/>
          <w:szCs w:val="24"/>
        </w:rPr>
        <w:t>ser utilizada.</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Em relação</w:t>
      </w:r>
      <w:r w:rsidR="00157832" w:rsidRPr="00CE3398">
        <w:rPr>
          <w:rFonts w:ascii="Times New Roman" w:hAnsi="Times New Roman"/>
          <w:sz w:val="24"/>
          <w:szCs w:val="24"/>
        </w:rPr>
        <w:t xml:space="preserve"> a possíveis impactos regionais da medida</w:t>
      </w:r>
      <w:r w:rsidRPr="00CE3398">
        <w:rPr>
          <w:rFonts w:ascii="Times New Roman" w:hAnsi="Times New Roman"/>
          <w:sz w:val="24"/>
          <w:szCs w:val="24"/>
        </w:rPr>
        <w:t xml:space="preserve">, os fornecedores informaram que o preço do aditivo varia entre diferentes localidades do país, uma vez que os </w:t>
      </w:r>
      <w:r w:rsidR="004E4482" w:rsidRPr="00CE3398">
        <w:rPr>
          <w:rFonts w:ascii="Times New Roman" w:hAnsi="Times New Roman"/>
          <w:sz w:val="24"/>
          <w:szCs w:val="24"/>
        </w:rPr>
        <w:t xml:space="preserve">tributos </w:t>
      </w:r>
      <w:r w:rsidRPr="00CE3398">
        <w:rPr>
          <w:rFonts w:ascii="Times New Roman" w:hAnsi="Times New Roman"/>
          <w:sz w:val="24"/>
          <w:szCs w:val="24"/>
        </w:rPr>
        <w:t xml:space="preserve">e </w:t>
      </w:r>
      <w:r w:rsidR="00534373" w:rsidRPr="00CE3398">
        <w:rPr>
          <w:rFonts w:ascii="Times New Roman" w:hAnsi="Times New Roman"/>
          <w:sz w:val="24"/>
          <w:szCs w:val="24"/>
        </w:rPr>
        <w:t xml:space="preserve">preços </w:t>
      </w:r>
      <w:r w:rsidRPr="00CE3398">
        <w:rPr>
          <w:rFonts w:ascii="Times New Roman" w:hAnsi="Times New Roman"/>
          <w:sz w:val="24"/>
          <w:szCs w:val="24"/>
        </w:rPr>
        <w:t xml:space="preserve">de frete afetam significativamente os valores finais dos produtos. Além disso, apontam que o preço </w:t>
      </w:r>
      <w:r w:rsidR="00534373" w:rsidRPr="00CE3398">
        <w:rPr>
          <w:rFonts w:ascii="Times New Roman" w:hAnsi="Times New Roman"/>
          <w:sz w:val="24"/>
          <w:szCs w:val="24"/>
        </w:rPr>
        <w:t xml:space="preserve">do aditivo </w:t>
      </w:r>
      <w:r w:rsidRPr="00CE3398">
        <w:rPr>
          <w:rFonts w:ascii="Times New Roman" w:hAnsi="Times New Roman"/>
          <w:sz w:val="24"/>
          <w:szCs w:val="24"/>
        </w:rPr>
        <w:t>costuma estar atrelado ao dólar, uma vez que o produto tende a ser importado. A maior parte das empresas, no entanto, indicou que a adição do aditivo causaria um impacto no preço final da gasolina que não ultrapassaria R$ 0,01 por litro.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No que diz respeito aos ganhos de escala decorrentes da aditivação </w:t>
      </w:r>
      <w:r w:rsidR="000952CA" w:rsidRPr="00CE3398">
        <w:rPr>
          <w:rFonts w:ascii="Times New Roman" w:hAnsi="Times New Roman"/>
          <w:sz w:val="24"/>
          <w:szCs w:val="24"/>
        </w:rPr>
        <w:t>com detergentes dispersantes</w:t>
      </w:r>
      <w:r w:rsidRPr="00CE3398">
        <w:rPr>
          <w:rFonts w:ascii="Times New Roman" w:hAnsi="Times New Roman"/>
          <w:sz w:val="24"/>
          <w:szCs w:val="24"/>
        </w:rPr>
        <w:t>, a maior parte dos fornecedores respondeu que possivelmente haverá benefícios relacionados à importação dos aditivos, transporte e armazenagem, além da compra de insumos locais</w:t>
      </w:r>
      <w:r w:rsidR="005453D4" w:rsidRPr="00CE3398">
        <w:rPr>
          <w:rFonts w:ascii="Times New Roman" w:hAnsi="Times New Roman"/>
          <w:sz w:val="24"/>
          <w:szCs w:val="24"/>
        </w:rPr>
        <w:t>, como</w:t>
      </w:r>
      <w:r w:rsidRPr="00CE3398">
        <w:rPr>
          <w:rFonts w:ascii="Times New Roman" w:hAnsi="Times New Roman"/>
          <w:sz w:val="24"/>
          <w:szCs w:val="24"/>
        </w:rPr>
        <w:t xml:space="preserve"> tambores</w:t>
      </w:r>
      <w:r w:rsidR="005453D4" w:rsidRPr="00CE3398">
        <w:rPr>
          <w:rFonts w:ascii="Times New Roman" w:hAnsi="Times New Roman"/>
          <w:sz w:val="24"/>
          <w:szCs w:val="24"/>
        </w:rPr>
        <w:t xml:space="preserve"> e</w:t>
      </w:r>
      <w:r w:rsidRPr="00CE3398">
        <w:rPr>
          <w:rFonts w:ascii="Times New Roman" w:hAnsi="Times New Roman"/>
          <w:sz w:val="24"/>
          <w:szCs w:val="24"/>
        </w:rPr>
        <w:t xml:space="preserve"> </w:t>
      </w:r>
      <w:proofErr w:type="spellStart"/>
      <w:r w:rsidRPr="00CE3398">
        <w:rPr>
          <w:rFonts w:ascii="Times New Roman" w:hAnsi="Times New Roman"/>
          <w:i/>
          <w:sz w:val="24"/>
          <w:szCs w:val="24"/>
        </w:rPr>
        <w:t>pallets</w:t>
      </w:r>
      <w:proofErr w:type="spellEnd"/>
      <w:r w:rsidRPr="00CE3398">
        <w:rPr>
          <w:rFonts w:ascii="Times New Roman" w:hAnsi="Times New Roman"/>
          <w:sz w:val="24"/>
          <w:szCs w:val="24"/>
        </w:rPr>
        <w:t>. Foi mencionado</w:t>
      </w:r>
      <w:r w:rsidR="005453D4" w:rsidRPr="00CE3398">
        <w:rPr>
          <w:rFonts w:ascii="Times New Roman" w:hAnsi="Times New Roman"/>
          <w:sz w:val="24"/>
          <w:szCs w:val="24"/>
        </w:rPr>
        <w:t>,</w:t>
      </w:r>
      <w:r w:rsidRPr="00CE3398">
        <w:rPr>
          <w:rFonts w:ascii="Times New Roman" w:hAnsi="Times New Roman"/>
          <w:sz w:val="24"/>
          <w:szCs w:val="24"/>
        </w:rPr>
        <w:t xml:space="preserve"> ainda</w:t>
      </w:r>
      <w:r w:rsidR="005453D4" w:rsidRPr="00CE3398">
        <w:rPr>
          <w:rFonts w:ascii="Times New Roman" w:hAnsi="Times New Roman"/>
          <w:sz w:val="24"/>
          <w:szCs w:val="24"/>
        </w:rPr>
        <w:t>,</w:t>
      </w:r>
      <w:r w:rsidRPr="00CE3398">
        <w:rPr>
          <w:rFonts w:ascii="Times New Roman" w:hAnsi="Times New Roman"/>
          <w:sz w:val="24"/>
          <w:szCs w:val="24"/>
        </w:rPr>
        <w:t xml:space="preserve"> que a escala poderia favorecer </w:t>
      </w:r>
      <w:r w:rsidR="006D1CE8" w:rsidRPr="00CE3398">
        <w:rPr>
          <w:rFonts w:ascii="Times New Roman" w:hAnsi="Times New Roman"/>
          <w:sz w:val="24"/>
          <w:szCs w:val="24"/>
        </w:rPr>
        <w:t xml:space="preserve">a formulação </w:t>
      </w:r>
      <w:r w:rsidRPr="00CE3398">
        <w:rPr>
          <w:rFonts w:ascii="Times New Roman" w:hAnsi="Times New Roman"/>
          <w:sz w:val="24"/>
          <w:szCs w:val="24"/>
        </w:rPr>
        <w:t xml:space="preserve">local </w:t>
      </w:r>
      <w:r w:rsidR="006D1CE8" w:rsidRPr="00CE3398">
        <w:rPr>
          <w:rFonts w:ascii="Times New Roman" w:hAnsi="Times New Roman"/>
          <w:sz w:val="24"/>
          <w:szCs w:val="24"/>
        </w:rPr>
        <w:t>dos pacotes de aditivos (</w:t>
      </w:r>
      <w:proofErr w:type="spellStart"/>
      <w:r w:rsidR="006D1CE8" w:rsidRPr="00CE3398">
        <w:rPr>
          <w:rFonts w:ascii="Times New Roman" w:hAnsi="Times New Roman"/>
          <w:i/>
          <w:sz w:val="24"/>
          <w:szCs w:val="24"/>
        </w:rPr>
        <w:t>blending</w:t>
      </w:r>
      <w:proofErr w:type="spellEnd"/>
      <w:r w:rsidR="006D1CE8" w:rsidRPr="00CE3398">
        <w:rPr>
          <w:rFonts w:ascii="Times New Roman" w:hAnsi="Times New Roman"/>
          <w:sz w:val="24"/>
          <w:szCs w:val="24"/>
        </w:rPr>
        <w:t xml:space="preserve">) </w:t>
      </w:r>
      <w:r w:rsidRPr="00CE3398">
        <w:rPr>
          <w:rFonts w:ascii="Times New Roman" w:hAnsi="Times New Roman"/>
          <w:sz w:val="24"/>
          <w:szCs w:val="24"/>
        </w:rPr>
        <w:t>e a possibilidade de produção no país.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Outra questão que apresentou divergência entre os </w:t>
      </w:r>
      <w:r w:rsidR="00313C16" w:rsidRPr="00CE3398">
        <w:rPr>
          <w:rFonts w:ascii="Times New Roman" w:hAnsi="Times New Roman"/>
          <w:sz w:val="24"/>
          <w:szCs w:val="24"/>
        </w:rPr>
        <w:t xml:space="preserve">fornecedores </w:t>
      </w:r>
      <w:r w:rsidRPr="00CE3398">
        <w:rPr>
          <w:rFonts w:ascii="Times New Roman" w:hAnsi="Times New Roman"/>
          <w:sz w:val="24"/>
          <w:szCs w:val="24"/>
        </w:rPr>
        <w:t xml:space="preserve">foi </w:t>
      </w:r>
      <w:proofErr w:type="gramStart"/>
      <w:r w:rsidRPr="00CE3398">
        <w:rPr>
          <w:rFonts w:ascii="Times New Roman" w:hAnsi="Times New Roman"/>
          <w:sz w:val="24"/>
          <w:szCs w:val="24"/>
        </w:rPr>
        <w:t>a</w:t>
      </w:r>
      <w:proofErr w:type="gramEnd"/>
      <w:r w:rsidRPr="00CE3398">
        <w:rPr>
          <w:rFonts w:ascii="Times New Roman" w:hAnsi="Times New Roman"/>
          <w:sz w:val="24"/>
          <w:szCs w:val="24"/>
        </w:rPr>
        <w:t xml:space="preserve"> estimativa de tempo para desenvolvimento e homologação dos aditivos (registro junto à ANP), com prazos variando entre </w:t>
      </w:r>
      <w:r w:rsidR="004C25FB">
        <w:rPr>
          <w:rFonts w:ascii="Times New Roman" w:hAnsi="Times New Roman"/>
          <w:sz w:val="24"/>
          <w:szCs w:val="24"/>
        </w:rPr>
        <w:t>um</w:t>
      </w:r>
      <w:r w:rsidRPr="00CE3398">
        <w:rPr>
          <w:rFonts w:ascii="Times New Roman" w:hAnsi="Times New Roman"/>
          <w:sz w:val="24"/>
          <w:szCs w:val="24"/>
        </w:rPr>
        <w:t xml:space="preserve"> e </w:t>
      </w:r>
      <w:r w:rsidR="004C25FB">
        <w:rPr>
          <w:rFonts w:ascii="Times New Roman" w:hAnsi="Times New Roman"/>
          <w:sz w:val="24"/>
          <w:szCs w:val="24"/>
        </w:rPr>
        <w:t>seis</w:t>
      </w:r>
      <w:r w:rsidRPr="00CE3398">
        <w:rPr>
          <w:rFonts w:ascii="Times New Roman" w:hAnsi="Times New Roman"/>
          <w:sz w:val="24"/>
          <w:szCs w:val="24"/>
        </w:rPr>
        <w:t xml:space="preserve"> meses.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Tendo em vista que a Resolução ANP nº</w:t>
      </w:r>
      <w:r w:rsidR="005453D4" w:rsidRPr="00CE3398">
        <w:rPr>
          <w:rFonts w:ascii="Times New Roman" w:hAnsi="Times New Roman"/>
          <w:sz w:val="24"/>
          <w:szCs w:val="24"/>
        </w:rPr>
        <w:t xml:space="preserve"> </w:t>
      </w:r>
      <w:r w:rsidRPr="00CE3398">
        <w:rPr>
          <w:rFonts w:ascii="Times New Roman" w:hAnsi="Times New Roman"/>
          <w:sz w:val="24"/>
          <w:szCs w:val="24"/>
        </w:rPr>
        <w:t xml:space="preserve">38/2009 estabeleceu apenas o detergente dispersante como aditivo obrigatório, uma das perguntas do questionário encaminhado aos </w:t>
      </w:r>
      <w:r w:rsidR="000952CA" w:rsidRPr="00CE3398">
        <w:rPr>
          <w:rFonts w:ascii="Times New Roman" w:hAnsi="Times New Roman"/>
          <w:sz w:val="24"/>
          <w:szCs w:val="24"/>
        </w:rPr>
        <w:t>fornecedores</w:t>
      </w:r>
      <w:r w:rsidRPr="00CE3398">
        <w:rPr>
          <w:rFonts w:ascii="Times New Roman" w:hAnsi="Times New Roman"/>
          <w:sz w:val="24"/>
          <w:szCs w:val="24"/>
        </w:rPr>
        <w:t xml:space="preserve"> de aditivos dizia respeito </w:t>
      </w:r>
      <w:r w:rsidR="000952CA" w:rsidRPr="00CE3398">
        <w:rPr>
          <w:rFonts w:ascii="Times New Roman" w:hAnsi="Times New Roman"/>
          <w:sz w:val="24"/>
          <w:szCs w:val="24"/>
        </w:rPr>
        <w:t xml:space="preserve">à </w:t>
      </w:r>
      <w:r w:rsidRPr="00CE3398">
        <w:rPr>
          <w:rFonts w:ascii="Times New Roman" w:hAnsi="Times New Roman"/>
          <w:sz w:val="24"/>
          <w:szCs w:val="24"/>
        </w:rPr>
        <w:t>viabilidade de oferta d</w:t>
      </w:r>
      <w:r w:rsidR="00371A4E" w:rsidRPr="00CE3398">
        <w:rPr>
          <w:rFonts w:ascii="Times New Roman" w:hAnsi="Times New Roman"/>
          <w:sz w:val="24"/>
          <w:szCs w:val="24"/>
        </w:rPr>
        <w:t xml:space="preserve">esse </w:t>
      </w:r>
      <w:r w:rsidRPr="00CE3398">
        <w:rPr>
          <w:rFonts w:ascii="Times New Roman" w:hAnsi="Times New Roman"/>
          <w:sz w:val="24"/>
          <w:szCs w:val="24"/>
        </w:rPr>
        <w:t>aditivo desassociado de outros aditivos. Todos os consultados informaram que é possível ofertar o aditivo detergente dispersante isoladamente, mas complementaram dizendo que a tendência é fornecer pacotes mais completos, de acordo com as necessidades do mercado. As empresas apontaram ainda que a comercialização do aditivo isolado, ou como parte de um “pacote” de aditivos, não tem efeito significativo sobre o preço.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Para atender à aditivação </w:t>
      </w:r>
      <w:r w:rsidR="000952CA" w:rsidRPr="00CE3398">
        <w:rPr>
          <w:rFonts w:ascii="Times New Roman" w:hAnsi="Times New Roman"/>
          <w:sz w:val="24"/>
          <w:szCs w:val="24"/>
        </w:rPr>
        <w:t>obrigatória</w:t>
      </w:r>
      <w:r w:rsidRPr="00CE3398">
        <w:rPr>
          <w:rFonts w:ascii="Times New Roman" w:hAnsi="Times New Roman"/>
          <w:sz w:val="24"/>
          <w:szCs w:val="24"/>
        </w:rPr>
        <w:t xml:space="preserve">, os fornecedores pretendem homologar de um a quatro tipos de aditivos detergentes dispersantes junto à ANP, bem como fazer o registro inicial </w:t>
      </w:r>
      <w:r w:rsidRPr="00CE3398">
        <w:rPr>
          <w:rFonts w:ascii="Times New Roman" w:hAnsi="Times New Roman"/>
          <w:sz w:val="24"/>
          <w:szCs w:val="24"/>
        </w:rPr>
        <w:lastRenderedPageBreak/>
        <w:t xml:space="preserve">de um ou dois pacotes (um deles apenas com o detergente dispersante), e registros posteriores </w:t>
      </w:r>
      <w:r w:rsidR="004E4482" w:rsidRPr="00CE3398">
        <w:rPr>
          <w:rFonts w:ascii="Times New Roman" w:hAnsi="Times New Roman"/>
          <w:sz w:val="24"/>
          <w:szCs w:val="24"/>
        </w:rPr>
        <w:t xml:space="preserve">de acordo com </w:t>
      </w:r>
      <w:r w:rsidRPr="00CE3398">
        <w:rPr>
          <w:rFonts w:ascii="Times New Roman" w:hAnsi="Times New Roman"/>
          <w:sz w:val="24"/>
          <w:szCs w:val="24"/>
        </w:rPr>
        <w:t>a</w:t>
      </w:r>
      <w:r w:rsidR="004E4482" w:rsidRPr="00CE3398">
        <w:rPr>
          <w:rFonts w:ascii="Times New Roman" w:hAnsi="Times New Roman"/>
          <w:sz w:val="24"/>
          <w:szCs w:val="24"/>
        </w:rPr>
        <w:t>s</w:t>
      </w:r>
      <w:r w:rsidRPr="00CE3398">
        <w:rPr>
          <w:rFonts w:ascii="Times New Roman" w:hAnsi="Times New Roman"/>
          <w:sz w:val="24"/>
          <w:szCs w:val="24"/>
        </w:rPr>
        <w:t xml:space="preserve"> necessidades específicas de clientes.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p>
    <w:p w:rsidR="0002519A" w:rsidRPr="00CE3398" w:rsidRDefault="0002519A" w:rsidP="00515DE5">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Ponto de Aditivação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Em relação à etapa da cadeia em que o aditivo deveria ser misturado ao combustível, um dos principais pontos em questão, a resposta foi unânime</w:t>
      </w:r>
      <w:r w:rsidR="004E4482" w:rsidRPr="00CE3398">
        <w:rPr>
          <w:rFonts w:ascii="Times New Roman" w:hAnsi="Times New Roman"/>
          <w:sz w:val="24"/>
          <w:szCs w:val="24"/>
        </w:rPr>
        <w:t xml:space="preserve">, ou seja, </w:t>
      </w:r>
      <w:r w:rsidRPr="00CE3398">
        <w:rPr>
          <w:rFonts w:ascii="Times New Roman" w:hAnsi="Times New Roman"/>
          <w:sz w:val="24"/>
          <w:szCs w:val="24"/>
        </w:rPr>
        <w:t>na visão dos fornecedores de aditivos, a aditivação deve ser feita pelos distribuidores de combustível. As justificativas apresentadas foram:</w:t>
      </w:r>
    </w:p>
    <w:p w:rsidR="0002519A" w:rsidRPr="00CE3398" w:rsidRDefault="00B154EA" w:rsidP="00F86EC8">
      <w:pPr>
        <w:pStyle w:val="PargrafodaLista"/>
        <w:numPr>
          <w:ilvl w:val="0"/>
          <w:numId w:val="3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Possibilidade</w:t>
      </w:r>
      <w:r w:rsidR="0002519A" w:rsidRPr="00CE3398">
        <w:rPr>
          <w:rFonts w:ascii="Times New Roman" w:hAnsi="Times New Roman"/>
          <w:sz w:val="24"/>
          <w:szCs w:val="24"/>
        </w:rPr>
        <w:t xml:space="preserve"> de contaminação </w:t>
      </w:r>
      <w:r w:rsidR="006D1CE8" w:rsidRPr="00CE3398">
        <w:rPr>
          <w:rFonts w:ascii="Times New Roman" w:hAnsi="Times New Roman"/>
          <w:sz w:val="24"/>
          <w:szCs w:val="24"/>
        </w:rPr>
        <w:t xml:space="preserve">de outros combustíveis </w:t>
      </w:r>
      <w:r w:rsidR="0002519A" w:rsidRPr="00CE3398">
        <w:rPr>
          <w:rFonts w:ascii="Times New Roman" w:hAnsi="Times New Roman"/>
          <w:sz w:val="24"/>
          <w:szCs w:val="24"/>
        </w:rPr>
        <w:t>na refinaria</w:t>
      </w:r>
      <w:r w:rsidR="00C51D68" w:rsidRPr="00CE3398">
        <w:rPr>
          <w:rFonts w:ascii="Times New Roman" w:hAnsi="Times New Roman"/>
          <w:sz w:val="24"/>
          <w:szCs w:val="24"/>
        </w:rPr>
        <w:t xml:space="preserve"> e no transporte por polidutos</w:t>
      </w:r>
      <w:r w:rsidR="0002519A" w:rsidRPr="00CE3398">
        <w:rPr>
          <w:rFonts w:ascii="Times New Roman" w:hAnsi="Times New Roman"/>
          <w:sz w:val="24"/>
          <w:szCs w:val="24"/>
        </w:rPr>
        <w:t xml:space="preserve">; </w:t>
      </w:r>
    </w:p>
    <w:p w:rsidR="006D1CE8" w:rsidRPr="00CE3398" w:rsidRDefault="00B154EA" w:rsidP="00F86EC8">
      <w:pPr>
        <w:pStyle w:val="PargrafodaLista"/>
        <w:numPr>
          <w:ilvl w:val="0"/>
          <w:numId w:val="3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Maior</w:t>
      </w:r>
      <w:r w:rsidR="0002519A" w:rsidRPr="00CE3398">
        <w:rPr>
          <w:rFonts w:ascii="Times New Roman" w:hAnsi="Times New Roman"/>
          <w:sz w:val="24"/>
          <w:szCs w:val="24"/>
        </w:rPr>
        <w:t xml:space="preserve"> dificuldade de diferenciação do produto </w:t>
      </w:r>
      <w:r w:rsidR="00C51D68" w:rsidRPr="00CE3398">
        <w:rPr>
          <w:rFonts w:ascii="Times New Roman" w:hAnsi="Times New Roman"/>
          <w:sz w:val="24"/>
          <w:szCs w:val="24"/>
        </w:rPr>
        <w:t>pelas distribuidoras</w:t>
      </w:r>
      <w:r w:rsidR="006D1CE8" w:rsidRPr="00CE3398">
        <w:rPr>
          <w:rFonts w:ascii="Times New Roman" w:hAnsi="Times New Roman"/>
          <w:sz w:val="24"/>
          <w:szCs w:val="24"/>
        </w:rPr>
        <w:t>;</w:t>
      </w:r>
    </w:p>
    <w:p w:rsidR="0002519A" w:rsidRPr="00CE3398" w:rsidRDefault="00C51D68" w:rsidP="00F86EC8">
      <w:pPr>
        <w:pStyle w:val="PargrafodaLista"/>
        <w:numPr>
          <w:ilvl w:val="0"/>
          <w:numId w:val="3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 xml:space="preserve">Dificuldade </w:t>
      </w:r>
      <w:r w:rsidR="0002519A" w:rsidRPr="00CE3398">
        <w:rPr>
          <w:rFonts w:ascii="Times New Roman" w:hAnsi="Times New Roman"/>
          <w:sz w:val="24"/>
          <w:szCs w:val="24"/>
        </w:rPr>
        <w:t>de aditivação de gasolina importada</w:t>
      </w:r>
      <w:r w:rsidRPr="00CE3398">
        <w:rPr>
          <w:rFonts w:ascii="Times New Roman" w:hAnsi="Times New Roman"/>
          <w:sz w:val="24"/>
          <w:szCs w:val="24"/>
        </w:rPr>
        <w:t>, quando esta não passar antes pelo produtor de combustíveis</w:t>
      </w:r>
      <w:r w:rsidR="0002519A" w:rsidRPr="00CE3398">
        <w:rPr>
          <w:rFonts w:ascii="Times New Roman" w:hAnsi="Times New Roman"/>
          <w:sz w:val="24"/>
          <w:szCs w:val="24"/>
        </w:rPr>
        <w:t xml:space="preserve">; </w:t>
      </w:r>
    </w:p>
    <w:p w:rsidR="0002519A" w:rsidRPr="00CE3398" w:rsidRDefault="00B154EA" w:rsidP="00F86EC8">
      <w:pPr>
        <w:pStyle w:val="PargrafodaLista"/>
        <w:numPr>
          <w:ilvl w:val="0"/>
          <w:numId w:val="3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Questões</w:t>
      </w:r>
      <w:r w:rsidR="0002519A" w:rsidRPr="00CE3398">
        <w:rPr>
          <w:rFonts w:ascii="Times New Roman" w:hAnsi="Times New Roman"/>
          <w:sz w:val="24"/>
          <w:szCs w:val="24"/>
        </w:rPr>
        <w:t xml:space="preserve"> concorrenciais (concentração do mercado comprador em poucas empresas, com grande poder de mercado); </w:t>
      </w:r>
      <w:proofErr w:type="gramStart"/>
      <w:r w:rsidR="005453D4" w:rsidRPr="00CE3398">
        <w:rPr>
          <w:rFonts w:ascii="Times New Roman" w:hAnsi="Times New Roman"/>
          <w:sz w:val="24"/>
          <w:szCs w:val="24"/>
        </w:rPr>
        <w:t>e</w:t>
      </w:r>
      <w:proofErr w:type="gramEnd"/>
    </w:p>
    <w:p w:rsidR="0002519A" w:rsidRPr="00CE3398" w:rsidRDefault="00B154EA" w:rsidP="00F86EC8">
      <w:pPr>
        <w:pStyle w:val="PargrafodaLista"/>
        <w:numPr>
          <w:ilvl w:val="0"/>
          <w:numId w:val="30"/>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Evitar</w:t>
      </w:r>
      <w:r w:rsidR="0002519A" w:rsidRPr="00CE3398">
        <w:rPr>
          <w:rFonts w:ascii="Times New Roman" w:hAnsi="Times New Roman"/>
          <w:sz w:val="24"/>
          <w:szCs w:val="24"/>
        </w:rPr>
        <w:t xml:space="preserve"> problemas de abastecimento, caso o</w:t>
      </w:r>
      <w:r w:rsidR="00F259FC" w:rsidRPr="00CE3398">
        <w:rPr>
          <w:rFonts w:ascii="Times New Roman" w:hAnsi="Times New Roman"/>
          <w:sz w:val="24"/>
          <w:szCs w:val="24"/>
        </w:rPr>
        <w:t xml:space="preserve"> </w:t>
      </w:r>
      <w:r w:rsidR="0002519A" w:rsidRPr="00CE3398">
        <w:rPr>
          <w:rFonts w:ascii="Times New Roman" w:hAnsi="Times New Roman"/>
          <w:sz w:val="24"/>
          <w:szCs w:val="24"/>
        </w:rPr>
        <w:t xml:space="preserve">fornecedor </w:t>
      </w:r>
      <w:r w:rsidR="00F259FC" w:rsidRPr="00CE3398">
        <w:rPr>
          <w:rFonts w:ascii="Times New Roman" w:hAnsi="Times New Roman"/>
          <w:sz w:val="24"/>
          <w:szCs w:val="24"/>
        </w:rPr>
        <w:t>único de</w:t>
      </w:r>
      <w:r w:rsidR="0002519A" w:rsidRPr="00CE3398">
        <w:rPr>
          <w:rFonts w:ascii="Times New Roman" w:hAnsi="Times New Roman"/>
          <w:sz w:val="24"/>
          <w:szCs w:val="24"/>
        </w:rPr>
        <w:t xml:space="preserve"> aditivo tenha algum problema de força maior.</w:t>
      </w:r>
    </w:p>
    <w:p w:rsidR="0002519A" w:rsidRPr="00CE3398" w:rsidRDefault="0002519A" w:rsidP="0002519A">
      <w:pPr>
        <w:spacing w:after="120" w:line="240" w:lineRule="auto"/>
        <w:rPr>
          <w:rFonts w:ascii="Times New Roman" w:hAnsi="Times New Roman"/>
          <w:b/>
          <w:sz w:val="24"/>
          <w:szCs w:val="24"/>
        </w:rPr>
      </w:pPr>
    </w:p>
    <w:p w:rsidR="0002519A" w:rsidRPr="00CE3398" w:rsidRDefault="0002519A" w:rsidP="00515DE5">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Problemas de Incompatibilidade</w:t>
      </w:r>
    </w:p>
    <w:p w:rsidR="006C75A1"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Em relação aos potenciais efeitos da mistura de aditivos, </w:t>
      </w:r>
      <w:r w:rsidR="00131D15" w:rsidRPr="00CE3398">
        <w:rPr>
          <w:rFonts w:ascii="Times New Roman" w:hAnsi="Times New Roman"/>
          <w:sz w:val="24"/>
          <w:szCs w:val="24"/>
        </w:rPr>
        <w:t xml:space="preserve">os fornecedores de aditivos </w:t>
      </w:r>
      <w:r w:rsidRPr="00CE3398">
        <w:rPr>
          <w:rFonts w:ascii="Times New Roman" w:hAnsi="Times New Roman"/>
          <w:sz w:val="24"/>
          <w:szCs w:val="24"/>
        </w:rPr>
        <w:t>argument</w:t>
      </w:r>
      <w:r w:rsidR="006C75A1" w:rsidRPr="00CE3398">
        <w:rPr>
          <w:rFonts w:ascii="Times New Roman" w:hAnsi="Times New Roman"/>
          <w:sz w:val="24"/>
          <w:szCs w:val="24"/>
        </w:rPr>
        <w:t>aram</w:t>
      </w:r>
      <w:r w:rsidRPr="00CE3398">
        <w:rPr>
          <w:rFonts w:ascii="Times New Roman" w:hAnsi="Times New Roman"/>
          <w:sz w:val="24"/>
          <w:szCs w:val="24"/>
        </w:rPr>
        <w:t xml:space="preserve"> que a mistura de aditivos em sua forma concentrada poder</w:t>
      </w:r>
      <w:r w:rsidR="006C75A1" w:rsidRPr="00CE3398">
        <w:rPr>
          <w:rFonts w:ascii="Times New Roman" w:hAnsi="Times New Roman"/>
          <w:sz w:val="24"/>
          <w:szCs w:val="24"/>
        </w:rPr>
        <w:t>á</w:t>
      </w:r>
      <w:r w:rsidRPr="00CE3398">
        <w:rPr>
          <w:rFonts w:ascii="Times New Roman" w:hAnsi="Times New Roman"/>
          <w:sz w:val="24"/>
          <w:szCs w:val="24"/>
        </w:rPr>
        <w:t xml:space="preserve"> causar incompatibilidade</w:t>
      </w:r>
      <w:r w:rsidR="006C75A1" w:rsidRPr="00CE3398">
        <w:rPr>
          <w:rFonts w:ascii="Times New Roman" w:hAnsi="Times New Roman"/>
          <w:sz w:val="24"/>
          <w:szCs w:val="24"/>
        </w:rPr>
        <w:t xml:space="preserve"> química</w:t>
      </w:r>
      <w:r w:rsidRPr="00CE3398">
        <w:rPr>
          <w:rFonts w:ascii="Times New Roman" w:hAnsi="Times New Roman"/>
          <w:sz w:val="24"/>
          <w:szCs w:val="24"/>
        </w:rPr>
        <w:t>,</w:t>
      </w:r>
      <w:r w:rsidR="00F259FC" w:rsidRPr="00CE3398">
        <w:rPr>
          <w:rFonts w:ascii="Times New Roman" w:hAnsi="Times New Roman"/>
          <w:b/>
          <w:sz w:val="24"/>
          <w:szCs w:val="24"/>
        </w:rPr>
        <w:t xml:space="preserve"> </w:t>
      </w:r>
      <w:r w:rsidRPr="00CE3398">
        <w:rPr>
          <w:rFonts w:ascii="Times New Roman" w:hAnsi="Times New Roman"/>
          <w:sz w:val="24"/>
          <w:szCs w:val="24"/>
        </w:rPr>
        <w:t xml:space="preserve">devido às diferentes formulações e solventes utilizados. </w:t>
      </w:r>
      <w:r w:rsidR="006C75A1" w:rsidRPr="00CE3398">
        <w:rPr>
          <w:rFonts w:ascii="Times New Roman" w:hAnsi="Times New Roman"/>
          <w:sz w:val="24"/>
          <w:szCs w:val="24"/>
        </w:rPr>
        <w:t>No entanto, no que se refere</w:t>
      </w:r>
      <w:r w:rsidRPr="00CE3398">
        <w:rPr>
          <w:rFonts w:ascii="Times New Roman" w:hAnsi="Times New Roman"/>
          <w:sz w:val="24"/>
          <w:szCs w:val="24"/>
        </w:rPr>
        <w:t xml:space="preserve"> à mistura de combustíveis aditivados (com aditivos diferentes), dificilmente oco</w:t>
      </w:r>
      <w:r w:rsidR="006C75A1" w:rsidRPr="00CE3398">
        <w:rPr>
          <w:rFonts w:ascii="Times New Roman" w:hAnsi="Times New Roman"/>
          <w:sz w:val="24"/>
          <w:szCs w:val="24"/>
        </w:rPr>
        <w:t xml:space="preserve">rreria alguma incompatibilidade uma vez que as taxas de tratamento, neste caso, são muito baixas. </w:t>
      </w:r>
    </w:p>
    <w:p w:rsidR="0002519A" w:rsidRDefault="006B4212"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Para o caso do desempenho </w:t>
      </w:r>
      <w:r w:rsidR="0002519A" w:rsidRPr="00CE3398">
        <w:rPr>
          <w:rFonts w:ascii="Times New Roman" w:hAnsi="Times New Roman"/>
          <w:sz w:val="24"/>
          <w:szCs w:val="24"/>
        </w:rPr>
        <w:t>do pacote de aditivos</w:t>
      </w:r>
      <w:r w:rsidRPr="00CE3398">
        <w:rPr>
          <w:rFonts w:ascii="Times New Roman" w:hAnsi="Times New Roman"/>
          <w:sz w:val="24"/>
          <w:szCs w:val="24"/>
        </w:rPr>
        <w:t>, foi comentado que o benefício de controlar a formação de depósitos</w:t>
      </w:r>
      <w:r w:rsidR="0002519A" w:rsidRPr="00CE3398">
        <w:rPr>
          <w:rFonts w:ascii="Times New Roman" w:hAnsi="Times New Roman"/>
          <w:sz w:val="24"/>
          <w:szCs w:val="24"/>
        </w:rPr>
        <w:t xml:space="preserve"> poderia ser afetado</w:t>
      </w:r>
      <w:r w:rsidRPr="00CE3398">
        <w:rPr>
          <w:rFonts w:ascii="Times New Roman" w:hAnsi="Times New Roman"/>
          <w:sz w:val="24"/>
          <w:szCs w:val="24"/>
        </w:rPr>
        <w:t xml:space="preserve"> se houver a mistura de gasolinas com aditivos detergentes dispersantes de tecnologias e ou fornecedores diferentes. Isto pode acontecer por causa d</w:t>
      </w:r>
      <w:r w:rsidR="0002519A" w:rsidRPr="00CE3398">
        <w:rPr>
          <w:rFonts w:ascii="Times New Roman" w:hAnsi="Times New Roman"/>
          <w:sz w:val="24"/>
          <w:szCs w:val="24"/>
        </w:rPr>
        <w:t>a falta de sinergia</w:t>
      </w:r>
      <w:r w:rsidRPr="00CE3398">
        <w:rPr>
          <w:rFonts w:ascii="Times New Roman" w:hAnsi="Times New Roman"/>
          <w:sz w:val="24"/>
          <w:szCs w:val="24"/>
        </w:rPr>
        <w:t xml:space="preserve"> entre as tecnologias desses</w:t>
      </w:r>
      <w:r w:rsidR="0002519A" w:rsidRPr="00CE3398">
        <w:rPr>
          <w:rFonts w:ascii="Times New Roman" w:hAnsi="Times New Roman"/>
          <w:sz w:val="24"/>
          <w:szCs w:val="24"/>
        </w:rPr>
        <w:t xml:space="preserve"> aditivos quanto pelas diferentes curvas de desempenho</w:t>
      </w:r>
      <w:r w:rsidRPr="00CE3398">
        <w:rPr>
          <w:rFonts w:ascii="Times New Roman" w:hAnsi="Times New Roman"/>
          <w:sz w:val="24"/>
          <w:szCs w:val="24"/>
        </w:rPr>
        <w:t xml:space="preserve"> fornecida</w:t>
      </w:r>
      <w:r w:rsidR="002A2852">
        <w:rPr>
          <w:rFonts w:ascii="Times New Roman" w:hAnsi="Times New Roman"/>
          <w:sz w:val="24"/>
          <w:szCs w:val="24"/>
        </w:rPr>
        <w:t>s</w:t>
      </w:r>
      <w:r w:rsidRPr="00CE3398">
        <w:rPr>
          <w:rFonts w:ascii="Times New Roman" w:hAnsi="Times New Roman"/>
          <w:sz w:val="24"/>
          <w:szCs w:val="24"/>
        </w:rPr>
        <w:t xml:space="preserve"> por eles</w:t>
      </w:r>
      <w:r w:rsidR="0002519A" w:rsidRPr="00CE3398">
        <w:rPr>
          <w:rFonts w:ascii="Times New Roman" w:hAnsi="Times New Roman"/>
          <w:sz w:val="24"/>
          <w:szCs w:val="24"/>
        </w:rPr>
        <w:t>.</w:t>
      </w:r>
    </w:p>
    <w:p w:rsidR="00D22805" w:rsidRPr="00CE3398" w:rsidRDefault="00D22805" w:rsidP="0002519A">
      <w:pPr>
        <w:tabs>
          <w:tab w:val="left" w:pos="0"/>
        </w:tabs>
        <w:spacing w:after="120" w:line="240" w:lineRule="auto"/>
        <w:ind w:firstLine="709"/>
        <w:jc w:val="both"/>
        <w:rPr>
          <w:rFonts w:ascii="Times New Roman" w:hAnsi="Times New Roman"/>
          <w:sz w:val="24"/>
          <w:szCs w:val="24"/>
        </w:rPr>
      </w:pPr>
    </w:p>
    <w:p w:rsidR="003A6DC7" w:rsidRPr="00CE3398" w:rsidRDefault="003645F6" w:rsidP="0002519A">
      <w:pPr>
        <w:pStyle w:val="PargrafodaLista"/>
        <w:numPr>
          <w:ilvl w:val="2"/>
          <w:numId w:val="4"/>
        </w:numPr>
        <w:spacing w:after="120" w:line="240" w:lineRule="auto"/>
        <w:ind w:left="709" w:hanging="709"/>
        <w:contextualSpacing w:val="0"/>
        <w:rPr>
          <w:rFonts w:ascii="Times New Roman" w:hAnsi="Times New Roman"/>
          <w:b/>
          <w:sz w:val="24"/>
          <w:szCs w:val="24"/>
        </w:rPr>
      </w:pPr>
      <w:r w:rsidRPr="00CE3398">
        <w:rPr>
          <w:rFonts w:ascii="Times New Roman" w:hAnsi="Times New Roman"/>
          <w:b/>
          <w:sz w:val="24"/>
          <w:szCs w:val="24"/>
        </w:rPr>
        <w:t>PRODUTOR DE GASOLINA A</w:t>
      </w:r>
    </w:p>
    <w:p w:rsidR="003A6DC7" w:rsidRDefault="003A6DC7" w:rsidP="003A6DC7">
      <w:pPr>
        <w:spacing w:after="120" w:line="240" w:lineRule="auto"/>
        <w:ind w:firstLine="708"/>
        <w:jc w:val="both"/>
        <w:rPr>
          <w:rFonts w:ascii="Times New Roman" w:hAnsi="Times New Roman"/>
          <w:sz w:val="24"/>
          <w:szCs w:val="24"/>
        </w:rPr>
      </w:pPr>
      <w:r w:rsidRPr="00CE3398">
        <w:rPr>
          <w:rFonts w:ascii="Times New Roman" w:hAnsi="Times New Roman"/>
          <w:sz w:val="24"/>
          <w:szCs w:val="24"/>
        </w:rPr>
        <w:t>A consulta aos produtores de gasolina A se deu por meio dos questionários apresentados nos Anexos IV e V. São sintetizadas, na sequência, as principais informações colhidas a partir das respostas encaminhadas à ANP.</w:t>
      </w:r>
    </w:p>
    <w:p w:rsidR="00D22805" w:rsidRPr="00CE3398" w:rsidRDefault="00D22805" w:rsidP="003A6DC7">
      <w:pPr>
        <w:spacing w:after="120" w:line="240" w:lineRule="auto"/>
        <w:ind w:firstLine="708"/>
        <w:jc w:val="both"/>
        <w:rPr>
          <w:rFonts w:ascii="Times New Roman" w:hAnsi="Times New Roman"/>
          <w:sz w:val="24"/>
          <w:szCs w:val="24"/>
        </w:rPr>
      </w:pPr>
    </w:p>
    <w:p w:rsidR="0002519A" w:rsidRPr="00CE3398" w:rsidRDefault="00534373" w:rsidP="00515DE5">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 xml:space="preserve">Dispêndios </w:t>
      </w:r>
      <w:r w:rsidR="0002519A" w:rsidRPr="00CE3398">
        <w:rPr>
          <w:rFonts w:ascii="Times New Roman" w:hAnsi="Times New Roman"/>
          <w:b/>
          <w:sz w:val="24"/>
          <w:szCs w:val="24"/>
        </w:rPr>
        <w:t>e Prazos da Adaptação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De acordo com a primeira consulta</w:t>
      </w:r>
      <w:r w:rsidRPr="00CE3398">
        <w:rPr>
          <w:rStyle w:val="Refdenotaderodap"/>
          <w:rFonts w:ascii="Times New Roman" w:hAnsi="Times New Roman"/>
          <w:sz w:val="24"/>
          <w:szCs w:val="24"/>
        </w:rPr>
        <w:footnoteReference w:id="4"/>
      </w:r>
      <w:r w:rsidRPr="00CE3398">
        <w:rPr>
          <w:rFonts w:ascii="Times New Roman" w:hAnsi="Times New Roman"/>
          <w:sz w:val="24"/>
          <w:szCs w:val="24"/>
        </w:rPr>
        <w:t xml:space="preserve"> (Anexo </w:t>
      </w:r>
      <w:r w:rsidR="00F367D5" w:rsidRPr="00CE3398">
        <w:rPr>
          <w:rFonts w:ascii="Times New Roman" w:hAnsi="Times New Roman"/>
          <w:sz w:val="24"/>
          <w:szCs w:val="24"/>
        </w:rPr>
        <w:t>IV</w:t>
      </w:r>
      <w:r w:rsidRPr="00CE3398">
        <w:rPr>
          <w:rFonts w:ascii="Times New Roman" w:hAnsi="Times New Roman"/>
          <w:sz w:val="24"/>
          <w:szCs w:val="24"/>
        </w:rPr>
        <w:t>),</w:t>
      </w:r>
      <w:r w:rsidR="00EF7AC3" w:rsidRPr="00CE3398">
        <w:rPr>
          <w:rFonts w:ascii="Times New Roman" w:hAnsi="Times New Roman"/>
          <w:sz w:val="24"/>
          <w:szCs w:val="24"/>
        </w:rPr>
        <w:t xml:space="preserve"> </w:t>
      </w:r>
      <w:proofErr w:type="gramStart"/>
      <w:r w:rsidRPr="00CE3398">
        <w:rPr>
          <w:rFonts w:ascii="Times New Roman" w:hAnsi="Times New Roman"/>
          <w:sz w:val="24"/>
          <w:szCs w:val="24"/>
        </w:rPr>
        <w:t>o valor médio estimado para a realização de investimentos em projetos básico e detalhado, bombas dosadoras, tubulação e automação, totalizou</w:t>
      </w:r>
      <w:proofErr w:type="gramEnd"/>
      <w:r w:rsidRPr="00CE3398">
        <w:rPr>
          <w:rFonts w:ascii="Times New Roman" w:hAnsi="Times New Roman"/>
          <w:sz w:val="24"/>
          <w:szCs w:val="24"/>
        </w:rPr>
        <w:t xml:space="preserve"> mais de R$ 4.000.000,00. Cabe ressaltar que os </w:t>
      </w:r>
      <w:r w:rsidR="00F041D5" w:rsidRPr="00CE3398">
        <w:rPr>
          <w:rFonts w:ascii="Times New Roman" w:hAnsi="Times New Roman"/>
          <w:sz w:val="24"/>
          <w:szCs w:val="24"/>
        </w:rPr>
        <w:t xml:space="preserve">dispêndios </w:t>
      </w:r>
      <w:r w:rsidRPr="00CE3398">
        <w:rPr>
          <w:rFonts w:ascii="Times New Roman" w:hAnsi="Times New Roman"/>
          <w:sz w:val="24"/>
          <w:szCs w:val="24"/>
        </w:rPr>
        <w:t xml:space="preserve">informados por um dos agentes econômicos </w:t>
      </w:r>
      <w:r w:rsidR="00F041D5" w:rsidRPr="00CE3398">
        <w:rPr>
          <w:rFonts w:ascii="Times New Roman" w:hAnsi="Times New Roman"/>
          <w:sz w:val="24"/>
          <w:szCs w:val="24"/>
        </w:rPr>
        <w:t>foram</w:t>
      </w:r>
      <w:r w:rsidRPr="00CE3398">
        <w:rPr>
          <w:rFonts w:ascii="Times New Roman" w:hAnsi="Times New Roman"/>
          <w:sz w:val="24"/>
          <w:szCs w:val="24"/>
        </w:rPr>
        <w:t xml:space="preserve"> </w:t>
      </w:r>
      <w:r w:rsidR="00F041D5" w:rsidRPr="00CE3398">
        <w:rPr>
          <w:rFonts w:ascii="Times New Roman" w:hAnsi="Times New Roman"/>
          <w:sz w:val="24"/>
          <w:szCs w:val="24"/>
        </w:rPr>
        <w:t>desproporcionais</w:t>
      </w:r>
      <w:r w:rsidRPr="00CE3398">
        <w:rPr>
          <w:rFonts w:ascii="Times New Roman" w:hAnsi="Times New Roman"/>
          <w:sz w:val="24"/>
          <w:szCs w:val="24"/>
        </w:rPr>
        <w:t xml:space="preserve"> ao porte do mesmo, quando comparado aos </w:t>
      </w:r>
      <w:r w:rsidRPr="00CE3398">
        <w:rPr>
          <w:rFonts w:ascii="Times New Roman" w:hAnsi="Times New Roman"/>
          <w:sz w:val="24"/>
          <w:szCs w:val="24"/>
        </w:rPr>
        <w:lastRenderedPageBreak/>
        <w:t xml:space="preserve">demais produtores, que ficaram bem alinhados com investimentos na ordem de R$ 2,00/m³ (tendo como base o volume de produção anual de gasolina A). Desconsiderando </w:t>
      </w:r>
      <w:r w:rsidR="00911E4A" w:rsidRPr="00CE3398">
        <w:rPr>
          <w:rFonts w:ascii="Times New Roman" w:hAnsi="Times New Roman"/>
          <w:sz w:val="24"/>
          <w:szCs w:val="24"/>
        </w:rPr>
        <w:t xml:space="preserve">o </w:t>
      </w:r>
      <w:r w:rsidRPr="00CE3398">
        <w:rPr>
          <w:rFonts w:ascii="Times New Roman" w:hAnsi="Times New Roman"/>
          <w:sz w:val="24"/>
          <w:szCs w:val="24"/>
        </w:rPr>
        <w:t>agente econômico que apresentou valores diversos do padrão, a média estimada ficou em R$ 3.000.000,00.</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As estimativas de custo operacional foram mais variadas</w:t>
      </w:r>
      <w:r w:rsidR="00751CEA" w:rsidRPr="00CE3398">
        <w:rPr>
          <w:rFonts w:ascii="Times New Roman" w:hAnsi="Times New Roman"/>
          <w:sz w:val="24"/>
          <w:szCs w:val="24"/>
        </w:rPr>
        <w:t>;</w:t>
      </w:r>
      <w:r w:rsidRPr="00CE3398">
        <w:rPr>
          <w:rFonts w:ascii="Times New Roman" w:hAnsi="Times New Roman"/>
          <w:sz w:val="24"/>
          <w:szCs w:val="24"/>
        </w:rPr>
        <w:t xml:space="preserve"> todavia, a ordem de grandeza foi inferior a R$ 10</w:t>
      </w:r>
      <w:r w:rsidR="004E4482" w:rsidRPr="00CE3398">
        <w:rPr>
          <w:rFonts w:ascii="Times New Roman" w:hAnsi="Times New Roman"/>
          <w:sz w:val="24"/>
          <w:szCs w:val="24"/>
        </w:rPr>
        <w:t xml:space="preserve"> por </w:t>
      </w:r>
      <w:r w:rsidRPr="00CE3398">
        <w:rPr>
          <w:rFonts w:ascii="Times New Roman" w:hAnsi="Times New Roman"/>
          <w:sz w:val="24"/>
          <w:szCs w:val="24"/>
        </w:rPr>
        <w:t xml:space="preserve">m³ de gasolina A produzida, o que coincide com a informação apresentada pelos </w:t>
      </w:r>
      <w:r w:rsidR="00313C16" w:rsidRPr="00CE3398">
        <w:rPr>
          <w:rFonts w:ascii="Times New Roman" w:hAnsi="Times New Roman"/>
          <w:sz w:val="24"/>
          <w:szCs w:val="24"/>
        </w:rPr>
        <w:t xml:space="preserve">fornecedores </w:t>
      </w:r>
      <w:r w:rsidRPr="00CE3398">
        <w:rPr>
          <w:rFonts w:ascii="Times New Roman" w:hAnsi="Times New Roman"/>
          <w:sz w:val="24"/>
          <w:szCs w:val="24"/>
        </w:rPr>
        <w:t>de aditivos durante as reuniões realizadas na ANP.</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Com relação aos prazos de adaptação necessários, os produtores </w:t>
      </w:r>
      <w:r w:rsidR="00911E4A" w:rsidRPr="00CE3398">
        <w:rPr>
          <w:rFonts w:ascii="Times New Roman" w:hAnsi="Times New Roman"/>
          <w:sz w:val="24"/>
          <w:szCs w:val="24"/>
        </w:rPr>
        <w:t>de menor porte</w:t>
      </w:r>
      <w:r w:rsidRPr="00CE3398">
        <w:rPr>
          <w:rFonts w:ascii="Times New Roman" w:hAnsi="Times New Roman"/>
          <w:sz w:val="24"/>
          <w:szCs w:val="24"/>
        </w:rPr>
        <w:t xml:space="preserve"> indicaram períodos inferiores ou iguais </w:t>
      </w:r>
      <w:proofErr w:type="gramStart"/>
      <w:r w:rsidRPr="00CE3398">
        <w:rPr>
          <w:rFonts w:ascii="Times New Roman" w:hAnsi="Times New Roman"/>
          <w:sz w:val="24"/>
          <w:szCs w:val="24"/>
        </w:rPr>
        <w:t>a</w:t>
      </w:r>
      <w:proofErr w:type="gramEnd"/>
      <w:r w:rsidR="002A2852">
        <w:rPr>
          <w:rFonts w:ascii="Times New Roman" w:hAnsi="Times New Roman"/>
          <w:sz w:val="24"/>
          <w:szCs w:val="24"/>
        </w:rPr>
        <w:t xml:space="preserve"> 12 meses.</w:t>
      </w:r>
      <w:r w:rsidR="000D0239">
        <w:rPr>
          <w:rFonts w:ascii="Times New Roman" w:hAnsi="Times New Roman"/>
          <w:sz w:val="24"/>
          <w:szCs w:val="24"/>
        </w:rPr>
        <w:t xml:space="preserve"> </w:t>
      </w:r>
      <w:r w:rsidR="002A2852">
        <w:rPr>
          <w:rFonts w:ascii="Times New Roman" w:hAnsi="Times New Roman"/>
          <w:sz w:val="24"/>
          <w:szCs w:val="24"/>
        </w:rPr>
        <w:t>O</w:t>
      </w:r>
      <w:r w:rsidRPr="00CE3398">
        <w:rPr>
          <w:rFonts w:ascii="Times New Roman" w:hAnsi="Times New Roman"/>
          <w:sz w:val="24"/>
          <w:szCs w:val="24"/>
        </w:rPr>
        <w:t xml:space="preserve"> maior produtor de gasolina A do país</w:t>
      </w:r>
      <w:r w:rsidR="005365C9">
        <w:rPr>
          <w:rFonts w:ascii="Times New Roman" w:hAnsi="Times New Roman"/>
          <w:sz w:val="24"/>
          <w:szCs w:val="24"/>
        </w:rPr>
        <w:t xml:space="preserve"> </w:t>
      </w:r>
      <w:r w:rsidR="005365C9" w:rsidRPr="005365C9">
        <w:rPr>
          <w:rFonts w:ascii="Times New Roman" w:hAnsi="Times New Roman"/>
          <w:sz w:val="24"/>
          <w:szCs w:val="24"/>
        </w:rPr>
        <w:t>informou o prazo</w:t>
      </w:r>
      <w:r w:rsidR="005365C9">
        <w:rPr>
          <w:rFonts w:ascii="Times New Roman" w:hAnsi="Times New Roman"/>
          <w:sz w:val="24"/>
          <w:szCs w:val="24"/>
        </w:rPr>
        <w:t xml:space="preserve"> de</w:t>
      </w:r>
      <w:r w:rsidR="005365C9" w:rsidRPr="005365C9">
        <w:rPr>
          <w:rFonts w:ascii="Times New Roman" w:hAnsi="Times New Roman"/>
          <w:sz w:val="24"/>
          <w:szCs w:val="24"/>
        </w:rPr>
        <w:t xml:space="preserve"> </w:t>
      </w:r>
      <w:proofErr w:type="gramStart"/>
      <w:r w:rsidR="005365C9" w:rsidRPr="005365C9">
        <w:rPr>
          <w:rFonts w:ascii="Times New Roman" w:hAnsi="Times New Roman"/>
          <w:sz w:val="24"/>
          <w:szCs w:val="24"/>
        </w:rPr>
        <w:t>3</w:t>
      </w:r>
      <w:proofErr w:type="gramEnd"/>
      <w:r w:rsidR="005365C9" w:rsidRPr="005365C9">
        <w:rPr>
          <w:rFonts w:ascii="Times New Roman" w:hAnsi="Times New Roman"/>
          <w:sz w:val="24"/>
          <w:szCs w:val="24"/>
        </w:rPr>
        <w:t xml:space="preserve"> anos</w:t>
      </w:r>
      <w:r w:rsidRPr="00CE3398">
        <w:rPr>
          <w:rFonts w:ascii="Times New Roman" w:hAnsi="Times New Roman"/>
          <w:sz w:val="24"/>
          <w:szCs w:val="24"/>
        </w:rPr>
        <w:t>.</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Em virtude da falta de harmonização das informações apresentadas, foi encaminhada uma nova consulta aos agentes</w:t>
      </w:r>
      <w:r w:rsidR="00911E4A" w:rsidRPr="00CE3398">
        <w:rPr>
          <w:rFonts w:ascii="Times New Roman" w:hAnsi="Times New Roman"/>
          <w:sz w:val="24"/>
          <w:szCs w:val="24"/>
        </w:rPr>
        <w:t xml:space="preserve"> econômicos</w:t>
      </w:r>
      <w:r w:rsidR="00247BDF" w:rsidRPr="00CE3398">
        <w:rPr>
          <w:rFonts w:ascii="Times New Roman" w:hAnsi="Times New Roman"/>
          <w:sz w:val="24"/>
          <w:szCs w:val="24"/>
        </w:rPr>
        <w:t xml:space="preserve"> (Anexo </w:t>
      </w:r>
      <w:r w:rsidR="00F367D5" w:rsidRPr="00CE3398">
        <w:rPr>
          <w:rFonts w:ascii="Times New Roman" w:hAnsi="Times New Roman"/>
          <w:sz w:val="24"/>
          <w:szCs w:val="24"/>
        </w:rPr>
        <w:t>V</w:t>
      </w:r>
      <w:r w:rsidR="00247BDF" w:rsidRPr="00CE3398">
        <w:rPr>
          <w:rFonts w:ascii="Times New Roman" w:hAnsi="Times New Roman"/>
          <w:sz w:val="24"/>
          <w:szCs w:val="24"/>
        </w:rPr>
        <w:t>)</w:t>
      </w:r>
      <w:r w:rsidRPr="00CE3398">
        <w:rPr>
          <w:rFonts w:ascii="Times New Roman" w:hAnsi="Times New Roman"/>
          <w:sz w:val="24"/>
          <w:szCs w:val="24"/>
        </w:rPr>
        <w:t xml:space="preserve">, em que se solicitou o detalhamento dos </w:t>
      </w:r>
      <w:r w:rsidR="00B433BD" w:rsidRPr="00CE3398">
        <w:rPr>
          <w:rFonts w:ascii="Times New Roman" w:hAnsi="Times New Roman"/>
          <w:sz w:val="24"/>
          <w:szCs w:val="24"/>
        </w:rPr>
        <w:t>dispêndios com base em categorias já definidas</w:t>
      </w:r>
      <w:r w:rsidRPr="00CE3398">
        <w:rPr>
          <w:rFonts w:ascii="Times New Roman" w:hAnsi="Times New Roman"/>
          <w:sz w:val="24"/>
          <w:szCs w:val="24"/>
        </w:rPr>
        <w:t xml:space="preserve">. As respostas dos produtores de gasolina A ao segundo pedido de informação foram consolidadas na </w:t>
      </w:r>
      <w:r w:rsidR="0072557A" w:rsidRPr="00CE3398">
        <w:rPr>
          <w:rFonts w:ascii="Times New Roman" w:hAnsi="Times New Roman"/>
          <w:sz w:val="24"/>
          <w:szCs w:val="24"/>
        </w:rPr>
        <w:t xml:space="preserve">Tabela </w:t>
      </w:r>
      <w:r w:rsidR="00E678EF" w:rsidRPr="00CE3398">
        <w:rPr>
          <w:rFonts w:ascii="Times New Roman" w:hAnsi="Times New Roman"/>
          <w:sz w:val="24"/>
          <w:szCs w:val="24"/>
        </w:rPr>
        <w:t>2</w:t>
      </w:r>
      <w:r w:rsidR="00FC7F70">
        <w:rPr>
          <w:rFonts w:ascii="Times New Roman" w:hAnsi="Times New Roman"/>
          <w:sz w:val="24"/>
          <w:szCs w:val="24"/>
        </w:rPr>
        <w:t>, que apresenta os somatórios para o conjunto dos produtores consultados</w:t>
      </w:r>
      <w:r w:rsidR="000D0239">
        <w:rPr>
          <w:rFonts w:ascii="Times New Roman" w:hAnsi="Times New Roman"/>
          <w:sz w:val="24"/>
          <w:szCs w:val="24"/>
        </w:rPr>
        <w:t>.</w:t>
      </w:r>
    </w:p>
    <w:p w:rsidR="00E53557" w:rsidRPr="00CE3398" w:rsidRDefault="00E53557" w:rsidP="0002519A">
      <w:pPr>
        <w:tabs>
          <w:tab w:val="left" w:pos="0"/>
        </w:tabs>
        <w:spacing w:after="120" w:line="240" w:lineRule="auto"/>
        <w:ind w:firstLine="709"/>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
        <w:gridCol w:w="4338"/>
        <w:gridCol w:w="1091"/>
        <w:gridCol w:w="1216"/>
        <w:gridCol w:w="1216"/>
        <w:gridCol w:w="1217"/>
      </w:tblGrid>
      <w:tr w:rsidR="0057387B" w:rsidRPr="00515DE5" w:rsidTr="00515DE5">
        <w:tc>
          <w:tcPr>
            <w:tcW w:w="5000" w:type="pct"/>
            <w:gridSpan w:val="6"/>
            <w:tcBorders>
              <w:top w:val="nil"/>
              <w:left w:val="nil"/>
              <w:bottom w:val="nil"/>
              <w:right w:val="nil"/>
            </w:tcBorders>
            <w:vAlign w:val="center"/>
          </w:tcPr>
          <w:p w:rsidR="0057387B" w:rsidRPr="00515DE5" w:rsidRDefault="0057387B" w:rsidP="0057387B">
            <w:pPr>
              <w:spacing w:after="0" w:line="240" w:lineRule="auto"/>
              <w:jc w:val="center"/>
              <w:rPr>
                <w:rFonts w:ascii="Times New Roman" w:hAnsi="Times New Roman"/>
                <w:b/>
                <w:sz w:val="20"/>
                <w:szCs w:val="20"/>
              </w:rPr>
            </w:pPr>
            <w:r w:rsidRPr="00515DE5">
              <w:rPr>
                <w:rFonts w:ascii="Times New Roman" w:hAnsi="Times New Roman"/>
                <w:b/>
                <w:sz w:val="20"/>
                <w:szCs w:val="20"/>
              </w:rPr>
              <w:t>Tabela 2 - Consolidação de informações – Produtores de gasolina A</w:t>
            </w:r>
          </w:p>
          <w:p w:rsidR="0057387B" w:rsidRPr="00515DE5" w:rsidRDefault="0057387B" w:rsidP="0057387B">
            <w:pPr>
              <w:spacing w:after="0" w:line="240" w:lineRule="auto"/>
              <w:jc w:val="center"/>
              <w:rPr>
                <w:rFonts w:ascii="Times New Roman" w:hAnsi="Times New Roman"/>
                <w:b/>
                <w:sz w:val="20"/>
                <w:szCs w:val="20"/>
              </w:rPr>
            </w:pPr>
          </w:p>
        </w:tc>
      </w:tr>
      <w:tr w:rsidR="00C63185" w:rsidRPr="00515DE5" w:rsidTr="00515DE5">
        <w:tc>
          <w:tcPr>
            <w:tcW w:w="5000" w:type="pct"/>
            <w:gridSpan w:val="6"/>
            <w:tcBorders>
              <w:top w:val="nil"/>
              <w:left w:val="nil"/>
              <w:bottom w:val="nil"/>
              <w:right w:val="nil"/>
            </w:tcBorders>
            <w:vAlign w:val="center"/>
          </w:tcPr>
          <w:p w:rsidR="00C63185" w:rsidRPr="00515DE5" w:rsidRDefault="00C63185" w:rsidP="0057387B">
            <w:pPr>
              <w:spacing w:after="0" w:line="240" w:lineRule="auto"/>
              <w:jc w:val="right"/>
              <w:rPr>
                <w:rFonts w:ascii="Times New Roman" w:hAnsi="Times New Roman"/>
                <w:sz w:val="20"/>
                <w:szCs w:val="20"/>
              </w:rPr>
            </w:pPr>
            <w:r w:rsidRPr="00515DE5">
              <w:rPr>
                <w:rFonts w:ascii="Times New Roman" w:hAnsi="Times New Roman"/>
                <w:sz w:val="20"/>
                <w:szCs w:val="20"/>
              </w:rPr>
              <w:t>Valores em milhares de reais</w:t>
            </w:r>
          </w:p>
        </w:tc>
      </w:tr>
      <w:tr w:rsidR="009A3431" w:rsidRPr="00515DE5" w:rsidTr="000D0239">
        <w:tc>
          <w:tcPr>
            <w:tcW w:w="2524" w:type="pct"/>
            <w:gridSpan w:val="2"/>
            <w:tcBorders>
              <w:top w:val="nil"/>
              <w:left w:val="nil"/>
              <w:bottom w:val="single" w:sz="12" w:space="0" w:color="000000"/>
              <w:right w:val="nil"/>
            </w:tcBorders>
            <w:shd w:val="clear" w:color="auto" w:fill="FDE9D9" w:themeFill="accent6" w:themeFillTint="33"/>
            <w:vAlign w:val="center"/>
          </w:tcPr>
          <w:p w:rsidR="0002519A" w:rsidRPr="00515DE5" w:rsidRDefault="0002519A" w:rsidP="003D0967">
            <w:pPr>
              <w:spacing w:after="0" w:line="240" w:lineRule="auto"/>
              <w:jc w:val="center"/>
              <w:rPr>
                <w:rFonts w:ascii="Times New Roman" w:hAnsi="Times New Roman"/>
                <w:b/>
                <w:sz w:val="20"/>
                <w:szCs w:val="20"/>
              </w:rPr>
            </w:pPr>
            <w:r w:rsidRPr="00515DE5">
              <w:rPr>
                <w:rFonts w:ascii="Times New Roman" w:hAnsi="Times New Roman"/>
                <w:b/>
                <w:sz w:val="20"/>
                <w:szCs w:val="20"/>
              </w:rPr>
              <w:t xml:space="preserve">Categorias de </w:t>
            </w:r>
            <w:r w:rsidR="003D0967" w:rsidRPr="00515DE5">
              <w:rPr>
                <w:rFonts w:ascii="Times New Roman" w:hAnsi="Times New Roman"/>
                <w:b/>
                <w:sz w:val="20"/>
                <w:szCs w:val="20"/>
              </w:rPr>
              <w:t>dispêndio</w:t>
            </w:r>
          </w:p>
        </w:tc>
        <w:tc>
          <w:tcPr>
            <w:tcW w:w="570" w:type="pct"/>
            <w:tcBorders>
              <w:top w:val="nil"/>
              <w:left w:val="nil"/>
              <w:bottom w:val="single" w:sz="12" w:space="0" w:color="000000"/>
              <w:right w:val="nil"/>
            </w:tcBorders>
            <w:shd w:val="clear" w:color="auto" w:fill="FDE9D9" w:themeFill="accent6" w:themeFillTint="33"/>
            <w:vAlign w:val="center"/>
          </w:tcPr>
          <w:p w:rsidR="0002519A" w:rsidRPr="00515DE5" w:rsidRDefault="0002519A" w:rsidP="00F62AF0">
            <w:pPr>
              <w:spacing w:after="0" w:line="240" w:lineRule="auto"/>
              <w:jc w:val="center"/>
              <w:rPr>
                <w:rFonts w:ascii="Times New Roman" w:hAnsi="Times New Roman"/>
                <w:b/>
                <w:sz w:val="20"/>
                <w:szCs w:val="20"/>
              </w:rPr>
            </w:pPr>
            <w:r w:rsidRPr="00515DE5">
              <w:rPr>
                <w:rFonts w:ascii="Times New Roman" w:hAnsi="Times New Roman"/>
                <w:b/>
                <w:sz w:val="20"/>
                <w:szCs w:val="20"/>
              </w:rPr>
              <w:t>2013</w:t>
            </w:r>
          </w:p>
        </w:tc>
        <w:tc>
          <w:tcPr>
            <w:tcW w:w="635" w:type="pct"/>
            <w:tcBorders>
              <w:top w:val="nil"/>
              <w:left w:val="nil"/>
              <w:bottom w:val="single" w:sz="12" w:space="0" w:color="000000"/>
              <w:right w:val="nil"/>
            </w:tcBorders>
            <w:shd w:val="clear" w:color="auto" w:fill="FDE9D9" w:themeFill="accent6" w:themeFillTint="33"/>
            <w:vAlign w:val="center"/>
          </w:tcPr>
          <w:p w:rsidR="0002519A" w:rsidRPr="00515DE5" w:rsidRDefault="0002519A" w:rsidP="00F62AF0">
            <w:pPr>
              <w:spacing w:after="0" w:line="240" w:lineRule="auto"/>
              <w:jc w:val="center"/>
              <w:rPr>
                <w:rFonts w:ascii="Times New Roman" w:hAnsi="Times New Roman"/>
                <w:b/>
                <w:sz w:val="20"/>
                <w:szCs w:val="20"/>
              </w:rPr>
            </w:pPr>
            <w:r w:rsidRPr="00515DE5">
              <w:rPr>
                <w:rFonts w:ascii="Times New Roman" w:hAnsi="Times New Roman"/>
                <w:b/>
                <w:sz w:val="20"/>
                <w:szCs w:val="20"/>
              </w:rPr>
              <w:t>2014</w:t>
            </w:r>
          </w:p>
        </w:tc>
        <w:tc>
          <w:tcPr>
            <w:tcW w:w="635" w:type="pct"/>
            <w:tcBorders>
              <w:top w:val="nil"/>
              <w:left w:val="nil"/>
              <w:bottom w:val="single" w:sz="12" w:space="0" w:color="000000"/>
              <w:right w:val="nil"/>
            </w:tcBorders>
            <w:shd w:val="clear" w:color="auto" w:fill="FDE9D9" w:themeFill="accent6" w:themeFillTint="33"/>
            <w:vAlign w:val="center"/>
          </w:tcPr>
          <w:p w:rsidR="0002519A" w:rsidRPr="00515DE5" w:rsidRDefault="0002519A" w:rsidP="00F62AF0">
            <w:pPr>
              <w:spacing w:after="0" w:line="240" w:lineRule="auto"/>
              <w:jc w:val="center"/>
              <w:rPr>
                <w:rFonts w:ascii="Times New Roman" w:hAnsi="Times New Roman"/>
                <w:b/>
                <w:sz w:val="20"/>
                <w:szCs w:val="20"/>
              </w:rPr>
            </w:pPr>
            <w:r w:rsidRPr="00515DE5">
              <w:rPr>
                <w:rFonts w:ascii="Times New Roman" w:hAnsi="Times New Roman"/>
                <w:b/>
                <w:sz w:val="20"/>
                <w:szCs w:val="20"/>
              </w:rPr>
              <w:t>2015</w:t>
            </w:r>
          </w:p>
        </w:tc>
        <w:tc>
          <w:tcPr>
            <w:tcW w:w="636" w:type="pct"/>
            <w:tcBorders>
              <w:top w:val="nil"/>
              <w:left w:val="nil"/>
              <w:bottom w:val="single" w:sz="12" w:space="0" w:color="000000"/>
              <w:right w:val="nil"/>
            </w:tcBorders>
            <w:shd w:val="clear" w:color="auto" w:fill="FDE9D9" w:themeFill="accent6" w:themeFillTint="33"/>
            <w:vAlign w:val="center"/>
          </w:tcPr>
          <w:p w:rsidR="0002519A" w:rsidRPr="00515DE5" w:rsidRDefault="0002519A" w:rsidP="00F62AF0">
            <w:pPr>
              <w:spacing w:after="0" w:line="240" w:lineRule="auto"/>
              <w:jc w:val="center"/>
              <w:rPr>
                <w:rFonts w:ascii="Times New Roman" w:hAnsi="Times New Roman"/>
                <w:b/>
                <w:sz w:val="20"/>
                <w:szCs w:val="20"/>
              </w:rPr>
            </w:pPr>
            <w:r w:rsidRPr="00515DE5">
              <w:rPr>
                <w:rFonts w:ascii="Times New Roman" w:hAnsi="Times New Roman"/>
                <w:b/>
                <w:sz w:val="20"/>
                <w:szCs w:val="20"/>
              </w:rPr>
              <w:t>2016 em diante</w:t>
            </w:r>
          </w:p>
        </w:tc>
      </w:tr>
      <w:tr w:rsidR="000D0239" w:rsidRPr="00515DE5" w:rsidTr="000D0239">
        <w:tc>
          <w:tcPr>
            <w:tcW w:w="258" w:type="pct"/>
            <w:tcBorders>
              <w:top w:val="single" w:sz="12" w:space="0" w:color="000000"/>
              <w:left w:val="nil"/>
            </w:tcBorders>
            <w:vAlign w:val="center"/>
          </w:tcPr>
          <w:p w:rsidR="000D0239" w:rsidRPr="00515DE5" w:rsidRDefault="000D0239" w:rsidP="00F62AF0">
            <w:pPr>
              <w:spacing w:after="0" w:line="240" w:lineRule="auto"/>
              <w:jc w:val="center"/>
              <w:rPr>
                <w:rFonts w:ascii="Times New Roman" w:hAnsi="Times New Roman"/>
                <w:sz w:val="20"/>
                <w:szCs w:val="20"/>
              </w:rPr>
            </w:pPr>
            <w:r w:rsidRPr="00515DE5">
              <w:rPr>
                <w:rFonts w:ascii="Times New Roman" w:hAnsi="Times New Roman"/>
                <w:sz w:val="20"/>
                <w:szCs w:val="20"/>
              </w:rPr>
              <w:t>A</w:t>
            </w:r>
          </w:p>
        </w:tc>
        <w:tc>
          <w:tcPr>
            <w:tcW w:w="2266" w:type="pct"/>
            <w:tcBorders>
              <w:top w:val="single" w:sz="12" w:space="0" w:color="000000"/>
            </w:tcBorders>
          </w:tcPr>
          <w:p w:rsidR="000D0239" w:rsidRPr="00515DE5" w:rsidRDefault="000D0239" w:rsidP="003D0967">
            <w:pPr>
              <w:spacing w:after="0" w:line="240" w:lineRule="auto"/>
              <w:jc w:val="both"/>
              <w:rPr>
                <w:rFonts w:ascii="Times New Roman" w:hAnsi="Times New Roman"/>
                <w:sz w:val="20"/>
                <w:szCs w:val="20"/>
              </w:rPr>
            </w:pPr>
            <w:r w:rsidRPr="00515DE5">
              <w:rPr>
                <w:rFonts w:ascii="Times New Roman" w:hAnsi="Times New Roman"/>
                <w:sz w:val="20"/>
                <w:szCs w:val="20"/>
              </w:rPr>
              <w:t>Investimentos na adequação da Infraestrutura - obras civis, equipamentos, softwares e automação (inclusive dispêndios com projetos</w:t>
            </w:r>
            <w:proofErr w:type="gramStart"/>
            <w:r w:rsidRPr="00515DE5">
              <w:rPr>
                <w:rFonts w:ascii="Times New Roman" w:hAnsi="Times New Roman"/>
                <w:sz w:val="20"/>
                <w:szCs w:val="20"/>
              </w:rPr>
              <w:t>)</w:t>
            </w:r>
            <w:proofErr w:type="gramEnd"/>
          </w:p>
        </w:tc>
        <w:tc>
          <w:tcPr>
            <w:tcW w:w="570" w:type="pct"/>
            <w:tcBorders>
              <w:top w:val="single" w:sz="12" w:space="0" w:color="000000"/>
            </w:tcBorders>
            <w:vAlign w:val="center"/>
          </w:tcPr>
          <w:p w:rsidR="000D0239" w:rsidRPr="00515DE5" w:rsidRDefault="000D0239" w:rsidP="000D0239">
            <w:pPr>
              <w:spacing w:after="0" w:line="240" w:lineRule="auto"/>
              <w:jc w:val="right"/>
              <w:rPr>
                <w:rFonts w:ascii="Times New Roman" w:hAnsi="Times New Roman"/>
                <w:sz w:val="20"/>
                <w:szCs w:val="20"/>
              </w:rPr>
            </w:pPr>
            <w:r>
              <w:rPr>
                <w:rFonts w:ascii="Times New Roman" w:hAnsi="Times New Roman"/>
                <w:sz w:val="20"/>
                <w:szCs w:val="20"/>
              </w:rPr>
              <w:t>4.053,9</w:t>
            </w:r>
            <w:r w:rsidR="00D22805">
              <w:rPr>
                <w:rFonts w:ascii="Times New Roman" w:hAnsi="Times New Roman"/>
                <w:sz w:val="20"/>
                <w:szCs w:val="20"/>
              </w:rPr>
              <w:t>0</w:t>
            </w:r>
          </w:p>
        </w:tc>
        <w:tc>
          <w:tcPr>
            <w:tcW w:w="635" w:type="pct"/>
            <w:tcBorders>
              <w:top w:val="single" w:sz="12" w:space="0" w:color="000000"/>
            </w:tcBorders>
            <w:vAlign w:val="center"/>
          </w:tcPr>
          <w:p w:rsidR="000D0239" w:rsidRPr="00515DE5" w:rsidRDefault="00D22805" w:rsidP="00D22805">
            <w:pPr>
              <w:spacing w:after="0" w:line="240" w:lineRule="auto"/>
              <w:jc w:val="right"/>
              <w:rPr>
                <w:rFonts w:ascii="Times New Roman" w:hAnsi="Times New Roman"/>
                <w:sz w:val="20"/>
                <w:szCs w:val="20"/>
              </w:rPr>
            </w:pPr>
            <w:r>
              <w:rPr>
                <w:rFonts w:ascii="Times New Roman" w:hAnsi="Times New Roman"/>
                <w:sz w:val="20"/>
                <w:szCs w:val="20"/>
              </w:rPr>
              <w:t>25.572,</w:t>
            </w:r>
            <w:r w:rsidR="000D0239" w:rsidRPr="009074D8">
              <w:rPr>
                <w:rFonts w:ascii="Times New Roman" w:hAnsi="Times New Roman"/>
                <w:sz w:val="20"/>
                <w:szCs w:val="20"/>
              </w:rPr>
              <w:t>90</w:t>
            </w:r>
          </w:p>
        </w:tc>
        <w:tc>
          <w:tcPr>
            <w:tcW w:w="635" w:type="pct"/>
            <w:tcBorders>
              <w:top w:val="single" w:sz="12" w:space="0" w:color="000000"/>
            </w:tcBorders>
            <w:vAlign w:val="center"/>
          </w:tcPr>
          <w:p w:rsidR="000D0239" w:rsidRPr="00515DE5" w:rsidRDefault="00D22805" w:rsidP="00D22805">
            <w:pPr>
              <w:spacing w:after="0" w:line="240" w:lineRule="auto"/>
              <w:jc w:val="right"/>
              <w:rPr>
                <w:rFonts w:ascii="Times New Roman" w:hAnsi="Times New Roman"/>
                <w:sz w:val="20"/>
                <w:szCs w:val="20"/>
              </w:rPr>
            </w:pPr>
            <w:r>
              <w:rPr>
                <w:rFonts w:ascii="Times New Roman" w:hAnsi="Times New Roman"/>
                <w:sz w:val="20"/>
                <w:szCs w:val="20"/>
              </w:rPr>
              <w:t>18.311,</w:t>
            </w:r>
            <w:r w:rsidR="000D0239" w:rsidRPr="004A5FFC">
              <w:rPr>
                <w:rFonts w:ascii="Times New Roman" w:hAnsi="Times New Roman"/>
                <w:sz w:val="20"/>
                <w:szCs w:val="20"/>
              </w:rPr>
              <w:t>20</w:t>
            </w:r>
          </w:p>
        </w:tc>
        <w:tc>
          <w:tcPr>
            <w:tcW w:w="636" w:type="pct"/>
            <w:tcBorders>
              <w:top w:val="single" w:sz="12" w:space="0" w:color="000000"/>
              <w:right w:val="nil"/>
            </w:tcBorders>
            <w:vAlign w:val="center"/>
          </w:tcPr>
          <w:p w:rsidR="000D0239" w:rsidRPr="00515DE5" w:rsidRDefault="000D0239" w:rsidP="000D0239">
            <w:pPr>
              <w:spacing w:after="0" w:line="240" w:lineRule="auto"/>
              <w:jc w:val="center"/>
              <w:rPr>
                <w:rFonts w:ascii="Times New Roman" w:hAnsi="Times New Roman"/>
                <w:sz w:val="20"/>
                <w:szCs w:val="20"/>
              </w:rPr>
            </w:pPr>
            <w:r w:rsidRPr="00515DE5">
              <w:rPr>
                <w:rFonts w:ascii="Times New Roman" w:hAnsi="Times New Roman"/>
                <w:sz w:val="20"/>
                <w:szCs w:val="20"/>
              </w:rPr>
              <w:t>Não se aplica</w:t>
            </w:r>
          </w:p>
        </w:tc>
      </w:tr>
      <w:tr w:rsidR="000D0239" w:rsidRPr="00515DE5" w:rsidTr="000D0239">
        <w:tc>
          <w:tcPr>
            <w:tcW w:w="258" w:type="pct"/>
            <w:tcBorders>
              <w:left w:val="nil"/>
            </w:tcBorders>
            <w:vAlign w:val="center"/>
          </w:tcPr>
          <w:p w:rsidR="000D0239" w:rsidRPr="00515DE5" w:rsidRDefault="000D0239" w:rsidP="00F62AF0">
            <w:pPr>
              <w:spacing w:after="0" w:line="240" w:lineRule="auto"/>
              <w:jc w:val="center"/>
              <w:rPr>
                <w:rFonts w:ascii="Times New Roman" w:hAnsi="Times New Roman"/>
                <w:sz w:val="20"/>
                <w:szCs w:val="20"/>
              </w:rPr>
            </w:pPr>
            <w:r w:rsidRPr="00515DE5">
              <w:rPr>
                <w:rFonts w:ascii="Times New Roman" w:hAnsi="Times New Roman"/>
                <w:sz w:val="20"/>
                <w:szCs w:val="20"/>
              </w:rPr>
              <w:t>B</w:t>
            </w:r>
          </w:p>
        </w:tc>
        <w:tc>
          <w:tcPr>
            <w:tcW w:w="2266" w:type="pct"/>
          </w:tcPr>
          <w:p w:rsidR="000D0239" w:rsidRPr="00515DE5" w:rsidRDefault="000D0239" w:rsidP="003D0967">
            <w:pPr>
              <w:spacing w:after="0" w:line="240" w:lineRule="auto"/>
              <w:jc w:val="both"/>
              <w:rPr>
                <w:rFonts w:ascii="Times New Roman" w:hAnsi="Times New Roman"/>
                <w:sz w:val="20"/>
                <w:szCs w:val="20"/>
              </w:rPr>
            </w:pPr>
            <w:r w:rsidRPr="00515DE5">
              <w:rPr>
                <w:rFonts w:ascii="Times New Roman" w:hAnsi="Times New Roman"/>
                <w:sz w:val="20"/>
                <w:szCs w:val="20"/>
              </w:rPr>
              <w:t xml:space="preserve">Licenças de operação, registros e demais despesas administrativas </w:t>
            </w:r>
            <w:proofErr w:type="gramStart"/>
            <w:r w:rsidRPr="00515DE5">
              <w:rPr>
                <w:rFonts w:ascii="Times New Roman" w:hAnsi="Times New Roman"/>
                <w:sz w:val="20"/>
                <w:szCs w:val="20"/>
              </w:rPr>
              <w:t>temporárias</w:t>
            </w:r>
            <w:proofErr w:type="gramEnd"/>
          </w:p>
        </w:tc>
        <w:tc>
          <w:tcPr>
            <w:tcW w:w="570" w:type="pct"/>
            <w:vAlign w:val="center"/>
          </w:tcPr>
          <w:p w:rsidR="000D0239" w:rsidRPr="00515DE5" w:rsidRDefault="000D0239" w:rsidP="000D0239">
            <w:pPr>
              <w:spacing w:after="0" w:line="240" w:lineRule="auto"/>
              <w:jc w:val="right"/>
              <w:rPr>
                <w:rFonts w:ascii="Times New Roman" w:hAnsi="Times New Roman"/>
                <w:sz w:val="20"/>
                <w:szCs w:val="20"/>
              </w:rPr>
            </w:pPr>
            <w:r>
              <w:rPr>
                <w:rFonts w:ascii="Times New Roman" w:hAnsi="Times New Roman"/>
                <w:sz w:val="20"/>
                <w:szCs w:val="20"/>
              </w:rPr>
              <w:t>110,00</w:t>
            </w:r>
          </w:p>
        </w:tc>
        <w:tc>
          <w:tcPr>
            <w:tcW w:w="635" w:type="pct"/>
            <w:vAlign w:val="center"/>
          </w:tcPr>
          <w:p w:rsidR="000D0239" w:rsidRPr="00515DE5" w:rsidRDefault="00D22805" w:rsidP="00D22805">
            <w:pPr>
              <w:spacing w:after="0" w:line="240" w:lineRule="auto"/>
              <w:jc w:val="right"/>
              <w:rPr>
                <w:rFonts w:ascii="Times New Roman" w:hAnsi="Times New Roman"/>
                <w:sz w:val="20"/>
                <w:szCs w:val="20"/>
              </w:rPr>
            </w:pPr>
            <w:r>
              <w:rPr>
                <w:rFonts w:ascii="Times New Roman" w:hAnsi="Times New Roman"/>
                <w:sz w:val="20"/>
                <w:szCs w:val="20"/>
              </w:rPr>
              <w:t>2.680,</w:t>
            </w:r>
            <w:r w:rsidR="000D0239" w:rsidRPr="009074D8">
              <w:rPr>
                <w:rFonts w:ascii="Times New Roman" w:hAnsi="Times New Roman"/>
                <w:sz w:val="20"/>
                <w:szCs w:val="20"/>
              </w:rPr>
              <w:t>00</w:t>
            </w:r>
          </w:p>
        </w:tc>
        <w:tc>
          <w:tcPr>
            <w:tcW w:w="635" w:type="pct"/>
            <w:vAlign w:val="center"/>
          </w:tcPr>
          <w:p w:rsidR="000D0239" w:rsidRPr="00515DE5" w:rsidRDefault="000D0239" w:rsidP="00D22805">
            <w:pPr>
              <w:spacing w:after="0" w:line="240" w:lineRule="auto"/>
              <w:jc w:val="right"/>
              <w:rPr>
                <w:rFonts w:ascii="Times New Roman" w:hAnsi="Times New Roman"/>
                <w:sz w:val="20"/>
                <w:szCs w:val="20"/>
              </w:rPr>
            </w:pPr>
            <w:r w:rsidRPr="004A5FFC">
              <w:rPr>
                <w:rFonts w:ascii="Times New Roman" w:hAnsi="Times New Roman"/>
                <w:sz w:val="20"/>
                <w:szCs w:val="20"/>
              </w:rPr>
              <w:t>30</w:t>
            </w:r>
            <w:r w:rsidR="00D22805">
              <w:rPr>
                <w:rFonts w:ascii="Times New Roman" w:hAnsi="Times New Roman"/>
                <w:sz w:val="20"/>
                <w:szCs w:val="20"/>
              </w:rPr>
              <w:t>,</w:t>
            </w:r>
            <w:r w:rsidRPr="004A5FFC">
              <w:rPr>
                <w:rFonts w:ascii="Times New Roman" w:hAnsi="Times New Roman"/>
                <w:sz w:val="20"/>
                <w:szCs w:val="20"/>
              </w:rPr>
              <w:t>00</w:t>
            </w:r>
          </w:p>
        </w:tc>
        <w:tc>
          <w:tcPr>
            <w:tcW w:w="636" w:type="pct"/>
            <w:tcBorders>
              <w:right w:val="nil"/>
            </w:tcBorders>
            <w:vAlign w:val="center"/>
          </w:tcPr>
          <w:p w:rsidR="000D0239" w:rsidRPr="00515DE5" w:rsidRDefault="000D0239" w:rsidP="000D0239">
            <w:pPr>
              <w:spacing w:after="0" w:line="240" w:lineRule="auto"/>
              <w:jc w:val="center"/>
              <w:rPr>
                <w:rFonts w:ascii="Times New Roman" w:hAnsi="Times New Roman"/>
                <w:sz w:val="20"/>
                <w:szCs w:val="20"/>
              </w:rPr>
            </w:pPr>
            <w:r w:rsidRPr="00515DE5">
              <w:rPr>
                <w:rFonts w:ascii="Times New Roman" w:hAnsi="Times New Roman"/>
                <w:sz w:val="20"/>
                <w:szCs w:val="20"/>
              </w:rPr>
              <w:t>Não se aplica</w:t>
            </w:r>
          </w:p>
        </w:tc>
      </w:tr>
      <w:tr w:rsidR="000D0239" w:rsidRPr="00515DE5" w:rsidTr="000D0239">
        <w:tc>
          <w:tcPr>
            <w:tcW w:w="258" w:type="pct"/>
            <w:tcBorders>
              <w:left w:val="nil"/>
            </w:tcBorders>
            <w:vAlign w:val="center"/>
          </w:tcPr>
          <w:p w:rsidR="000D0239" w:rsidRPr="00515DE5" w:rsidRDefault="000D0239" w:rsidP="00F62AF0">
            <w:pPr>
              <w:spacing w:after="0" w:line="240" w:lineRule="auto"/>
              <w:jc w:val="center"/>
              <w:rPr>
                <w:rFonts w:ascii="Times New Roman" w:hAnsi="Times New Roman"/>
                <w:sz w:val="20"/>
                <w:szCs w:val="20"/>
              </w:rPr>
            </w:pPr>
            <w:r w:rsidRPr="00515DE5">
              <w:rPr>
                <w:rFonts w:ascii="Times New Roman" w:hAnsi="Times New Roman"/>
                <w:sz w:val="20"/>
                <w:szCs w:val="20"/>
              </w:rPr>
              <w:t>C</w:t>
            </w:r>
          </w:p>
        </w:tc>
        <w:tc>
          <w:tcPr>
            <w:tcW w:w="2266" w:type="pct"/>
          </w:tcPr>
          <w:p w:rsidR="000D0239" w:rsidRPr="00515DE5" w:rsidRDefault="000D0239" w:rsidP="00F62AF0">
            <w:pPr>
              <w:spacing w:after="0" w:line="240" w:lineRule="auto"/>
              <w:jc w:val="both"/>
              <w:rPr>
                <w:rFonts w:ascii="Times New Roman" w:hAnsi="Times New Roman"/>
                <w:sz w:val="20"/>
                <w:szCs w:val="20"/>
              </w:rPr>
            </w:pPr>
            <w:r w:rsidRPr="00515DE5">
              <w:rPr>
                <w:rFonts w:ascii="Times New Roman" w:hAnsi="Times New Roman"/>
                <w:sz w:val="20"/>
                <w:szCs w:val="20"/>
              </w:rPr>
              <w:t>Compra do aditivo</w:t>
            </w:r>
          </w:p>
        </w:tc>
        <w:tc>
          <w:tcPr>
            <w:tcW w:w="570" w:type="pct"/>
            <w:vAlign w:val="center"/>
          </w:tcPr>
          <w:p w:rsidR="000D0239" w:rsidRPr="00AE2116" w:rsidRDefault="00D22805" w:rsidP="00D22805">
            <w:pPr>
              <w:spacing w:after="0"/>
              <w:jc w:val="right"/>
              <w:rPr>
                <w:rFonts w:ascii="Times New Roman" w:hAnsi="Times New Roman"/>
                <w:color w:val="000000"/>
                <w:sz w:val="20"/>
                <w:szCs w:val="20"/>
              </w:rPr>
            </w:pPr>
            <w:r>
              <w:rPr>
                <w:rFonts w:ascii="Times New Roman" w:hAnsi="Times New Roman"/>
                <w:color w:val="000000"/>
                <w:sz w:val="20"/>
                <w:szCs w:val="20"/>
              </w:rPr>
              <w:t>999,</w:t>
            </w:r>
            <w:r w:rsidR="000D0239" w:rsidRPr="00AE2116">
              <w:rPr>
                <w:rFonts w:ascii="Times New Roman" w:hAnsi="Times New Roman"/>
                <w:color w:val="000000"/>
                <w:sz w:val="20"/>
                <w:szCs w:val="20"/>
              </w:rPr>
              <w:t>2</w:t>
            </w:r>
            <w:r>
              <w:rPr>
                <w:rFonts w:ascii="Times New Roman" w:hAnsi="Times New Roman"/>
                <w:color w:val="000000"/>
                <w:sz w:val="20"/>
                <w:szCs w:val="20"/>
              </w:rPr>
              <w:t>0</w:t>
            </w:r>
          </w:p>
        </w:tc>
        <w:tc>
          <w:tcPr>
            <w:tcW w:w="635" w:type="pct"/>
            <w:vAlign w:val="center"/>
          </w:tcPr>
          <w:p w:rsidR="000D0239" w:rsidRPr="00515DE5" w:rsidRDefault="00D22805" w:rsidP="000D0239">
            <w:pPr>
              <w:spacing w:after="0" w:line="240" w:lineRule="auto"/>
              <w:jc w:val="right"/>
              <w:rPr>
                <w:rFonts w:ascii="Times New Roman" w:hAnsi="Times New Roman"/>
                <w:sz w:val="20"/>
                <w:szCs w:val="20"/>
              </w:rPr>
            </w:pPr>
            <w:r>
              <w:rPr>
                <w:rFonts w:ascii="Times New Roman" w:hAnsi="Times New Roman"/>
                <w:sz w:val="20"/>
                <w:szCs w:val="20"/>
              </w:rPr>
              <w:t>6.238,</w:t>
            </w:r>
            <w:r w:rsidR="000D0239" w:rsidRPr="009074D8">
              <w:rPr>
                <w:rFonts w:ascii="Times New Roman" w:hAnsi="Times New Roman"/>
                <w:sz w:val="20"/>
                <w:szCs w:val="20"/>
              </w:rPr>
              <w:t>7</w:t>
            </w:r>
            <w:r>
              <w:rPr>
                <w:rFonts w:ascii="Times New Roman" w:hAnsi="Times New Roman"/>
                <w:sz w:val="20"/>
                <w:szCs w:val="20"/>
              </w:rPr>
              <w:t>2</w:t>
            </w:r>
          </w:p>
        </w:tc>
        <w:tc>
          <w:tcPr>
            <w:tcW w:w="635" w:type="pct"/>
            <w:vAlign w:val="center"/>
          </w:tcPr>
          <w:p w:rsidR="000D0239" w:rsidRPr="00515DE5" w:rsidRDefault="000D0239" w:rsidP="00D22805">
            <w:pPr>
              <w:spacing w:after="0" w:line="240" w:lineRule="auto"/>
              <w:jc w:val="right"/>
              <w:rPr>
                <w:rFonts w:ascii="Times New Roman" w:hAnsi="Times New Roman"/>
                <w:sz w:val="20"/>
                <w:szCs w:val="20"/>
              </w:rPr>
            </w:pPr>
            <w:r w:rsidRPr="004A5FFC">
              <w:rPr>
                <w:rFonts w:ascii="Times New Roman" w:hAnsi="Times New Roman"/>
                <w:sz w:val="20"/>
                <w:szCs w:val="20"/>
              </w:rPr>
              <w:t>6.383</w:t>
            </w:r>
            <w:r w:rsidR="00D22805">
              <w:rPr>
                <w:rFonts w:ascii="Times New Roman" w:hAnsi="Times New Roman"/>
                <w:sz w:val="20"/>
                <w:szCs w:val="20"/>
              </w:rPr>
              <w:t>,</w:t>
            </w:r>
            <w:r w:rsidRPr="004A5FFC">
              <w:rPr>
                <w:rFonts w:ascii="Times New Roman" w:hAnsi="Times New Roman"/>
                <w:sz w:val="20"/>
                <w:szCs w:val="20"/>
              </w:rPr>
              <w:t>3</w:t>
            </w:r>
            <w:r w:rsidR="00D22805">
              <w:rPr>
                <w:rFonts w:ascii="Times New Roman" w:hAnsi="Times New Roman"/>
                <w:sz w:val="20"/>
                <w:szCs w:val="20"/>
              </w:rPr>
              <w:t>2</w:t>
            </w:r>
          </w:p>
        </w:tc>
        <w:tc>
          <w:tcPr>
            <w:tcW w:w="636" w:type="pct"/>
            <w:tcBorders>
              <w:right w:val="nil"/>
            </w:tcBorders>
            <w:vAlign w:val="center"/>
          </w:tcPr>
          <w:p w:rsidR="000D0239" w:rsidRPr="00515DE5" w:rsidRDefault="00D22805" w:rsidP="000D0239">
            <w:pPr>
              <w:spacing w:after="0" w:line="240" w:lineRule="auto"/>
              <w:jc w:val="right"/>
              <w:rPr>
                <w:rFonts w:ascii="Times New Roman" w:hAnsi="Times New Roman"/>
                <w:sz w:val="20"/>
                <w:szCs w:val="20"/>
              </w:rPr>
            </w:pPr>
            <w:r>
              <w:rPr>
                <w:rFonts w:ascii="Times New Roman" w:hAnsi="Times New Roman"/>
                <w:sz w:val="20"/>
                <w:szCs w:val="20"/>
              </w:rPr>
              <w:t>115.997,</w:t>
            </w:r>
            <w:r w:rsidR="000D0239" w:rsidRPr="004A5FFC">
              <w:rPr>
                <w:rFonts w:ascii="Times New Roman" w:hAnsi="Times New Roman"/>
                <w:sz w:val="20"/>
                <w:szCs w:val="20"/>
              </w:rPr>
              <w:t>65</w:t>
            </w:r>
          </w:p>
        </w:tc>
      </w:tr>
      <w:tr w:rsidR="000D0239" w:rsidRPr="00515DE5" w:rsidTr="000D0239">
        <w:tc>
          <w:tcPr>
            <w:tcW w:w="258" w:type="pct"/>
            <w:tcBorders>
              <w:left w:val="nil"/>
            </w:tcBorders>
            <w:vAlign w:val="center"/>
          </w:tcPr>
          <w:p w:rsidR="000D0239" w:rsidRPr="00515DE5" w:rsidRDefault="000D0239" w:rsidP="00F62AF0">
            <w:pPr>
              <w:spacing w:after="0" w:line="240" w:lineRule="auto"/>
              <w:jc w:val="center"/>
              <w:rPr>
                <w:rFonts w:ascii="Times New Roman" w:hAnsi="Times New Roman"/>
                <w:sz w:val="20"/>
                <w:szCs w:val="20"/>
              </w:rPr>
            </w:pPr>
            <w:r w:rsidRPr="00515DE5">
              <w:rPr>
                <w:rFonts w:ascii="Times New Roman" w:hAnsi="Times New Roman"/>
                <w:sz w:val="20"/>
                <w:szCs w:val="20"/>
              </w:rPr>
              <w:t>D</w:t>
            </w:r>
          </w:p>
        </w:tc>
        <w:tc>
          <w:tcPr>
            <w:tcW w:w="2266" w:type="pct"/>
          </w:tcPr>
          <w:p w:rsidR="000D0239" w:rsidRPr="00515DE5" w:rsidRDefault="000D0239" w:rsidP="00F62AF0">
            <w:pPr>
              <w:spacing w:after="0" w:line="240" w:lineRule="auto"/>
              <w:jc w:val="both"/>
              <w:rPr>
                <w:rFonts w:ascii="Times New Roman" w:hAnsi="Times New Roman"/>
                <w:sz w:val="20"/>
                <w:szCs w:val="20"/>
              </w:rPr>
            </w:pPr>
            <w:r w:rsidRPr="00515DE5">
              <w:rPr>
                <w:rFonts w:ascii="Times New Roman" w:hAnsi="Times New Roman"/>
                <w:sz w:val="20"/>
                <w:szCs w:val="20"/>
              </w:rPr>
              <w:t>Pessoal (salários e encargos anuais de novas contratações da área de operações, administrativo, etc.</w:t>
            </w:r>
            <w:proofErr w:type="gramStart"/>
            <w:r w:rsidRPr="00515DE5">
              <w:rPr>
                <w:rFonts w:ascii="Times New Roman" w:hAnsi="Times New Roman"/>
                <w:sz w:val="20"/>
                <w:szCs w:val="20"/>
              </w:rPr>
              <w:t>)</w:t>
            </w:r>
            <w:proofErr w:type="gramEnd"/>
          </w:p>
        </w:tc>
        <w:tc>
          <w:tcPr>
            <w:tcW w:w="570" w:type="pct"/>
            <w:vAlign w:val="center"/>
          </w:tcPr>
          <w:p w:rsidR="000D0239" w:rsidRPr="00AE2116" w:rsidRDefault="00D22805" w:rsidP="00D22805">
            <w:pPr>
              <w:spacing w:after="0"/>
              <w:jc w:val="right"/>
              <w:rPr>
                <w:rFonts w:ascii="Times New Roman" w:hAnsi="Times New Roman"/>
                <w:color w:val="000000"/>
                <w:sz w:val="20"/>
                <w:szCs w:val="20"/>
              </w:rPr>
            </w:pPr>
            <w:r>
              <w:rPr>
                <w:rFonts w:ascii="Times New Roman" w:hAnsi="Times New Roman"/>
                <w:color w:val="000000"/>
                <w:sz w:val="20"/>
                <w:szCs w:val="20"/>
              </w:rPr>
              <w:t>2.050,</w:t>
            </w:r>
            <w:r w:rsidR="000D0239" w:rsidRPr="00AE2116">
              <w:rPr>
                <w:rFonts w:ascii="Times New Roman" w:hAnsi="Times New Roman"/>
                <w:color w:val="000000"/>
                <w:sz w:val="20"/>
                <w:szCs w:val="20"/>
              </w:rPr>
              <w:t>24</w:t>
            </w:r>
          </w:p>
        </w:tc>
        <w:tc>
          <w:tcPr>
            <w:tcW w:w="635" w:type="pct"/>
            <w:vAlign w:val="center"/>
          </w:tcPr>
          <w:p w:rsidR="000D0239" w:rsidRPr="00515DE5" w:rsidRDefault="00D22805" w:rsidP="000D0239">
            <w:pPr>
              <w:spacing w:after="0" w:line="240" w:lineRule="auto"/>
              <w:jc w:val="right"/>
              <w:rPr>
                <w:rFonts w:ascii="Times New Roman" w:hAnsi="Times New Roman"/>
                <w:sz w:val="20"/>
                <w:szCs w:val="20"/>
              </w:rPr>
            </w:pPr>
            <w:r>
              <w:rPr>
                <w:rFonts w:ascii="Times New Roman" w:hAnsi="Times New Roman"/>
                <w:sz w:val="20"/>
                <w:szCs w:val="20"/>
              </w:rPr>
              <w:t>4.025,</w:t>
            </w:r>
            <w:r w:rsidR="000D0239" w:rsidRPr="009074D8">
              <w:rPr>
                <w:rFonts w:ascii="Times New Roman" w:hAnsi="Times New Roman"/>
                <w:sz w:val="20"/>
                <w:szCs w:val="20"/>
              </w:rPr>
              <w:t>61</w:t>
            </w:r>
          </w:p>
        </w:tc>
        <w:tc>
          <w:tcPr>
            <w:tcW w:w="635" w:type="pct"/>
            <w:vAlign w:val="center"/>
          </w:tcPr>
          <w:p w:rsidR="000D0239" w:rsidRPr="00515DE5" w:rsidRDefault="00D22805" w:rsidP="00D22805">
            <w:pPr>
              <w:spacing w:after="0" w:line="240" w:lineRule="auto"/>
              <w:jc w:val="right"/>
              <w:rPr>
                <w:rFonts w:ascii="Times New Roman" w:hAnsi="Times New Roman"/>
                <w:sz w:val="20"/>
                <w:szCs w:val="20"/>
              </w:rPr>
            </w:pPr>
            <w:r>
              <w:rPr>
                <w:rFonts w:ascii="Times New Roman" w:hAnsi="Times New Roman"/>
                <w:sz w:val="20"/>
                <w:szCs w:val="20"/>
              </w:rPr>
              <w:t>7.352,</w:t>
            </w:r>
            <w:r w:rsidR="000D0239" w:rsidRPr="004A5FFC">
              <w:rPr>
                <w:rFonts w:ascii="Times New Roman" w:hAnsi="Times New Roman"/>
                <w:sz w:val="20"/>
                <w:szCs w:val="20"/>
              </w:rPr>
              <w:t>72</w:t>
            </w:r>
          </w:p>
        </w:tc>
        <w:tc>
          <w:tcPr>
            <w:tcW w:w="636" w:type="pct"/>
            <w:tcBorders>
              <w:right w:val="nil"/>
            </w:tcBorders>
            <w:vAlign w:val="center"/>
          </w:tcPr>
          <w:p w:rsidR="000D0239" w:rsidRPr="00515DE5" w:rsidRDefault="00D22805" w:rsidP="000D0239">
            <w:pPr>
              <w:spacing w:after="0" w:line="240" w:lineRule="auto"/>
              <w:jc w:val="right"/>
              <w:rPr>
                <w:rFonts w:ascii="Times New Roman" w:hAnsi="Times New Roman"/>
                <w:sz w:val="20"/>
                <w:szCs w:val="20"/>
              </w:rPr>
            </w:pPr>
            <w:r>
              <w:rPr>
                <w:rFonts w:ascii="Times New Roman" w:hAnsi="Times New Roman"/>
                <w:sz w:val="20"/>
                <w:szCs w:val="20"/>
              </w:rPr>
              <w:t>7.705,</w:t>
            </w:r>
            <w:r w:rsidR="000D0239" w:rsidRPr="004A5FFC">
              <w:rPr>
                <w:rFonts w:ascii="Times New Roman" w:hAnsi="Times New Roman"/>
                <w:sz w:val="20"/>
                <w:szCs w:val="20"/>
              </w:rPr>
              <w:t>93</w:t>
            </w:r>
          </w:p>
        </w:tc>
      </w:tr>
      <w:tr w:rsidR="000D0239" w:rsidRPr="00515DE5" w:rsidTr="000D0239">
        <w:tc>
          <w:tcPr>
            <w:tcW w:w="258" w:type="pct"/>
            <w:tcBorders>
              <w:left w:val="nil"/>
            </w:tcBorders>
            <w:vAlign w:val="center"/>
          </w:tcPr>
          <w:p w:rsidR="000D0239" w:rsidRPr="00515DE5" w:rsidRDefault="000D0239" w:rsidP="00F62AF0">
            <w:pPr>
              <w:spacing w:after="0" w:line="240" w:lineRule="auto"/>
              <w:jc w:val="center"/>
              <w:rPr>
                <w:rFonts w:ascii="Times New Roman" w:hAnsi="Times New Roman"/>
                <w:sz w:val="20"/>
                <w:szCs w:val="20"/>
              </w:rPr>
            </w:pPr>
            <w:r w:rsidRPr="00515DE5">
              <w:rPr>
                <w:rFonts w:ascii="Times New Roman" w:hAnsi="Times New Roman"/>
                <w:sz w:val="20"/>
                <w:szCs w:val="20"/>
              </w:rPr>
              <w:t>E</w:t>
            </w:r>
          </w:p>
        </w:tc>
        <w:tc>
          <w:tcPr>
            <w:tcW w:w="2266" w:type="pct"/>
          </w:tcPr>
          <w:p w:rsidR="000D0239" w:rsidRPr="00515DE5" w:rsidRDefault="000D0239" w:rsidP="00E24946">
            <w:pPr>
              <w:spacing w:after="0" w:line="240" w:lineRule="auto"/>
              <w:jc w:val="both"/>
              <w:rPr>
                <w:rFonts w:ascii="Times New Roman" w:hAnsi="Times New Roman"/>
                <w:sz w:val="20"/>
                <w:szCs w:val="20"/>
              </w:rPr>
            </w:pPr>
            <w:r w:rsidRPr="00515DE5">
              <w:rPr>
                <w:rFonts w:ascii="Times New Roman" w:hAnsi="Times New Roman"/>
                <w:sz w:val="20"/>
                <w:szCs w:val="20"/>
              </w:rPr>
              <w:t xml:space="preserve">Transporte, armazenamento, manutenção e </w:t>
            </w:r>
            <w:proofErr w:type="gramStart"/>
            <w:r w:rsidRPr="00515DE5">
              <w:rPr>
                <w:rFonts w:ascii="Times New Roman" w:hAnsi="Times New Roman"/>
                <w:sz w:val="20"/>
                <w:szCs w:val="20"/>
              </w:rPr>
              <w:t>operação</w:t>
            </w:r>
            <w:proofErr w:type="gramEnd"/>
          </w:p>
        </w:tc>
        <w:tc>
          <w:tcPr>
            <w:tcW w:w="570" w:type="pct"/>
            <w:vAlign w:val="center"/>
          </w:tcPr>
          <w:p w:rsidR="000D0239" w:rsidRPr="00AE2116" w:rsidRDefault="000D0239" w:rsidP="00D22805">
            <w:pPr>
              <w:spacing w:after="0"/>
              <w:jc w:val="right"/>
              <w:rPr>
                <w:rFonts w:ascii="Times New Roman" w:hAnsi="Times New Roman"/>
                <w:color w:val="000000"/>
                <w:sz w:val="20"/>
                <w:szCs w:val="20"/>
              </w:rPr>
            </w:pPr>
            <w:r w:rsidRPr="00AE2116">
              <w:rPr>
                <w:rFonts w:ascii="Times New Roman" w:hAnsi="Times New Roman"/>
                <w:color w:val="000000"/>
                <w:sz w:val="20"/>
                <w:szCs w:val="20"/>
              </w:rPr>
              <w:t>190</w:t>
            </w:r>
            <w:r w:rsidR="00D22805">
              <w:rPr>
                <w:rFonts w:ascii="Times New Roman" w:hAnsi="Times New Roman"/>
                <w:color w:val="000000"/>
                <w:sz w:val="20"/>
                <w:szCs w:val="20"/>
              </w:rPr>
              <w:t>,</w:t>
            </w:r>
            <w:r w:rsidRPr="00AE2116">
              <w:rPr>
                <w:rFonts w:ascii="Times New Roman" w:hAnsi="Times New Roman"/>
                <w:color w:val="000000"/>
                <w:sz w:val="20"/>
                <w:szCs w:val="20"/>
              </w:rPr>
              <w:t>00</w:t>
            </w:r>
          </w:p>
        </w:tc>
        <w:tc>
          <w:tcPr>
            <w:tcW w:w="635" w:type="pct"/>
            <w:vAlign w:val="center"/>
          </w:tcPr>
          <w:p w:rsidR="000D0239" w:rsidRPr="00515DE5" w:rsidRDefault="00D22805" w:rsidP="00D22805">
            <w:pPr>
              <w:spacing w:after="0" w:line="240" w:lineRule="auto"/>
              <w:jc w:val="right"/>
              <w:rPr>
                <w:rFonts w:ascii="Times New Roman" w:hAnsi="Times New Roman"/>
                <w:sz w:val="20"/>
                <w:szCs w:val="20"/>
              </w:rPr>
            </w:pPr>
            <w:r>
              <w:rPr>
                <w:rFonts w:ascii="Times New Roman" w:hAnsi="Times New Roman"/>
                <w:sz w:val="20"/>
                <w:szCs w:val="20"/>
              </w:rPr>
              <w:t>201,</w:t>
            </w:r>
            <w:r w:rsidR="000D0239" w:rsidRPr="009074D8">
              <w:rPr>
                <w:rFonts w:ascii="Times New Roman" w:hAnsi="Times New Roman"/>
                <w:sz w:val="20"/>
                <w:szCs w:val="20"/>
              </w:rPr>
              <w:t>00</w:t>
            </w:r>
          </w:p>
        </w:tc>
        <w:tc>
          <w:tcPr>
            <w:tcW w:w="635" w:type="pct"/>
            <w:vAlign w:val="center"/>
          </w:tcPr>
          <w:p w:rsidR="000D0239" w:rsidRPr="00515DE5" w:rsidRDefault="00D22805" w:rsidP="00D22805">
            <w:pPr>
              <w:spacing w:after="0" w:line="240" w:lineRule="auto"/>
              <w:jc w:val="right"/>
              <w:rPr>
                <w:rFonts w:ascii="Times New Roman" w:hAnsi="Times New Roman"/>
                <w:sz w:val="20"/>
                <w:szCs w:val="20"/>
              </w:rPr>
            </w:pPr>
            <w:r>
              <w:rPr>
                <w:rFonts w:ascii="Times New Roman" w:hAnsi="Times New Roman"/>
                <w:sz w:val="20"/>
                <w:szCs w:val="20"/>
              </w:rPr>
              <w:t>209,</w:t>
            </w:r>
            <w:r w:rsidR="000D0239" w:rsidRPr="004A5FFC">
              <w:rPr>
                <w:rFonts w:ascii="Times New Roman" w:hAnsi="Times New Roman"/>
                <w:sz w:val="20"/>
                <w:szCs w:val="20"/>
              </w:rPr>
              <w:t>00</w:t>
            </w:r>
          </w:p>
        </w:tc>
        <w:tc>
          <w:tcPr>
            <w:tcW w:w="636" w:type="pct"/>
            <w:tcBorders>
              <w:right w:val="nil"/>
            </w:tcBorders>
            <w:vAlign w:val="center"/>
          </w:tcPr>
          <w:p w:rsidR="000D0239" w:rsidRPr="00515DE5" w:rsidRDefault="00D22805" w:rsidP="00D22805">
            <w:pPr>
              <w:spacing w:after="0" w:line="240" w:lineRule="auto"/>
              <w:jc w:val="right"/>
              <w:rPr>
                <w:rFonts w:ascii="Times New Roman" w:hAnsi="Times New Roman"/>
                <w:sz w:val="20"/>
                <w:szCs w:val="20"/>
              </w:rPr>
            </w:pPr>
            <w:r>
              <w:rPr>
                <w:rFonts w:ascii="Times New Roman" w:hAnsi="Times New Roman"/>
                <w:sz w:val="20"/>
                <w:szCs w:val="20"/>
              </w:rPr>
              <w:t>351,</w:t>
            </w:r>
            <w:r w:rsidR="000D0239" w:rsidRPr="004A5FFC">
              <w:rPr>
                <w:rFonts w:ascii="Times New Roman" w:hAnsi="Times New Roman"/>
                <w:sz w:val="20"/>
                <w:szCs w:val="20"/>
              </w:rPr>
              <w:t>93</w:t>
            </w:r>
          </w:p>
        </w:tc>
      </w:tr>
      <w:tr w:rsidR="000D0239" w:rsidRPr="00515DE5" w:rsidTr="000D0239">
        <w:tc>
          <w:tcPr>
            <w:tcW w:w="258" w:type="pct"/>
            <w:tcBorders>
              <w:left w:val="nil"/>
              <w:bottom w:val="single" w:sz="4" w:space="0" w:color="000000"/>
            </w:tcBorders>
            <w:vAlign w:val="center"/>
          </w:tcPr>
          <w:p w:rsidR="000D0239" w:rsidRPr="00515DE5" w:rsidRDefault="000D0239" w:rsidP="00F62AF0">
            <w:pPr>
              <w:spacing w:after="0" w:line="240" w:lineRule="auto"/>
              <w:jc w:val="center"/>
              <w:rPr>
                <w:rFonts w:ascii="Times New Roman" w:hAnsi="Times New Roman"/>
                <w:sz w:val="20"/>
                <w:szCs w:val="20"/>
              </w:rPr>
            </w:pPr>
            <w:r w:rsidRPr="00515DE5">
              <w:rPr>
                <w:rFonts w:ascii="Times New Roman" w:hAnsi="Times New Roman"/>
                <w:sz w:val="20"/>
                <w:szCs w:val="20"/>
              </w:rPr>
              <w:t>F</w:t>
            </w:r>
          </w:p>
        </w:tc>
        <w:tc>
          <w:tcPr>
            <w:tcW w:w="2266" w:type="pct"/>
            <w:tcBorders>
              <w:bottom w:val="single" w:sz="4" w:space="0" w:color="000000"/>
            </w:tcBorders>
          </w:tcPr>
          <w:p w:rsidR="000D0239" w:rsidRPr="00515DE5" w:rsidRDefault="000D0239" w:rsidP="00F62AF0">
            <w:pPr>
              <w:spacing w:after="0" w:line="240" w:lineRule="auto"/>
              <w:jc w:val="both"/>
              <w:rPr>
                <w:rFonts w:ascii="Times New Roman" w:hAnsi="Times New Roman"/>
                <w:sz w:val="20"/>
                <w:szCs w:val="20"/>
              </w:rPr>
            </w:pPr>
            <w:r w:rsidRPr="00515DE5">
              <w:rPr>
                <w:rFonts w:ascii="Times New Roman" w:hAnsi="Times New Roman"/>
                <w:sz w:val="20"/>
                <w:szCs w:val="20"/>
              </w:rPr>
              <w:t>Outros</w:t>
            </w:r>
          </w:p>
        </w:tc>
        <w:tc>
          <w:tcPr>
            <w:tcW w:w="570" w:type="pct"/>
            <w:tcBorders>
              <w:bottom w:val="single" w:sz="4" w:space="0" w:color="000000"/>
            </w:tcBorders>
            <w:vAlign w:val="center"/>
          </w:tcPr>
          <w:p w:rsidR="000D0239" w:rsidRPr="00AE2116" w:rsidRDefault="00D22805" w:rsidP="00D22805">
            <w:pPr>
              <w:spacing w:after="0"/>
              <w:jc w:val="right"/>
              <w:rPr>
                <w:rFonts w:ascii="Times New Roman" w:hAnsi="Times New Roman"/>
                <w:color w:val="000000"/>
                <w:sz w:val="20"/>
                <w:szCs w:val="20"/>
              </w:rPr>
            </w:pPr>
            <w:r>
              <w:rPr>
                <w:rFonts w:ascii="Times New Roman" w:hAnsi="Times New Roman"/>
                <w:color w:val="000000"/>
                <w:sz w:val="20"/>
                <w:szCs w:val="20"/>
              </w:rPr>
              <w:t>10,</w:t>
            </w:r>
            <w:r w:rsidR="000D0239" w:rsidRPr="00AE2116">
              <w:rPr>
                <w:rFonts w:ascii="Times New Roman" w:hAnsi="Times New Roman"/>
                <w:color w:val="000000"/>
                <w:sz w:val="20"/>
                <w:szCs w:val="20"/>
              </w:rPr>
              <w:t>00</w:t>
            </w:r>
          </w:p>
        </w:tc>
        <w:tc>
          <w:tcPr>
            <w:tcW w:w="635" w:type="pct"/>
            <w:tcBorders>
              <w:bottom w:val="single" w:sz="4" w:space="0" w:color="000000"/>
            </w:tcBorders>
            <w:vAlign w:val="center"/>
          </w:tcPr>
          <w:p w:rsidR="000D0239" w:rsidRPr="00515DE5" w:rsidRDefault="000D0239" w:rsidP="000D0239">
            <w:pPr>
              <w:spacing w:after="0" w:line="240" w:lineRule="auto"/>
              <w:jc w:val="right"/>
              <w:rPr>
                <w:rFonts w:ascii="Times New Roman" w:hAnsi="Times New Roman"/>
                <w:sz w:val="20"/>
                <w:szCs w:val="20"/>
              </w:rPr>
            </w:pPr>
            <w:r w:rsidRPr="009074D8">
              <w:rPr>
                <w:rFonts w:ascii="Times New Roman" w:hAnsi="Times New Roman"/>
                <w:sz w:val="20"/>
                <w:szCs w:val="20"/>
              </w:rPr>
              <w:t>115.000,00</w:t>
            </w:r>
          </w:p>
        </w:tc>
        <w:tc>
          <w:tcPr>
            <w:tcW w:w="635" w:type="pct"/>
            <w:tcBorders>
              <w:bottom w:val="single" w:sz="4" w:space="0" w:color="000000"/>
            </w:tcBorders>
            <w:vAlign w:val="center"/>
          </w:tcPr>
          <w:p w:rsidR="000D0239" w:rsidRPr="00515DE5" w:rsidRDefault="00D22805" w:rsidP="00D22805">
            <w:pPr>
              <w:spacing w:after="0" w:line="240" w:lineRule="auto"/>
              <w:jc w:val="right"/>
              <w:rPr>
                <w:rFonts w:ascii="Times New Roman" w:hAnsi="Times New Roman"/>
                <w:sz w:val="20"/>
                <w:szCs w:val="20"/>
              </w:rPr>
            </w:pPr>
            <w:r>
              <w:rPr>
                <w:rFonts w:ascii="Times New Roman" w:hAnsi="Times New Roman"/>
                <w:sz w:val="20"/>
                <w:szCs w:val="20"/>
              </w:rPr>
              <w:t>12,</w:t>
            </w:r>
            <w:r w:rsidR="000D0239" w:rsidRPr="004A5FFC">
              <w:rPr>
                <w:rFonts w:ascii="Times New Roman" w:hAnsi="Times New Roman"/>
                <w:sz w:val="20"/>
                <w:szCs w:val="20"/>
              </w:rPr>
              <w:t>00</w:t>
            </w:r>
          </w:p>
        </w:tc>
        <w:tc>
          <w:tcPr>
            <w:tcW w:w="636" w:type="pct"/>
            <w:tcBorders>
              <w:bottom w:val="single" w:sz="4" w:space="0" w:color="000000"/>
              <w:right w:val="nil"/>
            </w:tcBorders>
            <w:vAlign w:val="center"/>
          </w:tcPr>
          <w:p w:rsidR="000D0239" w:rsidRPr="00515DE5" w:rsidRDefault="00D22805" w:rsidP="000D0239">
            <w:pPr>
              <w:spacing w:after="0" w:line="240" w:lineRule="auto"/>
              <w:jc w:val="right"/>
              <w:rPr>
                <w:rFonts w:ascii="Times New Roman" w:hAnsi="Times New Roman"/>
                <w:sz w:val="20"/>
                <w:szCs w:val="20"/>
              </w:rPr>
            </w:pPr>
            <w:r>
              <w:rPr>
                <w:rFonts w:ascii="Times New Roman" w:hAnsi="Times New Roman"/>
                <w:sz w:val="20"/>
                <w:szCs w:val="20"/>
              </w:rPr>
              <w:t>372,9</w:t>
            </w:r>
            <w:r w:rsidR="000D0239" w:rsidRPr="004A5FFC">
              <w:rPr>
                <w:rFonts w:ascii="Times New Roman" w:hAnsi="Times New Roman"/>
                <w:sz w:val="20"/>
                <w:szCs w:val="20"/>
              </w:rPr>
              <w:t>3</w:t>
            </w:r>
          </w:p>
        </w:tc>
      </w:tr>
      <w:tr w:rsidR="00D22805" w:rsidRPr="00515DE5" w:rsidTr="000D0239">
        <w:tc>
          <w:tcPr>
            <w:tcW w:w="2524" w:type="pct"/>
            <w:gridSpan w:val="2"/>
            <w:tcBorders>
              <w:left w:val="nil"/>
            </w:tcBorders>
          </w:tcPr>
          <w:p w:rsidR="00D22805" w:rsidRPr="00515DE5" w:rsidRDefault="00D22805" w:rsidP="00F62AF0">
            <w:pPr>
              <w:spacing w:after="0" w:line="240" w:lineRule="auto"/>
              <w:jc w:val="both"/>
              <w:rPr>
                <w:rFonts w:ascii="Times New Roman" w:hAnsi="Times New Roman"/>
                <w:b/>
                <w:sz w:val="20"/>
                <w:szCs w:val="20"/>
              </w:rPr>
            </w:pPr>
            <w:r w:rsidRPr="00515DE5">
              <w:rPr>
                <w:rFonts w:ascii="Times New Roman" w:hAnsi="Times New Roman"/>
                <w:b/>
                <w:sz w:val="20"/>
                <w:szCs w:val="20"/>
              </w:rPr>
              <w:t>Total</w:t>
            </w:r>
          </w:p>
        </w:tc>
        <w:tc>
          <w:tcPr>
            <w:tcW w:w="570" w:type="pct"/>
            <w:vAlign w:val="center"/>
          </w:tcPr>
          <w:p w:rsidR="00D22805" w:rsidRPr="004A5FFC" w:rsidRDefault="00D22805" w:rsidP="00D22805">
            <w:pPr>
              <w:spacing w:after="0" w:line="240" w:lineRule="auto"/>
              <w:jc w:val="right"/>
              <w:rPr>
                <w:rFonts w:ascii="Times New Roman" w:hAnsi="Times New Roman"/>
                <w:b/>
                <w:sz w:val="20"/>
                <w:szCs w:val="20"/>
              </w:rPr>
            </w:pPr>
            <w:r w:rsidRPr="004A5FFC">
              <w:rPr>
                <w:rFonts w:ascii="Times New Roman" w:hAnsi="Times New Roman"/>
                <w:b/>
                <w:sz w:val="20"/>
                <w:szCs w:val="20"/>
              </w:rPr>
              <w:t>7.413</w:t>
            </w:r>
            <w:r>
              <w:rPr>
                <w:rFonts w:ascii="Times New Roman" w:hAnsi="Times New Roman"/>
                <w:b/>
                <w:sz w:val="20"/>
                <w:szCs w:val="20"/>
              </w:rPr>
              <w:t>,</w:t>
            </w:r>
            <w:r w:rsidRPr="004A5FFC">
              <w:rPr>
                <w:rFonts w:ascii="Times New Roman" w:hAnsi="Times New Roman"/>
                <w:b/>
                <w:sz w:val="20"/>
                <w:szCs w:val="20"/>
              </w:rPr>
              <w:t>34</w:t>
            </w:r>
          </w:p>
        </w:tc>
        <w:tc>
          <w:tcPr>
            <w:tcW w:w="635" w:type="pct"/>
            <w:vAlign w:val="center"/>
          </w:tcPr>
          <w:p w:rsidR="00D22805" w:rsidRPr="004A5FFC" w:rsidRDefault="00D22805" w:rsidP="00D22805">
            <w:pPr>
              <w:spacing w:after="0" w:line="240" w:lineRule="auto"/>
              <w:jc w:val="right"/>
              <w:rPr>
                <w:rFonts w:ascii="Times New Roman" w:hAnsi="Times New Roman"/>
                <w:b/>
                <w:sz w:val="20"/>
                <w:szCs w:val="20"/>
              </w:rPr>
            </w:pPr>
            <w:r w:rsidRPr="004A5FFC">
              <w:rPr>
                <w:rFonts w:ascii="Times New Roman" w:hAnsi="Times New Roman"/>
                <w:b/>
                <w:sz w:val="20"/>
                <w:szCs w:val="20"/>
              </w:rPr>
              <w:t>38.833</w:t>
            </w:r>
            <w:r>
              <w:rPr>
                <w:rFonts w:ascii="Times New Roman" w:hAnsi="Times New Roman"/>
                <w:b/>
                <w:sz w:val="20"/>
                <w:szCs w:val="20"/>
              </w:rPr>
              <w:t>,</w:t>
            </w:r>
            <w:r w:rsidRPr="004A5FFC">
              <w:rPr>
                <w:rFonts w:ascii="Times New Roman" w:hAnsi="Times New Roman"/>
                <w:b/>
                <w:sz w:val="20"/>
                <w:szCs w:val="20"/>
              </w:rPr>
              <w:t>2</w:t>
            </w:r>
            <w:r>
              <w:rPr>
                <w:rFonts w:ascii="Times New Roman" w:hAnsi="Times New Roman"/>
                <w:b/>
                <w:sz w:val="20"/>
                <w:szCs w:val="20"/>
              </w:rPr>
              <w:t>3</w:t>
            </w:r>
          </w:p>
        </w:tc>
        <w:tc>
          <w:tcPr>
            <w:tcW w:w="635" w:type="pct"/>
            <w:vAlign w:val="center"/>
          </w:tcPr>
          <w:p w:rsidR="00D22805" w:rsidRPr="004A5FFC" w:rsidRDefault="00D22805" w:rsidP="00D22805">
            <w:pPr>
              <w:spacing w:after="0" w:line="240" w:lineRule="auto"/>
              <w:jc w:val="right"/>
              <w:rPr>
                <w:rFonts w:ascii="Times New Roman" w:hAnsi="Times New Roman"/>
                <w:b/>
                <w:sz w:val="20"/>
                <w:szCs w:val="20"/>
              </w:rPr>
            </w:pPr>
            <w:r>
              <w:rPr>
                <w:rFonts w:ascii="Times New Roman" w:hAnsi="Times New Roman"/>
                <w:b/>
                <w:sz w:val="20"/>
                <w:szCs w:val="20"/>
              </w:rPr>
              <w:t>32.298,24</w:t>
            </w:r>
          </w:p>
        </w:tc>
        <w:tc>
          <w:tcPr>
            <w:tcW w:w="636" w:type="pct"/>
            <w:tcBorders>
              <w:right w:val="nil"/>
            </w:tcBorders>
            <w:vAlign w:val="center"/>
          </w:tcPr>
          <w:p w:rsidR="00D22805" w:rsidRPr="004A5FFC" w:rsidRDefault="00D22805" w:rsidP="000D0239">
            <w:pPr>
              <w:spacing w:after="0" w:line="240" w:lineRule="auto"/>
              <w:jc w:val="right"/>
              <w:rPr>
                <w:rFonts w:ascii="Times New Roman" w:hAnsi="Times New Roman"/>
                <w:b/>
                <w:sz w:val="20"/>
                <w:szCs w:val="20"/>
              </w:rPr>
            </w:pPr>
            <w:r>
              <w:rPr>
                <w:rFonts w:ascii="Times New Roman" w:hAnsi="Times New Roman"/>
                <w:b/>
                <w:sz w:val="20"/>
                <w:szCs w:val="20"/>
              </w:rPr>
              <w:t>124.428,45</w:t>
            </w:r>
          </w:p>
        </w:tc>
      </w:tr>
      <w:tr w:rsidR="00D22805" w:rsidRPr="00515DE5" w:rsidTr="000D0239">
        <w:tc>
          <w:tcPr>
            <w:tcW w:w="2524" w:type="pct"/>
            <w:gridSpan w:val="2"/>
            <w:tcBorders>
              <w:left w:val="nil"/>
              <w:bottom w:val="single" w:sz="4" w:space="0" w:color="000000"/>
            </w:tcBorders>
          </w:tcPr>
          <w:p w:rsidR="00D22805" w:rsidRPr="00515DE5" w:rsidRDefault="00D22805" w:rsidP="00F62AF0">
            <w:pPr>
              <w:spacing w:after="0" w:line="240" w:lineRule="auto"/>
              <w:jc w:val="both"/>
              <w:rPr>
                <w:rFonts w:ascii="Times New Roman" w:hAnsi="Times New Roman"/>
                <w:b/>
                <w:sz w:val="20"/>
                <w:szCs w:val="20"/>
              </w:rPr>
            </w:pPr>
            <w:r w:rsidRPr="00515DE5">
              <w:rPr>
                <w:rFonts w:ascii="Times New Roman" w:hAnsi="Times New Roman"/>
                <w:b/>
                <w:sz w:val="20"/>
                <w:szCs w:val="20"/>
              </w:rPr>
              <w:t>Total, exceto compra do aditivo (item C</w:t>
            </w:r>
            <w:proofErr w:type="gramStart"/>
            <w:r w:rsidRPr="00515DE5">
              <w:rPr>
                <w:rFonts w:ascii="Times New Roman" w:hAnsi="Times New Roman"/>
                <w:b/>
                <w:sz w:val="20"/>
                <w:szCs w:val="20"/>
              </w:rPr>
              <w:t>)</w:t>
            </w:r>
            <w:proofErr w:type="gramEnd"/>
          </w:p>
        </w:tc>
        <w:tc>
          <w:tcPr>
            <w:tcW w:w="570" w:type="pct"/>
            <w:tcBorders>
              <w:bottom w:val="single" w:sz="4" w:space="0" w:color="000000"/>
            </w:tcBorders>
            <w:vAlign w:val="center"/>
          </w:tcPr>
          <w:p w:rsidR="00D22805" w:rsidRPr="004A5FFC" w:rsidRDefault="00D22805" w:rsidP="00D22805">
            <w:pPr>
              <w:spacing w:after="0" w:line="240" w:lineRule="auto"/>
              <w:jc w:val="right"/>
              <w:rPr>
                <w:rFonts w:ascii="Times New Roman" w:hAnsi="Times New Roman"/>
                <w:b/>
                <w:sz w:val="20"/>
                <w:szCs w:val="20"/>
              </w:rPr>
            </w:pPr>
            <w:r w:rsidRPr="004A5FFC">
              <w:rPr>
                <w:rFonts w:ascii="Times New Roman" w:hAnsi="Times New Roman"/>
                <w:b/>
                <w:sz w:val="20"/>
                <w:szCs w:val="20"/>
              </w:rPr>
              <w:t>6.414</w:t>
            </w:r>
            <w:r>
              <w:rPr>
                <w:rFonts w:ascii="Times New Roman" w:hAnsi="Times New Roman"/>
                <w:b/>
                <w:sz w:val="20"/>
                <w:szCs w:val="20"/>
              </w:rPr>
              <w:t>,</w:t>
            </w:r>
            <w:r w:rsidRPr="004A5FFC">
              <w:rPr>
                <w:rFonts w:ascii="Times New Roman" w:hAnsi="Times New Roman"/>
                <w:b/>
                <w:sz w:val="20"/>
                <w:szCs w:val="20"/>
              </w:rPr>
              <w:t>14</w:t>
            </w:r>
          </w:p>
        </w:tc>
        <w:tc>
          <w:tcPr>
            <w:tcW w:w="635" w:type="pct"/>
            <w:tcBorders>
              <w:bottom w:val="single" w:sz="4" w:space="0" w:color="000000"/>
            </w:tcBorders>
            <w:vAlign w:val="center"/>
          </w:tcPr>
          <w:p w:rsidR="00D22805" w:rsidRPr="004A5FFC" w:rsidRDefault="00D22805" w:rsidP="00D22805">
            <w:pPr>
              <w:spacing w:after="0" w:line="240" w:lineRule="auto"/>
              <w:jc w:val="right"/>
              <w:rPr>
                <w:rFonts w:ascii="Times New Roman" w:hAnsi="Times New Roman"/>
                <w:b/>
                <w:sz w:val="20"/>
                <w:szCs w:val="20"/>
              </w:rPr>
            </w:pPr>
            <w:r>
              <w:rPr>
                <w:rFonts w:ascii="Times New Roman" w:hAnsi="Times New Roman"/>
                <w:b/>
                <w:sz w:val="20"/>
                <w:szCs w:val="20"/>
              </w:rPr>
              <w:t>32.594,</w:t>
            </w:r>
            <w:r w:rsidRPr="004A5FFC">
              <w:rPr>
                <w:rFonts w:ascii="Times New Roman" w:hAnsi="Times New Roman"/>
                <w:b/>
                <w:sz w:val="20"/>
                <w:szCs w:val="20"/>
              </w:rPr>
              <w:t>51</w:t>
            </w:r>
          </w:p>
        </w:tc>
        <w:tc>
          <w:tcPr>
            <w:tcW w:w="635" w:type="pct"/>
            <w:tcBorders>
              <w:bottom w:val="single" w:sz="4" w:space="0" w:color="000000"/>
            </w:tcBorders>
            <w:vAlign w:val="center"/>
          </w:tcPr>
          <w:p w:rsidR="00D22805" w:rsidRPr="004A5FFC" w:rsidRDefault="00D22805" w:rsidP="00D22805">
            <w:pPr>
              <w:spacing w:after="0" w:line="240" w:lineRule="auto"/>
              <w:jc w:val="right"/>
              <w:rPr>
                <w:rFonts w:ascii="Times New Roman" w:hAnsi="Times New Roman"/>
                <w:b/>
                <w:sz w:val="20"/>
                <w:szCs w:val="20"/>
              </w:rPr>
            </w:pPr>
            <w:r>
              <w:rPr>
                <w:rFonts w:ascii="Times New Roman" w:hAnsi="Times New Roman"/>
                <w:b/>
                <w:sz w:val="20"/>
                <w:szCs w:val="20"/>
              </w:rPr>
              <w:t>25.914,92</w:t>
            </w:r>
          </w:p>
        </w:tc>
        <w:tc>
          <w:tcPr>
            <w:tcW w:w="636" w:type="pct"/>
            <w:tcBorders>
              <w:bottom w:val="single" w:sz="4" w:space="0" w:color="000000"/>
              <w:right w:val="nil"/>
            </w:tcBorders>
            <w:vAlign w:val="center"/>
          </w:tcPr>
          <w:p w:rsidR="00D22805" w:rsidRPr="004A5FFC" w:rsidRDefault="00D22805" w:rsidP="000D0239">
            <w:pPr>
              <w:spacing w:after="0" w:line="240" w:lineRule="auto"/>
              <w:jc w:val="right"/>
              <w:rPr>
                <w:rFonts w:ascii="Times New Roman" w:hAnsi="Times New Roman"/>
                <w:b/>
                <w:sz w:val="20"/>
                <w:szCs w:val="20"/>
              </w:rPr>
            </w:pPr>
            <w:r>
              <w:rPr>
                <w:rFonts w:ascii="Times New Roman" w:hAnsi="Times New Roman"/>
                <w:b/>
                <w:sz w:val="20"/>
                <w:szCs w:val="20"/>
              </w:rPr>
              <w:t>8.430,80</w:t>
            </w:r>
          </w:p>
        </w:tc>
      </w:tr>
      <w:tr w:rsidR="0002519A" w:rsidRPr="00515DE5" w:rsidTr="00515DE5">
        <w:tc>
          <w:tcPr>
            <w:tcW w:w="5000" w:type="pct"/>
            <w:gridSpan w:val="6"/>
            <w:tcBorders>
              <w:top w:val="single" w:sz="4" w:space="0" w:color="000000"/>
              <w:left w:val="nil"/>
              <w:bottom w:val="nil"/>
              <w:right w:val="nil"/>
            </w:tcBorders>
          </w:tcPr>
          <w:p w:rsidR="0002519A" w:rsidRPr="00515DE5" w:rsidRDefault="0072557A" w:rsidP="0022707A">
            <w:pPr>
              <w:jc w:val="both"/>
              <w:rPr>
                <w:rFonts w:ascii="Times New Roman" w:hAnsi="Times New Roman"/>
                <w:sz w:val="20"/>
                <w:szCs w:val="20"/>
              </w:rPr>
            </w:pPr>
            <w:r w:rsidRPr="00515DE5">
              <w:rPr>
                <w:rFonts w:ascii="Times New Roman" w:hAnsi="Times New Roman"/>
                <w:sz w:val="20"/>
                <w:szCs w:val="20"/>
              </w:rPr>
              <w:t xml:space="preserve">Fonte: </w:t>
            </w:r>
            <w:r w:rsidR="0022707A" w:rsidRPr="00515DE5">
              <w:rPr>
                <w:rFonts w:ascii="Times New Roman" w:hAnsi="Times New Roman"/>
                <w:sz w:val="20"/>
                <w:szCs w:val="20"/>
              </w:rPr>
              <w:t>dados fornecidos pelos produtores nacionais de gasolina A</w:t>
            </w:r>
          </w:p>
        </w:tc>
      </w:tr>
    </w:tbl>
    <w:p w:rsidR="0002519A" w:rsidRPr="00CE3398" w:rsidRDefault="0002519A" w:rsidP="0002519A">
      <w:pPr>
        <w:spacing w:after="120"/>
        <w:jc w:val="both"/>
        <w:rPr>
          <w:rFonts w:ascii="Times New Roman" w:hAnsi="Times New Roman"/>
          <w:sz w:val="24"/>
          <w:szCs w:val="24"/>
        </w:rPr>
      </w:pP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 observação “não se aplica” nos itens A e B, a partir de 2016, decorre da natureza temporária dessas duas categorias de </w:t>
      </w:r>
      <w:r w:rsidR="004A2A31" w:rsidRPr="00CE3398">
        <w:rPr>
          <w:rFonts w:ascii="Times New Roman" w:hAnsi="Times New Roman"/>
          <w:sz w:val="24"/>
          <w:szCs w:val="24"/>
        </w:rPr>
        <w:t>dispêndio</w:t>
      </w:r>
      <w:r w:rsidRPr="00CE3398">
        <w:rPr>
          <w:rFonts w:ascii="Times New Roman" w:hAnsi="Times New Roman"/>
          <w:sz w:val="24"/>
          <w:szCs w:val="24"/>
        </w:rPr>
        <w:t xml:space="preserve">. As demais, ao contrário, representam não exatamente </w:t>
      </w:r>
      <w:r w:rsidR="004A2A31" w:rsidRPr="00CE3398">
        <w:rPr>
          <w:rFonts w:ascii="Times New Roman" w:hAnsi="Times New Roman"/>
          <w:sz w:val="24"/>
          <w:szCs w:val="24"/>
        </w:rPr>
        <w:t>dispêndios com</w:t>
      </w:r>
      <w:r w:rsidRPr="00CE3398">
        <w:rPr>
          <w:rFonts w:ascii="Times New Roman" w:hAnsi="Times New Roman"/>
          <w:sz w:val="24"/>
          <w:szCs w:val="24"/>
        </w:rPr>
        <w:t xml:space="preserve"> adaptação, mas o incremento permanente</w:t>
      </w:r>
      <w:r w:rsidR="00D72BF7" w:rsidRPr="00CE3398">
        <w:rPr>
          <w:rFonts w:ascii="Times New Roman" w:hAnsi="Times New Roman"/>
          <w:sz w:val="24"/>
          <w:szCs w:val="24"/>
        </w:rPr>
        <w:t xml:space="preserve"> </w:t>
      </w:r>
      <w:r w:rsidR="004A2A31" w:rsidRPr="00CE3398">
        <w:rPr>
          <w:rFonts w:ascii="Times New Roman" w:hAnsi="Times New Roman"/>
          <w:sz w:val="24"/>
          <w:szCs w:val="24"/>
        </w:rPr>
        <w:t xml:space="preserve">nos gastos </w:t>
      </w:r>
      <w:r w:rsidRPr="00CE3398">
        <w:rPr>
          <w:rFonts w:ascii="Times New Roman" w:hAnsi="Times New Roman"/>
          <w:sz w:val="24"/>
          <w:szCs w:val="24"/>
        </w:rPr>
        <w:t>em decorrência da nova Resolução</w:t>
      </w:r>
      <w:r w:rsidR="002D20A7" w:rsidRPr="00CE3398">
        <w:rPr>
          <w:rFonts w:ascii="Times New Roman" w:hAnsi="Times New Roman"/>
          <w:sz w:val="24"/>
          <w:szCs w:val="24"/>
        </w:rPr>
        <w:t xml:space="preserve"> a ser publicada pela ANP</w:t>
      </w:r>
      <w:r w:rsidRPr="00CE3398">
        <w:rPr>
          <w:rFonts w:ascii="Times New Roman" w:hAnsi="Times New Roman"/>
          <w:sz w:val="24"/>
          <w:szCs w:val="24"/>
        </w:rPr>
        <w:t>.</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Na rubrica “outros”, foram </w:t>
      </w:r>
      <w:proofErr w:type="gramStart"/>
      <w:r w:rsidRPr="00CE3398">
        <w:rPr>
          <w:rFonts w:ascii="Times New Roman" w:hAnsi="Times New Roman"/>
          <w:sz w:val="24"/>
          <w:szCs w:val="24"/>
        </w:rPr>
        <w:t>apontadas</w:t>
      </w:r>
      <w:proofErr w:type="gramEnd"/>
      <w:r w:rsidR="009A769F" w:rsidRPr="00CE3398">
        <w:rPr>
          <w:rFonts w:ascii="Times New Roman" w:hAnsi="Times New Roman"/>
          <w:sz w:val="24"/>
          <w:szCs w:val="24"/>
        </w:rPr>
        <w:t>, pelos produtores consultados,</w:t>
      </w:r>
      <w:r w:rsidRPr="00CE3398">
        <w:rPr>
          <w:rFonts w:ascii="Times New Roman" w:hAnsi="Times New Roman"/>
          <w:sz w:val="24"/>
          <w:szCs w:val="24"/>
        </w:rPr>
        <w:t xml:space="preserve"> despesas para constituição de reserva de contingência.</w:t>
      </w:r>
    </w:p>
    <w:p w:rsidR="004D2A5D"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 compra do aditivo, por sua vez, é uma categoria que, a princípio, não deve ser considerada no cálculo comparativo, porque o volume total de aditivo é o mesmo nos dois cenários – aditivação pelo produtor ou pelo distribuidor. Pode haver, contudo, uma diferença no preço, em virtude da escala de compra – que é maior no caso da aditivação pelo produtor.</w:t>
      </w:r>
    </w:p>
    <w:p w:rsidR="0002519A"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lastRenderedPageBreak/>
        <w:t xml:space="preserve">Dessa forma, não incluindo os custos com a compra do aditivo, tem-se que, para </w:t>
      </w:r>
      <w:r w:rsidR="00FC7F70">
        <w:rPr>
          <w:rFonts w:ascii="Times New Roman" w:hAnsi="Times New Roman"/>
          <w:sz w:val="24"/>
          <w:szCs w:val="24"/>
        </w:rPr>
        <w:t>o conjunto dos</w:t>
      </w:r>
      <w:r w:rsidR="00FC7F70" w:rsidRPr="00CE3398">
        <w:rPr>
          <w:rFonts w:ascii="Times New Roman" w:hAnsi="Times New Roman"/>
          <w:sz w:val="24"/>
          <w:szCs w:val="24"/>
        </w:rPr>
        <w:t xml:space="preserve"> </w:t>
      </w:r>
      <w:r w:rsidRPr="00CE3398">
        <w:rPr>
          <w:rFonts w:ascii="Times New Roman" w:hAnsi="Times New Roman"/>
          <w:sz w:val="24"/>
          <w:szCs w:val="24"/>
        </w:rPr>
        <w:t xml:space="preserve">produtores de gasolina A, os </w:t>
      </w:r>
      <w:r w:rsidR="00316A2A" w:rsidRPr="00CE3398">
        <w:rPr>
          <w:rFonts w:ascii="Times New Roman" w:hAnsi="Times New Roman"/>
          <w:sz w:val="24"/>
          <w:szCs w:val="24"/>
        </w:rPr>
        <w:t xml:space="preserve">dispêndios </w:t>
      </w:r>
      <w:r w:rsidRPr="00CE3398">
        <w:rPr>
          <w:rFonts w:ascii="Times New Roman" w:hAnsi="Times New Roman"/>
          <w:sz w:val="24"/>
          <w:szCs w:val="24"/>
        </w:rPr>
        <w:t xml:space="preserve">totais </w:t>
      </w:r>
      <w:r w:rsidR="00316A2A" w:rsidRPr="00CE3398">
        <w:rPr>
          <w:rFonts w:ascii="Times New Roman" w:hAnsi="Times New Roman"/>
          <w:sz w:val="24"/>
          <w:szCs w:val="24"/>
        </w:rPr>
        <w:t>com</w:t>
      </w:r>
      <w:r w:rsidRPr="00CE3398">
        <w:rPr>
          <w:rFonts w:ascii="Times New Roman" w:hAnsi="Times New Roman"/>
          <w:sz w:val="24"/>
          <w:szCs w:val="24"/>
        </w:rPr>
        <w:t xml:space="preserve"> adaptação, até 2015, somam em torno de </w:t>
      </w:r>
      <w:r w:rsidR="00D22805">
        <w:rPr>
          <w:rFonts w:ascii="Times New Roman" w:hAnsi="Times New Roman"/>
          <w:sz w:val="24"/>
          <w:szCs w:val="24"/>
        </w:rPr>
        <w:t>64,9</w:t>
      </w:r>
      <w:r w:rsidRPr="00CE3398">
        <w:rPr>
          <w:rFonts w:ascii="Times New Roman" w:hAnsi="Times New Roman"/>
          <w:sz w:val="24"/>
          <w:szCs w:val="24"/>
        </w:rPr>
        <w:t xml:space="preserve"> milhões de reais, mantendo-se, como </w:t>
      </w:r>
      <w:r w:rsidR="00316A2A" w:rsidRPr="00CE3398">
        <w:rPr>
          <w:rFonts w:ascii="Times New Roman" w:hAnsi="Times New Roman"/>
          <w:sz w:val="24"/>
          <w:szCs w:val="24"/>
        </w:rPr>
        <w:t xml:space="preserve">gastos </w:t>
      </w:r>
      <w:r w:rsidRPr="00CE3398">
        <w:rPr>
          <w:rFonts w:ascii="Times New Roman" w:hAnsi="Times New Roman"/>
          <w:sz w:val="24"/>
          <w:szCs w:val="24"/>
        </w:rPr>
        <w:t xml:space="preserve">permanentes, cerca de </w:t>
      </w:r>
      <w:r w:rsidR="00D22805">
        <w:rPr>
          <w:rFonts w:ascii="Times New Roman" w:hAnsi="Times New Roman"/>
          <w:sz w:val="24"/>
          <w:szCs w:val="24"/>
        </w:rPr>
        <w:t>8,43</w:t>
      </w:r>
      <w:r w:rsidRPr="00CE3398">
        <w:rPr>
          <w:rFonts w:ascii="Times New Roman" w:hAnsi="Times New Roman"/>
          <w:sz w:val="24"/>
          <w:szCs w:val="24"/>
        </w:rPr>
        <w:t xml:space="preserve"> milh</w:t>
      </w:r>
      <w:r w:rsidR="00D22805">
        <w:rPr>
          <w:rFonts w:ascii="Times New Roman" w:hAnsi="Times New Roman"/>
          <w:sz w:val="24"/>
          <w:szCs w:val="24"/>
        </w:rPr>
        <w:t>ões</w:t>
      </w:r>
      <w:r w:rsidRPr="00CE3398">
        <w:rPr>
          <w:rFonts w:ascii="Times New Roman" w:hAnsi="Times New Roman"/>
          <w:sz w:val="24"/>
          <w:szCs w:val="24"/>
        </w:rPr>
        <w:t xml:space="preserve"> de reais por ano a partir de 2016.</w:t>
      </w:r>
    </w:p>
    <w:p w:rsidR="00D22805" w:rsidRPr="00CE3398" w:rsidRDefault="00D22805" w:rsidP="0002519A">
      <w:pPr>
        <w:tabs>
          <w:tab w:val="left" w:pos="0"/>
        </w:tabs>
        <w:spacing w:after="120" w:line="240" w:lineRule="auto"/>
        <w:ind w:firstLine="709"/>
        <w:jc w:val="both"/>
        <w:rPr>
          <w:rFonts w:ascii="Times New Roman" w:hAnsi="Times New Roman"/>
          <w:sz w:val="24"/>
          <w:szCs w:val="24"/>
        </w:rPr>
      </w:pPr>
    </w:p>
    <w:p w:rsidR="0002519A" w:rsidRDefault="0002519A" w:rsidP="00000398">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Ponto de Aditivação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Em relação ao ponto de adição do aditivo ao combustível, </w:t>
      </w:r>
      <w:r w:rsidR="00D22805">
        <w:rPr>
          <w:rFonts w:ascii="Times New Roman" w:hAnsi="Times New Roman"/>
          <w:sz w:val="24"/>
          <w:szCs w:val="24"/>
        </w:rPr>
        <w:t>a maioria dos</w:t>
      </w:r>
      <w:r w:rsidR="00D22805" w:rsidRPr="00CE3398">
        <w:rPr>
          <w:rFonts w:ascii="Times New Roman" w:hAnsi="Times New Roman"/>
          <w:sz w:val="24"/>
          <w:szCs w:val="24"/>
        </w:rPr>
        <w:t xml:space="preserve"> produtores</w:t>
      </w:r>
      <w:r w:rsidR="00D22805">
        <w:rPr>
          <w:rFonts w:ascii="Times New Roman" w:hAnsi="Times New Roman"/>
          <w:sz w:val="24"/>
          <w:szCs w:val="24"/>
        </w:rPr>
        <w:t xml:space="preserve"> </w:t>
      </w:r>
      <w:r w:rsidR="00D22805" w:rsidRPr="00CE3398">
        <w:rPr>
          <w:rFonts w:ascii="Times New Roman" w:hAnsi="Times New Roman"/>
          <w:sz w:val="24"/>
          <w:szCs w:val="24"/>
        </w:rPr>
        <w:t>afirmou</w:t>
      </w:r>
      <w:r w:rsidRPr="00CE3398">
        <w:rPr>
          <w:rFonts w:ascii="Times New Roman" w:hAnsi="Times New Roman"/>
          <w:sz w:val="24"/>
          <w:szCs w:val="24"/>
        </w:rPr>
        <w:t xml:space="preserve"> que </w:t>
      </w:r>
      <w:r w:rsidR="004137F6" w:rsidRPr="004137F6">
        <w:rPr>
          <w:rFonts w:ascii="Times New Roman" w:hAnsi="Times New Roman"/>
          <w:sz w:val="24"/>
          <w:szCs w:val="24"/>
        </w:rPr>
        <w:t>o terminal de carregamento do caminhão-tanque seria o local mais indicado</w:t>
      </w:r>
      <w:r w:rsidRPr="00CE3398">
        <w:rPr>
          <w:rFonts w:ascii="Times New Roman" w:hAnsi="Times New Roman"/>
          <w:sz w:val="24"/>
          <w:szCs w:val="24"/>
        </w:rPr>
        <w:t xml:space="preserve">. </w:t>
      </w:r>
      <w:r w:rsidR="004137F6">
        <w:rPr>
          <w:rFonts w:ascii="Times New Roman" w:hAnsi="Times New Roman"/>
          <w:sz w:val="24"/>
          <w:szCs w:val="24"/>
        </w:rPr>
        <w:t>Ademais, cabe ressaltar que um</w:t>
      </w:r>
      <w:r w:rsidRPr="00CE3398">
        <w:rPr>
          <w:rFonts w:ascii="Times New Roman" w:hAnsi="Times New Roman"/>
          <w:sz w:val="24"/>
          <w:szCs w:val="24"/>
        </w:rPr>
        <w:t xml:space="preserve"> dos produtores apresentou resposta bastante detalhada, sendo destacados na sequência os principais aspectos levantados.</w:t>
      </w:r>
    </w:p>
    <w:p w:rsidR="0002519A" w:rsidRDefault="003E7503"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 resposta mencionada acima</w:t>
      </w:r>
      <w:r w:rsidR="0002519A" w:rsidRPr="00CE3398">
        <w:rPr>
          <w:rFonts w:ascii="Times New Roman" w:hAnsi="Times New Roman"/>
          <w:sz w:val="24"/>
          <w:szCs w:val="24"/>
        </w:rPr>
        <w:t xml:space="preserve"> apontou</w:t>
      </w:r>
      <w:r w:rsidR="00D77D20">
        <w:rPr>
          <w:rFonts w:ascii="Times New Roman" w:hAnsi="Times New Roman"/>
          <w:sz w:val="24"/>
          <w:szCs w:val="24"/>
        </w:rPr>
        <w:t>, primeiramente,</w:t>
      </w:r>
      <w:r w:rsidR="0002519A" w:rsidRPr="00CE3398">
        <w:rPr>
          <w:rFonts w:ascii="Times New Roman" w:hAnsi="Times New Roman"/>
          <w:sz w:val="24"/>
          <w:szCs w:val="24"/>
        </w:rPr>
        <w:t xml:space="preserve"> </w:t>
      </w:r>
      <w:r w:rsidR="00F02F67">
        <w:rPr>
          <w:rFonts w:ascii="Times New Roman" w:hAnsi="Times New Roman"/>
          <w:sz w:val="24"/>
          <w:szCs w:val="24"/>
        </w:rPr>
        <w:t>duas</w:t>
      </w:r>
      <w:r w:rsidR="0002519A" w:rsidRPr="00CE3398">
        <w:rPr>
          <w:rFonts w:ascii="Times New Roman" w:hAnsi="Times New Roman"/>
          <w:sz w:val="24"/>
          <w:szCs w:val="24"/>
        </w:rPr>
        <w:t xml:space="preserve"> situações de adição do combustível, indicando potenciais consequências dessas escolhas. A primeira situação diz respeito à aditivação no próprio produtor de gasolina A, que poderia se dar em dois pontos: no tanque da refinaria ou entre a estação de medição (EMED) e o ponto A (Figura </w:t>
      </w:r>
      <w:r w:rsidR="005666E6" w:rsidRPr="00CE3398">
        <w:rPr>
          <w:rFonts w:ascii="Times New Roman" w:hAnsi="Times New Roman"/>
          <w:sz w:val="24"/>
          <w:szCs w:val="24"/>
        </w:rPr>
        <w:t>1</w:t>
      </w:r>
      <w:proofErr w:type="gramStart"/>
      <w:r w:rsidR="0002519A" w:rsidRPr="00CE3398">
        <w:rPr>
          <w:rFonts w:ascii="Times New Roman" w:hAnsi="Times New Roman"/>
          <w:sz w:val="24"/>
          <w:szCs w:val="24"/>
        </w:rPr>
        <w:t>)</w:t>
      </w:r>
      <w:proofErr w:type="gramEnd"/>
      <w:r w:rsidR="0002519A" w:rsidRPr="00CE3398">
        <w:rPr>
          <w:rStyle w:val="Refdenotaderodap"/>
          <w:rFonts w:ascii="Times New Roman" w:hAnsi="Times New Roman"/>
          <w:sz w:val="24"/>
          <w:szCs w:val="24"/>
        </w:rPr>
        <w:footnoteReference w:id="5"/>
      </w:r>
      <w:r w:rsidR="0002519A" w:rsidRPr="00CE3398">
        <w:rPr>
          <w:rFonts w:ascii="Times New Roman" w:hAnsi="Times New Roman"/>
          <w:sz w:val="24"/>
          <w:szCs w:val="24"/>
        </w:rPr>
        <w:t xml:space="preserve">. O </w:t>
      </w:r>
      <w:r w:rsidR="00F10428" w:rsidRPr="00CE3398">
        <w:rPr>
          <w:rFonts w:ascii="Times New Roman" w:hAnsi="Times New Roman"/>
          <w:sz w:val="24"/>
          <w:szCs w:val="24"/>
        </w:rPr>
        <w:t xml:space="preserve">referido </w:t>
      </w:r>
      <w:r w:rsidR="0002519A" w:rsidRPr="00CE3398">
        <w:rPr>
          <w:rFonts w:ascii="Times New Roman" w:hAnsi="Times New Roman"/>
          <w:sz w:val="24"/>
          <w:szCs w:val="24"/>
        </w:rPr>
        <w:t xml:space="preserve">produtor </w:t>
      </w:r>
      <w:r w:rsidR="00F10428" w:rsidRPr="00CE3398">
        <w:rPr>
          <w:rFonts w:ascii="Times New Roman" w:hAnsi="Times New Roman"/>
          <w:sz w:val="24"/>
          <w:szCs w:val="24"/>
        </w:rPr>
        <w:t xml:space="preserve">alega </w:t>
      </w:r>
      <w:r w:rsidR="0002519A" w:rsidRPr="00CE3398">
        <w:rPr>
          <w:rFonts w:ascii="Times New Roman" w:hAnsi="Times New Roman"/>
          <w:sz w:val="24"/>
          <w:szCs w:val="24"/>
        </w:rPr>
        <w:t xml:space="preserve">que a adição no tanque da refinaria </w:t>
      </w:r>
      <w:r w:rsidR="00F10428" w:rsidRPr="00CE3398">
        <w:rPr>
          <w:rFonts w:ascii="Times New Roman" w:hAnsi="Times New Roman"/>
          <w:sz w:val="24"/>
          <w:szCs w:val="24"/>
        </w:rPr>
        <w:t xml:space="preserve">seria </w:t>
      </w:r>
      <w:r w:rsidR="0002519A" w:rsidRPr="00CE3398">
        <w:rPr>
          <w:rFonts w:ascii="Times New Roman" w:hAnsi="Times New Roman"/>
          <w:sz w:val="24"/>
          <w:szCs w:val="24"/>
        </w:rPr>
        <w:t>totalmente desaconselhável devido à presença de “água de processo” no fundo dos tanques, o que poderia ocasionar a mistura entre água e a gasolina A, devido às propriedades detergentes dispersantes do aditivo. Em relação à adição entre a EMED e o ponto A, o ponto seria semelhante ao adotado atualmente para a adição do corante ao óleo diesel.</w:t>
      </w:r>
    </w:p>
    <w:p w:rsidR="00F21BD9"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Outra situação diz respeito à aditivação no recebimento da gasolina </w:t>
      </w:r>
      <w:proofErr w:type="gramStart"/>
      <w:r w:rsidRPr="00CE3398">
        <w:rPr>
          <w:rFonts w:ascii="Times New Roman" w:hAnsi="Times New Roman"/>
          <w:sz w:val="24"/>
          <w:szCs w:val="24"/>
        </w:rPr>
        <w:t>A pelo</w:t>
      </w:r>
      <w:proofErr w:type="gramEnd"/>
      <w:r w:rsidRPr="00CE3398">
        <w:rPr>
          <w:rFonts w:ascii="Times New Roman" w:hAnsi="Times New Roman"/>
          <w:sz w:val="24"/>
          <w:szCs w:val="24"/>
        </w:rPr>
        <w:t xml:space="preserve"> distribuidor, no Ponto B indicado na Figura </w:t>
      </w:r>
      <w:r w:rsidR="005666E6" w:rsidRPr="00CE3398">
        <w:rPr>
          <w:rFonts w:ascii="Times New Roman" w:hAnsi="Times New Roman"/>
          <w:sz w:val="24"/>
          <w:szCs w:val="24"/>
        </w:rPr>
        <w:t>1</w:t>
      </w:r>
      <w:r w:rsidRPr="00CE3398">
        <w:rPr>
          <w:rFonts w:ascii="Times New Roman" w:hAnsi="Times New Roman"/>
          <w:sz w:val="24"/>
          <w:szCs w:val="24"/>
        </w:rPr>
        <w:t>, local onde o duto advindo da refinaria chega às instalações do distribuidor. A aditivação, neste caso, ocorreria entre o Ponto B e o tanque do distribuidor.</w:t>
      </w:r>
      <w:r w:rsidR="0071084A">
        <w:rPr>
          <w:rFonts w:ascii="Times New Roman" w:hAnsi="Times New Roman"/>
          <w:sz w:val="24"/>
          <w:szCs w:val="24"/>
        </w:rPr>
        <w:t xml:space="preserve"> </w:t>
      </w:r>
      <w:r w:rsidR="00F21BD9" w:rsidRPr="00F21BD9">
        <w:rPr>
          <w:rFonts w:ascii="Times New Roman" w:hAnsi="Times New Roman"/>
          <w:sz w:val="24"/>
          <w:szCs w:val="24"/>
        </w:rPr>
        <w:t>Acerca d</w:t>
      </w:r>
      <w:r w:rsidR="0071084A">
        <w:rPr>
          <w:rFonts w:ascii="Times New Roman" w:hAnsi="Times New Roman"/>
          <w:sz w:val="24"/>
          <w:szCs w:val="24"/>
        </w:rPr>
        <w:t>est</w:t>
      </w:r>
      <w:r w:rsidR="00F21BD9" w:rsidRPr="00F21BD9">
        <w:rPr>
          <w:rFonts w:ascii="Times New Roman" w:hAnsi="Times New Roman"/>
          <w:sz w:val="24"/>
          <w:szCs w:val="24"/>
        </w:rPr>
        <w:t xml:space="preserve">a </w:t>
      </w:r>
      <w:r w:rsidR="00737B9D">
        <w:rPr>
          <w:rFonts w:ascii="Times New Roman" w:hAnsi="Times New Roman"/>
          <w:sz w:val="24"/>
          <w:szCs w:val="24"/>
        </w:rPr>
        <w:t>alternativa</w:t>
      </w:r>
      <w:r w:rsidR="00D77D20">
        <w:rPr>
          <w:rFonts w:ascii="Times New Roman" w:hAnsi="Times New Roman"/>
          <w:sz w:val="24"/>
          <w:szCs w:val="24"/>
        </w:rPr>
        <w:t>,</w:t>
      </w:r>
      <w:r w:rsidR="00F21BD9" w:rsidRPr="00F21BD9">
        <w:rPr>
          <w:rFonts w:ascii="Times New Roman" w:hAnsi="Times New Roman"/>
          <w:sz w:val="24"/>
          <w:szCs w:val="24"/>
        </w:rPr>
        <w:t xml:space="preserve"> o principal produtor informou, em resposta a questão </w:t>
      </w:r>
      <w:proofErr w:type="gramStart"/>
      <w:r w:rsidR="00F21BD9" w:rsidRPr="00F21BD9">
        <w:rPr>
          <w:rFonts w:ascii="Times New Roman" w:hAnsi="Times New Roman"/>
          <w:sz w:val="24"/>
          <w:szCs w:val="24"/>
        </w:rPr>
        <w:t>2</w:t>
      </w:r>
      <w:proofErr w:type="gramEnd"/>
      <w:r w:rsidR="00F21BD9" w:rsidRPr="00F21BD9">
        <w:rPr>
          <w:rFonts w:ascii="Times New Roman" w:hAnsi="Times New Roman"/>
          <w:sz w:val="24"/>
          <w:szCs w:val="24"/>
        </w:rPr>
        <w:t xml:space="preserve"> do questionário da ANP, que não </w:t>
      </w:r>
      <w:r w:rsidR="00D77D20">
        <w:rPr>
          <w:rFonts w:ascii="Times New Roman" w:hAnsi="Times New Roman"/>
          <w:sz w:val="24"/>
          <w:szCs w:val="24"/>
        </w:rPr>
        <w:t>teria</w:t>
      </w:r>
      <w:r w:rsidR="00F21BD9" w:rsidRPr="00F21BD9">
        <w:rPr>
          <w:rFonts w:ascii="Times New Roman" w:hAnsi="Times New Roman"/>
          <w:sz w:val="24"/>
          <w:szCs w:val="24"/>
        </w:rPr>
        <w:t xml:space="preserve"> um local adequado</w:t>
      </w:r>
      <w:r w:rsidR="00D77D20">
        <w:rPr>
          <w:rFonts w:ascii="Times New Roman" w:hAnsi="Times New Roman"/>
          <w:sz w:val="24"/>
          <w:szCs w:val="24"/>
        </w:rPr>
        <w:t xml:space="preserve"> na base da distribuidora para fazer essa operação</w:t>
      </w:r>
      <w:r w:rsidR="00F21BD9" w:rsidRPr="00F21BD9">
        <w:rPr>
          <w:rFonts w:ascii="Times New Roman" w:hAnsi="Times New Roman"/>
          <w:sz w:val="24"/>
          <w:szCs w:val="24"/>
        </w:rPr>
        <w:t>.</w:t>
      </w:r>
    </w:p>
    <w:p w:rsidR="00EF77D9" w:rsidRDefault="0071084A" w:rsidP="00737B9D">
      <w:pPr>
        <w:tabs>
          <w:tab w:val="left" w:pos="0"/>
        </w:tabs>
        <w:spacing w:after="240" w:line="240" w:lineRule="auto"/>
        <w:ind w:firstLine="709"/>
        <w:jc w:val="both"/>
        <w:rPr>
          <w:rFonts w:ascii="Times New Roman" w:hAnsi="Times New Roman"/>
          <w:sz w:val="24"/>
          <w:szCs w:val="24"/>
        </w:rPr>
      </w:pPr>
      <w:r>
        <w:rPr>
          <w:rFonts w:ascii="Times New Roman" w:hAnsi="Times New Roman"/>
          <w:sz w:val="24"/>
          <w:szCs w:val="24"/>
        </w:rPr>
        <w:t>Na</w:t>
      </w:r>
      <w:r w:rsidR="00214484">
        <w:rPr>
          <w:rFonts w:ascii="Times New Roman" w:hAnsi="Times New Roman"/>
          <w:sz w:val="24"/>
          <w:szCs w:val="24"/>
        </w:rPr>
        <w:t xml:space="preserve"> Figura 1 </w:t>
      </w:r>
      <w:r w:rsidR="003B537F">
        <w:rPr>
          <w:rFonts w:ascii="Times New Roman" w:hAnsi="Times New Roman"/>
          <w:sz w:val="24"/>
          <w:szCs w:val="24"/>
        </w:rPr>
        <w:t xml:space="preserve">verificam-se </w:t>
      </w:r>
      <w:r w:rsidR="00204DB0">
        <w:rPr>
          <w:rFonts w:ascii="Times New Roman" w:hAnsi="Times New Roman"/>
          <w:sz w:val="24"/>
          <w:szCs w:val="24"/>
        </w:rPr>
        <w:t>os principais pontos de aditivação</w:t>
      </w:r>
      <w:r w:rsidR="00F437E8">
        <w:rPr>
          <w:rFonts w:ascii="Times New Roman" w:hAnsi="Times New Roman"/>
          <w:sz w:val="24"/>
          <w:szCs w:val="24"/>
        </w:rPr>
        <w:t>, independente da responsabilidade</w:t>
      </w:r>
      <w:r w:rsidR="00204DB0">
        <w:rPr>
          <w:rFonts w:ascii="Times New Roman" w:hAnsi="Times New Roman"/>
          <w:sz w:val="24"/>
          <w:szCs w:val="24"/>
        </w:rPr>
        <w:t xml:space="preserve">: </w:t>
      </w:r>
    </w:p>
    <w:p w:rsidR="007B5BB0" w:rsidRDefault="007B5BB0" w:rsidP="0002519A">
      <w:pPr>
        <w:tabs>
          <w:tab w:val="left" w:pos="0"/>
        </w:tabs>
        <w:spacing w:after="120" w:line="240" w:lineRule="auto"/>
        <w:ind w:firstLine="709"/>
        <w:jc w:val="both"/>
        <w:rPr>
          <w:rFonts w:ascii="Times New Roman" w:hAnsi="Times New Roman"/>
          <w:sz w:val="24"/>
          <w:szCs w:val="24"/>
        </w:rPr>
      </w:pPr>
      <w:r>
        <w:rPr>
          <w:rFonts w:ascii="Times New Roman" w:hAnsi="Times New Roman"/>
          <w:sz w:val="24"/>
          <w:szCs w:val="24"/>
        </w:rPr>
        <w:t>a) Aditivação nas instalações do produtor (setas de cor verde</w:t>
      </w:r>
      <w:r w:rsidR="00F437E8">
        <w:rPr>
          <w:rFonts w:ascii="Times New Roman" w:hAnsi="Times New Roman"/>
          <w:sz w:val="24"/>
          <w:szCs w:val="24"/>
        </w:rPr>
        <w:t>)</w:t>
      </w:r>
      <w:r>
        <w:rPr>
          <w:rFonts w:ascii="Times New Roman" w:hAnsi="Times New Roman"/>
          <w:sz w:val="24"/>
          <w:szCs w:val="24"/>
        </w:rPr>
        <w:t>;</w:t>
      </w:r>
    </w:p>
    <w:p w:rsidR="007B5BB0" w:rsidRDefault="007B5BB0" w:rsidP="0002519A">
      <w:pPr>
        <w:tabs>
          <w:tab w:val="left" w:pos="0"/>
        </w:tabs>
        <w:spacing w:after="120" w:line="240" w:lineRule="auto"/>
        <w:ind w:firstLine="709"/>
        <w:jc w:val="both"/>
        <w:rPr>
          <w:rFonts w:ascii="Times New Roman" w:hAnsi="Times New Roman"/>
          <w:sz w:val="24"/>
          <w:szCs w:val="24"/>
        </w:rPr>
      </w:pPr>
      <w:r>
        <w:rPr>
          <w:rFonts w:ascii="Times New Roman" w:hAnsi="Times New Roman"/>
          <w:sz w:val="24"/>
          <w:szCs w:val="24"/>
        </w:rPr>
        <w:t>b) Aditivação nas instalações do d</w:t>
      </w:r>
      <w:r w:rsidR="00F437E8">
        <w:rPr>
          <w:rFonts w:ascii="Times New Roman" w:hAnsi="Times New Roman"/>
          <w:sz w:val="24"/>
          <w:szCs w:val="24"/>
        </w:rPr>
        <w:t>istribuidor (setas de cor azul)</w:t>
      </w:r>
      <w:r>
        <w:rPr>
          <w:rFonts w:ascii="Times New Roman" w:hAnsi="Times New Roman"/>
          <w:sz w:val="24"/>
          <w:szCs w:val="24"/>
        </w:rPr>
        <w:t>;</w:t>
      </w:r>
    </w:p>
    <w:p w:rsidR="007B5BB0" w:rsidRDefault="007B5BB0" w:rsidP="00737B9D">
      <w:pPr>
        <w:tabs>
          <w:tab w:val="left" w:pos="0"/>
        </w:tabs>
        <w:spacing w:after="240" w:line="240" w:lineRule="auto"/>
        <w:ind w:firstLine="709"/>
        <w:jc w:val="both"/>
        <w:rPr>
          <w:rFonts w:ascii="Times New Roman" w:hAnsi="Times New Roman"/>
          <w:sz w:val="24"/>
          <w:szCs w:val="24"/>
        </w:rPr>
      </w:pPr>
      <w:r>
        <w:rPr>
          <w:rFonts w:ascii="Times New Roman" w:hAnsi="Times New Roman"/>
          <w:sz w:val="24"/>
          <w:szCs w:val="24"/>
        </w:rPr>
        <w:t>c) Aditivação nas instalações do transportador</w:t>
      </w:r>
      <w:r w:rsidR="002135F7">
        <w:rPr>
          <w:rFonts w:ascii="Times New Roman" w:hAnsi="Times New Roman"/>
          <w:sz w:val="24"/>
          <w:szCs w:val="24"/>
        </w:rPr>
        <w:t xml:space="preserve"> (seta de cor laranja)</w:t>
      </w:r>
      <w:r w:rsidR="009C5CE5">
        <w:rPr>
          <w:rFonts w:ascii="Times New Roman" w:hAnsi="Times New Roman"/>
          <w:sz w:val="24"/>
          <w:szCs w:val="24"/>
        </w:rPr>
        <w:t>.</w:t>
      </w:r>
    </w:p>
    <w:p w:rsidR="0071084A" w:rsidRPr="007B5BB0" w:rsidRDefault="00737B9D" w:rsidP="00737B9D">
      <w:pPr>
        <w:pStyle w:val="PargrafodaLista"/>
        <w:tabs>
          <w:tab w:val="left" w:pos="0"/>
        </w:tabs>
        <w:spacing w:after="120" w:line="240" w:lineRule="auto"/>
        <w:ind w:left="0"/>
        <w:jc w:val="both"/>
      </w:pPr>
      <w:r>
        <w:rPr>
          <w:rFonts w:ascii="Times New Roman" w:hAnsi="Times New Roman"/>
          <w:sz w:val="24"/>
          <w:szCs w:val="24"/>
        </w:rPr>
        <w:tab/>
      </w:r>
    </w:p>
    <w:p w:rsidR="0043123A" w:rsidRDefault="0010373C" w:rsidP="00F86EC8">
      <w:pPr>
        <w:pStyle w:val="Legenda"/>
        <w:keepNext/>
        <w:jc w:val="center"/>
        <w:rPr>
          <w:rFonts w:ascii="Times New Roman" w:hAnsi="Times New Roman"/>
          <w:color w:val="auto"/>
          <w:sz w:val="24"/>
          <w:szCs w:val="24"/>
        </w:rPr>
      </w:pPr>
      <w:r>
        <w:rPr>
          <w:rFonts w:ascii="Times New Roman" w:hAnsi="Times New Roman"/>
          <w:noProof/>
          <w:color w:val="auto"/>
          <w:sz w:val="24"/>
          <w:szCs w:val="24"/>
          <w:lang w:eastAsia="pt-BR"/>
        </w:rPr>
        <w:lastRenderedPageBreak/>
        <w:pict>
          <v:shape id="_x0000_s1400" type="#_x0000_t202" style="position:absolute;left:0;text-align:left;margin-left:277.55pt;margin-top:219.45pt;width:60.1pt;height:27.55pt;z-index:251675136" stroked="f">
            <v:textbox>
              <w:txbxContent>
                <w:p w:rsidR="00E03752" w:rsidRPr="00C565C1" w:rsidRDefault="00E03752" w:rsidP="00C565C1">
                  <w:pPr>
                    <w:spacing w:after="0" w:line="240" w:lineRule="auto"/>
                    <w:jc w:val="center"/>
                    <w:rPr>
                      <w:b/>
                      <w:sz w:val="16"/>
                      <w:szCs w:val="16"/>
                    </w:rPr>
                  </w:pPr>
                  <w:r w:rsidRPr="00C565C1">
                    <w:rPr>
                      <w:b/>
                      <w:sz w:val="16"/>
                      <w:szCs w:val="16"/>
                    </w:rPr>
                    <w:t>Transferência de custódia</w:t>
                  </w:r>
                </w:p>
              </w:txbxContent>
            </v:textbox>
          </v:shape>
        </w:pict>
      </w:r>
      <w:r>
        <w:rPr>
          <w:rFonts w:ascii="Times New Roman" w:hAnsi="Times New Roman"/>
          <w:noProof/>
          <w:color w:val="auto"/>
          <w:sz w:val="24"/>
          <w:szCs w:val="24"/>
          <w:lang w:eastAsia="pt-BR"/>
        </w:rPr>
        <w:pict>
          <v:shape id="_x0000_s1397" type="#_x0000_t202" style="position:absolute;left:0;text-align:left;margin-left:231.7pt;margin-top:235.65pt;width:54.85pt;height:17.45pt;z-index:251672064" stroked="f">
            <v:textbox>
              <w:txbxContent>
                <w:p w:rsidR="00E03752" w:rsidRPr="00952E20" w:rsidRDefault="00E03752" w:rsidP="00952E20">
                  <w:pPr>
                    <w:spacing w:after="0" w:line="240" w:lineRule="auto"/>
                    <w:jc w:val="center"/>
                    <w:rPr>
                      <w:b/>
                      <w:sz w:val="20"/>
                      <w:szCs w:val="20"/>
                    </w:rPr>
                  </w:pPr>
                  <w:r>
                    <w:rPr>
                      <w:b/>
                      <w:sz w:val="20"/>
                      <w:szCs w:val="20"/>
                    </w:rPr>
                    <w:t xml:space="preserve"> </w:t>
                  </w:r>
                  <w:r w:rsidRPr="00952E20">
                    <w:rPr>
                      <w:b/>
                      <w:sz w:val="20"/>
                      <w:szCs w:val="20"/>
                    </w:rPr>
                    <w:t xml:space="preserve">Ponto </w:t>
                  </w:r>
                  <w:r>
                    <w:rPr>
                      <w:b/>
                      <w:sz w:val="20"/>
                      <w:szCs w:val="20"/>
                    </w:rPr>
                    <w:t>A</w:t>
                  </w:r>
                </w:p>
              </w:txbxContent>
            </v:textbox>
          </v:shape>
        </w:pict>
      </w:r>
      <w:r>
        <w:rPr>
          <w:rFonts w:ascii="Times New Roman" w:hAnsi="Times New Roman"/>
          <w:noProof/>
          <w:color w:val="auto"/>
          <w:sz w:val="24"/>
          <w:szCs w:val="24"/>
          <w:lang w:eastAsia="pt-BR"/>
        </w:rPr>
        <w:pict>
          <v:shape id="_x0000_s1404" type="#_x0000_t202" style="position:absolute;left:0;text-align:left;margin-left:171.45pt;margin-top:235.3pt;width:75.8pt;height:31.25pt;z-index:251656702" stroked="f">
            <v:textbox>
              <w:txbxContent>
                <w:p w:rsidR="00E03752" w:rsidRPr="002135F7" w:rsidRDefault="00E03752" w:rsidP="002135F7">
                  <w:pPr>
                    <w:spacing w:after="0" w:line="240" w:lineRule="auto"/>
                    <w:jc w:val="center"/>
                    <w:rPr>
                      <w:b/>
                      <w:color w:val="E36C0A" w:themeColor="accent6" w:themeShade="BF"/>
                      <w:sz w:val="19"/>
                      <w:szCs w:val="19"/>
                    </w:rPr>
                  </w:pPr>
                  <w:r w:rsidRPr="002135F7">
                    <w:rPr>
                      <w:b/>
                      <w:color w:val="E36C0A" w:themeColor="accent6" w:themeShade="BF"/>
                      <w:sz w:val="19"/>
                      <w:szCs w:val="19"/>
                    </w:rPr>
                    <w:t>Aditivação</w:t>
                  </w:r>
                </w:p>
                <w:p w:rsidR="00E03752" w:rsidRPr="002135F7" w:rsidRDefault="00E03752" w:rsidP="002135F7">
                  <w:pPr>
                    <w:jc w:val="center"/>
                    <w:rPr>
                      <w:b/>
                      <w:color w:val="E36C0A" w:themeColor="accent6" w:themeShade="BF"/>
                      <w:sz w:val="19"/>
                      <w:szCs w:val="19"/>
                    </w:rPr>
                  </w:pPr>
                  <w:r w:rsidRPr="002135F7">
                    <w:rPr>
                      <w:b/>
                      <w:color w:val="E36C0A" w:themeColor="accent6" w:themeShade="BF"/>
                      <w:sz w:val="19"/>
                      <w:szCs w:val="19"/>
                    </w:rPr>
                    <w:t>Transportador</w:t>
                  </w:r>
                </w:p>
              </w:txbxContent>
            </v:textbox>
          </v:shape>
        </w:pict>
      </w:r>
      <w:r>
        <w:rPr>
          <w:rFonts w:ascii="Times New Roman" w:hAnsi="Times New Roman"/>
          <w:noProof/>
          <w:color w:val="auto"/>
          <w:sz w:val="24"/>
          <w:szCs w:val="24"/>
          <w:lang w:eastAsia="pt-B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03" type="#_x0000_t67" style="position:absolute;left:0;text-align:left;margin-left:215.15pt;margin-top:256.9pt;width:15.6pt;height:29.75pt;rotation:270;z-index:251676160" fillcolor="#e36c0a [2409]"/>
        </w:pict>
      </w:r>
      <w:r>
        <w:rPr>
          <w:rFonts w:ascii="Times New Roman" w:hAnsi="Times New Roman"/>
          <w:noProof/>
          <w:color w:val="auto"/>
          <w:sz w:val="24"/>
          <w:szCs w:val="24"/>
          <w:lang w:eastAsia="pt-BR"/>
        </w:rPr>
        <w:pict>
          <v:shape id="_x0000_s1399" type="#_x0000_t32" style="position:absolute;left:0;text-align:left;margin-left:294.7pt;margin-top:239.9pt;width:0;height:37.25pt;z-index:251674112" o:connectortype="straight" strokeweight="1.5pt"/>
        </w:pict>
      </w:r>
      <w:r>
        <w:rPr>
          <w:rFonts w:ascii="Times New Roman" w:hAnsi="Times New Roman"/>
          <w:noProof/>
          <w:color w:val="auto"/>
          <w:sz w:val="24"/>
          <w:szCs w:val="24"/>
          <w:lang w:eastAsia="pt-BR"/>
        </w:rPr>
        <w:pict>
          <v:shapetype id="_x0000_t4" coordsize="21600,21600" o:spt="4" path="m10800,l,10800,10800,21600,21600,10800xe">
            <v:stroke joinstyle="miter"/>
            <v:path gradientshapeok="t" o:connecttype="rect" textboxrect="5400,5400,16200,16200"/>
          </v:shapetype>
          <v:shape id="_x0000_s1398" type="#_x0000_t4" style="position:absolute;left:0;text-align:left;margin-left:246.95pt;margin-top:253.4pt;width:17pt;height:17pt;z-index:251673088" fillcolor="black [3213]"/>
        </w:pict>
      </w:r>
      <w:r>
        <w:rPr>
          <w:rFonts w:ascii="Times New Roman" w:hAnsi="Times New Roman"/>
          <w:noProof/>
          <w:color w:val="auto"/>
          <w:sz w:val="24"/>
          <w:szCs w:val="24"/>
          <w:lang w:eastAsia="pt-BR"/>
        </w:rPr>
        <w:pict>
          <v:shape id="_x0000_s1329" type="#_x0000_t34" style="position:absolute;left:0;text-align:left;margin-left:155.85pt;margin-top:261.95pt;width:167.25pt;height:18.45pt;flip:y;z-index:251670016" o:connectortype="elbow" adj="10797,399512,-30367"/>
        </w:pict>
      </w:r>
      <w:r>
        <w:rPr>
          <w:rFonts w:ascii="Times New Roman" w:hAnsi="Times New Roman"/>
          <w:color w:val="auto"/>
          <w:sz w:val="24"/>
          <w:szCs w:val="24"/>
        </w:rPr>
      </w:r>
      <w:r>
        <w:rPr>
          <w:rFonts w:ascii="Times New Roman" w:hAnsi="Times New Roman"/>
          <w:color w:val="auto"/>
          <w:sz w:val="24"/>
          <w:szCs w:val="24"/>
        </w:rPr>
        <w:pict>
          <v:group id="_x0000_s1251" style="width:429.75pt;height:345.7pt;mso-position-horizontal-relative:char;mso-position-vertical-relative:line" coordorigin="1063,351" coordsize="9123,6903">
            <v:rect id="_x0000_s1252" style="position:absolute;left:1063;top:351;width:9123;height:6903"/>
            <v:shape id="_x0000_s1253" type="#_x0000_t32" style="position:absolute;left:3547;top:1505;width:3978;height:1" o:connectortype="straight">
              <v:stroke endarrow="block"/>
            </v:shape>
            <v:shape id="_x0000_s1254" type="#_x0000_t202" style="position:absolute;left:7708;top:794;width:2241;height:563" filled="f" stroked="f">
              <v:textbox style="mso-next-textbox:#_x0000_s1254">
                <w:txbxContent>
                  <w:p w:rsidR="00E03752" w:rsidRPr="00DF60F2" w:rsidRDefault="00E03752" w:rsidP="006C57D5">
                    <w:pPr>
                      <w:spacing w:after="0"/>
                      <w:jc w:val="center"/>
                      <w:rPr>
                        <w:b/>
                        <w:sz w:val="24"/>
                        <w:szCs w:val="24"/>
                      </w:rPr>
                    </w:pPr>
                    <w:r w:rsidRPr="00DF60F2">
                      <w:rPr>
                        <w:b/>
                        <w:sz w:val="24"/>
                        <w:szCs w:val="24"/>
                      </w:rPr>
                      <w:t>Distribuidor</w:t>
                    </w:r>
                  </w:p>
                </w:txbxContent>
              </v:textbox>
            </v:shape>
            <v:rect id="_x0000_s1255" style="position:absolute;left:4383;top:1357;width:318;height:249" fillcolor="red"/>
            <v:shape id="_x0000_s1256" type="#_x0000_t202" style="position:absolute;left:4030;top:1054;width:1092;height:378" filled="f" stroked="f">
              <v:textbox style="mso-next-textbox:#_x0000_s1256">
                <w:txbxContent>
                  <w:p w:rsidR="00E03752" w:rsidRPr="00DF60F2" w:rsidRDefault="00E03752" w:rsidP="006C57D5">
                    <w:pPr>
                      <w:spacing w:after="0"/>
                      <w:jc w:val="center"/>
                      <w:rPr>
                        <w:b/>
                        <w:color w:val="FF0000"/>
                        <w:sz w:val="20"/>
                        <w:szCs w:val="20"/>
                      </w:rPr>
                    </w:pPr>
                    <w:r w:rsidRPr="00DF60F2">
                      <w:rPr>
                        <w:b/>
                        <w:color w:val="FF0000"/>
                        <w:sz w:val="20"/>
                        <w:szCs w:val="20"/>
                      </w:rPr>
                      <w:t>EMED</w:t>
                    </w:r>
                  </w:p>
                </w:txbxContent>
              </v:textbox>
            </v:shape>
            <v:shape id="_x0000_s1257" type="#_x0000_t75" style="position:absolute;left:9089;top:2451;width:762;height:278">
              <v:imagedata r:id="rId15" o:titl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58" type="#_x0000_t22" style="position:absolute;left:7525;top:1286;width:750;height:518" fillcolor="#bfbfbf">
              <v:fill color2="fill lighten(51)" angle="-90" focusposition="1" focussize="" method="linear sigma" focus="100%" type="gradient"/>
            </v:shape>
            <v:shape id="_x0000_s1259" type="#_x0000_t22" style="position:absolute;left:8014;top:1505;width:683;height:527" fillcolor="#bfbfbf">
              <v:fill color2="fill lighten(51)" angle="-90" focusposition="1" focussize="" method="linear sigma" focus="100%" type="gradient"/>
            </v:shape>
            <v:shape id="_x0000_s1260" type="#_x0000_t32" style="position:absolute;left:8697;top:1804;width:511;height:0" o:connectortype="straight"/>
            <v:shape id="_x0000_s1261" type="#_x0000_t32" style="position:absolute;left:9208;top:1804;width:0;height:647" o:connectortype="straigh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62" type="#_x0000_t13" style="position:absolute;left:8485;top:2102;width:604;height:299" fillcolor="blue"/>
            <v:shape id="_x0000_s1263" type="#_x0000_t202" style="position:absolute;left:7437;top:2288;width:1622;height:875" filled="f" stroked="f">
              <v:textbox style="mso-next-textbox:#_x0000_s1263">
                <w:txbxContent>
                  <w:p w:rsidR="00E03752" w:rsidRPr="00DF60F2" w:rsidRDefault="00E03752" w:rsidP="006C57D5">
                    <w:pPr>
                      <w:spacing w:after="0"/>
                      <w:jc w:val="center"/>
                      <w:rPr>
                        <w:b/>
                        <w:color w:val="0000FF"/>
                        <w:sz w:val="20"/>
                        <w:szCs w:val="20"/>
                      </w:rPr>
                    </w:pPr>
                    <w:r w:rsidRPr="00DF60F2">
                      <w:rPr>
                        <w:b/>
                        <w:color w:val="0000FF"/>
                        <w:sz w:val="20"/>
                        <w:szCs w:val="20"/>
                      </w:rPr>
                      <w:t>Aditivação</w:t>
                    </w:r>
                  </w:p>
                  <w:p w:rsidR="00E03752" w:rsidRPr="00DF60F2" w:rsidRDefault="00E03752" w:rsidP="006C57D5">
                    <w:pPr>
                      <w:spacing w:after="0"/>
                      <w:jc w:val="center"/>
                      <w:rPr>
                        <w:b/>
                        <w:color w:val="0000FF"/>
                        <w:sz w:val="20"/>
                        <w:szCs w:val="20"/>
                      </w:rPr>
                    </w:pPr>
                    <w:r w:rsidRPr="00DF60F2">
                      <w:rPr>
                        <w:b/>
                        <w:color w:val="0000FF"/>
                        <w:sz w:val="20"/>
                        <w:szCs w:val="20"/>
                      </w:rPr>
                      <w:t>Distribuidor</w:t>
                    </w:r>
                  </w:p>
                </w:txbxContent>
              </v:textbox>
            </v:shape>
            <v:shape id="_x0000_s1264" type="#_x0000_t13" style="position:absolute;left:4930;top:1618;width:528;height:342;rotation:270" fillcolor="#060"/>
            <v:shape id="_x0000_s1265" type="#_x0000_t202" style="position:absolute;left:4385;top:2033;width:1621;height:900" filled="f" stroked="f">
              <v:textbox style="mso-next-textbox:#_x0000_s1265">
                <w:txbxContent>
                  <w:p w:rsidR="00E03752" w:rsidRPr="007753B0" w:rsidRDefault="00E03752" w:rsidP="006C57D5">
                    <w:pPr>
                      <w:spacing w:after="0"/>
                      <w:jc w:val="center"/>
                      <w:rPr>
                        <w:b/>
                        <w:color w:val="006600"/>
                        <w:sz w:val="20"/>
                        <w:szCs w:val="20"/>
                      </w:rPr>
                    </w:pPr>
                    <w:r w:rsidRPr="007753B0">
                      <w:rPr>
                        <w:b/>
                        <w:color w:val="006600"/>
                        <w:sz w:val="20"/>
                        <w:szCs w:val="20"/>
                      </w:rPr>
                      <w:t>Aditivação</w:t>
                    </w:r>
                  </w:p>
                  <w:p w:rsidR="00E03752" w:rsidRPr="007753B0" w:rsidRDefault="00E03752" w:rsidP="006C57D5">
                    <w:pPr>
                      <w:spacing w:after="0"/>
                      <w:jc w:val="center"/>
                      <w:rPr>
                        <w:b/>
                        <w:color w:val="006600"/>
                        <w:sz w:val="20"/>
                        <w:szCs w:val="20"/>
                      </w:rPr>
                    </w:pPr>
                    <w:r w:rsidRPr="007753B0">
                      <w:rPr>
                        <w:b/>
                        <w:color w:val="006600"/>
                        <w:sz w:val="20"/>
                        <w:szCs w:val="20"/>
                      </w:rPr>
                      <w:t>Produtor</w:t>
                    </w:r>
                  </w:p>
                </w:txbxContent>
              </v:textbox>
            </v:shape>
            <v:shape id="_x0000_s1266" type="#_x0000_t32" style="position:absolute;left:1984;top:2191;width:1;height:3744" o:connectortype="straight"/>
            <v:shape id="_x0000_s1267" type="#_x0000_t202" style="position:absolute;left:1595;top:2190;width:393;height:4650" filled="f" stroked="f">
              <v:textbox style="mso-next-textbox:#_x0000_s1267">
                <w:txbxContent>
                  <w:p w:rsidR="00E03752" w:rsidRPr="00DF60F2" w:rsidRDefault="00E03752" w:rsidP="006C57D5">
                    <w:pPr>
                      <w:spacing w:after="0"/>
                      <w:jc w:val="center"/>
                      <w:rPr>
                        <w:b/>
                        <w:sz w:val="24"/>
                        <w:szCs w:val="24"/>
                      </w:rPr>
                    </w:pPr>
                    <w:r w:rsidRPr="00DF60F2">
                      <w:rPr>
                        <w:b/>
                        <w:sz w:val="24"/>
                        <w:szCs w:val="24"/>
                      </w:rPr>
                      <w:t>Transp</w:t>
                    </w:r>
                    <w:r>
                      <w:rPr>
                        <w:b/>
                        <w:sz w:val="24"/>
                        <w:szCs w:val="24"/>
                      </w:rPr>
                      <w:t>ortador</w:t>
                    </w:r>
                  </w:p>
                </w:txbxContent>
              </v:textbox>
            </v:shape>
            <v:shape id="_x0000_s1268" type="#_x0000_t32" style="position:absolute;left:1984;top:3563;width:3025;height:1;flip:y" o:connectortype="straight">
              <v:stroke endarrow="block"/>
            </v:shape>
            <v:shape id="_x0000_s1269" type="#_x0000_t75" style="position:absolute;left:6573;top:4400;width:762;height:278">
              <v:imagedata r:id="rId15" o:title=""/>
            </v:shape>
            <v:shape id="_x0000_s1270" type="#_x0000_t22" style="position:absolute;left:5009;top:3235;width:751;height:518" fillcolor="#bfbfbf">
              <v:fill color2="fill lighten(51)" angle="-90" focusposition="1" focussize="" method="linear sigma" focus="100%" type="gradient"/>
            </v:shape>
            <v:shape id="_x0000_s1271" type="#_x0000_t22" style="position:absolute;left:5498;top:3454;width:683;height:527" fillcolor="#bfbfbf">
              <v:fill color2="fill lighten(51)" angle="-90" focusposition="1" focussize="" method="linear sigma" focus="100%" type="gradient"/>
            </v:shape>
            <v:shape id="_x0000_s1272" type="#_x0000_t32" style="position:absolute;left:6181;top:3753;width:512;height:0" o:connectortype="straight"/>
            <v:shape id="_x0000_s1273" type="#_x0000_t32" style="position:absolute;left:6693;top:3753;width:0;height:647" o:connectortype="straight">
              <v:stroke endarrow="block"/>
            </v:shape>
            <v:shape id="_x0000_s1274" type="#_x0000_t13" style="position:absolute;left:5969;top:4051;width:604;height:299" fillcolor="blue"/>
            <v:shape id="_x0000_s1275" type="#_x0000_t202" style="position:absolute;left:4831;top:4237;width:1622;height:805" filled="f" stroked="f">
              <v:textbox style="mso-next-textbox:#_x0000_s1275">
                <w:txbxContent>
                  <w:p w:rsidR="00E03752" w:rsidRPr="00DF60F2" w:rsidRDefault="00E03752" w:rsidP="006C57D5">
                    <w:pPr>
                      <w:spacing w:after="0"/>
                      <w:jc w:val="center"/>
                      <w:rPr>
                        <w:b/>
                        <w:color w:val="0000FF"/>
                        <w:sz w:val="20"/>
                        <w:szCs w:val="20"/>
                      </w:rPr>
                    </w:pPr>
                    <w:r w:rsidRPr="00DF60F2">
                      <w:rPr>
                        <w:b/>
                        <w:color w:val="0000FF"/>
                        <w:sz w:val="20"/>
                        <w:szCs w:val="20"/>
                      </w:rPr>
                      <w:t>Aditivação</w:t>
                    </w:r>
                  </w:p>
                  <w:p w:rsidR="00E03752" w:rsidRPr="00DF60F2" w:rsidRDefault="00E03752" w:rsidP="006C57D5">
                    <w:pPr>
                      <w:spacing w:after="0"/>
                      <w:jc w:val="center"/>
                      <w:rPr>
                        <w:b/>
                        <w:color w:val="0000FF"/>
                        <w:sz w:val="20"/>
                        <w:szCs w:val="20"/>
                      </w:rPr>
                    </w:pPr>
                    <w:r w:rsidRPr="00DF60F2">
                      <w:rPr>
                        <w:b/>
                        <w:color w:val="0000FF"/>
                        <w:sz w:val="20"/>
                        <w:szCs w:val="20"/>
                      </w:rPr>
                      <w:t>Distribuidor</w:t>
                    </w:r>
                  </w:p>
                </w:txbxContent>
              </v:textbox>
            </v:shape>
            <v:rect id="_x0000_s1276" style="position:absolute;left:2224;top:3416;width:318;height:248" fillcolor="red"/>
            <v:shape id="_x0000_s1277" type="#_x0000_t202" style="position:absolute;left:1871;top:3112;width:1092;height:378" filled="f" stroked="f">
              <v:textbox style="mso-next-textbox:#_x0000_s1277">
                <w:txbxContent>
                  <w:p w:rsidR="00E03752" w:rsidRPr="00DF60F2" w:rsidRDefault="00E03752" w:rsidP="006C57D5">
                    <w:pPr>
                      <w:spacing w:after="0"/>
                      <w:jc w:val="center"/>
                      <w:rPr>
                        <w:b/>
                        <w:color w:val="FF0000"/>
                        <w:sz w:val="20"/>
                        <w:szCs w:val="20"/>
                      </w:rPr>
                    </w:pPr>
                    <w:r w:rsidRPr="00DF60F2">
                      <w:rPr>
                        <w:b/>
                        <w:color w:val="FF0000"/>
                        <w:sz w:val="20"/>
                        <w:szCs w:val="20"/>
                      </w:rPr>
                      <w:t>EMED</w:t>
                    </w:r>
                  </w:p>
                </w:txbxContent>
              </v:textbox>
            </v:shape>
            <v:shape id="_x0000_s1278" type="#_x0000_t13" style="position:absolute;left:2752;top:3656;width:528;height:341;rotation:270" fillcolor="#060"/>
            <v:shape id="_x0000_s1279" type="#_x0000_t202" style="position:absolute;left:2226;top:4021;width:1622;height:697" filled="f" stroked="f">
              <v:textbox style="mso-next-textbox:#_x0000_s1279">
                <w:txbxContent>
                  <w:p w:rsidR="00E03752" w:rsidRPr="00DF60F2" w:rsidRDefault="00E03752" w:rsidP="006C57D5">
                    <w:pPr>
                      <w:spacing w:after="0"/>
                      <w:jc w:val="center"/>
                      <w:rPr>
                        <w:b/>
                        <w:color w:val="00B050"/>
                        <w:sz w:val="20"/>
                        <w:szCs w:val="20"/>
                      </w:rPr>
                    </w:pPr>
                    <w:r w:rsidRPr="007753B0">
                      <w:rPr>
                        <w:b/>
                        <w:color w:val="006600"/>
                        <w:sz w:val="20"/>
                        <w:szCs w:val="20"/>
                      </w:rPr>
                      <w:t>Aditivação</w:t>
                    </w:r>
                  </w:p>
                  <w:p w:rsidR="00E03752" w:rsidRPr="00DF60F2" w:rsidRDefault="00E03752" w:rsidP="006C57D5">
                    <w:pPr>
                      <w:spacing w:after="0"/>
                      <w:jc w:val="center"/>
                      <w:rPr>
                        <w:b/>
                        <w:color w:val="00B050"/>
                        <w:sz w:val="20"/>
                        <w:szCs w:val="20"/>
                      </w:rPr>
                    </w:pPr>
                    <w:r w:rsidRPr="007753B0">
                      <w:rPr>
                        <w:b/>
                        <w:color w:val="006600"/>
                        <w:sz w:val="20"/>
                        <w:szCs w:val="20"/>
                      </w:rPr>
                      <w:t>Produtor</w:t>
                    </w:r>
                  </w:p>
                </w:txbxContent>
              </v:textbox>
            </v:shape>
            <v:shape id="_x0000_s1280" type="#_x0000_t4" style="position:absolute;left:3306;top:3397;width:352;height:309" fillcolor="black"/>
            <v:shape id="_x0000_s1281" type="#_x0000_t32" style="position:absolute;left:1984;top:5935;width:810;height:0" o:connectortype="straight">
              <v:stroke endarrow="block"/>
            </v:shape>
            <v:shape id="_x0000_s1282" type="#_x0000_t202" style="position:absolute;left:1851;top:5452;width:1092;height:378" filled="f" stroked="f">
              <v:textbox style="mso-next-textbox:#_x0000_s1282">
                <w:txbxContent>
                  <w:p w:rsidR="00E03752" w:rsidRPr="00DF60F2" w:rsidRDefault="00E03752" w:rsidP="006C57D5">
                    <w:pPr>
                      <w:spacing w:after="0"/>
                      <w:jc w:val="center"/>
                      <w:rPr>
                        <w:b/>
                        <w:color w:val="FF0000"/>
                        <w:sz w:val="20"/>
                        <w:szCs w:val="20"/>
                      </w:rPr>
                    </w:pPr>
                    <w:r w:rsidRPr="00DF60F2">
                      <w:rPr>
                        <w:b/>
                        <w:color w:val="FF0000"/>
                        <w:sz w:val="20"/>
                        <w:szCs w:val="20"/>
                      </w:rPr>
                      <w:t>EMED</w:t>
                    </w:r>
                  </w:p>
                </w:txbxContent>
              </v:textbox>
            </v:shape>
            <v:shape id="_x0000_s1283" type="#_x0000_t75" style="position:absolute;left:4360;top:6732;width:762;height:278">
              <v:imagedata r:id="rId15" o:title=""/>
            </v:shape>
            <v:shape id="_x0000_s1284" type="#_x0000_t22" style="position:absolute;left:2796;top:5567;width:751;height:518" fillcolor="#bfbfbf">
              <v:fill color2="fill lighten(51)" angle="-90" focusposition="1" focussize="" method="linear sigma" focus="100%" type="gradient"/>
            </v:shape>
            <v:shape id="_x0000_s1285" type="#_x0000_t22" style="position:absolute;left:3285;top:5786;width:683;height:527" fillcolor="#bfbfbf">
              <v:fill color2="fill lighten(51)" angle="-90" focusposition="1" focussize="" method="linear sigma" focus="100%" type="gradient"/>
            </v:shape>
            <v:shape id="_x0000_s1286" type="#_x0000_t32" style="position:absolute;left:3968;top:6085;width:512;height:0" o:connectortype="straight"/>
            <v:shape id="_x0000_s1287" type="#_x0000_t32" style="position:absolute;left:4480;top:6085;width:0;height:647" o:connectortype="straight">
              <v:stroke endarrow="block"/>
            </v:shape>
            <v:shape id="_x0000_s1288" type="#_x0000_t202" style="position:absolute;left:2294;top:4778;width:2732;height:957" filled="f" stroked="f">
              <v:textbox style="mso-next-textbox:#_x0000_s1288">
                <w:txbxContent>
                  <w:p w:rsidR="00E03752" w:rsidRPr="00DF60F2" w:rsidRDefault="00E03752" w:rsidP="006C57D5">
                    <w:pPr>
                      <w:spacing w:after="0"/>
                      <w:jc w:val="center"/>
                      <w:rPr>
                        <w:b/>
                        <w:sz w:val="24"/>
                        <w:szCs w:val="24"/>
                      </w:rPr>
                    </w:pPr>
                    <w:r>
                      <w:rPr>
                        <w:b/>
                        <w:sz w:val="24"/>
                        <w:szCs w:val="24"/>
                      </w:rPr>
                      <w:t>Terminal do Transportador</w:t>
                    </w:r>
                  </w:p>
                </w:txbxContent>
              </v:textbox>
            </v:shape>
            <v:shape id="_x0000_s1289" type="#_x0000_t202" style="position:absolute;left:7525;top:4800;width:2241;height:564" filled="f" stroked="f">
              <v:textbox style="mso-next-textbox:#_x0000_s1289">
                <w:txbxContent>
                  <w:p w:rsidR="00E03752" w:rsidRPr="00DF60F2" w:rsidRDefault="00E03752" w:rsidP="006C57D5">
                    <w:pPr>
                      <w:spacing w:after="0"/>
                      <w:jc w:val="center"/>
                      <w:rPr>
                        <w:b/>
                        <w:sz w:val="24"/>
                        <w:szCs w:val="24"/>
                      </w:rPr>
                    </w:pPr>
                    <w:r w:rsidRPr="00DF60F2">
                      <w:rPr>
                        <w:b/>
                        <w:sz w:val="24"/>
                        <w:szCs w:val="24"/>
                      </w:rPr>
                      <w:t>Distribuidor</w:t>
                    </w:r>
                  </w:p>
                </w:txbxContent>
              </v:textbox>
            </v:shape>
            <v:shape id="_x0000_s1290" type="#_x0000_t75" style="position:absolute;left:8600;top:6214;width:762;height:278">
              <v:imagedata r:id="rId15" o:title=""/>
            </v:shape>
            <v:shape id="_x0000_s1291" type="#_x0000_t22" style="position:absolute;left:7525;top:5268;width:683;height:527" fillcolor="#bfbfbf">
              <v:fill color2="fill lighten(51)" angle="-90" focusposition="1" focussize="" method="linear sigma" focus="100%" type="gradient"/>
            </v:shape>
            <v:shape id="_x0000_s1292" type="#_x0000_t32" style="position:absolute;left:8208;top:5567;width:512;height:0" o:connectortype="straight"/>
            <v:shape id="_x0000_s1293" type="#_x0000_t32" style="position:absolute;left:8720;top:5567;width:0;height:647" o:connectortype="straigh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94" type="#_x0000_t38" style="position:absolute;left:5184;top:5870;width:2341;height:862;flip:y" o:connectortype="curved" adj="10795,167613,-48625">
              <v:stroke dashstyle="dash" endarrow="block"/>
            </v:shape>
            <v:shape id="_x0000_s1295" type="#_x0000_t202" style="position:absolute;left:5579;top:6586;width:1666;height:668" filled="f" stroked="f">
              <v:textbox style="mso-next-textbox:#_x0000_s1295">
                <w:txbxContent>
                  <w:p w:rsidR="00E03752" w:rsidRPr="007E2BE0" w:rsidRDefault="00E03752" w:rsidP="006C57D5">
                    <w:pPr>
                      <w:spacing w:after="0"/>
                      <w:jc w:val="center"/>
                      <w:rPr>
                        <w:b/>
                        <w:color w:val="000000"/>
                        <w:sz w:val="20"/>
                        <w:szCs w:val="20"/>
                      </w:rPr>
                    </w:pPr>
                    <w:r w:rsidRPr="007E2BE0">
                      <w:rPr>
                        <w:b/>
                        <w:color w:val="000000"/>
                        <w:sz w:val="20"/>
                        <w:szCs w:val="20"/>
                      </w:rPr>
                      <w:t>Gasolina A</w:t>
                    </w:r>
                  </w:p>
                  <w:p w:rsidR="00E03752" w:rsidRPr="007E2BE0" w:rsidRDefault="00E03752" w:rsidP="006C57D5">
                    <w:pPr>
                      <w:spacing w:after="0"/>
                      <w:jc w:val="center"/>
                      <w:rPr>
                        <w:b/>
                        <w:color w:val="000000"/>
                        <w:sz w:val="20"/>
                        <w:szCs w:val="20"/>
                      </w:rPr>
                    </w:pPr>
                    <w:r w:rsidRPr="007E2BE0">
                      <w:rPr>
                        <w:b/>
                        <w:color w:val="000000"/>
                        <w:sz w:val="20"/>
                        <w:szCs w:val="20"/>
                      </w:rPr>
                      <w:t>Gasolina C</w:t>
                    </w:r>
                  </w:p>
                </w:txbxContent>
              </v:textbox>
            </v:shape>
            <v:shape id="_x0000_s1296" type="#_x0000_t202" style="position:absolute;left:6693;top:3981;width:1398;height:339" filled="f" stroked="f">
              <v:textbox style="mso-next-textbox:#_x0000_s1296">
                <w:txbxContent>
                  <w:p w:rsidR="00E03752" w:rsidRPr="00DF60F2" w:rsidRDefault="00E03752" w:rsidP="006C57D5">
                    <w:pPr>
                      <w:spacing w:after="0"/>
                      <w:jc w:val="center"/>
                      <w:rPr>
                        <w:b/>
                        <w:color w:val="000000"/>
                        <w:sz w:val="20"/>
                        <w:szCs w:val="20"/>
                      </w:rPr>
                    </w:pPr>
                    <w:r w:rsidRPr="00DF60F2">
                      <w:rPr>
                        <w:b/>
                        <w:color w:val="000000"/>
                        <w:sz w:val="20"/>
                        <w:szCs w:val="20"/>
                      </w:rPr>
                      <w:t>Gasolina C</w:t>
                    </w:r>
                  </w:p>
                </w:txbxContent>
              </v:textbox>
            </v:shape>
            <v:shape id="_x0000_s1297" type="#_x0000_t202" style="position:absolute;left:8795;top:2689;width:1384;height:339" filled="f" stroked="f">
              <v:textbox style="mso-next-textbox:#_x0000_s1297">
                <w:txbxContent>
                  <w:p w:rsidR="00E03752" w:rsidRPr="00DF60F2" w:rsidRDefault="00E03752" w:rsidP="006C57D5">
                    <w:pPr>
                      <w:spacing w:after="0"/>
                      <w:jc w:val="center"/>
                      <w:rPr>
                        <w:b/>
                        <w:color w:val="000000"/>
                        <w:sz w:val="20"/>
                        <w:szCs w:val="20"/>
                      </w:rPr>
                    </w:pPr>
                    <w:r w:rsidRPr="00DF60F2">
                      <w:rPr>
                        <w:b/>
                        <w:color w:val="000000"/>
                        <w:sz w:val="20"/>
                        <w:szCs w:val="20"/>
                      </w:rPr>
                      <w:t>Gasolina C</w:t>
                    </w:r>
                  </w:p>
                </w:txbxContent>
              </v:textbox>
            </v:shape>
            <v:shape id="_x0000_s1298" type="#_x0000_t202" style="position:absolute;left:8485;top:6477;width:1587;height:339" filled="f" stroked="f">
              <v:textbox style="mso-next-textbox:#_x0000_s1298">
                <w:txbxContent>
                  <w:p w:rsidR="00E03752" w:rsidRPr="00C74218" w:rsidRDefault="00E03752" w:rsidP="006C57D5">
                    <w:pPr>
                      <w:spacing w:after="0"/>
                      <w:jc w:val="center"/>
                      <w:rPr>
                        <w:b/>
                        <w:color w:val="000000"/>
                        <w:sz w:val="20"/>
                        <w:szCs w:val="20"/>
                      </w:rPr>
                    </w:pPr>
                    <w:r w:rsidRPr="00C74218">
                      <w:rPr>
                        <w:b/>
                        <w:color w:val="000000"/>
                        <w:sz w:val="20"/>
                        <w:szCs w:val="20"/>
                      </w:rPr>
                      <w:t>Gasolina C</w:t>
                    </w:r>
                  </w:p>
                </w:txbxContent>
              </v:textbox>
            </v:shape>
            <v:shape id="_x0000_s1299" type="#_x0000_t13" style="position:absolute;left:3855;top:6372;width:604;height:299" fillcolor="#f60"/>
            <v:shape id="_x0000_s1300" type="#_x0000_t202" style="position:absolute;left:2697;top:6536;width:1560;height:644" filled="f" stroked="f">
              <v:textbox style="mso-next-textbox:#_x0000_s1300">
                <w:txbxContent>
                  <w:p w:rsidR="00E03752" w:rsidRPr="00DF60F2" w:rsidRDefault="00E03752" w:rsidP="006C57D5">
                    <w:pPr>
                      <w:spacing w:after="0"/>
                      <w:jc w:val="center"/>
                      <w:rPr>
                        <w:b/>
                        <w:color w:val="E36C0A"/>
                        <w:sz w:val="20"/>
                        <w:szCs w:val="20"/>
                      </w:rPr>
                    </w:pPr>
                    <w:r w:rsidRPr="00DF60F2">
                      <w:rPr>
                        <w:b/>
                        <w:color w:val="E36C0A"/>
                        <w:sz w:val="20"/>
                        <w:szCs w:val="20"/>
                      </w:rPr>
                      <w:t>Aditivação</w:t>
                    </w:r>
                  </w:p>
                  <w:p w:rsidR="00E03752" w:rsidRPr="00DF60F2" w:rsidRDefault="00E03752" w:rsidP="00FA2741">
                    <w:pPr>
                      <w:spacing w:after="0"/>
                      <w:ind w:right="-99"/>
                      <w:jc w:val="center"/>
                      <w:rPr>
                        <w:b/>
                        <w:color w:val="E36C0A"/>
                        <w:sz w:val="20"/>
                        <w:szCs w:val="20"/>
                      </w:rPr>
                    </w:pPr>
                    <w:r>
                      <w:rPr>
                        <w:b/>
                        <w:color w:val="E36C0A"/>
                        <w:sz w:val="20"/>
                        <w:szCs w:val="20"/>
                      </w:rPr>
                      <w:t>Transportador</w:t>
                    </w:r>
                  </w:p>
                </w:txbxContent>
              </v:textbox>
            </v:shape>
            <v:shape id="_x0000_s1301" type="#_x0000_t202" style="position:absolute;left:2947;top:3082;width:1083;height:339" filled="f" stroked="f">
              <v:textbox style="mso-next-textbox:#_x0000_s1301">
                <w:txbxContent>
                  <w:p w:rsidR="00E03752" w:rsidRPr="00DF60F2" w:rsidRDefault="00E03752" w:rsidP="006C57D5">
                    <w:pPr>
                      <w:spacing w:after="0"/>
                      <w:jc w:val="center"/>
                      <w:rPr>
                        <w:b/>
                        <w:color w:val="000000"/>
                        <w:sz w:val="20"/>
                        <w:szCs w:val="20"/>
                      </w:rPr>
                    </w:pPr>
                    <w:r w:rsidRPr="00DF60F2">
                      <w:rPr>
                        <w:b/>
                        <w:color w:val="000000"/>
                        <w:sz w:val="20"/>
                        <w:szCs w:val="20"/>
                      </w:rPr>
                      <w:t>Ponto A</w:t>
                    </w:r>
                  </w:p>
                </w:txbxContent>
              </v:textbox>
            </v:shape>
            <v:shape id="_x0000_s1302" type="#_x0000_t202" style="position:absolute;left:5365;top:3001;width:2241;height:563" filled="f" stroked="f">
              <v:textbox style="mso-next-textbox:#_x0000_s1302">
                <w:txbxContent>
                  <w:p w:rsidR="00E03752" w:rsidRPr="00DF60F2" w:rsidRDefault="00E03752" w:rsidP="006C57D5">
                    <w:pPr>
                      <w:spacing w:after="0"/>
                      <w:jc w:val="center"/>
                      <w:rPr>
                        <w:b/>
                        <w:sz w:val="24"/>
                        <w:szCs w:val="24"/>
                      </w:rPr>
                    </w:pPr>
                    <w:r w:rsidRPr="00DF60F2">
                      <w:rPr>
                        <w:b/>
                        <w:sz w:val="24"/>
                        <w:szCs w:val="24"/>
                      </w:rPr>
                      <w:t>Distribuidor</w:t>
                    </w:r>
                  </w:p>
                </w:txbxContent>
              </v:textbox>
            </v:shape>
            <v:rect id="_x0000_s1303" style="position:absolute;left:2224;top:5785;width:318;height:249" fillcolor="red"/>
            <v:shape id="Imagem 5" o:spid="_x0000_s1304" type="#_x0000_t75" style="position:absolute;left:1654;top:579;width:1899;height:1630;visibility:visible" stroked="t" strokecolor="windowText" strokeweight="1pt">
              <v:imagedata r:id="rId16" o:title=""/>
            </v:shape>
            <v:shape id="_x0000_s1305" type="#_x0000_t202" style="position:absolute;left:1884;top:1775;width:1470;height:563" filled="f" stroked="f">
              <v:textbox style="mso-next-textbox:#_x0000_s1305">
                <w:txbxContent>
                  <w:p w:rsidR="00E03752" w:rsidRPr="00DF60F2" w:rsidRDefault="00E03752" w:rsidP="006C57D5">
                    <w:pPr>
                      <w:spacing w:after="0"/>
                      <w:jc w:val="center"/>
                      <w:rPr>
                        <w:b/>
                        <w:sz w:val="24"/>
                        <w:szCs w:val="24"/>
                      </w:rPr>
                    </w:pPr>
                    <w:r>
                      <w:rPr>
                        <w:b/>
                        <w:sz w:val="24"/>
                        <w:szCs w:val="24"/>
                      </w:rPr>
                      <w:t>Refinaria</w:t>
                    </w:r>
                  </w:p>
                </w:txbxContent>
              </v:textbox>
            </v:shape>
            <v:shape id="_x0000_s1306" type="#_x0000_t32" style="position:absolute;left:3969;top:3147;width:0;height:724" o:connectortype="straight" strokeweight="1.5pt"/>
            <v:shape id="_x0000_s1307" type="#_x0000_t4" style="position:absolute;left:4257;top:3397;width:352;height:309" fillcolor="black"/>
            <v:shape id="_x0000_s1308" type="#_x0000_t202" style="position:absolute;left:3898;top:3082;width:1083;height:339" filled="f" stroked="f">
              <v:textbox style="mso-next-textbox:#_x0000_s1308">
                <w:txbxContent>
                  <w:p w:rsidR="00E03752" w:rsidRPr="00DF60F2" w:rsidRDefault="00E03752" w:rsidP="006C57D5">
                    <w:pPr>
                      <w:spacing w:after="0"/>
                      <w:jc w:val="center"/>
                      <w:rPr>
                        <w:b/>
                        <w:color w:val="000000"/>
                        <w:sz w:val="20"/>
                        <w:szCs w:val="20"/>
                      </w:rPr>
                    </w:pPr>
                    <w:r w:rsidRPr="00DF60F2">
                      <w:rPr>
                        <w:b/>
                        <w:color w:val="000000"/>
                        <w:sz w:val="20"/>
                        <w:szCs w:val="20"/>
                      </w:rPr>
                      <w:t xml:space="preserve">Ponto </w:t>
                    </w:r>
                    <w:r>
                      <w:rPr>
                        <w:b/>
                        <w:color w:val="000000"/>
                        <w:sz w:val="20"/>
                        <w:szCs w:val="20"/>
                      </w:rPr>
                      <w:t>B</w:t>
                    </w:r>
                  </w:p>
                </w:txbxContent>
              </v:textbox>
            </v:shape>
            <v:shape id="_x0000_s1309" type="#_x0000_t4" style="position:absolute;left:5830;top:1339;width:352;height:309" fillcolor="black"/>
            <v:shape id="_x0000_s1310" type="#_x0000_t202" style="position:absolute;left:5471;top:1024;width:1083;height:339" filled="f" stroked="f">
              <v:textbox style="mso-next-textbox:#_x0000_s1310">
                <w:txbxContent>
                  <w:p w:rsidR="00E03752" w:rsidRPr="00DF60F2" w:rsidRDefault="00E03752" w:rsidP="006C57D5">
                    <w:pPr>
                      <w:spacing w:after="0"/>
                      <w:jc w:val="center"/>
                      <w:rPr>
                        <w:b/>
                        <w:color w:val="000000"/>
                        <w:sz w:val="20"/>
                        <w:szCs w:val="20"/>
                      </w:rPr>
                    </w:pPr>
                    <w:r w:rsidRPr="00DF60F2">
                      <w:rPr>
                        <w:b/>
                        <w:color w:val="000000"/>
                        <w:sz w:val="20"/>
                        <w:szCs w:val="20"/>
                      </w:rPr>
                      <w:t>Ponto A</w:t>
                    </w:r>
                  </w:p>
                </w:txbxContent>
              </v:textbox>
            </v:shape>
            <v:shape id="_x0000_s1311" type="#_x0000_t32" style="position:absolute;left:6493;top:1089;width:0;height:724" o:connectortype="straight" strokeweight="1.5pt"/>
            <v:shape id="_x0000_s1312" type="#_x0000_t4" style="position:absolute;left:6781;top:1339;width:352;height:309" fillcolor="black"/>
            <v:shape id="_x0000_s1313" type="#_x0000_t202" style="position:absolute;left:6422;top:1024;width:1083;height:339" filled="f" stroked="f">
              <v:textbox style="mso-next-textbox:#_x0000_s1313">
                <w:txbxContent>
                  <w:p w:rsidR="00E03752" w:rsidRPr="00DF60F2" w:rsidRDefault="00E03752" w:rsidP="006C57D5">
                    <w:pPr>
                      <w:spacing w:after="0"/>
                      <w:jc w:val="center"/>
                      <w:rPr>
                        <w:b/>
                        <w:color w:val="000000"/>
                        <w:sz w:val="20"/>
                        <w:szCs w:val="20"/>
                      </w:rPr>
                    </w:pPr>
                    <w:r w:rsidRPr="00DF60F2">
                      <w:rPr>
                        <w:b/>
                        <w:color w:val="000000"/>
                        <w:sz w:val="20"/>
                        <w:szCs w:val="20"/>
                      </w:rPr>
                      <w:t xml:space="preserve">Ponto </w:t>
                    </w:r>
                    <w:r>
                      <w:rPr>
                        <w:b/>
                        <w:color w:val="000000"/>
                        <w:sz w:val="20"/>
                        <w:szCs w:val="20"/>
                      </w:rPr>
                      <w:t>B</w:t>
                    </w:r>
                  </w:p>
                </w:txbxContent>
              </v:textbox>
            </v:shape>
            <v:shape id="_x0000_s1314" type="#_x0000_t202" style="position:absolute;left:3326;top:2611;width:1294;height:691" filled="f" stroked="f">
              <v:textbox style="mso-next-textbox:#_x0000_s1314">
                <w:txbxContent>
                  <w:p w:rsidR="00E03752" w:rsidRPr="00E14DC8" w:rsidRDefault="00E03752" w:rsidP="006C57D5">
                    <w:pPr>
                      <w:spacing w:after="0"/>
                      <w:jc w:val="center"/>
                      <w:rPr>
                        <w:b/>
                        <w:color w:val="000000"/>
                        <w:sz w:val="16"/>
                        <w:szCs w:val="16"/>
                      </w:rPr>
                    </w:pPr>
                    <w:r w:rsidRPr="00E14DC8">
                      <w:rPr>
                        <w:b/>
                        <w:color w:val="000000"/>
                        <w:sz w:val="16"/>
                        <w:szCs w:val="16"/>
                      </w:rPr>
                      <w:t>Transferência de custódia</w:t>
                    </w:r>
                  </w:p>
                </w:txbxContent>
              </v:textbox>
            </v:shape>
            <v:shape id="_x0000_s1315" type="#_x0000_t202" style="position:absolute;left:5849;top:1753;width:1294;height:691" filled="f" stroked="f">
              <v:textbox style="mso-next-textbox:#_x0000_s1315">
                <w:txbxContent>
                  <w:p w:rsidR="00E03752" w:rsidRPr="00E14DC8" w:rsidRDefault="00E03752" w:rsidP="006C57D5">
                    <w:pPr>
                      <w:spacing w:after="0"/>
                      <w:jc w:val="center"/>
                      <w:rPr>
                        <w:b/>
                        <w:color w:val="000000"/>
                        <w:sz w:val="16"/>
                        <w:szCs w:val="16"/>
                      </w:rPr>
                    </w:pPr>
                    <w:r w:rsidRPr="00E14DC8">
                      <w:rPr>
                        <w:b/>
                        <w:color w:val="000000"/>
                        <w:sz w:val="16"/>
                        <w:szCs w:val="16"/>
                      </w:rPr>
                      <w:t>Transferência de custódia</w:t>
                    </w:r>
                  </w:p>
                </w:txbxContent>
              </v:textbox>
            </v:shape>
            <v:shape id="_x0000_s1316" type="#_x0000_t202" style="position:absolute;left:4459;top:5935;width:1294;height:691" filled="f" stroked="f">
              <v:textbox style="mso-next-textbox:#_x0000_s1316">
                <w:txbxContent>
                  <w:p w:rsidR="00E03752" w:rsidRPr="00E14DC8" w:rsidRDefault="00E03752" w:rsidP="006C57D5">
                    <w:pPr>
                      <w:spacing w:after="0"/>
                      <w:jc w:val="center"/>
                      <w:rPr>
                        <w:b/>
                        <w:color w:val="000000"/>
                        <w:sz w:val="16"/>
                        <w:szCs w:val="16"/>
                      </w:rPr>
                    </w:pPr>
                    <w:r w:rsidRPr="00E14DC8">
                      <w:rPr>
                        <w:b/>
                        <w:color w:val="000000"/>
                        <w:sz w:val="16"/>
                        <w:szCs w:val="16"/>
                      </w:rPr>
                      <w:t>Transferência de custódia</w:t>
                    </w:r>
                  </w:p>
                </w:txbxContent>
              </v:textbox>
            </v:shape>
            <w10:wrap type="none"/>
            <w10:anchorlock/>
          </v:group>
        </w:pict>
      </w:r>
    </w:p>
    <w:p w:rsidR="00E678EF" w:rsidRPr="00737B9D" w:rsidRDefault="00E678EF" w:rsidP="00737B9D">
      <w:pPr>
        <w:pStyle w:val="Legenda"/>
        <w:keepNext/>
        <w:spacing w:after="120"/>
        <w:jc w:val="center"/>
        <w:rPr>
          <w:rFonts w:ascii="Times New Roman" w:hAnsi="Times New Roman"/>
          <w:color w:val="auto"/>
          <w:sz w:val="20"/>
          <w:szCs w:val="20"/>
        </w:rPr>
      </w:pPr>
      <w:r w:rsidRPr="00737B9D">
        <w:rPr>
          <w:rFonts w:ascii="Times New Roman" w:hAnsi="Times New Roman"/>
          <w:color w:val="auto"/>
          <w:sz w:val="20"/>
          <w:szCs w:val="20"/>
        </w:rPr>
        <w:t xml:space="preserve">Figura </w:t>
      </w:r>
      <w:r w:rsidR="0010373C" w:rsidRPr="00737B9D">
        <w:rPr>
          <w:rFonts w:ascii="Times New Roman" w:hAnsi="Times New Roman"/>
          <w:color w:val="auto"/>
          <w:sz w:val="20"/>
          <w:szCs w:val="20"/>
        </w:rPr>
        <w:fldChar w:fldCharType="begin"/>
      </w:r>
      <w:r w:rsidRPr="00737B9D">
        <w:rPr>
          <w:rFonts w:ascii="Times New Roman" w:hAnsi="Times New Roman"/>
          <w:color w:val="auto"/>
          <w:sz w:val="20"/>
          <w:szCs w:val="20"/>
        </w:rPr>
        <w:instrText xml:space="preserve"> SEQ Figura \* ARABIC </w:instrText>
      </w:r>
      <w:r w:rsidR="0010373C" w:rsidRPr="00737B9D">
        <w:rPr>
          <w:rFonts w:ascii="Times New Roman" w:hAnsi="Times New Roman"/>
          <w:color w:val="auto"/>
          <w:sz w:val="20"/>
          <w:szCs w:val="20"/>
        </w:rPr>
        <w:fldChar w:fldCharType="separate"/>
      </w:r>
      <w:r w:rsidR="00C46797">
        <w:rPr>
          <w:rFonts w:ascii="Times New Roman" w:hAnsi="Times New Roman"/>
          <w:noProof/>
          <w:color w:val="auto"/>
          <w:sz w:val="20"/>
          <w:szCs w:val="20"/>
        </w:rPr>
        <w:t>1</w:t>
      </w:r>
      <w:r w:rsidR="0010373C" w:rsidRPr="00737B9D">
        <w:rPr>
          <w:rFonts w:ascii="Times New Roman" w:hAnsi="Times New Roman"/>
          <w:color w:val="auto"/>
          <w:sz w:val="20"/>
          <w:szCs w:val="20"/>
        </w:rPr>
        <w:fldChar w:fldCharType="end"/>
      </w:r>
      <w:r w:rsidR="00F86EC8" w:rsidRPr="00737B9D">
        <w:rPr>
          <w:rFonts w:ascii="Times New Roman" w:hAnsi="Times New Roman"/>
          <w:color w:val="auto"/>
          <w:sz w:val="20"/>
          <w:szCs w:val="20"/>
        </w:rPr>
        <w:t xml:space="preserve"> </w:t>
      </w:r>
      <w:r w:rsidRPr="00737B9D">
        <w:rPr>
          <w:rFonts w:ascii="Times New Roman" w:hAnsi="Times New Roman"/>
          <w:color w:val="auto"/>
          <w:sz w:val="20"/>
          <w:szCs w:val="20"/>
        </w:rPr>
        <w:t>- Esquema das alternativas logísticas para aditivação</w:t>
      </w:r>
    </w:p>
    <w:p w:rsidR="00F86EC8" w:rsidRPr="00CE3398" w:rsidRDefault="00F86EC8" w:rsidP="00F86EC8">
      <w:pPr>
        <w:tabs>
          <w:tab w:val="left" w:pos="0"/>
        </w:tabs>
        <w:spacing w:after="120" w:line="240" w:lineRule="auto"/>
        <w:ind w:firstLine="709"/>
        <w:jc w:val="both"/>
        <w:rPr>
          <w:rFonts w:ascii="Times New Roman" w:hAnsi="Times New Roman"/>
          <w:sz w:val="24"/>
          <w:szCs w:val="24"/>
        </w:rPr>
      </w:pPr>
    </w:p>
    <w:p w:rsidR="0002519A" w:rsidRPr="00CE3398" w:rsidRDefault="0002519A" w:rsidP="00072E0E">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Foram destacadas algumas diferenças, que consistem basicamente nas condições operacionais, entre o duto em que é realizada a entrega da gasolina da refinaria ao distribuidor de combustíveis líquidos</w:t>
      </w:r>
      <w:r w:rsidR="00802276">
        <w:rPr>
          <w:rFonts w:ascii="Times New Roman" w:hAnsi="Times New Roman"/>
          <w:sz w:val="24"/>
          <w:szCs w:val="24"/>
        </w:rPr>
        <w:t xml:space="preserve"> (onde se localiza o</w:t>
      </w:r>
      <w:r w:rsidR="00F437E8">
        <w:rPr>
          <w:rFonts w:ascii="Times New Roman" w:hAnsi="Times New Roman"/>
          <w:sz w:val="24"/>
          <w:szCs w:val="24"/>
        </w:rPr>
        <w:t xml:space="preserve"> Ponto A</w:t>
      </w:r>
      <w:r w:rsidRPr="00CE3398">
        <w:rPr>
          <w:rFonts w:ascii="Times New Roman" w:hAnsi="Times New Roman"/>
          <w:sz w:val="24"/>
          <w:szCs w:val="24"/>
        </w:rPr>
        <w:t>) e a plataforma de carregamento do caminhão-tanque:</w:t>
      </w:r>
    </w:p>
    <w:p w:rsidR="0002519A" w:rsidRPr="00CE3398" w:rsidRDefault="0002519A" w:rsidP="0002519A">
      <w:pPr>
        <w:numPr>
          <w:ilvl w:val="0"/>
          <w:numId w:val="18"/>
        </w:numPr>
        <w:tabs>
          <w:tab w:val="left" w:pos="0"/>
        </w:tabs>
        <w:spacing w:after="120" w:line="240" w:lineRule="auto"/>
        <w:ind w:left="993" w:hanging="284"/>
        <w:jc w:val="both"/>
        <w:rPr>
          <w:rFonts w:ascii="Times New Roman" w:hAnsi="Times New Roman"/>
          <w:sz w:val="24"/>
          <w:szCs w:val="24"/>
        </w:rPr>
      </w:pPr>
      <w:r w:rsidRPr="00CE3398">
        <w:rPr>
          <w:rFonts w:ascii="Times New Roman" w:hAnsi="Times New Roman"/>
          <w:sz w:val="24"/>
          <w:szCs w:val="24"/>
        </w:rPr>
        <w:t>O duto de entrega apresenta condições de vazão (330 a 420 m³/h) e de pressão (6 a 8 kg/cm²</w:t>
      </w:r>
      <w:r w:rsidR="001768B5" w:rsidRPr="00CE3398">
        <w:rPr>
          <w:rFonts w:ascii="Times New Roman" w:hAnsi="Times New Roman"/>
          <w:sz w:val="24"/>
          <w:szCs w:val="24"/>
        </w:rPr>
        <w:t xml:space="preserve">, aproximadamente </w:t>
      </w:r>
      <w:r w:rsidRPr="00CE3398">
        <w:rPr>
          <w:rFonts w:ascii="Times New Roman" w:hAnsi="Times New Roman"/>
          <w:sz w:val="24"/>
          <w:szCs w:val="24"/>
        </w:rPr>
        <w:t xml:space="preserve">6 a 8 </w:t>
      </w:r>
      <w:proofErr w:type="spellStart"/>
      <w:r w:rsidRPr="00CE3398">
        <w:rPr>
          <w:rFonts w:ascii="Times New Roman" w:hAnsi="Times New Roman"/>
          <w:sz w:val="24"/>
          <w:szCs w:val="24"/>
        </w:rPr>
        <w:t>atm</w:t>
      </w:r>
      <w:proofErr w:type="spellEnd"/>
      <w:r w:rsidRPr="00CE3398">
        <w:rPr>
          <w:rFonts w:ascii="Times New Roman" w:hAnsi="Times New Roman"/>
          <w:sz w:val="24"/>
          <w:szCs w:val="24"/>
        </w:rPr>
        <w:t>) significativamente elevadas. O corante do óleo diesel não necessita de muita precisão de dosagem e, dessa forma, o sistema de injeção montado atende razoavelmente o fim a que se destina</w:t>
      </w:r>
      <w:r w:rsidR="00DE2738" w:rsidRPr="00CE3398">
        <w:rPr>
          <w:rFonts w:ascii="Times New Roman" w:hAnsi="Times New Roman"/>
          <w:sz w:val="24"/>
          <w:szCs w:val="24"/>
        </w:rPr>
        <w:t>,</w:t>
      </w:r>
      <w:r w:rsidRPr="00CE3398">
        <w:rPr>
          <w:rFonts w:ascii="Times New Roman" w:hAnsi="Times New Roman"/>
          <w:sz w:val="24"/>
          <w:szCs w:val="24"/>
        </w:rPr>
        <w:t xml:space="preserve"> apesar das condições severas. No caso do aditivo detergente dispersante, entretanto, segundo informado, haveria impossibilidade de garantia de precisão na dosagem, visto a importância maior desta para o caso do aditivo do que no caso do corante;</w:t>
      </w:r>
      <w:r w:rsidR="00C60968" w:rsidRPr="00CE3398">
        <w:rPr>
          <w:rFonts w:ascii="Times New Roman" w:hAnsi="Times New Roman"/>
          <w:sz w:val="24"/>
          <w:szCs w:val="24"/>
        </w:rPr>
        <w:t xml:space="preserve"> </w:t>
      </w:r>
      <w:proofErr w:type="gramStart"/>
      <w:r w:rsidR="00C60968" w:rsidRPr="00CE3398">
        <w:rPr>
          <w:rFonts w:ascii="Times New Roman" w:hAnsi="Times New Roman"/>
          <w:sz w:val="24"/>
          <w:szCs w:val="24"/>
        </w:rPr>
        <w:t>e</w:t>
      </w:r>
      <w:proofErr w:type="gramEnd"/>
    </w:p>
    <w:p w:rsidR="00000398" w:rsidRDefault="0002519A" w:rsidP="00000398">
      <w:pPr>
        <w:numPr>
          <w:ilvl w:val="0"/>
          <w:numId w:val="18"/>
        </w:numPr>
        <w:tabs>
          <w:tab w:val="left" w:pos="0"/>
        </w:tabs>
        <w:spacing w:after="120" w:line="240" w:lineRule="auto"/>
        <w:ind w:left="993" w:hanging="284"/>
        <w:jc w:val="both"/>
        <w:rPr>
          <w:rFonts w:ascii="Times New Roman" w:hAnsi="Times New Roman"/>
          <w:sz w:val="24"/>
          <w:szCs w:val="24"/>
        </w:rPr>
      </w:pPr>
      <w:r w:rsidRPr="00CE3398">
        <w:rPr>
          <w:rFonts w:ascii="Times New Roman" w:hAnsi="Times New Roman"/>
          <w:sz w:val="24"/>
          <w:szCs w:val="24"/>
        </w:rPr>
        <w:t xml:space="preserve">A plataforma de carregamento do caminhão-tanque apresenta, conforme informado, condições operacionais mais amenas (vazões da ordem de 70 a 100 m³/h e pressões de 15 a 20 m de coluna de líquido, aproximadamente 1,1 e 1,5 </w:t>
      </w:r>
      <w:proofErr w:type="spellStart"/>
      <w:r w:rsidRPr="00CE3398">
        <w:rPr>
          <w:rFonts w:ascii="Times New Roman" w:hAnsi="Times New Roman"/>
          <w:sz w:val="24"/>
          <w:szCs w:val="24"/>
        </w:rPr>
        <w:t>atm</w:t>
      </w:r>
      <w:proofErr w:type="spellEnd"/>
      <w:r w:rsidRPr="00CE3398">
        <w:rPr>
          <w:rFonts w:ascii="Times New Roman" w:hAnsi="Times New Roman"/>
          <w:sz w:val="24"/>
          <w:szCs w:val="24"/>
        </w:rPr>
        <w:t>), o que tornaria o custo do sistema de injeção muito menor. Além disso, foi ressaltado que</w:t>
      </w:r>
      <w:r w:rsidR="00585DBB" w:rsidRPr="00CE3398">
        <w:rPr>
          <w:rFonts w:ascii="Times New Roman" w:hAnsi="Times New Roman"/>
          <w:sz w:val="24"/>
          <w:szCs w:val="24"/>
        </w:rPr>
        <w:t>,</w:t>
      </w:r>
      <w:r w:rsidRPr="00CE3398">
        <w:rPr>
          <w:rFonts w:ascii="Times New Roman" w:hAnsi="Times New Roman"/>
          <w:sz w:val="24"/>
          <w:szCs w:val="24"/>
        </w:rPr>
        <w:t xml:space="preserve"> na configuração atual do mercado</w:t>
      </w:r>
      <w:r w:rsidR="00585DBB" w:rsidRPr="00CE3398">
        <w:rPr>
          <w:rFonts w:ascii="Times New Roman" w:hAnsi="Times New Roman"/>
          <w:sz w:val="24"/>
          <w:szCs w:val="24"/>
        </w:rPr>
        <w:t>,</w:t>
      </w:r>
      <w:r w:rsidRPr="00CE3398">
        <w:rPr>
          <w:rFonts w:ascii="Times New Roman" w:hAnsi="Times New Roman"/>
          <w:sz w:val="24"/>
          <w:szCs w:val="24"/>
        </w:rPr>
        <w:t xml:space="preserve"> o aditivo estaria sendo adicionado à gasolina por meio desta opção.</w:t>
      </w:r>
    </w:p>
    <w:p w:rsidR="00000398" w:rsidRPr="00000398" w:rsidRDefault="00000398" w:rsidP="00000398">
      <w:pPr>
        <w:tabs>
          <w:tab w:val="left" w:pos="0"/>
        </w:tabs>
        <w:spacing w:after="120" w:line="240" w:lineRule="auto"/>
        <w:jc w:val="both"/>
        <w:rPr>
          <w:rFonts w:ascii="Times New Roman" w:hAnsi="Times New Roman"/>
          <w:sz w:val="24"/>
          <w:szCs w:val="24"/>
        </w:rPr>
      </w:pPr>
    </w:p>
    <w:p w:rsidR="0002519A"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Ainda no âmbito da aditivação no terminal de carregamento, foi comentado que, por meio do transportador </w:t>
      </w:r>
      <w:proofErr w:type="spellStart"/>
      <w:r w:rsidRPr="00CE3398">
        <w:rPr>
          <w:rFonts w:ascii="Times New Roman" w:hAnsi="Times New Roman"/>
          <w:sz w:val="24"/>
          <w:szCs w:val="24"/>
        </w:rPr>
        <w:t>dutoviário</w:t>
      </w:r>
      <w:proofErr w:type="spellEnd"/>
      <w:r w:rsidRPr="00CE3398">
        <w:rPr>
          <w:rFonts w:ascii="Times New Roman" w:hAnsi="Times New Roman"/>
          <w:sz w:val="24"/>
          <w:szCs w:val="24"/>
        </w:rPr>
        <w:t xml:space="preserve"> ou </w:t>
      </w:r>
      <w:proofErr w:type="spellStart"/>
      <w:r w:rsidRPr="00CE3398">
        <w:rPr>
          <w:rFonts w:ascii="Times New Roman" w:hAnsi="Times New Roman"/>
          <w:sz w:val="24"/>
          <w:szCs w:val="24"/>
        </w:rPr>
        <w:t>aquaviário</w:t>
      </w:r>
      <w:proofErr w:type="spellEnd"/>
      <w:r w:rsidRPr="00CE3398">
        <w:rPr>
          <w:rFonts w:ascii="Times New Roman" w:hAnsi="Times New Roman"/>
          <w:sz w:val="24"/>
          <w:szCs w:val="24"/>
        </w:rPr>
        <w:t xml:space="preserve">, o produtor forneceria gasolina aditivada às </w:t>
      </w:r>
      <w:r w:rsidRPr="00CE3398">
        <w:rPr>
          <w:rFonts w:ascii="Times New Roman" w:hAnsi="Times New Roman"/>
          <w:sz w:val="24"/>
          <w:szCs w:val="24"/>
        </w:rPr>
        <w:lastRenderedPageBreak/>
        <w:t xml:space="preserve">distribuidoras de menor porte por caminhões-tanque, a partir do terminal da empresa transportadora (modal </w:t>
      </w:r>
      <w:proofErr w:type="spellStart"/>
      <w:r w:rsidRPr="00CE3398">
        <w:rPr>
          <w:rFonts w:ascii="Times New Roman" w:hAnsi="Times New Roman"/>
          <w:sz w:val="24"/>
          <w:szCs w:val="24"/>
        </w:rPr>
        <w:t>dutoviário</w:t>
      </w:r>
      <w:proofErr w:type="spellEnd"/>
      <w:r w:rsidRPr="00CE3398">
        <w:rPr>
          <w:rFonts w:ascii="Times New Roman" w:hAnsi="Times New Roman"/>
          <w:sz w:val="24"/>
          <w:szCs w:val="24"/>
        </w:rPr>
        <w:t xml:space="preserve">, ferroviário ou </w:t>
      </w:r>
      <w:proofErr w:type="spellStart"/>
      <w:r w:rsidRPr="00CE3398">
        <w:rPr>
          <w:rFonts w:ascii="Times New Roman" w:hAnsi="Times New Roman"/>
          <w:sz w:val="24"/>
          <w:szCs w:val="24"/>
        </w:rPr>
        <w:t>aquaviário</w:t>
      </w:r>
      <w:proofErr w:type="spellEnd"/>
      <w:r w:rsidRPr="00CE3398">
        <w:rPr>
          <w:rFonts w:ascii="Times New Roman" w:hAnsi="Times New Roman"/>
          <w:sz w:val="24"/>
          <w:szCs w:val="24"/>
        </w:rPr>
        <w:t xml:space="preserve">). A operação ocorreria da seguinte forma: (a) o produtor carrega o produto sem aditivo por meio das instalações/veículos administrados do referido transportador até o terminal </w:t>
      </w:r>
      <w:r w:rsidR="003F788A" w:rsidRPr="00CE3398">
        <w:rPr>
          <w:rFonts w:ascii="Times New Roman" w:hAnsi="Times New Roman"/>
          <w:sz w:val="24"/>
          <w:szCs w:val="24"/>
        </w:rPr>
        <w:t xml:space="preserve">de </w:t>
      </w:r>
      <w:r w:rsidRPr="00CE3398">
        <w:rPr>
          <w:rFonts w:ascii="Times New Roman" w:hAnsi="Times New Roman"/>
          <w:sz w:val="24"/>
          <w:szCs w:val="24"/>
        </w:rPr>
        <w:t xml:space="preserve">destino; (b) independente do modal, no terminal </w:t>
      </w:r>
      <w:r w:rsidR="003F788A" w:rsidRPr="00CE3398">
        <w:rPr>
          <w:rFonts w:ascii="Times New Roman" w:hAnsi="Times New Roman"/>
          <w:sz w:val="24"/>
          <w:szCs w:val="24"/>
        </w:rPr>
        <w:t xml:space="preserve">de </w:t>
      </w:r>
      <w:r w:rsidRPr="00CE3398">
        <w:rPr>
          <w:rFonts w:ascii="Times New Roman" w:hAnsi="Times New Roman"/>
          <w:sz w:val="24"/>
          <w:szCs w:val="24"/>
        </w:rPr>
        <w:t>destino</w:t>
      </w:r>
      <w:r w:rsidR="00802276">
        <w:rPr>
          <w:rFonts w:ascii="Times New Roman" w:hAnsi="Times New Roman"/>
          <w:sz w:val="24"/>
          <w:szCs w:val="24"/>
        </w:rPr>
        <w:t>,</w:t>
      </w:r>
      <w:r w:rsidRPr="00CE3398">
        <w:rPr>
          <w:rFonts w:ascii="Times New Roman" w:hAnsi="Times New Roman"/>
          <w:sz w:val="24"/>
          <w:szCs w:val="24"/>
        </w:rPr>
        <w:t xml:space="preserve"> a gasolina é encaminhada ao tanque por dutos de transferência; (c) o combustível sai do tanque para uma plataforma de carregamento, operado pelo transportador, e carregado em um caminhão-tanque; (d) a gasolina seria, então, aditivada neste momento, quando a mesma seguiria para os distribuidores de menor porte e que somente recebem produto via modal rodoviário.</w:t>
      </w:r>
    </w:p>
    <w:p w:rsidR="00F02F67" w:rsidRPr="00CE3398" w:rsidRDefault="009A42F5" w:rsidP="0002519A">
      <w:pPr>
        <w:tabs>
          <w:tab w:val="left" w:pos="0"/>
        </w:tabs>
        <w:spacing w:after="120" w:line="240" w:lineRule="auto"/>
        <w:ind w:firstLine="709"/>
        <w:jc w:val="both"/>
        <w:rPr>
          <w:rFonts w:ascii="Times New Roman" w:hAnsi="Times New Roman"/>
          <w:sz w:val="24"/>
          <w:szCs w:val="24"/>
        </w:rPr>
      </w:pPr>
      <w:r>
        <w:rPr>
          <w:rFonts w:ascii="Times New Roman" w:hAnsi="Times New Roman"/>
          <w:sz w:val="24"/>
          <w:szCs w:val="24"/>
        </w:rPr>
        <w:t>Por fim, a</w:t>
      </w:r>
      <w:r w:rsidR="00F02F67" w:rsidRPr="00CE3398">
        <w:rPr>
          <w:rFonts w:ascii="Times New Roman" w:hAnsi="Times New Roman"/>
          <w:sz w:val="24"/>
          <w:szCs w:val="24"/>
        </w:rPr>
        <w:t xml:space="preserve"> terceira situação indicada pelo produtor refere-se </w:t>
      </w:r>
      <w:r>
        <w:rPr>
          <w:rFonts w:ascii="Times New Roman" w:hAnsi="Times New Roman"/>
          <w:sz w:val="24"/>
          <w:szCs w:val="24"/>
        </w:rPr>
        <w:t>ao local mais adequado para a</w:t>
      </w:r>
      <w:r w:rsidR="00F02F67" w:rsidRPr="00CE3398">
        <w:rPr>
          <w:rFonts w:ascii="Times New Roman" w:hAnsi="Times New Roman"/>
          <w:sz w:val="24"/>
          <w:szCs w:val="24"/>
        </w:rPr>
        <w:t xml:space="preserve"> aditivação</w:t>
      </w:r>
      <w:r>
        <w:rPr>
          <w:rFonts w:ascii="Times New Roman" w:hAnsi="Times New Roman"/>
          <w:sz w:val="24"/>
          <w:szCs w:val="24"/>
        </w:rPr>
        <w:t>, que seria</w:t>
      </w:r>
      <w:r w:rsidR="00F02F67" w:rsidRPr="00CE3398">
        <w:rPr>
          <w:rFonts w:ascii="Times New Roman" w:hAnsi="Times New Roman"/>
          <w:sz w:val="24"/>
          <w:szCs w:val="24"/>
        </w:rPr>
        <w:t xml:space="preserve"> no carregamento do caminhão-tanque, o que, segundo informado, ocorre nos Estados Unidos. Essa aditivação ocorreria no terminal de carregamento do combustível, mais especificamente na plataforma onde se dá o carregamento do caminhão-tanque</w:t>
      </w:r>
      <w:r>
        <w:rPr>
          <w:rStyle w:val="Refdenotaderodap"/>
          <w:rFonts w:ascii="Times New Roman" w:hAnsi="Times New Roman"/>
          <w:sz w:val="24"/>
          <w:szCs w:val="24"/>
        </w:rPr>
        <w:footnoteReference w:id="6"/>
      </w:r>
      <w:r w:rsidR="00F02F67" w:rsidRPr="00CE3398">
        <w:rPr>
          <w:rFonts w:ascii="Times New Roman" w:hAnsi="Times New Roman"/>
          <w:sz w:val="24"/>
          <w:szCs w:val="24"/>
        </w:rPr>
        <w:t>.</w:t>
      </w:r>
    </w:p>
    <w:p w:rsidR="0002519A" w:rsidRPr="00CE3398" w:rsidRDefault="0002519A" w:rsidP="0002519A">
      <w:pPr>
        <w:tabs>
          <w:tab w:val="left" w:pos="0"/>
        </w:tabs>
        <w:spacing w:after="120" w:line="240" w:lineRule="auto"/>
        <w:jc w:val="both"/>
        <w:rPr>
          <w:rFonts w:ascii="Times New Roman" w:hAnsi="Times New Roman"/>
          <w:b/>
          <w:sz w:val="24"/>
          <w:szCs w:val="24"/>
        </w:rPr>
      </w:pPr>
    </w:p>
    <w:p w:rsidR="0002519A" w:rsidRPr="00CE3398" w:rsidRDefault="0002519A" w:rsidP="00000398">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Problema de Emulsificação</w:t>
      </w:r>
    </w:p>
    <w:p w:rsidR="0002519A" w:rsidRPr="00CE3398" w:rsidRDefault="0002519A" w:rsidP="0002519A">
      <w:pPr>
        <w:tabs>
          <w:tab w:val="left" w:pos="0"/>
        </w:tabs>
        <w:spacing w:after="120" w:line="240" w:lineRule="auto"/>
        <w:jc w:val="both"/>
        <w:rPr>
          <w:rFonts w:ascii="Times New Roman" w:hAnsi="Times New Roman"/>
          <w:sz w:val="24"/>
          <w:szCs w:val="24"/>
        </w:rPr>
      </w:pPr>
      <w:r w:rsidRPr="00CE3398">
        <w:rPr>
          <w:rFonts w:ascii="Times New Roman" w:hAnsi="Times New Roman"/>
          <w:sz w:val="24"/>
          <w:szCs w:val="24"/>
        </w:rPr>
        <w:tab/>
        <w:t xml:space="preserve">Entre as dificuldades apontadas pelos produtores está a questão da formação de emulsão entre a gasolina e a água. </w:t>
      </w:r>
      <w:r w:rsidR="006017BA" w:rsidRPr="00CE3398">
        <w:rPr>
          <w:rFonts w:ascii="Times New Roman" w:hAnsi="Times New Roman"/>
          <w:sz w:val="24"/>
          <w:szCs w:val="24"/>
        </w:rPr>
        <w:t>Nos distribuidores, o tanque de teto flutuante possui folgas devido ao fim a</w:t>
      </w:r>
      <w:r w:rsidR="001768B5" w:rsidRPr="00CE3398">
        <w:rPr>
          <w:rFonts w:ascii="Times New Roman" w:hAnsi="Times New Roman"/>
          <w:sz w:val="24"/>
          <w:szCs w:val="24"/>
        </w:rPr>
        <w:t>o</w:t>
      </w:r>
      <w:r w:rsidR="006017BA" w:rsidRPr="00CE3398">
        <w:rPr>
          <w:rFonts w:ascii="Times New Roman" w:hAnsi="Times New Roman"/>
          <w:sz w:val="24"/>
          <w:szCs w:val="24"/>
        </w:rPr>
        <w:t xml:space="preserve"> qual se </w:t>
      </w:r>
      <w:proofErr w:type="gramStart"/>
      <w:r w:rsidR="008D7093" w:rsidRPr="00CE3398">
        <w:rPr>
          <w:rFonts w:ascii="Times New Roman" w:hAnsi="Times New Roman"/>
          <w:sz w:val="24"/>
          <w:szCs w:val="24"/>
        </w:rPr>
        <w:t>destina,</w:t>
      </w:r>
      <w:proofErr w:type="gramEnd"/>
      <w:r w:rsidR="008D7093" w:rsidRPr="00CE3398">
        <w:rPr>
          <w:rFonts w:ascii="Times New Roman" w:hAnsi="Times New Roman"/>
          <w:sz w:val="24"/>
          <w:szCs w:val="24"/>
        </w:rPr>
        <w:t xml:space="preserve"> o que</w:t>
      </w:r>
      <w:r w:rsidR="006017BA" w:rsidRPr="00CE3398">
        <w:rPr>
          <w:rFonts w:ascii="Times New Roman" w:hAnsi="Times New Roman"/>
          <w:sz w:val="24"/>
          <w:szCs w:val="24"/>
        </w:rPr>
        <w:t xml:space="preserve"> permitiria a passagem de grande quantidade de água</w:t>
      </w:r>
      <w:r w:rsidR="008D7093" w:rsidRPr="00CE3398">
        <w:rPr>
          <w:rFonts w:ascii="Times New Roman" w:hAnsi="Times New Roman"/>
          <w:sz w:val="24"/>
          <w:szCs w:val="24"/>
        </w:rPr>
        <w:t>,</w:t>
      </w:r>
      <w:r w:rsidR="006017BA" w:rsidRPr="00CE3398">
        <w:rPr>
          <w:rFonts w:ascii="Times New Roman" w:hAnsi="Times New Roman"/>
          <w:sz w:val="24"/>
          <w:szCs w:val="24"/>
        </w:rPr>
        <w:t xml:space="preserve"> que, em condições normais, </w:t>
      </w:r>
      <w:r w:rsidR="001768B5" w:rsidRPr="00CE3398">
        <w:rPr>
          <w:rFonts w:ascii="Times New Roman" w:hAnsi="Times New Roman"/>
          <w:sz w:val="24"/>
          <w:szCs w:val="24"/>
        </w:rPr>
        <w:t xml:space="preserve">fica </w:t>
      </w:r>
      <w:r w:rsidR="006017BA" w:rsidRPr="00CE3398">
        <w:rPr>
          <w:rFonts w:ascii="Times New Roman" w:hAnsi="Times New Roman"/>
          <w:sz w:val="24"/>
          <w:szCs w:val="24"/>
        </w:rPr>
        <w:t>retida no lastro</w:t>
      </w:r>
      <w:r w:rsidR="008D7093" w:rsidRPr="00CE3398">
        <w:rPr>
          <w:rFonts w:ascii="Times New Roman" w:hAnsi="Times New Roman"/>
          <w:sz w:val="24"/>
          <w:szCs w:val="24"/>
        </w:rPr>
        <w:t>.</w:t>
      </w:r>
      <w:r w:rsidR="006017BA" w:rsidRPr="00CE3398">
        <w:rPr>
          <w:rFonts w:ascii="Times New Roman" w:hAnsi="Times New Roman"/>
          <w:sz w:val="24"/>
          <w:szCs w:val="24"/>
        </w:rPr>
        <w:t xml:space="preserve"> A gasol</w:t>
      </w:r>
      <w:r w:rsidR="008D7093" w:rsidRPr="00CE3398">
        <w:rPr>
          <w:rFonts w:ascii="Times New Roman" w:hAnsi="Times New Roman"/>
          <w:sz w:val="24"/>
          <w:szCs w:val="24"/>
        </w:rPr>
        <w:t>ina já aditivada pelo produtor</w:t>
      </w:r>
      <w:r w:rsidR="006017BA" w:rsidRPr="00CE3398">
        <w:rPr>
          <w:rFonts w:ascii="Times New Roman" w:hAnsi="Times New Roman"/>
          <w:sz w:val="24"/>
          <w:szCs w:val="24"/>
        </w:rPr>
        <w:t xml:space="preserve"> poderia</w:t>
      </w:r>
      <w:r w:rsidR="008D7093" w:rsidRPr="00CE3398">
        <w:rPr>
          <w:rFonts w:ascii="Times New Roman" w:hAnsi="Times New Roman"/>
          <w:sz w:val="24"/>
          <w:szCs w:val="24"/>
        </w:rPr>
        <w:t>, então,</w:t>
      </w:r>
      <w:r w:rsidR="006017BA" w:rsidRPr="00CE3398">
        <w:rPr>
          <w:rFonts w:ascii="Times New Roman" w:hAnsi="Times New Roman"/>
          <w:sz w:val="24"/>
          <w:szCs w:val="24"/>
        </w:rPr>
        <w:t xml:space="preserve"> entrar em contato com a água presente nos dutos ou nos tanque dos distribuidores</w:t>
      </w:r>
      <w:r w:rsidR="008D7093" w:rsidRPr="00CE3398">
        <w:rPr>
          <w:rFonts w:ascii="Times New Roman" w:hAnsi="Times New Roman"/>
          <w:sz w:val="24"/>
          <w:szCs w:val="24"/>
        </w:rPr>
        <w:t>, causando a formação de emulsão.</w:t>
      </w:r>
      <w:r w:rsidRPr="00CE3398">
        <w:rPr>
          <w:rFonts w:ascii="Times New Roman" w:hAnsi="Times New Roman"/>
          <w:sz w:val="24"/>
          <w:szCs w:val="24"/>
        </w:rPr>
        <w:t xml:space="preserve"> Dessa forma, a qualidade do combustível poderia ficar afetada quando da entrega ao consumidor final. Sendo a aditivação no distribuidor, segundo informado, o contato com</w:t>
      </w:r>
      <w:r w:rsidR="00AA1A35" w:rsidRPr="00CE3398">
        <w:rPr>
          <w:rFonts w:ascii="Times New Roman" w:hAnsi="Times New Roman"/>
          <w:sz w:val="24"/>
          <w:szCs w:val="24"/>
        </w:rPr>
        <w:t xml:space="preserve"> a</w:t>
      </w:r>
      <w:r w:rsidRPr="00CE3398">
        <w:rPr>
          <w:rFonts w:ascii="Times New Roman" w:hAnsi="Times New Roman"/>
          <w:sz w:val="24"/>
          <w:szCs w:val="24"/>
        </w:rPr>
        <w:t xml:space="preserve"> água ficaria restrito ao tanque do caminhão e do posto revendedor, </w:t>
      </w:r>
      <w:r w:rsidR="008D7093" w:rsidRPr="00CE3398">
        <w:rPr>
          <w:rFonts w:ascii="Times New Roman" w:hAnsi="Times New Roman"/>
          <w:sz w:val="24"/>
          <w:szCs w:val="24"/>
        </w:rPr>
        <w:t>limitando as possibilidades de emulsificação.</w:t>
      </w:r>
    </w:p>
    <w:p w:rsidR="0002519A" w:rsidRPr="00CE3398" w:rsidRDefault="0002519A" w:rsidP="0002519A">
      <w:pPr>
        <w:tabs>
          <w:tab w:val="left" w:pos="0"/>
        </w:tabs>
        <w:spacing w:after="120" w:line="240" w:lineRule="auto"/>
        <w:jc w:val="both"/>
        <w:rPr>
          <w:rFonts w:ascii="Times New Roman" w:hAnsi="Times New Roman"/>
          <w:sz w:val="24"/>
          <w:szCs w:val="24"/>
        </w:rPr>
      </w:pPr>
      <w:r w:rsidRPr="00CE3398">
        <w:rPr>
          <w:rFonts w:ascii="Times New Roman" w:hAnsi="Times New Roman"/>
          <w:sz w:val="24"/>
          <w:szCs w:val="24"/>
        </w:rPr>
        <w:tab/>
        <w:t xml:space="preserve">Além do problema no tanque do distribuidor, a formação de emulsão também seria um problema no transporte da gasolina aditivada </w:t>
      </w:r>
      <w:r w:rsidR="00AA1A35" w:rsidRPr="00CE3398">
        <w:rPr>
          <w:rFonts w:ascii="Times New Roman" w:hAnsi="Times New Roman"/>
          <w:sz w:val="24"/>
          <w:szCs w:val="24"/>
        </w:rPr>
        <w:t xml:space="preserve">por meio de </w:t>
      </w:r>
      <w:r w:rsidRPr="00CE3398">
        <w:rPr>
          <w:rFonts w:ascii="Times New Roman" w:hAnsi="Times New Roman"/>
          <w:sz w:val="24"/>
          <w:szCs w:val="24"/>
        </w:rPr>
        <w:t xml:space="preserve">balsas, o que ocorre com frequência na região </w:t>
      </w:r>
      <w:r w:rsidR="00AA1A35" w:rsidRPr="00CE3398">
        <w:rPr>
          <w:rFonts w:ascii="Times New Roman" w:hAnsi="Times New Roman"/>
          <w:sz w:val="24"/>
          <w:szCs w:val="24"/>
        </w:rPr>
        <w:t>N</w:t>
      </w:r>
      <w:r w:rsidRPr="00CE3398">
        <w:rPr>
          <w:rFonts w:ascii="Times New Roman" w:hAnsi="Times New Roman"/>
          <w:sz w:val="24"/>
          <w:szCs w:val="24"/>
        </w:rPr>
        <w:t>orte do país</w:t>
      </w:r>
      <w:r w:rsidR="004F41FA" w:rsidRPr="00CE3398">
        <w:rPr>
          <w:rFonts w:ascii="Times New Roman" w:hAnsi="Times New Roman"/>
          <w:sz w:val="24"/>
          <w:szCs w:val="24"/>
        </w:rPr>
        <w:t>.</w:t>
      </w:r>
    </w:p>
    <w:p w:rsidR="0002519A" w:rsidRPr="00CE3398" w:rsidRDefault="0002519A" w:rsidP="0002519A">
      <w:pPr>
        <w:spacing w:after="120" w:line="240" w:lineRule="auto"/>
        <w:rPr>
          <w:rFonts w:ascii="Times New Roman" w:hAnsi="Times New Roman"/>
          <w:b/>
          <w:sz w:val="24"/>
          <w:szCs w:val="24"/>
        </w:rPr>
      </w:pPr>
    </w:p>
    <w:p w:rsidR="0002519A" w:rsidRPr="00CE3398" w:rsidRDefault="0002519A" w:rsidP="00000398">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Outras questões relevantes</w:t>
      </w:r>
    </w:p>
    <w:p w:rsidR="0002519A" w:rsidRPr="00CE3398" w:rsidRDefault="0002519A" w:rsidP="0002519A">
      <w:pPr>
        <w:spacing w:after="120" w:line="240" w:lineRule="auto"/>
        <w:ind w:firstLine="708"/>
        <w:jc w:val="both"/>
        <w:rPr>
          <w:rFonts w:ascii="Times New Roman" w:hAnsi="Times New Roman"/>
          <w:sz w:val="24"/>
          <w:szCs w:val="24"/>
          <w:u w:val="single"/>
        </w:rPr>
      </w:pPr>
      <w:r w:rsidRPr="00CE3398">
        <w:rPr>
          <w:rFonts w:ascii="Times New Roman" w:hAnsi="Times New Roman"/>
          <w:sz w:val="24"/>
          <w:szCs w:val="24"/>
        </w:rPr>
        <w:t xml:space="preserve">Além dos pontos destacados acima, com base nas informações encaminhadas pelo principal </w:t>
      </w:r>
      <w:r w:rsidR="00DE32FC" w:rsidRPr="00CE3398">
        <w:rPr>
          <w:rFonts w:ascii="Times New Roman" w:hAnsi="Times New Roman"/>
          <w:sz w:val="24"/>
          <w:szCs w:val="24"/>
        </w:rPr>
        <w:t xml:space="preserve">produtor </w:t>
      </w:r>
      <w:r w:rsidRPr="00CE3398">
        <w:rPr>
          <w:rFonts w:ascii="Times New Roman" w:hAnsi="Times New Roman"/>
          <w:sz w:val="24"/>
          <w:szCs w:val="24"/>
        </w:rPr>
        <w:t>de gasolina A, foi constatado que, no caso da aditivação ocorrer nas refinarias, este agente econômico adquirir</w:t>
      </w:r>
      <w:r w:rsidR="003D7290" w:rsidRPr="00CE3398">
        <w:rPr>
          <w:rFonts w:ascii="Times New Roman" w:hAnsi="Times New Roman"/>
          <w:sz w:val="24"/>
          <w:szCs w:val="24"/>
        </w:rPr>
        <w:t>á</w:t>
      </w:r>
      <w:r w:rsidRPr="00CE3398">
        <w:rPr>
          <w:rFonts w:ascii="Times New Roman" w:hAnsi="Times New Roman"/>
          <w:sz w:val="24"/>
          <w:szCs w:val="24"/>
        </w:rPr>
        <w:t xml:space="preserve"> aditivo de um único fornecedor. Com base nes</w:t>
      </w:r>
      <w:r w:rsidR="00DE32FC" w:rsidRPr="00CE3398">
        <w:rPr>
          <w:rFonts w:ascii="Times New Roman" w:hAnsi="Times New Roman"/>
          <w:sz w:val="24"/>
          <w:szCs w:val="24"/>
        </w:rPr>
        <w:t>s</w:t>
      </w:r>
      <w:r w:rsidRPr="00CE3398">
        <w:rPr>
          <w:rFonts w:ascii="Times New Roman" w:hAnsi="Times New Roman"/>
          <w:sz w:val="24"/>
          <w:szCs w:val="24"/>
        </w:rPr>
        <w:t>a informação, bem como na importância do volume deste agente econômico no mercado de gasolina A, a aditivação no produtor poderia trazer preocupações no âmbito econômico</w:t>
      </w:r>
      <w:r w:rsidR="003006DF" w:rsidRPr="00CE3398">
        <w:rPr>
          <w:rFonts w:ascii="Times New Roman" w:hAnsi="Times New Roman"/>
          <w:sz w:val="24"/>
          <w:szCs w:val="24"/>
        </w:rPr>
        <w:t xml:space="preserve"> e concorrencial</w:t>
      </w:r>
      <w:r w:rsidRPr="00CE3398">
        <w:rPr>
          <w:rFonts w:ascii="Times New Roman" w:hAnsi="Times New Roman"/>
          <w:sz w:val="24"/>
          <w:szCs w:val="24"/>
        </w:rPr>
        <w:t>. Uma vez que um único agente consumiria quase a totalidade do aditivo comercializado no mercado, corre</w:t>
      </w:r>
      <w:r w:rsidR="00157714" w:rsidRPr="00CE3398">
        <w:rPr>
          <w:rFonts w:ascii="Times New Roman" w:hAnsi="Times New Roman"/>
          <w:sz w:val="24"/>
          <w:szCs w:val="24"/>
        </w:rPr>
        <w:t>r</w:t>
      </w:r>
      <w:r w:rsidR="00807746" w:rsidRPr="00CE3398">
        <w:rPr>
          <w:rFonts w:ascii="Times New Roman" w:hAnsi="Times New Roman"/>
          <w:sz w:val="24"/>
          <w:szCs w:val="24"/>
        </w:rPr>
        <w:t>-se-</w:t>
      </w:r>
      <w:r w:rsidR="00157714" w:rsidRPr="00CE3398">
        <w:rPr>
          <w:rFonts w:ascii="Times New Roman" w:hAnsi="Times New Roman"/>
          <w:sz w:val="24"/>
          <w:szCs w:val="24"/>
        </w:rPr>
        <w:t>ia</w:t>
      </w:r>
      <w:r w:rsidRPr="00CE3398">
        <w:rPr>
          <w:rFonts w:ascii="Times New Roman" w:hAnsi="Times New Roman"/>
          <w:sz w:val="24"/>
          <w:szCs w:val="24"/>
        </w:rPr>
        <w:t xml:space="preserve"> o risco de </w:t>
      </w:r>
      <w:r w:rsidR="00807746" w:rsidRPr="00CE3398">
        <w:rPr>
          <w:rFonts w:ascii="Times New Roman" w:hAnsi="Times New Roman"/>
          <w:sz w:val="24"/>
          <w:szCs w:val="24"/>
        </w:rPr>
        <w:t xml:space="preserve">ter </w:t>
      </w:r>
      <w:r w:rsidRPr="00CE3398">
        <w:rPr>
          <w:rFonts w:ascii="Times New Roman" w:hAnsi="Times New Roman"/>
          <w:sz w:val="24"/>
          <w:szCs w:val="24"/>
        </w:rPr>
        <w:t xml:space="preserve">o mercado nacional </w:t>
      </w:r>
      <w:r w:rsidR="00807746" w:rsidRPr="00CE3398">
        <w:rPr>
          <w:rFonts w:ascii="Times New Roman" w:hAnsi="Times New Roman"/>
          <w:sz w:val="24"/>
          <w:szCs w:val="24"/>
        </w:rPr>
        <w:t xml:space="preserve">suprido </w:t>
      </w:r>
      <w:r w:rsidRPr="00CE3398">
        <w:rPr>
          <w:rFonts w:ascii="Times New Roman" w:hAnsi="Times New Roman"/>
          <w:sz w:val="24"/>
          <w:szCs w:val="24"/>
        </w:rPr>
        <w:t xml:space="preserve">praticamente por um único </w:t>
      </w:r>
      <w:r w:rsidR="00DE32FC" w:rsidRPr="00CE3398">
        <w:rPr>
          <w:rFonts w:ascii="Times New Roman" w:hAnsi="Times New Roman"/>
          <w:sz w:val="24"/>
          <w:szCs w:val="24"/>
        </w:rPr>
        <w:t>fornecedor de aditivo</w:t>
      </w:r>
      <w:r w:rsidRPr="00CE3398">
        <w:rPr>
          <w:rFonts w:ascii="Times New Roman" w:hAnsi="Times New Roman"/>
          <w:sz w:val="24"/>
          <w:szCs w:val="24"/>
        </w:rPr>
        <w:t>.</w:t>
      </w:r>
    </w:p>
    <w:p w:rsidR="0002519A" w:rsidRPr="00CE3398" w:rsidRDefault="0002519A" w:rsidP="00A870F0">
      <w:pPr>
        <w:spacing w:after="120" w:line="240" w:lineRule="auto"/>
        <w:ind w:firstLine="709"/>
        <w:jc w:val="both"/>
        <w:rPr>
          <w:rFonts w:ascii="Times New Roman" w:hAnsi="Times New Roman"/>
          <w:sz w:val="24"/>
          <w:szCs w:val="24"/>
        </w:rPr>
      </w:pPr>
      <w:r w:rsidRPr="00CE3398">
        <w:rPr>
          <w:rFonts w:ascii="Times New Roman" w:hAnsi="Times New Roman"/>
          <w:sz w:val="24"/>
          <w:szCs w:val="24"/>
        </w:rPr>
        <w:t>Outra questão considerada foi a de que a aditivação no produtor dificultaria a diferenciação das gasolinas aditivadas pelos distribuidores</w:t>
      </w:r>
      <w:r w:rsidR="00CE3B36" w:rsidRPr="00CE3398">
        <w:rPr>
          <w:rFonts w:ascii="Times New Roman" w:hAnsi="Times New Roman"/>
          <w:sz w:val="24"/>
          <w:szCs w:val="24"/>
        </w:rPr>
        <w:t>.</w:t>
      </w:r>
      <w:r w:rsidRPr="00CE3398">
        <w:rPr>
          <w:rFonts w:ascii="Times New Roman" w:hAnsi="Times New Roman"/>
          <w:sz w:val="24"/>
          <w:szCs w:val="24"/>
        </w:rPr>
        <w:t xml:space="preserve"> Atualmente</w:t>
      </w:r>
      <w:r w:rsidR="007B4E54" w:rsidRPr="00CE3398">
        <w:rPr>
          <w:rFonts w:ascii="Times New Roman" w:hAnsi="Times New Roman"/>
          <w:sz w:val="24"/>
          <w:szCs w:val="24"/>
        </w:rPr>
        <w:t>,</w:t>
      </w:r>
      <w:r w:rsidRPr="00CE3398">
        <w:rPr>
          <w:rFonts w:ascii="Times New Roman" w:hAnsi="Times New Roman"/>
          <w:sz w:val="24"/>
          <w:szCs w:val="24"/>
        </w:rPr>
        <w:t xml:space="preserve"> os distribuidores diferenciam a gasolina comum da gasolina aditivada </w:t>
      </w:r>
      <w:r w:rsidR="0048198C" w:rsidRPr="00CE3398">
        <w:rPr>
          <w:rFonts w:ascii="Times New Roman" w:hAnsi="Times New Roman"/>
          <w:sz w:val="24"/>
          <w:szCs w:val="24"/>
        </w:rPr>
        <w:t>pela adição</w:t>
      </w:r>
      <w:r w:rsidRPr="00CE3398">
        <w:rPr>
          <w:rFonts w:ascii="Times New Roman" w:hAnsi="Times New Roman"/>
          <w:sz w:val="24"/>
          <w:szCs w:val="24"/>
        </w:rPr>
        <w:t xml:space="preserve"> de um prêmio por qualidade. Caso a gasolina A passe a ser aditivada no produtor</w:t>
      </w:r>
      <w:proofErr w:type="gramStart"/>
      <w:r w:rsidRPr="00CE3398">
        <w:rPr>
          <w:rFonts w:ascii="Times New Roman" w:hAnsi="Times New Roman"/>
          <w:sz w:val="24"/>
          <w:szCs w:val="24"/>
        </w:rPr>
        <w:t xml:space="preserve">, </w:t>
      </w:r>
      <w:r w:rsidR="00A870F0" w:rsidRPr="00CE3398">
        <w:rPr>
          <w:rFonts w:ascii="Times New Roman" w:hAnsi="Times New Roman"/>
          <w:sz w:val="24"/>
          <w:szCs w:val="24"/>
        </w:rPr>
        <w:t>caberia</w:t>
      </w:r>
      <w:proofErr w:type="gramEnd"/>
      <w:r w:rsidRPr="00CE3398">
        <w:rPr>
          <w:rFonts w:ascii="Times New Roman" w:hAnsi="Times New Roman"/>
          <w:sz w:val="24"/>
          <w:szCs w:val="24"/>
        </w:rPr>
        <w:t xml:space="preserve"> ao distribuidor </w:t>
      </w:r>
      <w:r w:rsidR="00A97E65" w:rsidRPr="00CE3398">
        <w:rPr>
          <w:rFonts w:ascii="Times New Roman" w:hAnsi="Times New Roman"/>
          <w:sz w:val="24"/>
          <w:szCs w:val="24"/>
        </w:rPr>
        <w:t xml:space="preserve">acrescentar </w:t>
      </w:r>
      <w:r w:rsidRPr="00CE3398">
        <w:rPr>
          <w:rFonts w:ascii="Times New Roman" w:hAnsi="Times New Roman"/>
          <w:sz w:val="24"/>
          <w:szCs w:val="24"/>
        </w:rPr>
        <w:t>pacote adicional para compor a gasolina aditivada</w:t>
      </w:r>
      <w:r w:rsidR="00A870F0" w:rsidRPr="00CE3398">
        <w:rPr>
          <w:rFonts w:ascii="Times New Roman" w:hAnsi="Times New Roman"/>
          <w:sz w:val="24"/>
          <w:szCs w:val="24"/>
        </w:rPr>
        <w:t xml:space="preserve"> diferenciada</w:t>
      </w:r>
      <w:r w:rsidRPr="00CE3398">
        <w:rPr>
          <w:rFonts w:ascii="Times New Roman" w:hAnsi="Times New Roman"/>
          <w:sz w:val="24"/>
          <w:szCs w:val="24"/>
        </w:rPr>
        <w:t xml:space="preserve">, que </w:t>
      </w:r>
      <w:r w:rsidR="00A97E65" w:rsidRPr="00CE3398">
        <w:rPr>
          <w:rFonts w:ascii="Times New Roman" w:hAnsi="Times New Roman"/>
          <w:sz w:val="24"/>
          <w:szCs w:val="24"/>
        </w:rPr>
        <w:t xml:space="preserve">forneceria </w:t>
      </w:r>
      <w:r w:rsidRPr="00CE3398">
        <w:rPr>
          <w:rFonts w:ascii="Times New Roman" w:hAnsi="Times New Roman"/>
          <w:sz w:val="24"/>
          <w:szCs w:val="24"/>
        </w:rPr>
        <w:t xml:space="preserve">desempenho </w:t>
      </w:r>
      <w:r w:rsidR="00A97E65" w:rsidRPr="00CE3398">
        <w:rPr>
          <w:rFonts w:ascii="Times New Roman" w:hAnsi="Times New Roman"/>
          <w:sz w:val="24"/>
          <w:szCs w:val="24"/>
        </w:rPr>
        <w:t xml:space="preserve">aos automóveis </w:t>
      </w:r>
      <w:r w:rsidRPr="00CE3398">
        <w:rPr>
          <w:rFonts w:ascii="Times New Roman" w:hAnsi="Times New Roman"/>
          <w:sz w:val="24"/>
          <w:szCs w:val="24"/>
        </w:rPr>
        <w:t xml:space="preserve">superior </w:t>
      </w:r>
      <w:r w:rsidR="00A870F0" w:rsidRPr="00CE3398">
        <w:rPr>
          <w:rFonts w:ascii="Times New Roman" w:hAnsi="Times New Roman"/>
          <w:sz w:val="24"/>
          <w:szCs w:val="24"/>
        </w:rPr>
        <w:t>à</w:t>
      </w:r>
      <w:r w:rsidRPr="00CE3398">
        <w:rPr>
          <w:rFonts w:ascii="Times New Roman" w:hAnsi="Times New Roman"/>
          <w:sz w:val="24"/>
          <w:szCs w:val="24"/>
        </w:rPr>
        <w:t xml:space="preserve"> anterior. A questão central consiste na compatibilidade entre os aditivos </w:t>
      </w:r>
      <w:r w:rsidR="00A97E65" w:rsidRPr="00CE3398">
        <w:rPr>
          <w:rFonts w:ascii="Times New Roman" w:hAnsi="Times New Roman"/>
          <w:sz w:val="24"/>
          <w:szCs w:val="24"/>
        </w:rPr>
        <w:t xml:space="preserve">a serem acrescentados </w:t>
      </w:r>
      <w:r w:rsidRPr="00CE3398">
        <w:rPr>
          <w:rFonts w:ascii="Times New Roman" w:hAnsi="Times New Roman"/>
          <w:sz w:val="24"/>
          <w:szCs w:val="24"/>
        </w:rPr>
        <w:t xml:space="preserve">pelo produtor e pelo distribuidor, os quais </w:t>
      </w:r>
      <w:r w:rsidR="00232B8C" w:rsidRPr="00CE3398">
        <w:rPr>
          <w:rFonts w:ascii="Times New Roman" w:hAnsi="Times New Roman"/>
          <w:sz w:val="24"/>
          <w:szCs w:val="24"/>
        </w:rPr>
        <w:t xml:space="preserve">poderão </w:t>
      </w:r>
      <w:r w:rsidRPr="00CE3398">
        <w:rPr>
          <w:rFonts w:ascii="Times New Roman" w:hAnsi="Times New Roman"/>
          <w:sz w:val="24"/>
          <w:szCs w:val="24"/>
        </w:rPr>
        <w:t xml:space="preserve">não ser do mesmo </w:t>
      </w:r>
      <w:r w:rsidRPr="00CE3398">
        <w:rPr>
          <w:rFonts w:ascii="Times New Roman" w:hAnsi="Times New Roman"/>
          <w:sz w:val="24"/>
          <w:szCs w:val="24"/>
        </w:rPr>
        <w:lastRenderedPageBreak/>
        <w:t>fornecedor. No caso de aditivação no distribuidor, tal situação não seria verificada</w:t>
      </w:r>
      <w:r w:rsidR="00A870F0" w:rsidRPr="00CE3398">
        <w:rPr>
          <w:rFonts w:ascii="Times New Roman" w:hAnsi="Times New Roman"/>
          <w:sz w:val="24"/>
          <w:szCs w:val="24"/>
        </w:rPr>
        <w:t>,</w:t>
      </w:r>
      <w:r w:rsidRPr="00CE3398">
        <w:rPr>
          <w:rFonts w:ascii="Times New Roman" w:hAnsi="Times New Roman"/>
          <w:sz w:val="24"/>
          <w:szCs w:val="24"/>
        </w:rPr>
        <w:t xml:space="preserve"> porque somente o distribuidor teria responsabilidade sobre o mesmo.</w:t>
      </w:r>
    </w:p>
    <w:p w:rsidR="0002519A" w:rsidRPr="00CE3398" w:rsidRDefault="0002519A" w:rsidP="0002519A">
      <w:pPr>
        <w:spacing w:after="120" w:line="240" w:lineRule="auto"/>
        <w:rPr>
          <w:rFonts w:ascii="Times New Roman" w:hAnsi="Times New Roman"/>
          <w:b/>
          <w:sz w:val="24"/>
          <w:szCs w:val="24"/>
        </w:rPr>
      </w:pPr>
    </w:p>
    <w:p w:rsidR="0002519A" w:rsidRPr="00CE3398" w:rsidRDefault="003645F6" w:rsidP="00000398">
      <w:pPr>
        <w:pStyle w:val="PargrafodaLista"/>
        <w:numPr>
          <w:ilvl w:val="2"/>
          <w:numId w:val="4"/>
        </w:numPr>
        <w:spacing w:after="120" w:line="240" w:lineRule="auto"/>
        <w:ind w:left="709" w:hanging="709"/>
        <w:contextualSpacing w:val="0"/>
        <w:rPr>
          <w:rFonts w:ascii="Times New Roman" w:hAnsi="Times New Roman"/>
          <w:b/>
          <w:sz w:val="24"/>
          <w:szCs w:val="24"/>
        </w:rPr>
      </w:pPr>
      <w:r w:rsidRPr="00CE3398">
        <w:rPr>
          <w:rFonts w:ascii="Times New Roman" w:hAnsi="Times New Roman"/>
          <w:b/>
          <w:sz w:val="24"/>
          <w:szCs w:val="24"/>
        </w:rPr>
        <w:t>DISTRIBUIDOR</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 consulta aos distribuidores se deu por meio do questionário apresentado no Anexo </w:t>
      </w:r>
      <w:r w:rsidR="00F367D5" w:rsidRPr="00CE3398">
        <w:rPr>
          <w:rFonts w:ascii="Times New Roman" w:hAnsi="Times New Roman"/>
          <w:sz w:val="24"/>
          <w:szCs w:val="24"/>
        </w:rPr>
        <w:t>VI</w:t>
      </w:r>
      <w:r w:rsidRPr="00CE3398">
        <w:rPr>
          <w:rFonts w:ascii="Times New Roman" w:hAnsi="Times New Roman"/>
          <w:sz w:val="24"/>
          <w:szCs w:val="24"/>
        </w:rPr>
        <w:t>. São sintetizadas, na sequência, as principais informações colhidas a partir das respostas encaminhadas à ANP.</w:t>
      </w:r>
    </w:p>
    <w:p w:rsidR="0002519A" w:rsidRPr="00CE3398" w:rsidRDefault="0002519A" w:rsidP="00000398">
      <w:pPr>
        <w:spacing w:after="120" w:line="240" w:lineRule="auto"/>
        <w:rPr>
          <w:rFonts w:ascii="Times New Roman" w:hAnsi="Times New Roman"/>
          <w:b/>
          <w:sz w:val="24"/>
          <w:szCs w:val="24"/>
        </w:rPr>
      </w:pPr>
    </w:p>
    <w:p w:rsidR="0002519A" w:rsidRPr="00CE3398" w:rsidRDefault="0002519A" w:rsidP="00000398">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Ponto de Aditivação</w:t>
      </w:r>
    </w:p>
    <w:p w:rsidR="001A70AD" w:rsidRPr="00CE3398" w:rsidRDefault="0002519A" w:rsidP="00810D28">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Quando questionados sobre o ponto ideal de aditivação, os distribuidores consultados, com exceção de um, consideraram que a melhor opção seria realizar a aditivação obrigatória no produtor. A justificativa seria a possibilidade de centralizar esse processo em poucas unidades de produçã</w:t>
      </w:r>
      <w:r w:rsidR="001A70AD" w:rsidRPr="00CE3398">
        <w:rPr>
          <w:rFonts w:ascii="Times New Roman" w:hAnsi="Times New Roman"/>
          <w:sz w:val="24"/>
          <w:szCs w:val="24"/>
        </w:rPr>
        <w:t>o.</w:t>
      </w:r>
      <w:r w:rsidR="00810D28" w:rsidRPr="00CE3398">
        <w:rPr>
          <w:rFonts w:ascii="Times New Roman" w:hAnsi="Times New Roman"/>
          <w:sz w:val="24"/>
          <w:szCs w:val="24"/>
        </w:rPr>
        <w:t xml:space="preserve"> </w:t>
      </w:r>
      <w:r w:rsidR="001768B5" w:rsidRPr="00CE3398">
        <w:rPr>
          <w:rFonts w:ascii="Times New Roman" w:hAnsi="Times New Roman"/>
          <w:sz w:val="24"/>
          <w:szCs w:val="24"/>
        </w:rPr>
        <w:t xml:space="preserve">Atualmente existem no país 14 (quatorze) refinarias autorizadas pela ANP produzindo gasolina e 297 (duzentas e noventa e sete) bases de distribuição de combustíveis autorizadas pela ANP que operam com gasolina. </w:t>
      </w:r>
    </w:p>
    <w:p w:rsidR="00217904" w:rsidRPr="00CE3398" w:rsidRDefault="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Além da questão de centralização da aditivação, os distribuidores apresenta</w:t>
      </w:r>
      <w:r w:rsidR="00A6136C" w:rsidRPr="00CE3398">
        <w:rPr>
          <w:rFonts w:ascii="Times New Roman" w:hAnsi="Times New Roman"/>
          <w:sz w:val="24"/>
          <w:szCs w:val="24"/>
        </w:rPr>
        <w:t>ra</w:t>
      </w:r>
      <w:r w:rsidRPr="00CE3398">
        <w:rPr>
          <w:rFonts w:ascii="Times New Roman" w:hAnsi="Times New Roman"/>
          <w:sz w:val="24"/>
          <w:szCs w:val="24"/>
        </w:rPr>
        <w:t>m outras justificativas para que a aditivação ocorra no produtor:</w:t>
      </w:r>
    </w:p>
    <w:p w:rsidR="0002519A" w:rsidRPr="00CE3398" w:rsidRDefault="003D7290" w:rsidP="00000398">
      <w:pPr>
        <w:pStyle w:val="PargrafodaLista"/>
        <w:numPr>
          <w:ilvl w:val="0"/>
          <w:numId w:val="31"/>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R</w:t>
      </w:r>
      <w:r w:rsidR="006240E8" w:rsidRPr="00CE3398">
        <w:rPr>
          <w:rFonts w:ascii="Times New Roman" w:hAnsi="Times New Roman"/>
          <w:sz w:val="24"/>
          <w:szCs w:val="24"/>
        </w:rPr>
        <w:t>ealiza</w:t>
      </w:r>
      <w:r w:rsidRPr="00CE3398">
        <w:rPr>
          <w:rFonts w:ascii="Times New Roman" w:hAnsi="Times New Roman"/>
          <w:sz w:val="24"/>
          <w:szCs w:val="24"/>
        </w:rPr>
        <w:t>ção d</w:t>
      </w:r>
      <w:r w:rsidR="006240E8" w:rsidRPr="00CE3398">
        <w:rPr>
          <w:rFonts w:ascii="Times New Roman" w:hAnsi="Times New Roman"/>
          <w:sz w:val="24"/>
          <w:szCs w:val="24"/>
        </w:rPr>
        <w:t xml:space="preserve">a aditivação em um único ponto </w:t>
      </w:r>
      <w:r w:rsidR="001A70AD" w:rsidRPr="00CE3398">
        <w:rPr>
          <w:rFonts w:ascii="Times New Roman" w:hAnsi="Times New Roman"/>
          <w:sz w:val="24"/>
          <w:szCs w:val="24"/>
        </w:rPr>
        <w:t>reduzir-se-ia</w:t>
      </w:r>
      <w:r w:rsidR="0002519A" w:rsidRPr="00CE3398">
        <w:rPr>
          <w:rFonts w:ascii="Times New Roman" w:hAnsi="Times New Roman"/>
          <w:sz w:val="24"/>
          <w:szCs w:val="24"/>
        </w:rPr>
        <w:t xml:space="preserve"> a possibilidade de distorções na especificação da gasolina;</w:t>
      </w:r>
    </w:p>
    <w:p w:rsidR="0002519A" w:rsidRPr="00CE3398" w:rsidRDefault="00B154EA" w:rsidP="00000398">
      <w:pPr>
        <w:pStyle w:val="PargrafodaLista"/>
        <w:numPr>
          <w:ilvl w:val="0"/>
          <w:numId w:val="31"/>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Garantia</w:t>
      </w:r>
      <w:r w:rsidR="0002519A" w:rsidRPr="00CE3398">
        <w:rPr>
          <w:rFonts w:ascii="Times New Roman" w:hAnsi="Times New Roman"/>
          <w:sz w:val="24"/>
          <w:szCs w:val="24"/>
        </w:rPr>
        <w:t xml:space="preserve"> da qualidade do produto a ser distribuído, além da certeza de que o produto que chegará a todas as distribuidoras será o mesmo;</w:t>
      </w:r>
    </w:p>
    <w:p w:rsidR="0002519A" w:rsidRPr="00CE3398" w:rsidRDefault="00B154EA" w:rsidP="00000398">
      <w:pPr>
        <w:pStyle w:val="PargrafodaLista"/>
        <w:numPr>
          <w:ilvl w:val="0"/>
          <w:numId w:val="31"/>
        </w:numPr>
        <w:tabs>
          <w:tab w:val="left" w:pos="0"/>
        </w:tabs>
        <w:spacing w:after="120" w:line="240" w:lineRule="auto"/>
        <w:contextualSpacing w:val="0"/>
        <w:jc w:val="both"/>
        <w:rPr>
          <w:rFonts w:ascii="Times New Roman" w:hAnsi="Times New Roman"/>
          <w:sz w:val="24"/>
          <w:szCs w:val="24"/>
        </w:rPr>
      </w:pPr>
      <w:r w:rsidRPr="00CE3398">
        <w:rPr>
          <w:rFonts w:ascii="Times New Roman" w:hAnsi="Times New Roman"/>
          <w:sz w:val="24"/>
          <w:szCs w:val="24"/>
        </w:rPr>
        <w:t>Redução</w:t>
      </w:r>
      <w:r w:rsidR="0002519A" w:rsidRPr="00CE3398">
        <w:rPr>
          <w:rFonts w:ascii="Times New Roman" w:hAnsi="Times New Roman"/>
          <w:sz w:val="24"/>
          <w:szCs w:val="24"/>
        </w:rPr>
        <w:t xml:space="preserve"> do número de pontos de fiscalização</w:t>
      </w:r>
      <w:r w:rsidR="00EC38CB" w:rsidRPr="00CE3398">
        <w:rPr>
          <w:rFonts w:ascii="Times New Roman" w:hAnsi="Times New Roman"/>
          <w:sz w:val="24"/>
          <w:szCs w:val="24"/>
        </w:rPr>
        <w:t xml:space="preserve"> em produtores</w:t>
      </w:r>
      <w:r w:rsidR="006772C3" w:rsidRPr="00CE3398">
        <w:rPr>
          <w:rFonts w:ascii="Times New Roman" w:hAnsi="Times New Roman"/>
          <w:sz w:val="24"/>
          <w:szCs w:val="24"/>
        </w:rPr>
        <w:t>,</w:t>
      </w:r>
      <w:r w:rsidR="0002519A" w:rsidRPr="00CE3398">
        <w:rPr>
          <w:rFonts w:ascii="Times New Roman" w:hAnsi="Times New Roman"/>
          <w:sz w:val="24"/>
          <w:szCs w:val="24"/>
        </w:rPr>
        <w:t xml:space="preserve"> se comparado com a quantidade de distribuidoras autorizadas;</w:t>
      </w:r>
    </w:p>
    <w:p w:rsidR="0002519A" w:rsidRPr="00CE3398" w:rsidRDefault="00B154EA" w:rsidP="00000398">
      <w:pPr>
        <w:pStyle w:val="PargrafodaLista"/>
        <w:numPr>
          <w:ilvl w:val="0"/>
          <w:numId w:val="31"/>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M</w:t>
      </w:r>
      <w:r w:rsidR="0002519A" w:rsidRPr="00CE3398">
        <w:rPr>
          <w:rFonts w:ascii="Times New Roman" w:hAnsi="Times New Roman"/>
          <w:sz w:val="24"/>
          <w:szCs w:val="24"/>
          <w:lang w:val="pt-PT"/>
        </w:rPr>
        <w:t>aior eficiência e economia no armazenamento do aditivo a ser usado na gasolina em poucos lugares;</w:t>
      </w:r>
    </w:p>
    <w:p w:rsidR="0002519A" w:rsidRPr="00CE3398" w:rsidRDefault="00B154EA" w:rsidP="00000398">
      <w:pPr>
        <w:pStyle w:val="PargrafodaLista"/>
        <w:numPr>
          <w:ilvl w:val="0"/>
          <w:numId w:val="31"/>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N</w:t>
      </w:r>
      <w:r w:rsidR="0002519A" w:rsidRPr="00CE3398">
        <w:rPr>
          <w:rFonts w:ascii="Times New Roman" w:hAnsi="Times New Roman"/>
          <w:sz w:val="24"/>
          <w:szCs w:val="24"/>
          <w:lang w:val="pt-PT"/>
        </w:rPr>
        <w:t>ecessidade de investimentos menos vultosos para adequar e manter a infraestrutura dos produtores se comparada à necessidade de investimentos para adequação de todas as bases de distribuição de combustíveis;</w:t>
      </w:r>
    </w:p>
    <w:p w:rsidR="0002519A" w:rsidRPr="00CE3398" w:rsidRDefault="00B154EA" w:rsidP="00000398">
      <w:pPr>
        <w:pStyle w:val="PargrafodaLista"/>
        <w:numPr>
          <w:ilvl w:val="0"/>
          <w:numId w:val="31"/>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D</w:t>
      </w:r>
      <w:r w:rsidR="0002519A" w:rsidRPr="00CE3398">
        <w:rPr>
          <w:rFonts w:ascii="Times New Roman" w:hAnsi="Times New Roman"/>
          <w:sz w:val="24"/>
          <w:szCs w:val="24"/>
          <w:lang w:val="pt-PT"/>
        </w:rPr>
        <w:t xml:space="preserve">ificuldades no processo de aditivação da gasolina nas distribuidoras quando operando em bases de distribuição de combustíveis com outras distribuidoras </w:t>
      </w:r>
      <w:r w:rsidR="004E4482" w:rsidRPr="00CE3398">
        <w:rPr>
          <w:rFonts w:ascii="Times New Roman" w:hAnsi="Times New Roman"/>
          <w:sz w:val="24"/>
          <w:szCs w:val="24"/>
          <w:lang w:val="pt-PT"/>
        </w:rPr>
        <w:t xml:space="preserve">por meio </w:t>
      </w:r>
      <w:r w:rsidR="0002519A" w:rsidRPr="00CE3398">
        <w:rPr>
          <w:rFonts w:ascii="Times New Roman" w:hAnsi="Times New Roman"/>
          <w:sz w:val="24"/>
          <w:szCs w:val="24"/>
          <w:lang w:val="pt-PT"/>
        </w:rPr>
        <w:t>de cessão de espaço; e</w:t>
      </w:r>
    </w:p>
    <w:p w:rsidR="0002519A" w:rsidRPr="00CE3398" w:rsidRDefault="00B154EA" w:rsidP="00000398">
      <w:pPr>
        <w:pStyle w:val="PargrafodaLista"/>
        <w:numPr>
          <w:ilvl w:val="0"/>
          <w:numId w:val="31"/>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M</w:t>
      </w:r>
      <w:r w:rsidR="0002519A" w:rsidRPr="00CE3398">
        <w:rPr>
          <w:rFonts w:ascii="Times New Roman" w:hAnsi="Times New Roman"/>
          <w:sz w:val="24"/>
          <w:szCs w:val="24"/>
          <w:lang w:val="pt-PT"/>
        </w:rPr>
        <w:t xml:space="preserve">enor prazo para implementação da infraestrutura necessária para aditivação nos produtores do que para a adequação de todas as bases e terminais </w:t>
      </w:r>
      <w:r w:rsidR="00301BA2" w:rsidRPr="00CE3398">
        <w:rPr>
          <w:rFonts w:ascii="Times New Roman" w:hAnsi="Times New Roman"/>
          <w:sz w:val="24"/>
          <w:szCs w:val="24"/>
          <w:lang w:val="pt-PT"/>
        </w:rPr>
        <w:t xml:space="preserve">de distribuição </w:t>
      </w:r>
      <w:r w:rsidR="0002519A" w:rsidRPr="00CE3398">
        <w:rPr>
          <w:rFonts w:ascii="Times New Roman" w:hAnsi="Times New Roman"/>
          <w:sz w:val="24"/>
          <w:szCs w:val="24"/>
          <w:lang w:val="pt-PT"/>
        </w:rPr>
        <w:t xml:space="preserve">do </w:t>
      </w:r>
      <w:r w:rsidR="00301BA2" w:rsidRPr="00CE3398">
        <w:rPr>
          <w:rFonts w:ascii="Times New Roman" w:hAnsi="Times New Roman"/>
          <w:sz w:val="24"/>
          <w:szCs w:val="24"/>
          <w:lang w:val="pt-PT"/>
        </w:rPr>
        <w:t>P</w:t>
      </w:r>
      <w:r w:rsidR="0002519A" w:rsidRPr="00CE3398">
        <w:rPr>
          <w:rFonts w:ascii="Times New Roman" w:hAnsi="Times New Roman"/>
          <w:sz w:val="24"/>
          <w:szCs w:val="24"/>
          <w:lang w:val="pt-PT"/>
        </w:rPr>
        <w:t>aís.</w:t>
      </w:r>
    </w:p>
    <w:p w:rsidR="0002519A" w:rsidRPr="00CE3398" w:rsidRDefault="0002519A" w:rsidP="0002519A">
      <w:pPr>
        <w:pStyle w:val="NormalWeb"/>
        <w:spacing w:before="0" w:beforeAutospacing="0" w:after="120" w:afterAutospacing="0"/>
        <w:ind w:firstLine="708"/>
        <w:jc w:val="both"/>
        <w:rPr>
          <w:lang w:val="pt-PT"/>
        </w:rPr>
      </w:pPr>
      <w:r w:rsidRPr="00CE3398">
        <w:rPr>
          <w:lang w:val="pt-PT"/>
        </w:rPr>
        <w:t xml:space="preserve">De acordo com os distribuidores, caso a aditivação </w:t>
      </w:r>
      <w:r w:rsidR="00E77AF9" w:rsidRPr="00CE3398">
        <w:rPr>
          <w:lang w:val="pt-PT"/>
        </w:rPr>
        <w:t xml:space="preserve">ocorra </w:t>
      </w:r>
      <w:r w:rsidRPr="00CE3398">
        <w:rPr>
          <w:lang w:val="pt-PT"/>
        </w:rPr>
        <w:t>na etapa de distribuição, os seguintes investimentos seriam necessários:</w:t>
      </w:r>
    </w:p>
    <w:p w:rsidR="00E10363" w:rsidRPr="00CE3398" w:rsidRDefault="00421C4E" w:rsidP="00000398">
      <w:pPr>
        <w:pStyle w:val="PargrafodaLista"/>
        <w:numPr>
          <w:ilvl w:val="0"/>
          <w:numId w:val="32"/>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I</w:t>
      </w:r>
      <w:r w:rsidR="0002519A" w:rsidRPr="00CE3398">
        <w:rPr>
          <w:rFonts w:ascii="Times New Roman" w:hAnsi="Times New Roman"/>
          <w:sz w:val="24"/>
          <w:szCs w:val="24"/>
          <w:lang w:val="pt-PT"/>
        </w:rPr>
        <w:t>nstalação de sistema de aditivação automatizado com comunicação aos equipamentos de comando das plataformas;</w:t>
      </w:r>
    </w:p>
    <w:p w:rsidR="0002519A" w:rsidRPr="00CE3398" w:rsidRDefault="00421C4E" w:rsidP="00000398">
      <w:pPr>
        <w:pStyle w:val="PargrafodaLista"/>
        <w:numPr>
          <w:ilvl w:val="0"/>
          <w:numId w:val="32"/>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C</w:t>
      </w:r>
      <w:r w:rsidR="0002519A" w:rsidRPr="00CE3398">
        <w:rPr>
          <w:rFonts w:ascii="Times New Roman" w:hAnsi="Times New Roman"/>
          <w:sz w:val="24"/>
          <w:szCs w:val="24"/>
          <w:lang w:val="pt-PT"/>
        </w:rPr>
        <w:t xml:space="preserve">riação de comunicação entre os medidores de vazão do aditivo e </w:t>
      </w:r>
      <w:r w:rsidR="002102F5" w:rsidRPr="00CE3398">
        <w:rPr>
          <w:rFonts w:ascii="Times New Roman" w:hAnsi="Times New Roman"/>
          <w:sz w:val="24"/>
          <w:szCs w:val="24"/>
          <w:lang w:val="pt-PT"/>
        </w:rPr>
        <w:t xml:space="preserve">os </w:t>
      </w:r>
      <w:r w:rsidR="0002519A" w:rsidRPr="00CE3398">
        <w:rPr>
          <w:rFonts w:ascii="Times New Roman" w:hAnsi="Times New Roman"/>
          <w:sz w:val="24"/>
          <w:szCs w:val="24"/>
          <w:lang w:val="pt-PT"/>
        </w:rPr>
        <w:t>medidores de vazão da gasolina;</w:t>
      </w:r>
    </w:p>
    <w:p w:rsidR="0002519A" w:rsidRPr="00CE3398" w:rsidRDefault="00421C4E" w:rsidP="00000398">
      <w:pPr>
        <w:pStyle w:val="PargrafodaLista"/>
        <w:numPr>
          <w:ilvl w:val="0"/>
          <w:numId w:val="32"/>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C</w:t>
      </w:r>
      <w:r w:rsidR="0002519A" w:rsidRPr="00CE3398">
        <w:rPr>
          <w:rFonts w:ascii="Times New Roman" w:hAnsi="Times New Roman"/>
          <w:sz w:val="24"/>
          <w:szCs w:val="24"/>
          <w:lang w:val="pt-PT"/>
        </w:rPr>
        <w:t>onstrução de um tanque para armazenagem de aditivo;</w:t>
      </w:r>
    </w:p>
    <w:p w:rsidR="0002519A" w:rsidRPr="00CE3398" w:rsidRDefault="00421C4E" w:rsidP="00000398">
      <w:pPr>
        <w:pStyle w:val="PargrafodaLista"/>
        <w:numPr>
          <w:ilvl w:val="0"/>
          <w:numId w:val="32"/>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lastRenderedPageBreak/>
        <w:t>I</w:t>
      </w:r>
      <w:r w:rsidR="0002519A" w:rsidRPr="00CE3398">
        <w:rPr>
          <w:rFonts w:ascii="Times New Roman" w:hAnsi="Times New Roman"/>
          <w:sz w:val="24"/>
          <w:szCs w:val="24"/>
          <w:lang w:val="pt-PT"/>
        </w:rPr>
        <w:t>nterligação com a plataforma de carregamento e adequação dos braços de carregamento;</w:t>
      </w:r>
    </w:p>
    <w:p w:rsidR="00E10363" w:rsidRPr="00CE3398" w:rsidRDefault="00421C4E" w:rsidP="00000398">
      <w:pPr>
        <w:pStyle w:val="PargrafodaLista"/>
        <w:numPr>
          <w:ilvl w:val="0"/>
          <w:numId w:val="32"/>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M</w:t>
      </w:r>
      <w:r w:rsidR="0002519A" w:rsidRPr="00CE3398">
        <w:rPr>
          <w:rFonts w:ascii="Times New Roman" w:hAnsi="Times New Roman"/>
          <w:sz w:val="24"/>
          <w:szCs w:val="24"/>
          <w:lang w:val="pt-PT"/>
        </w:rPr>
        <w:t>ontagem de linha de aditivos;</w:t>
      </w:r>
    </w:p>
    <w:p w:rsidR="00E10363" w:rsidRPr="00CE3398" w:rsidRDefault="00421C4E" w:rsidP="00000398">
      <w:pPr>
        <w:pStyle w:val="PargrafodaLista"/>
        <w:numPr>
          <w:ilvl w:val="0"/>
          <w:numId w:val="32"/>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I</w:t>
      </w:r>
      <w:r w:rsidR="0002519A" w:rsidRPr="00CE3398">
        <w:rPr>
          <w:rFonts w:ascii="Times New Roman" w:hAnsi="Times New Roman"/>
          <w:sz w:val="24"/>
          <w:szCs w:val="24"/>
          <w:lang w:val="pt-PT"/>
        </w:rPr>
        <w:t>nstalação de bombas injetoras de aditivos na linha de carregamento de gasolina;</w:t>
      </w:r>
    </w:p>
    <w:p w:rsidR="0002519A" w:rsidRPr="00CE3398" w:rsidRDefault="00421C4E" w:rsidP="00000398">
      <w:pPr>
        <w:pStyle w:val="PargrafodaLista"/>
        <w:numPr>
          <w:ilvl w:val="0"/>
          <w:numId w:val="32"/>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i/>
          <w:sz w:val="24"/>
          <w:szCs w:val="24"/>
          <w:lang w:val="pt-PT"/>
        </w:rPr>
        <w:t>S</w:t>
      </w:r>
      <w:r w:rsidR="0002519A" w:rsidRPr="00CE3398">
        <w:rPr>
          <w:rFonts w:ascii="Times New Roman" w:hAnsi="Times New Roman"/>
          <w:i/>
          <w:sz w:val="24"/>
          <w:szCs w:val="24"/>
          <w:lang w:val="pt-PT"/>
        </w:rPr>
        <w:t>oftware</w:t>
      </w:r>
      <w:r w:rsidR="0002519A" w:rsidRPr="00CE3398">
        <w:rPr>
          <w:rFonts w:ascii="Times New Roman" w:hAnsi="Times New Roman"/>
          <w:sz w:val="24"/>
          <w:szCs w:val="24"/>
          <w:lang w:val="pt-PT"/>
        </w:rPr>
        <w:t xml:space="preserve"> e misturadores;</w:t>
      </w:r>
    </w:p>
    <w:p w:rsidR="0002519A" w:rsidRPr="00CE3398" w:rsidRDefault="00421C4E" w:rsidP="00000398">
      <w:pPr>
        <w:pStyle w:val="PargrafodaLista"/>
        <w:numPr>
          <w:ilvl w:val="0"/>
          <w:numId w:val="32"/>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A</w:t>
      </w:r>
      <w:r w:rsidR="0002519A" w:rsidRPr="00CE3398">
        <w:rPr>
          <w:rFonts w:ascii="Times New Roman" w:hAnsi="Times New Roman"/>
          <w:sz w:val="24"/>
          <w:szCs w:val="24"/>
          <w:lang w:val="pt-PT"/>
        </w:rPr>
        <w:t>quisição de injetores e substituição dos equipamentos atuais que não estão dimensionados para este tipo de operação; e</w:t>
      </w:r>
    </w:p>
    <w:p w:rsidR="0002519A" w:rsidRPr="00CE3398" w:rsidRDefault="00421C4E" w:rsidP="00000398">
      <w:pPr>
        <w:pStyle w:val="PargrafodaLista"/>
        <w:numPr>
          <w:ilvl w:val="0"/>
          <w:numId w:val="32"/>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R</w:t>
      </w:r>
      <w:r w:rsidR="0002519A" w:rsidRPr="00CE3398">
        <w:rPr>
          <w:rFonts w:ascii="Times New Roman" w:hAnsi="Times New Roman"/>
          <w:sz w:val="24"/>
          <w:szCs w:val="24"/>
          <w:lang w:val="pt-PT"/>
        </w:rPr>
        <w:t>ealizações de investimentos diversos em construções civis para implementação das adequações relacionadas, destacando-se: ampliação da bacia de tanques de aditivo ou de produto e ampliação da praça de bombas.</w:t>
      </w:r>
    </w:p>
    <w:p w:rsidR="0002519A" w:rsidRPr="00CE3398" w:rsidRDefault="0002519A" w:rsidP="0002519A">
      <w:pPr>
        <w:pStyle w:val="NormalWeb"/>
        <w:spacing w:before="0" w:beforeAutospacing="0" w:after="120" w:afterAutospacing="0" w:line="276" w:lineRule="auto"/>
        <w:ind w:firstLine="708"/>
        <w:jc w:val="both"/>
      </w:pPr>
      <w:r w:rsidRPr="00CE3398">
        <w:rPr>
          <w:lang w:val="pt-PT"/>
        </w:rPr>
        <w:t>Ainda de acordo com a maioria dos distribuidores, sendo obrigatória</w:t>
      </w:r>
      <w:r w:rsidR="004E4482" w:rsidRPr="00CE3398">
        <w:rPr>
          <w:lang w:val="pt-PT"/>
        </w:rPr>
        <w:t xml:space="preserve">, </w:t>
      </w:r>
      <w:r w:rsidRPr="00CE3398">
        <w:rPr>
          <w:lang w:val="pt-PT"/>
        </w:rPr>
        <w:t>a aditivação na etapa de distribuição</w:t>
      </w:r>
      <w:r w:rsidR="004E4482" w:rsidRPr="00CE3398">
        <w:rPr>
          <w:lang w:val="pt-PT"/>
        </w:rPr>
        <w:t xml:space="preserve"> </w:t>
      </w:r>
      <w:r w:rsidRPr="00CE3398">
        <w:rPr>
          <w:lang w:val="pt-PT"/>
        </w:rPr>
        <w:t xml:space="preserve">deveria ocorrer diretamente na plataforma de carregamento </w:t>
      </w:r>
      <w:r w:rsidR="007D0049" w:rsidRPr="00CE3398">
        <w:rPr>
          <w:lang w:val="pt-PT"/>
        </w:rPr>
        <w:t>(</w:t>
      </w:r>
      <w:r w:rsidRPr="00CE3398">
        <w:rPr>
          <w:lang w:val="pt-PT"/>
        </w:rPr>
        <w:t>no momento do carregamento do caminhão-tanque</w:t>
      </w:r>
      <w:r w:rsidR="007D0049" w:rsidRPr="00CE3398">
        <w:rPr>
          <w:lang w:val="pt-PT"/>
        </w:rPr>
        <w:t>)</w:t>
      </w:r>
      <w:r w:rsidRPr="00CE3398">
        <w:rPr>
          <w:lang w:val="pt-PT"/>
        </w:rPr>
        <w:t xml:space="preserve">, uma vez que a dosagem de aditivo recomendada </w:t>
      </w:r>
      <w:r w:rsidR="007D0049" w:rsidRPr="00CE3398">
        <w:rPr>
          <w:lang w:val="pt-PT"/>
        </w:rPr>
        <w:t xml:space="preserve">seria </w:t>
      </w:r>
      <w:r w:rsidRPr="00CE3398">
        <w:rPr>
          <w:lang w:val="pt-PT"/>
        </w:rPr>
        <w:t>muito pequena. Além disso, a adição no momento do carregamento dispensaria a necessidade de armazenagem</w:t>
      </w:r>
      <w:r w:rsidRPr="00CE3398">
        <w:rPr>
          <w:rFonts w:eastAsia="Calibri"/>
          <w:lang w:eastAsia="en-US"/>
        </w:rPr>
        <w:t xml:space="preserve"> </w:t>
      </w:r>
      <w:r w:rsidRPr="00CE3398">
        <w:t xml:space="preserve">de </w:t>
      </w:r>
      <w:r w:rsidR="007D0049" w:rsidRPr="00CE3398">
        <w:t>g</w:t>
      </w:r>
      <w:r w:rsidRPr="00CE3398">
        <w:t xml:space="preserve">asolina A com aditivo e </w:t>
      </w:r>
      <w:r w:rsidR="007D0049" w:rsidRPr="00CE3398">
        <w:t>de g</w:t>
      </w:r>
      <w:r w:rsidRPr="00CE3398">
        <w:t>asolina A sem aditivo. Entre as desvantagens de se realizar a aditivação diretamente nos tanques de gasolina, destacam-se:</w:t>
      </w:r>
    </w:p>
    <w:p w:rsidR="0002519A" w:rsidRPr="00CE3398" w:rsidRDefault="00421C4E" w:rsidP="00000398">
      <w:pPr>
        <w:pStyle w:val="PargrafodaLista"/>
        <w:numPr>
          <w:ilvl w:val="0"/>
          <w:numId w:val="33"/>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N</w:t>
      </w:r>
      <w:r w:rsidR="0002519A" w:rsidRPr="00CE3398">
        <w:rPr>
          <w:rFonts w:ascii="Times New Roman" w:hAnsi="Times New Roman"/>
          <w:sz w:val="24"/>
          <w:szCs w:val="24"/>
          <w:lang w:val="pt-PT"/>
        </w:rPr>
        <w:t>ecessidade do tanque de operar em pulmão (receber e expe</w:t>
      </w:r>
      <w:r w:rsidR="004F20CF" w:rsidRPr="00CE3398">
        <w:rPr>
          <w:rFonts w:ascii="Times New Roman" w:hAnsi="Times New Roman"/>
          <w:sz w:val="24"/>
          <w:szCs w:val="24"/>
          <w:lang w:val="pt-PT"/>
        </w:rPr>
        <w:t>l</w:t>
      </w:r>
      <w:r w:rsidR="0002519A" w:rsidRPr="00CE3398">
        <w:rPr>
          <w:rFonts w:ascii="Times New Roman" w:hAnsi="Times New Roman"/>
          <w:sz w:val="24"/>
          <w:szCs w:val="24"/>
          <w:lang w:val="pt-PT"/>
        </w:rPr>
        <w:t xml:space="preserve">ir ao mesmo tempo); </w:t>
      </w:r>
    </w:p>
    <w:p w:rsidR="0002519A" w:rsidRPr="00CE3398" w:rsidRDefault="00421C4E" w:rsidP="00000398">
      <w:pPr>
        <w:pStyle w:val="PargrafodaLista"/>
        <w:numPr>
          <w:ilvl w:val="0"/>
          <w:numId w:val="33"/>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N</w:t>
      </w:r>
      <w:r w:rsidR="0002519A" w:rsidRPr="00CE3398">
        <w:rPr>
          <w:rFonts w:ascii="Times New Roman" w:hAnsi="Times New Roman"/>
          <w:sz w:val="24"/>
          <w:szCs w:val="24"/>
          <w:lang w:val="pt-PT"/>
        </w:rPr>
        <w:t>ecessidade de receber produto simultaneanente através de vários modais (</w:t>
      </w:r>
      <w:r w:rsidR="007D0049" w:rsidRPr="00CE3398">
        <w:rPr>
          <w:rFonts w:ascii="Times New Roman" w:hAnsi="Times New Roman"/>
          <w:sz w:val="24"/>
          <w:szCs w:val="24"/>
          <w:lang w:val="pt-PT"/>
        </w:rPr>
        <w:t>d</w:t>
      </w:r>
      <w:r w:rsidR="0002519A" w:rsidRPr="00CE3398">
        <w:rPr>
          <w:rFonts w:ascii="Times New Roman" w:hAnsi="Times New Roman"/>
          <w:sz w:val="24"/>
          <w:szCs w:val="24"/>
          <w:lang w:val="pt-PT"/>
        </w:rPr>
        <w:t xml:space="preserve">utoviário, </w:t>
      </w:r>
      <w:r w:rsidR="007D0049" w:rsidRPr="00CE3398">
        <w:rPr>
          <w:rFonts w:ascii="Times New Roman" w:hAnsi="Times New Roman"/>
          <w:sz w:val="24"/>
          <w:szCs w:val="24"/>
          <w:lang w:val="pt-PT"/>
        </w:rPr>
        <w:t>r</w:t>
      </w:r>
      <w:r w:rsidR="0002519A" w:rsidRPr="00CE3398">
        <w:rPr>
          <w:rFonts w:ascii="Times New Roman" w:hAnsi="Times New Roman"/>
          <w:sz w:val="24"/>
          <w:szCs w:val="24"/>
          <w:lang w:val="pt-PT"/>
        </w:rPr>
        <w:t xml:space="preserve">odoviário, </w:t>
      </w:r>
      <w:r w:rsidR="007D0049" w:rsidRPr="00CE3398">
        <w:rPr>
          <w:rFonts w:ascii="Times New Roman" w:hAnsi="Times New Roman"/>
          <w:sz w:val="24"/>
          <w:szCs w:val="24"/>
          <w:lang w:val="pt-PT"/>
        </w:rPr>
        <w:t>f</w:t>
      </w:r>
      <w:r w:rsidR="0002519A" w:rsidRPr="00CE3398">
        <w:rPr>
          <w:rFonts w:ascii="Times New Roman" w:hAnsi="Times New Roman"/>
          <w:sz w:val="24"/>
          <w:szCs w:val="24"/>
          <w:lang w:val="pt-PT"/>
        </w:rPr>
        <w:t xml:space="preserve">erroviário e </w:t>
      </w:r>
      <w:r w:rsidR="007D0049" w:rsidRPr="00CE3398">
        <w:rPr>
          <w:rFonts w:ascii="Times New Roman" w:hAnsi="Times New Roman"/>
          <w:sz w:val="24"/>
          <w:szCs w:val="24"/>
          <w:lang w:val="pt-PT"/>
        </w:rPr>
        <w:t>h</w:t>
      </w:r>
      <w:r w:rsidR="0002519A" w:rsidRPr="00CE3398">
        <w:rPr>
          <w:rFonts w:ascii="Times New Roman" w:hAnsi="Times New Roman"/>
          <w:sz w:val="24"/>
          <w:szCs w:val="24"/>
          <w:lang w:val="pt-PT"/>
        </w:rPr>
        <w:t xml:space="preserve">idroviário); </w:t>
      </w:r>
    </w:p>
    <w:p w:rsidR="0002519A" w:rsidRPr="00CE3398" w:rsidRDefault="00421C4E" w:rsidP="00000398">
      <w:pPr>
        <w:pStyle w:val="PargrafodaLista"/>
        <w:numPr>
          <w:ilvl w:val="0"/>
          <w:numId w:val="33"/>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D</w:t>
      </w:r>
      <w:r w:rsidR="0002519A" w:rsidRPr="00CE3398">
        <w:rPr>
          <w:rFonts w:ascii="Times New Roman" w:hAnsi="Times New Roman"/>
          <w:sz w:val="24"/>
          <w:szCs w:val="24"/>
          <w:lang w:val="pt-PT"/>
        </w:rPr>
        <w:t>urante a operação de transferência de produto entre as bases de distribuição de combustíveis, a gasolina transportada já se encontra</w:t>
      </w:r>
      <w:r w:rsidR="00DD53D8" w:rsidRPr="00CE3398">
        <w:rPr>
          <w:rFonts w:ascii="Times New Roman" w:hAnsi="Times New Roman"/>
          <w:sz w:val="24"/>
          <w:szCs w:val="24"/>
          <w:lang w:val="pt-PT"/>
        </w:rPr>
        <w:t>ria</w:t>
      </w:r>
      <w:r w:rsidR="0002519A" w:rsidRPr="00CE3398">
        <w:rPr>
          <w:rFonts w:ascii="Times New Roman" w:hAnsi="Times New Roman"/>
          <w:sz w:val="24"/>
          <w:szCs w:val="24"/>
          <w:lang w:val="pt-PT"/>
        </w:rPr>
        <w:t xml:space="preserve"> aditivada, impossibilitando descarregar o produto no tanque para evitar a duplicidade na aditivação/contaminação; e</w:t>
      </w:r>
    </w:p>
    <w:p w:rsidR="0002519A" w:rsidRPr="00CE3398" w:rsidRDefault="00421C4E" w:rsidP="00000398">
      <w:pPr>
        <w:pStyle w:val="PargrafodaLista"/>
        <w:numPr>
          <w:ilvl w:val="0"/>
          <w:numId w:val="33"/>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C</w:t>
      </w:r>
      <w:r w:rsidR="0002519A" w:rsidRPr="00CE3398">
        <w:rPr>
          <w:rFonts w:ascii="Times New Roman" w:hAnsi="Times New Roman"/>
          <w:sz w:val="24"/>
          <w:szCs w:val="24"/>
          <w:lang w:val="pt-PT"/>
        </w:rPr>
        <w:t>aso o produto saia de especificação durante a aditivação, não haveria recursos disponíveis na bases de distribuição de combustíveis para reenquadramento do produto (atualmente muitas bases possuem apenas um tanque por produto, principalmente bases secundárias).</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 xml:space="preserve">Além disso, </w:t>
      </w:r>
      <w:r w:rsidR="00F84442">
        <w:rPr>
          <w:lang w:val="pt-PT"/>
        </w:rPr>
        <w:t xml:space="preserve">uma das distribuidoras consultadas informou que </w:t>
      </w:r>
      <w:r w:rsidRPr="00CE3398">
        <w:rPr>
          <w:lang w:val="pt-PT"/>
        </w:rPr>
        <w:t xml:space="preserve">no caso de aditivação nos tanques de armazenamento ou </w:t>
      </w:r>
      <w:r w:rsidR="00152E4D" w:rsidRPr="00CE3398">
        <w:rPr>
          <w:lang w:val="pt-PT"/>
        </w:rPr>
        <w:t xml:space="preserve">nas </w:t>
      </w:r>
      <w:r w:rsidR="002A2852">
        <w:rPr>
          <w:lang w:val="pt-PT"/>
        </w:rPr>
        <w:t>linhas de bombeio</w:t>
      </w:r>
      <w:r w:rsidRPr="00CE3398">
        <w:rPr>
          <w:lang w:val="pt-PT"/>
        </w:rPr>
        <w:t>, a indicação dos volumes recebidos não seria precisa, pois não haveria sistema disponível no mercado capaz de injetar a proporção correta para dutos com vazões que podem variar de 150 a 300 m³/h, com monitoramento e dosagem automática do aditivo. A operação de qualquer dosador exigiria programação manual, com volume previsto de bombeio, podendo sofrer oscilações, o que poderia deixar o produto fora das especificações para dosagem de aditivos.</w:t>
      </w:r>
    </w:p>
    <w:p w:rsidR="0002519A" w:rsidRPr="00CE3398" w:rsidRDefault="0002519A" w:rsidP="0002519A">
      <w:pPr>
        <w:spacing w:after="120" w:line="240" w:lineRule="auto"/>
        <w:rPr>
          <w:rFonts w:ascii="Times New Roman" w:hAnsi="Times New Roman"/>
          <w:b/>
          <w:sz w:val="24"/>
          <w:szCs w:val="24"/>
        </w:rPr>
      </w:pPr>
    </w:p>
    <w:p w:rsidR="0002519A" w:rsidRPr="00CE3398" w:rsidRDefault="00E24946" w:rsidP="00000398">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 xml:space="preserve">Dispêndios </w:t>
      </w:r>
      <w:r w:rsidR="0002519A" w:rsidRPr="00CE3398">
        <w:rPr>
          <w:rFonts w:ascii="Times New Roman" w:hAnsi="Times New Roman"/>
          <w:b/>
          <w:sz w:val="24"/>
          <w:szCs w:val="24"/>
        </w:rPr>
        <w:t>e Prazos da Adaptação</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As respostas</w:t>
      </w:r>
      <w:r w:rsidRPr="00CE3398">
        <w:t xml:space="preserve"> à primeira consulta aos distribuidores de </w:t>
      </w:r>
      <w:r w:rsidR="00B00382" w:rsidRPr="00CE3398">
        <w:t xml:space="preserve">combustíveis </w:t>
      </w:r>
      <w:r w:rsidRPr="00CE3398">
        <w:t xml:space="preserve">apontaram </w:t>
      </w:r>
      <w:r w:rsidR="00C6445A" w:rsidRPr="00CE3398">
        <w:rPr>
          <w:lang w:val="pt-PT"/>
        </w:rPr>
        <w:t xml:space="preserve">dispêndios </w:t>
      </w:r>
      <w:r w:rsidRPr="00CE3398">
        <w:rPr>
          <w:lang w:val="pt-PT"/>
        </w:rPr>
        <w:t xml:space="preserve">e tempo de adaptação das estruturas para o atendimento da aditivação significativamente diferentes, variando entre R$ 200 mil e R$ 160 milhões, no caso dos </w:t>
      </w:r>
      <w:r w:rsidR="00C6445A" w:rsidRPr="00CE3398">
        <w:rPr>
          <w:lang w:val="pt-PT"/>
        </w:rPr>
        <w:t>dispêndios</w:t>
      </w:r>
      <w:r w:rsidRPr="00CE3398">
        <w:rPr>
          <w:lang w:val="pt-PT"/>
        </w:rPr>
        <w:t xml:space="preserve">, e </w:t>
      </w:r>
      <w:r w:rsidR="004F20CF" w:rsidRPr="00CE3398">
        <w:rPr>
          <w:lang w:val="pt-PT"/>
        </w:rPr>
        <w:t>de um</w:t>
      </w:r>
      <w:r w:rsidRPr="00CE3398">
        <w:rPr>
          <w:lang w:val="pt-PT"/>
        </w:rPr>
        <w:t xml:space="preserve"> a </w:t>
      </w:r>
      <w:r w:rsidR="004F20CF" w:rsidRPr="00CE3398">
        <w:rPr>
          <w:lang w:val="pt-PT"/>
        </w:rPr>
        <w:t>cinco</w:t>
      </w:r>
      <w:r w:rsidRPr="00CE3398">
        <w:rPr>
          <w:lang w:val="pt-PT"/>
        </w:rPr>
        <w:t xml:space="preserve"> anos, no caso do prazo, de acordo com a infraestrutura e o número de bases e cessões de espaço em outras bases de cada distribuidor. Uma das distribuidoras informou estar pronta de imediato para tal operação. Outras ressaltaram que estão concentradas</w:t>
      </w:r>
      <w:r w:rsidR="004F20CF" w:rsidRPr="00CE3398">
        <w:rPr>
          <w:lang w:val="pt-PT"/>
        </w:rPr>
        <w:t>,</w:t>
      </w:r>
      <w:r w:rsidRPr="00CE3398">
        <w:rPr>
          <w:lang w:val="pt-PT"/>
        </w:rPr>
        <w:t xml:space="preserve"> atualmente</w:t>
      </w:r>
      <w:r w:rsidR="004F20CF" w:rsidRPr="00CE3398">
        <w:rPr>
          <w:lang w:val="pt-PT"/>
        </w:rPr>
        <w:t>,</w:t>
      </w:r>
      <w:r w:rsidRPr="00CE3398">
        <w:rPr>
          <w:lang w:val="pt-PT"/>
        </w:rPr>
        <w:t xml:space="preserve"> nos investimentos de </w:t>
      </w:r>
      <w:r w:rsidRPr="00CE3398">
        <w:rPr>
          <w:lang w:val="pt-PT"/>
        </w:rPr>
        <w:lastRenderedPageBreak/>
        <w:t xml:space="preserve">infraestrutura para adequação a recebimentos e distribuição dos vários novos tipos de </w:t>
      </w:r>
      <w:r w:rsidR="004F20CF" w:rsidRPr="00CE3398">
        <w:rPr>
          <w:lang w:val="pt-PT"/>
        </w:rPr>
        <w:t>ó</w:t>
      </w:r>
      <w:r w:rsidRPr="00CE3398">
        <w:rPr>
          <w:lang w:val="pt-PT"/>
        </w:rPr>
        <w:t xml:space="preserve">leo </w:t>
      </w:r>
      <w:r w:rsidR="004F20CF" w:rsidRPr="00CE3398">
        <w:rPr>
          <w:lang w:val="pt-PT"/>
        </w:rPr>
        <w:t>d</w:t>
      </w:r>
      <w:r w:rsidRPr="00CE3398">
        <w:rPr>
          <w:lang w:val="pt-PT"/>
        </w:rPr>
        <w:t xml:space="preserve">iesel </w:t>
      </w:r>
      <w:r w:rsidR="004F20CF" w:rsidRPr="00CE3398">
        <w:rPr>
          <w:lang w:val="pt-PT"/>
        </w:rPr>
        <w:t>b</w:t>
      </w:r>
      <w:r w:rsidRPr="00CE3398">
        <w:rPr>
          <w:lang w:val="pt-PT"/>
        </w:rPr>
        <w:t xml:space="preserve">aixo </w:t>
      </w:r>
      <w:r w:rsidR="004F20CF" w:rsidRPr="00CE3398">
        <w:rPr>
          <w:lang w:val="pt-PT"/>
        </w:rPr>
        <w:t>t</w:t>
      </w:r>
      <w:r w:rsidRPr="00CE3398">
        <w:rPr>
          <w:lang w:val="pt-PT"/>
        </w:rPr>
        <w:t xml:space="preserve">eor de </w:t>
      </w:r>
      <w:r w:rsidR="004F20CF" w:rsidRPr="00CE3398">
        <w:rPr>
          <w:lang w:val="pt-PT"/>
        </w:rPr>
        <w:t>e</w:t>
      </w:r>
      <w:r w:rsidRPr="00CE3398">
        <w:rPr>
          <w:lang w:val="pt-PT"/>
        </w:rPr>
        <w:t>nxofre.</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Além dos investimentos relacionados à infraestrutura das bases de distribuição, foram mencionados outros</w:t>
      </w:r>
      <w:r w:rsidR="00250B46" w:rsidRPr="00CE3398">
        <w:rPr>
          <w:lang w:val="pt-PT"/>
        </w:rPr>
        <w:t xml:space="preserve"> dispêndios</w:t>
      </w:r>
      <w:r w:rsidRPr="00CE3398">
        <w:rPr>
          <w:lang w:val="pt-PT"/>
        </w:rPr>
        <w:t>, como:</w:t>
      </w:r>
    </w:p>
    <w:p w:rsidR="0002519A" w:rsidRPr="00CE3398" w:rsidRDefault="00421C4E" w:rsidP="00000398">
      <w:pPr>
        <w:pStyle w:val="PargrafodaLista"/>
        <w:numPr>
          <w:ilvl w:val="0"/>
          <w:numId w:val="34"/>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A</w:t>
      </w:r>
      <w:r w:rsidR="0002519A" w:rsidRPr="00CE3398">
        <w:rPr>
          <w:rFonts w:ascii="Times New Roman" w:hAnsi="Times New Roman"/>
          <w:sz w:val="24"/>
          <w:szCs w:val="24"/>
          <w:lang w:val="pt-PT"/>
        </w:rPr>
        <w:t>umento do quadro de funcionários;</w:t>
      </w:r>
    </w:p>
    <w:p w:rsidR="0002519A" w:rsidRPr="00CE3398" w:rsidRDefault="00421C4E" w:rsidP="00000398">
      <w:pPr>
        <w:pStyle w:val="PargrafodaLista"/>
        <w:numPr>
          <w:ilvl w:val="0"/>
          <w:numId w:val="34"/>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C</w:t>
      </w:r>
      <w:r w:rsidR="0002519A" w:rsidRPr="00CE3398">
        <w:rPr>
          <w:rFonts w:ascii="Times New Roman" w:hAnsi="Times New Roman"/>
          <w:sz w:val="24"/>
          <w:szCs w:val="24"/>
          <w:lang w:val="pt-PT"/>
        </w:rPr>
        <w:t>ompra do aditivo (logística) e administração do seu estoque;</w:t>
      </w:r>
    </w:p>
    <w:p w:rsidR="0002519A" w:rsidRPr="00CE3398" w:rsidRDefault="00250B46" w:rsidP="00000398">
      <w:pPr>
        <w:pStyle w:val="PargrafodaLista"/>
        <w:numPr>
          <w:ilvl w:val="0"/>
          <w:numId w:val="34"/>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T</w:t>
      </w:r>
      <w:r w:rsidR="0002519A" w:rsidRPr="00CE3398">
        <w:rPr>
          <w:rFonts w:ascii="Times New Roman" w:hAnsi="Times New Roman"/>
          <w:sz w:val="24"/>
          <w:szCs w:val="24"/>
          <w:lang w:val="pt-PT"/>
        </w:rPr>
        <w:t>ransporte e armazenamento do aditivo,</w:t>
      </w:r>
    </w:p>
    <w:p w:rsidR="0002519A" w:rsidRPr="00CE3398" w:rsidRDefault="00421C4E" w:rsidP="00000398">
      <w:pPr>
        <w:pStyle w:val="PargrafodaLista"/>
        <w:numPr>
          <w:ilvl w:val="0"/>
          <w:numId w:val="34"/>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M</w:t>
      </w:r>
      <w:r w:rsidR="0002519A" w:rsidRPr="00CE3398">
        <w:rPr>
          <w:rFonts w:ascii="Times New Roman" w:hAnsi="Times New Roman"/>
          <w:sz w:val="24"/>
          <w:szCs w:val="24"/>
          <w:lang w:val="pt-PT"/>
        </w:rPr>
        <w:t xml:space="preserve">anutenção e operação dos sistemas de aditivação; </w:t>
      </w:r>
    </w:p>
    <w:p w:rsidR="0002519A" w:rsidRPr="00CE3398" w:rsidRDefault="00421C4E" w:rsidP="00000398">
      <w:pPr>
        <w:pStyle w:val="PargrafodaLista"/>
        <w:numPr>
          <w:ilvl w:val="0"/>
          <w:numId w:val="34"/>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P</w:t>
      </w:r>
      <w:r w:rsidR="0002519A" w:rsidRPr="00CE3398">
        <w:rPr>
          <w:rFonts w:ascii="Times New Roman" w:hAnsi="Times New Roman"/>
          <w:sz w:val="24"/>
          <w:szCs w:val="24"/>
          <w:lang w:val="pt-PT"/>
        </w:rPr>
        <w:t xml:space="preserve">ropaganda e marketing; </w:t>
      </w:r>
    </w:p>
    <w:p w:rsidR="0002519A" w:rsidRPr="00CE3398" w:rsidRDefault="00421C4E" w:rsidP="00000398">
      <w:pPr>
        <w:pStyle w:val="PargrafodaLista"/>
        <w:numPr>
          <w:ilvl w:val="0"/>
          <w:numId w:val="34"/>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P</w:t>
      </w:r>
      <w:r w:rsidR="0002519A" w:rsidRPr="00CE3398">
        <w:rPr>
          <w:rFonts w:ascii="Times New Roman" w:hAnsi="Times New Roman"/>
          <w:sz w:val="24"/>
          <w:szCs w:val="24"/>
          <w:lang w:val="pt-PT"/>
        </w:rPr>
        <w:t>rojetos ambientais e de engenharia; e</w:t>
      </w:r>
    </w:p>
    <w:p w:rsidR="0002519A" w:rsidRPr="00CE3398" w:rsidRDefault="00250B46" w:rsidP="00000398">
      <w:pPr>
        <w:pStyle w:val="PargrafodaLista"/>
        <w:numPr>
          <w:ilvl w:val="0"/>
          <w:numId w:val="34"/>
        </w:numPr>
        <w:tabs>
          <w:tab w:val="left" w:pos="0"/>
        </w:tabs>
        <w:spacing w:after="120" w:line="240" w:lineRule="auto"/>
        <w:contextualSpacing w:val="0"/>
        <w:jc w:val="both"/>
        <w:rPr>
          <w:rFonts w:ascii="Times New Roman" w:hAnsi="Times New Roman"/>
          <w:sz w:val="24"/>
          <w:szCs w:val="24"/>
          <w:lang w:val="pt-PT"/>
        </w:rPr>
      </w:pPr>
      <w:r w:rsidRPr="00CE3398">
        <w:rPr>
          <w:rFonts w:ascii="Times New Roman" w:hAnsi="Times New Roman"/>
          <w:sz w:val="24"/>
          <w:szCs w:val="24"/>
          <w:lang w:val="pt-PT"/>
        </w:rPr>
        <w:t>O</w:t>
      </w:r>
      <w:r w:rsidR="0002519A" w:rsidRPr="00CE3398">
        <w:rPr>
          <w:rFonts w:ascii="Times New Roman" w:hAnsi="Times New Roman"/>
          <w:sz w:val="24"/>
          <w:szCs w:val="24"/>
          <w:lang w:val="pt-PT"/>
        </w:rPr>
        <w:t>btenção de nova Licença de Operação junto aos órgãos ambientais e nova autorização do Corpo de Bombeiros.</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De acordo com os distribuidores, caso a aditivação da gasolina ocorra no produtor, não ser</w:t>
      </w:r>
      <w:r w:rsidR="00AC4896" w:rsidRPr="00CE3398">
        <w:rPr>
          <w:lang w:val="pt-PT"/>
        </w:rPr>
        <w:t>iam</w:t>
      </w:r>
      <w:r w:rsidRPr="00CE3398">
        <w:rPr>
          <w:lang w:val="pt-PT"/>
        </w:rPr>
        <w:t xml:space="preserve"> necessários investimentos nas bases de distribuição de combustíveis e</w:t>
      </w:r>
      <w:r w:rsidRPr="00CE3398">
        <w:rPr>
          <w:i/>
          <w:lang w:val="pt-PT"/>
        </w:rPr>
        <w:t xml:space="preserve"> pools</w:t>
      </w:r>
      <w:r w:rsidRPr="00CE3398">
        <w:rPr>
          <w:lang w:val="pt-PT"/>
        </w:rPr>
        <w:t xml:space="preserve"> para atendimento à nova regulamentação.</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A partir de dados de movimentação</w:t>
      </w:r>
      <w:r w:rsidR="009F7E61" w:rsidRPr="00CE3398">
        <w:rPr>
          <w:lang w:val="pt-PT"/>
        </w:rPr>
        <w:t xml:space="preserve"> </w:t>
      </w:r>
      <w:r w:rsidRPr="00CE3398">
        <w:rPr>
          <w:lang w:val="pt-PT"/>
        </w:rPr>
        <w:t xml:space="preserve">das distribuidoras </w:t>
      </w:r>
      <w:r w:rsidR="004C4D58" w:rsidRPr="00CE3398">
        <w:rPr>
          <w:lang w:val="pt-PT"/>
        </w:rPr>
        <w:t>de combustíveis autorizadas pela ANP</w:t>
      </w:r>
      <w:r w:rsidR="00794D0A" w:rsidRPr="00CE3398">
        <w:rPr>
          <w:lang w:val="pt-PT"/>
        </w:rPr>
        <w:t>,</w:t>
      </w:r>
      <w:r w:rsidR="0062617A" w:rsidRPr="00CE3398">
        <w:rPr>
          <w:lang w:val="pt-PT"/>
        </w:rPr>
        <w:t xml:space="preserve"> </w:t>
      </w:r>
      <w:r w:rsidR="004C4D58" w:rsidRPr="00CE3398">
        <w:rPr>
          <w:lang w:val="pt-PT"/>
        </w:rPr>
        <w:t xml:space="preserve">relativos ao ano de 2012, </w:t>
      </w:r>
      <w:r w:rsidR="0062617A" w:rsidRPr="00CE3398">
        <w:rPr>
          <w:lang w:val="pt-PT"/>
        </w:rPr>
        <w:t>constantes no Sistema de Informações de Movimentação de Produtos – SIMP/ANP</w:t>
      </w:r>
      <w:r w:rsidRPr="00CE3398">
        <w:rPr>
          <w:lang w:val="pt-PT"/>
        </w:rPr>
        <w:t>, verificou-se que</w:t>
      </w:r>
      <w:r w:rsidR="004C4D58" w:rsidRPr="00CE3398">
        <w:rPr>
          <w:lang w:val="pt-PT"/>
        </w:rPr>
        <w:t xml:space="preserve"> 23% </w:t>
      </w:r>
      <w:r w:rsidRPr="00CE3398">
        <w:rPr>
          <w:lang w:val="pt-PT"/>
        </w:rPr>
        <w:t xml:space="preserve"> de toda a gasolina </w:t>
      </w:r>
      <w:r w:rsidR="003A143D" w:rsidRPr="00CE3398">
        <w:rPr>
          <w:lang w:val="pt-PT"/>
        </w:rPr>
        <w:t>comercializada</w:t>
      </w:r>
      <w:r w:rsidRPr="00CE3398">
        <w:rPr>
          <w:lang w:val="pt-PT"/>
        </w:rPr>
        <w:t xml:space="preserve"> no país </w:t>
      </w:r>
      <w:r w:rsidR="003A143D" w:rsidRPr="00CE3398">
        <w:rPr>
          <w:lang w:val="pt-PT"/>
        </w:rPr>
        <w:t>é</w:t>
      </w:r>
      <w:r w:rsidRPr="00CE3398">
        <w:rPr>
          <w:lang w:val="pt-PT"/>
        </w:rPr>
        <w:t xml:space="preserve"> aditivada. Entre as formas de </w:t>
      </w:r>
      <w:r w:rsidR="00E95080" w:rsidRPr="00CE3398">
        <w:rPr>
          <w:lang w:val="pt-PT"/>
        </w:rPr>
        <w:t xml:space="preserve">se </w:t>
      </w:r>
      <w:r w:rsidRPr="00CE3398">
        <w:rPr>
          <w:lang w:val="pt-PT"/>
        </w:rPr>
        <w:t>proceder a aditivação, foram apontadas:</w:t>
      </w:r>
    </w:p>
    <w:p w:rsidR="0002519A" w:rsidRPr="00CE3398" w:rsidRDefault="0002519A" w:rsidP="0002519A">
      <w:pPr>
        <w:pStyle w:val="PargrafodaLista"/>
        <w:numPr>
          <w:ilvl w:val="0"/>
          <w:numId w:val="14"/>
        </w:numPr>
        <w:tabs>
          <w:tab w:val="left" w:pos="567"/>
          <w:tab w:val="left" w:pos="709"/>
        </w:tabs>
        <w:spacing w:after="120"/>
        <w:ind w:left="709" w:hanging="283"/>
        <w:contextualSpacing w:val="0"/>
        <w:jc w:val="both"/>
        <w:rPr>
          <w:rFonts w:ascii="Times New Roman" w:hAnsi="Times New Roman"/>
          <w:sz w:val="24"/>
          <w:szCs w:val="24"/>
        </w:rPr>
      </w:pPr>
      <w:r w:rsidRPr="00CE3398">
        <w:rPr>
          <w:rFonts w:ascii="Times New Roman" w:hAnsi="Times New Roman"/>
          <w:sz w:val="24"/>
          <w:szCs w:val="24"/>
          <w:lang w:val="pt-PT"/>
        </w:rPr>
        <w:t>Por injeção (injetores) durante o carregamento de gasolina na plataforma;</w:t>
      </w:r>
    </w:p>
    <w:p w:rsidR="0002519A" w:rsidRPr="00CE3398" w:rsidRDefault="0002519A" w:rsidP="0002519A">
      <w:pPr>
        <w:pStyle w:val="PargrafodaLista"/>
        <w:numPr>
          <w:ilvl w:val="0"/>
          <w:numId w:val="14"/>
        </w:numPr>
        <w:tabs>
          <w:tab w:val="left" w:pos="567"/>
          <w:tab w:val="left" w:pos="709"/>
        </w:tabs>
        <w:spacing w:after="120"/>
        <w:ind w:left="709" w:hanging="283"/>
        <w:contextualSpacing w:val="0"/>
        <w:jc w:val="both"/>
        <w:rPr>
          <w:rFonts w:ascii="Times New Roman" w:hAnsi="Times New Roman"/>
          <w:sz w:val="24"/>
          <w:szCs w:val="24"/>
          <w:lang w:val="pt-PT"/>
        </w:rPr>
      </w:pPr>
      <w:r w:rsidRPr="00CE3398">
        <w:rPr>
          <w:rFonts w:ascii="Times New Roman" w:hAnsi="Times New Roman"/>
          <w:sz w:val="24"/>
          <w:szCs w:val="24"/>
        </w:rPr>
        <w:t xml:space="preserve">Por </w:t>
      </w:r>
      <w:r w:rsidRPr="00CE3398">
        <w:rPr>
          <w:rFonts w:ascii="Times New Roman" w:hAnsi="Times New Roman"/>
          <w:sz w:val="24"/>
          <w:szCs w:val="24"/>
          <w:lang w:val="pt-PT"/>
        </w:rPr>
        <w:t xml:space="preserve">bomba mecânica ou sistema </w:t>
      </w:r>
      <w:r w:rsidR="00023736" w:rsidRPr="00CE3398">
        <w:rPr>
          <w:rFonts w:ascii="Times New Roman" w:hAnsi="Times New Roman"/>
          <w:i/>
          <w:sz w:val="24"/>
          <w:szCs w:val="24"/>
          <w:lang w:val="pt-PT"/>
        </w:rPr>
        <w:t>selfdrive</w:t>
      </w:r>
      <w:r w:rsidRPr="00CE3398">
        <w:rPr>
          <w:rFonts w:ascii="Times New Roman" w:hAnsi="Times New Roman"/>
          <w:sz w:val="24"/>
          <w:szCs w:val="24"/>
          <w:lang w:val="pt-PT"/>
        </w:rPr>
        <w:t xml:space="preserve">; </w:t>
      </w:r>
      <w:proofErr w:type="gramStart"/>
      <w:r w:rsidRPr="00CE3398">
        <w:rPr>
          <w:rFonts w:ascii="Times New Roman" w:hAnsi="Times New Roman"/>
          <w:sz w:val="24"/>
          <w:szCs w:val="24"/>
          <w:lang w:val="pt-PT"/>
        </w:rPr>
        <w:t>e</w:t>
      </w:r>
      <w:proofErr w:type="gramEnd"/>
    </w:p>
    <w:p w:rsidR="0002519A" w:rsidRPr="00CE3398" w:rsidRDefault="0002519A" w:rsidP="0002519A">
      <w:pPr>
        <w:pStyle w:val="NormalWeb"/>
        <w:numPr>
          <w:ilvl w:val="0"/>
          <w:numId w:val="14"/>
        </w:numPr>
        <w:tabs>
          <w:tab w:val="left" w:pos="567"/>
          <w:tab w:val="left" w:pos="709"/>
        </w:tabs>
        <w:spacing w:before="0" w:beforeAutospacing="0" w:after="120" w:afterAutospacing="0" w:line="276" w:lineRule="auto"/>
        <w:ind w:left="0" w:firstLine="426"/>
        <w:jc w:val="both"/>
        <w:rPr>
          <w:rFonts w:eastAsia="Calibri"/>
          <w:lang w:val="pt-PT" w:eastAsia="en-US"/>
        </w:rPr>
      </w:pPr>
      <w:r w:rsidRPr="00CE3398">
        <w:rPr>
          <w:rFonts w:eastAsia="Calibri"/>
          <w:lang w:val="pt-PT" w:eastAsia="en-US"/>
        </w:rPr>
        <w:t>Aditivação manual (</w:t>
      </w:r>
      <w:r w:rsidRPr="00CE3398">
        <w:rPr>
          <w:rFonts w:eastAsia="Calibri"/>
          <w:i/>
          <w:lang w:val="pt-PT" w:eastAsia="en-US"/>
        </w:rPr>
        <w:t>tea cup</w:t>
      </w:r>
      <w:r w:rsidRPr="00CE3398">
        <w:rPr>
          <w:rFonts w:eastAsia="Calibri"/>
          <w:lang w:val="pt-PT" w:eastAsia="en-US"/>
        </w:rPr>
        <w:t xml:space="preserve">): para cada volume de </w:t>
      </w:r>
      <w:r w:rsidR="00D028B0" w:rsidRPr="00CE3398">
        <w:rPr>
          <w:rFonts w:eastAsia="Calibri"/>
          <w:lang w:val="pt-PT" w:eastAsia="en-US"/>
        </w:rPr>
        <w:t>g</w:t>
      </w:r>
      <w:r w:rsidRPr="00CE3398">
        <w:rPr>
          <w:rFonts w:eastAsia="Calibri"/>
          <w:lang w:val="pt-PT" w:eastAsia="en-US"/>
        </w:rPr>
        <w:t xml:space="preserve">asolina </w:t>
      </w:r>
      <w:r w:rsidR="00D028B0" w:rsidRPr="00CE3398">
        <w:rPr>
          <w:rFonts w:eastAsia="Calibri"/>
          <w:lang w:val="pt-PT" w:eastAsia="en-US"/>
        </w:rPr>
        <w:t>a</w:t>
      </w:r>
      <w:r w:rsidRPr="00CE3398">
        <w:rPr>
          <w:rFonts w:eastAsia="Calibri"/>
          <w:lang w:val="pt-PT" w:eastAsia="en-US"/>
        </w:rPr>
        <w:t>ditivada no caminhão-tanque são adicionad</w:t>
      </w:r>
      <w:r w:rsidR="00D028B0" w:rsidRPr="00CE3398">
        <w:rPr>
          <w:rFonts w:eastAsia="Calibri"/>
          <w:lang w:val="pt-PT" w:eastAsia="en-US"/>
        </w:rPr>
        <w:t>o</w:t>
      </w:r>
      <w:r w:rsidRPr="00CE3398">
        <w:rPr>
          <w:rFonts w:eastAsia="Calibri"/>
          <w:lang w:val="pt-PT" w:eastAsia="en-US"/>
        </w:rPr>
        <w:t xml:space="preserve">s frascos com dosagens específicas, conforme recomendação do fabricante do aditivo. Tal procedimento é realizado na plataforma de carregamento de caminhão-tanque ou em uma </w:t>
      </w:r>
      <w:r w:rsidR="00D028B0" w:rsidRPr="00CE3398">
        <w:rPr>
          <w:rFonts w:eastAsia="Calibri"/>
          <w:lang w:val="pt-PT" w:eastAsia="en-US"/>
        </w:rPr>
        <w:t>p</w:t>
      </w:r>
      <w:r w:rsidRPr="00CE3398">
        <w:rPr>
          <w:rFonts w:eastAsia="Calibri"/>
          <w:lang w:val="pt-PT" w:eastAsia="en-US"/>
        </w:rPr>
        <w:t xml:space="preserve">lataforma de </w:t>
      </w:r>
      <w:r w:rsidR="00D028B0" w:rsidRPr="00CE3398">
        <w:rPr>
          <w:rFonts w:eastAsia="Calibri"/>
          <w:lang w:val="pt-PT" w:eastAsia="en-US"/>
        </w:rPr>
        <w:t>a</w:t>
      </w:r>
      <w:r w:rsidRPr="00CE3398">
        <w:rPr>
          <w:rFonts w:eastAsia="Calibri"/>
          <w:lang w:val="pt-PT" w:eastAsia="en-US"/>
        </w:rPr>
        <w:t>cesso independente.</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Algumas distribuidoras que utilizam uma das duas primeiras formas de aditivação citadas acima comentaram que as bombas e injetores estão dimensionados para atender parcialmente o carregamento de gasolina, sendo necessários investimentos em sistemas novos para aditivação da gasolina. Importante ressaltar que para a aditivação da gasolina através de bomba mecânica (</w:t>
      </w:r>
      <w:r w:rsidRPr="00CE3398">
        <w:rPr>
          <w:i/>
          <w:lang w:val="pt-PT"/>
        </w:rPr>
        <w:t>selfdriver</w:t>
      </w:r>
      <w:r w:rsidRPr="00CE3398">
        <w:rPr>
          <w:lang w:val="pt-PT"/>
        </w:rPr>
        <w:t>) ou aditivação manual, a operação sempre ocorrerá após o carregamento dos caminhões</w:t>
      </w:r>
      <w:r w:rsidR="001C52D4" w:rsidRPr="00CE3398">
        <w:rPr>
          <w:lang w:val="pt-PT"/>
        </w:rPr>
        <w:t>-</w:t>
      </w:r>
      <w:r w:rsidRPr="00CE3398">
        <w:rPr>
          <w:lang w:val="pt-PT"/>
        </w:rPr>
        <w:t>tanques nas plataformas.</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 xml:space="preserve">A maioria das distribuidoras consultadas declarou que pretende aditivar a gasolina em suas instalações, no caso da obrigatoriedade, mas uma delas informou que, dependendo dos </w:t>
      </w:r>
      <w:r w:rsidR="00250B46" w:rsidRPr="00CE3398">
        <w:rPr>
          <w:lang w:val="pt-PT"/>
        </w:rPr>
        <w:t xml:space="preserve">preços </w:t>
      </w:r>
      <w:r w:rsidRPr="00CE3398">
        <w:rPr>
          <w:lang w:val="pt-PT"/>
        </w:rPr>
        <w:t>de mercado, poder</w:t>
      </w:r>
      <w:r w:rsidR="00BA140E" w:rsidRPr="00CE3398">
        <w:rPr>
          <w:lang w:val="pt-PT"/>
        </w:rPr>
        <w:t>á</w:t>
      </w:r>
      <w:r w:rsidRPr="00CE3398">
        <w:rPr>
          <w:lang w:val="pt-PT"/>
        </w:rPr>
        <w:t xml:space="preserve"> adquirir a gasolina já aditivada de outro distribuidor.</w:t>
      </w:r>
    </w:p>
    <w:p w:rsidR="0072557A" w:rsidRDefault="0002519A" w:rsidP="009164E3">
      <w:pPr>
        <w:pStyle w:val="NormalWeb"/>
        <w:spacing w:before="0" w:beforeAutospacing="0" w:after="120" w:afterAutospacing="0" w:line="276" w:lineRule="auto"/>
        <w:ind w:firstLine="708"/>
        <w:jc w:val="both"/>
        <w:rPr>
          <w:lang w:val="pt-PT"/>
        </w:rPr>
      </w:pPr>
      <w:r w:rsidRPr="00CE3398">
        <w:rPr>
          <w:lang w:val="pt-PT"/>
        </w:rPr>
        <w:t xml:space="preserve">A falta de uniformidade das informações apresentadas motivou, também no caso dos distribuidores, o envio de nova consulta aos agentes. As respostas dos distribuidores de gasolina ao segundo pedido de informação foram consolidadas na </w:t>
      </w:r>
      <w:r w:rsidR="002B169A" w:rsidRPr="00CE3398">
        <w:rPr>
          <w:lang w:val="pt-PT"/>
        </w:rPr>
        <w:t xml:space="preserve">Tabela </w:t>
      </w:r>
      <w:r w:rsidR="005666E6" w:rsidRPr="00CE3398">
        <w:rPr>
          <w:lang w:val="pt-PT"/>
        </w:rPr>
        <w:t>3</w:t>
      </w:r>
      <w:r w:rsidR="003428BD">
        <w:rPr>
          <w:lang w:val="pt-PT"/>
        </w:rPr>
        <w:t>, que apresenta os somatórios para o conjunto dos distribuidores consultados</w:t>
      </w:r>
      <w:r w:rsidR="004D2A5D" w:rsidRPr="00CE3398">
        <w:rPr>
          <w:lang w:val="pt-PT"/>
        </w:rPr>
        <w:t>.</w:t>
      </w:r>
    </w:p>
    <w:p w:rsidR="009164E3" w:rsidRPr="00CE3398" w:rsidRDefault="009164E3" w:rsidP="009164E3">
      <w:pPr>
        <w:pStyle w:val="NormalWeb"/>
        <w:spacing w:before="0" w:beforeAutospacing="0" w:after="120" w:afterAutospacing="0" w:line="276" w:lineRule="auto"/>
        <w:ind w:firstLine="708"/>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8"/>
        <w:gridCol w:w="3625"/>
        <w:gridCol w:w="1401"/>
        <w:gridCol w:w="1401"/>
        <w:gridCol w:w="1401"/>
        <w:gridCol w:w="1325"/>
      </w:tblGrid>
      <w:tr w:rsidR="00D340F2" w:rsidRPr="00000398" w:rsidTr="00000398">
        <w:tc>
          <w:tcPr>
            <w:tcW w:w="5000" w:type="pct"/>
            <w:gridSpan w:val="6"/>
            <w:tcBorders>
              <w:top w:val="nil"/>
              <w:left w:val="nil"/>
              <w:bottom w:val="nil"/>
              <w:right w:val="nil"/>
            </w:tcBorders>
            <w:vAlign w:val="center"/>
          </w:tcPr>
          <w:p w:rsidR="00D340F2" w:rsidRPr="00000398" w:rsidRDefault="00D340F2" w:rsidP="00D340F2">
            <w:pPr>
              <w:spacing w:after="0" w:line="240" w:lineRule="auto"/>
              <w:jc w:val="center"/>
              <w:rPr>
                <w:rFonts w:ascii="Times New Roman" w:hAnsi="Times New Roman"/>
                <w:b/>
                <w:sz w:val="20"/>
                <w:szCs w:val="20"/>
              </w:rPr>
            </w:pPr>
            <w:r w:rsidRPr="00000398">
              <w:rPr>
                <w:rFonts w:ascii="Times New Roman" w:hAnsi="Times New Roman"/>
                <w:b/>
                <w:sz w:val="20"/>
                <w:szCs w:val="20"/>
              </w:rPr>
              <w:lastRenderedPageBreak/>
              <w:t>Tabela 3 - Consolidação de informações – Distribuidores de gasolina A</w:t>
            </w:r>
          </w:p>
          <w:p w:rsidR="00D340F2" w:rsidRPr="00000398" w:rsidRDefault="00D340F2" w:rsidP="00D340F2">
            <w:pPr>
              <w:spacing w:after="0" w:line="240" w:lineRule="auto"/>
              <w:jc w:val="center"/>
              <w:rPr>
                <w:rFonts w:ascii="Times New Roman" w:hAnsi="Times New Roman"/>
                <w:b/>
                <w:sz w:val="20"/>
                <w:szCs w:val="20"/>
              </w:rPr>
            </w:pPr>
          </w:p>
        </w:tc>
      </w:tr>
      <w:tr w:rsidR="00D340F2" w:rsidRPr="00000398" w:rsidTr="00000398">
        <w:tc>
          <w:tcPr>
            <w:tcW w:w="5000" w:type="pct"/>
            <w:gridSpan w:val="6"/>
            <w:tcBorders>
              <w:top w:val="nil"/>
              <w:left w:val="nil"/>
              <w:bottom w:val="nil"/>
              <w:right w:val="nil"/>
            </w:tcBorders>
            <w:vAlign w:val="center"/>
          </w:tcPr>
          <w:p w:rsidR="00D340F2" w:rsidRPr="00000398" w:rsidRDefault="00D340F2" w:rsidP="00D340F2">
            <w:pPr>
              <w:spacing w:after="0" w:line="240" w:lineRule="auto"/>
              <w:jc w:val="right"/>
              <w:rPr>
                <w:rFonts w:ascii="Times New Roman" w:hAnsi="Times New Roman"/>
                <w:sz w:val="20"/>
                <w:szCs w:val="20"/>
              </w:rPr>
            </w:pPr>
            <w:r w:rsidRPr="00000398">
              <w:rPr>
                <w:rFonts w:ascii="Times New Roman" w:hAnsi="Times New Roman"/>
                <w:sz w:val="20"/>
                <w:szCs w:val="20"/>
              </w:rPr>
              <w:t>Valores em milhares de reais</w:t>
            </w:r>
          </w:p>
        </w:tc>
      </w:tr>
      <w:tr w:rsidR="009A3431" w:rsidRPr="00000398" w:rsidTr="00000398">
        <w:tc>
          <w:tcPr>
            <w:tcW w:w="2112" w:type="pct"/>
            <w:gridSpan w:val="2"/>
            <w:tcBorders>
              <w:top w:val="nil"/>
              <w:left w:val="nil"/>
              <w:bottom w:val="single" w:sz="12" w:space="0" w:color="000000"/>
              <w:right w:val="nil"/>
            </w:tcBorders>
            <w:shd w:val="clear" w:color="auto" w:fill="FDE9D9" w:themeFill="accent6" w:themeFillTint="33"/>
            <w:vAlign w:val="center"/>
          </w:tcPr>
          <w:p w:rsidR="0002519A" w:rsidRPr="00000398" w:rsidRDefault="0002519A" w:rsidP="000E6125">
            <w:pPr>
              <w:spacing w:after="0" w:line="240" w:lineRule="auto"/>
              <w:ind w:firstLine="708"/>
              <w:jc w:val="center"/>
              <w:rPr>
                <w:rFonts w:ascii="Times New Roman" w:hAnsi="Times New Roman"/>
                <w:b/>
                <w:sz w:val="20"/>
                <w:szCs w:val="20"/>
              </w:rPr>
            </w:pPr>
            <w:r w:rsidRPr="00000398">
              <w:rPr>
                <w:rFonts w:ascii="Times New Roman" w:hAnsi="Times New Roman"/>
                <w:b/>
                <w:sz w:val="20"/>
                <w:szCs w:val="20"/>
              </w:rPr>
              <w:t xml:space="preserve">Categorias de </w:t>
            </w:r>
            <w:r w:rsidR="000E6125" w:rsidRPr="00000398">
              <w:rPr>
                <w:rFonts w:ascii="Times New Roman" w:hAnsi="Times New Roman"/>
                <w:b/>
                <w:sz w:val="20"/>
                <w:szCs w:val="20"/>
              </w:rPr>
              <w:t>dispêndio</w:t>
            </w:r>
          </w:p>
        </w:tc>
        <w:tc>
          <w:tcPr>
            <w:tcW w:w="732" w:type="pct"/>
            <w:tcBorders>
              <w:top w:val="nil"/>
              <w:left w:val="nil"/>
              <w:bottom w:val="single" w:sz="12" w:space="0" w:color="000000"/>
              <w:right w:val="nil"/>
            </w:tcBorders>
            <w:shd w:val="clear" w:color="auto" w:fill="FDE9D9" w:themeFill="accent6" w:themeFillTint="33"/>
            <w:vAlign w:val="center"/>
          </w:tcPr>
          <w:p w:rsidR="0002519A" w:rsidRPr="00000398" w:rsidRDefault="0002519A" w:rsidP="00F62AF0">
            <w:pPr>
              <w:spacing w:after="0" w:line="240" w:lineRule="auto"/>
              <w:jc w:val="center"/>
              <w:rPr>
                <w:rFonts w:ascii="Times New Roman" w:hAnsi="Times New Roman"/>
                <w:b/>
                <w:sz w:val="20"/>
                <w:szCs w:val="20"/>
              </w:rPr>
            </w:pPr>
            <w:r w:rsidRPr="00000398">
              <w:rPr>
                <w:rFonts w:ascii="Times New Roman" w:hAnsi="Times New Roman"/>
                <w:b/>
                <w:sz w:val="20"/>
                <w:szCs w:val="20"/>
              </w:rPr>
              <w:t>2013</w:t>
            </w:r>
          </w:p>
        </w:tc>
        <w:tc>
          <w:tcPr>
            <w:tcW w:w="732" w:type="pct"/>
            <w:tcBorders>
              <w:top w:val="nil"/>
              <w:left w:val="nil"/>
              <w:bottom w:val="single" w:sz="12" w:space="0" w:color="000000"/>
              <w:right w:val="nil"/>
            </w:tcBorders>
            <w:shd w:val="clear" w:color="auto" w:fill="FDE9D9" w:themeFill="accent6" w:themeFillTint="33"/>
            <w:vAlign w:val="center"/>
          </w:tcPr>
          <w:p w:rsidR="0002519A" w:rsidRPr="00000398" w:rsidRDefault="0002519A" w:rsidP="00F62AF0">
            <w:pPr>
              <w:spacing w:after="0" w:line="240" w:lineRule="auto"/>
              <w:jc w:val="center"/>
              <w:rPr>
                <w:rFonts w:ascii="Times New Roman" w:hAnsi="Times New Roman"/>
                <w:b/>
                <w:sz w:val="20"/>
                <w:szCs w:val="20"/>
              </w:rPr>
            </w:pPr>
            <w:r w:rsidRPr="00000398">
              <w:rPr>
                <w:rFonts w:ascii="Times New Roman" w:hAnsi="Times New Roman"/>
                <w:b/>
                <w:sz w:val="20"/>
                <w:szCs w:val="20"/>
              </w:rPr>
              <w:t>2014</w:t>
            </w:r>
          </w:p>
        </w:tc>
        <w:tc>
          <w:tcPr>
            <w:tcW w:w="732" w:type="pct"/>
            <w:tcBorders>
              <w:top w:val="nil"/>
              <w:left w:val="nil"/>
              <w:bottom w:val="single" w:sz="12" w:space="0" w:color="000000"/>
              <w:right w:val="nil"/>
            </w:tcBorders>
            <w:shd w:val="clear" w:color="auto" w:fill="FDE9D9" w:themeFill="accent6" w:themeFillTint="33"/>
            <w:vAlign w:val="center"/>
          </w:tcPr>
          <w:p w:rsidR="0002519A" w:rsidRPr="00000398" w:rsidRDefault="0002519A" w:rsidP="00F62AF0">
            <w:pPr>
              <w:spacing w:after="0" w:line="240" w:lineRule="auto"/>
              <w:jc w:val="center"/>
              <w:rPr>
                <w:rFonts w:ascii="Times New Roman" w:hAnsi="Times New Roman"/>
                <w:b/>
                <w:sz w:val="20"/>
                <w:szCs w:val="20"/>
              </w:rPr>
            </w:pPr>
            <w:r w:rsidRPr="00000398">
              <w:rPr>
                <w:rFonts w:ascii="Times New Roman" w:hAnsi="Times New Roman"/>
                <w:b/>
                <w:sz w:val="20"/>
                <w:szCs w:val="20"/>
              </w:rPr>
              <w:t>2015</w:t>
            </w:r>
          </w:p>
        </w:tc>
        <w:tc>
          <w:tcPr>
            <w:tcW w:w="691" w:type="pct"/>
            <w:tcBorders>
              <w:top w:val="nil"/>
              <w:left w:val="nil"/>
              <w:bottom w:val="single" w:sz="12" w:space="0" w:color="000000"/>
              <w:right w:val="nil"/>
            </w:tcBorders>
            <w:shd w:val="clear" w:color="auto" w:fill="FDE9D9" w:themeFill="accent6" w:themeFillTint="33"/>
            <w:vAlign w:val="center"/>
          </w:tcPr>
          <w:p w:rsidR="0002519A" w:rsidRPr="00000398" w:rsidRDefault="0002519A" w:rsidP="00F62AF0">
            <w:pPr>
              <w:spacing w:after="0" w:line="240" w:lineRule="auto"/>
              <w:jc w:val="center"/>
              <w:rPr>
                <w:rFonts w:ascii="Times New Roman" w:hAnsi="Times New Roman"/>
                <w:b/>
                <w:sz w:val="20"/>
                <w:szCs w:val="20"/>
              </w:rPr>
            </w:pPr>
            <w:r w:rsidRPr="00000398">
              <w:rPr>
                <w:rFonts w:ascii="Times New Roman" w:hAnsi="Times New Roman"/>
                <w:b/>
                <w:sz w:val="20"/>
                <w:szCs w:val="20"/>
              </w:rPr>
              <w:t>2016 em diante</w:t>
            </w:r>
          </w:p>
        </w:tc>
      </w:tr>
      <w:tr w:rsidR="009A3431" w:rsidRPr="00000398" w:rsidTr="00000398">
        <w:tc>
          <w:tcPr>
            <w:tcW w:w="218" w:type="pct"/>
            <w:tcBorders>
              <w:top w:val="single" w:sz="12" w:space="0" w:color="000000"/>
              <w:left w:val="nil"/>
            </w:tcBorders>
            <w:vAlign w:val="center"/>
          </w:tcPr>
          <w:p w:rsidR="0002519A" w:rsidRPr="00000398" w:rsidRDefault="0002519A" w:rsidP="00F62AF0">
            <w:pPr>
              <w:spacing w:after="0" w:line="240" w:lineRule="auto"/>
              <w:jc w:val="center"/>
              <w:rPr>
                <w:rFonts w:ascii="Times New Roman" w:hAnsi="Times New Roman"/>
                <w:sz w:val="20"/>
                <w:szCs w:val="20"/>
              </w:rPr>
            </w:pPr>
            <w:r w:rsidRPr="00000398">
              <w:rPr>
                <w:rFonts w:ascii="Times New Roman" w:hAnsi="Times New Roman"/>
                <w:sz w:val="20"/>
                <w:szCs w:val="20"/>
              </w:rPr>
              <w:t>A</w:t>
            </w:r>
          </w:p>
        </w:tc>
        <w:tc>
          <w:tcPr>
            <w:tcW w:w="1894" w:type="pct"/>
            <w:tcBorders>
              <w:top w:val="single" w:sz="12" w:space="0" w:color="000000"/>
            </w:tcBorders>
          </w:tcPr>
          <w:p w:rsidR="0002519A" w:rsidRPr="00000398" w:rsidRDefault="0002519A" w:rsidP="009A769F">
            <w:pPr>
              <w:spacing w:after="0" w:line="240" w:lineRule="auto"/>
              <w:jc w:val="both"/>
              <w:rPr>
                <w:rFonts w:ascii="Times New Roman" w:hAnsi="Times New Roman"/>
                <w:sz w:val="20"/>
                <w:szCs w:val="20"/>
              </w:rPr>
            </w:pPr>
            <w:r w:rsidRPr="00000398">
              <w:rPr>
                <w:rFonts w:ascii="Times New Roman" w:hAnsi="Times New Roman"/>
                <w:sz w:val="20"/>
                <w:szCs w:val="20"/>
              </w:rPr>
              <w:t xml:space="preserve">Investimentos na adequação da </w:t>
            </w:r>
            <w:r w:rsidR="005C6518" w:rsidRPr="00000398">
              <w:rPr>
                <w:rFonts w:ascii="Times New Roman" w:hAnsi="Times New Roman"/>
                <w:sz w:val="20"/>
                <w:szCs w:val="20"/>
              </w:rPr>
              <w:t>i</w:t>
            </w:r>
            <w:r w:rsidRPr="00000398">
              <w:rPr>
                <w:rFonts w:ascii="Times New Roman" w:hAnsi="Times New Roman"/>
                <w:sz w:val="20"/>
                <w:szCs w:val="20"/>
              </w:rPr>
              <w:t xml:space="preserve">nfraestrutura </w:t>
            </w:r>
            <w:r w:rsidR="000E6125" w:rsidRPr="00000398">
              <w:rPr>
                <w:rFonts w:ascii="Times New Roman" w:hAnsi="Times New Roman"/>
                <w:sz w:val="20"/>
                <w:szCs w:val="20"/>
              </w:rPr>
              <w:t>–</w:t>
            </w:r>
            <w:r w:rsidRPr="00000398">
              <w:rPr>
                <w:rFonts w:ascii="Times New Roman" w:hAnsi="Times New Roman"/>
                <w:sz w:val="20"/>
                <w:szCs w:val="20"/>
              </w:rPr>
              <w:t xml:space="preserve"> obras civis, equipamentos, </w:t>
            </w:r>
            <w:r w:rsidRPr="00000398">
              <w:rPr>
                <w:rFonts w:ascii="Times New Roman" w:hAnsi="Times New Roman"/>
                <w:i/>
                <w:sz w:val="20"/>
                <w:szCs w:val="20"/>
              </w:rPr>
              <w:t>softwares</w:t>
            </w:r>
            <w:r w:rsidRPr="00000398">
              <w:rPr>
                <w:rFonts w:ascii="Times New Roman" w:hAnsi="Times New Roman"/>
                <w:sz w:val="20"/>
                <w:szCs w:val="20"/>
              </w:rPr>
              <w:t xml:space="preserve"> e automação (inclusive </w:t>
            </w:r>
            <w:r w:rsidR="009A769F" w:rsidRPr="00000398">
              <w:rPr>
                <w:rFonts w:ascii="Times New Roman" w:hAnsi="Times New Roman"/>
                <w:sz w:val="20"/>
                <w:szCs w:val="20"/>
              </w:rPr>
              <w:t xml:space="preserve">dispêndios </w:t>
            </w:r>
            <w:r w:rsidRPr="00000398">
              <w:rPr>
                <w:rFonts w:ascii="Times New Roman" w:hAnsi="Times New Roman"/>
                <w:sz w:val="20"/>
                <w:szCs w:val="20"/>
              </w:rPr>
              <w:t>com projetos</w:t>
            </w:r>
            <w:proofErr w:type="gramStart"/>
            <w:r w:rsidRPr="00000398">
              <w:rPr>
                <w:rFonts w:ascii="Times New Roman" w:hAnsi="Times New Roman"/>
                <w:sz w:val="20"/>
                <w:szCs w:val="20"/>
              </w:rPr>
              <w:t>)</w:t>
            </w:r>
            <w:proofErr w:type="gramEnd"/>
          </w:p>
        </w:tc>
        <w:tc>
          <w:tcPr>
            <w:tcW w:w="732" w:type="pct"/>
            <w:tcBorders>
              <w:top w:val="single" w:sz="12" w:space="0" w:color="000000"/>
            </w:tcBorders>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82.047,03</w:t>
            </w:r>
          </w:p>
        </w:tc>
        <w:tc>
          <w:tcPr>
            <w:tcW w:w="732" w:type="pct"/>
            <w:tcBorders>
              <w:top w:val="single" w:sz="12" w:space="0" w:color="000000"/>
            </w:tcBorders>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78.776,13</w:t>
            </w:r>
          </w:p>
        </w:tc>
        <w:tc>
          <w:tcPr>
            <w:tcW w:w="732" w:type="pct"/>
            <w:tcBorders>
              <w:top w:val="single" w:sz="12" w:space="0" w:color="000000"/>
            </w:tcBorders>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41.542,27</w:t>
            </w:r>
          </w:p>
        </w:tc>
        <w:tc>
          <w:tcPr>
            <w:tcW w:w="691" w:type="pct"/>
            <w:tcBorders>
              <w:top w:val="single" w:sz="12" w:space="0" w:color="000000"/>
              <w:right w:val="nil"/>
            </w:tcBorders>
            <w:vAlign w:val="center"/>
          </w:tcPr>
          <w:p w:rsidR="0002519A" w:rsidRPr="00000398" w:rsidRDefault="0002519A" w:rsidP="00F62AF0">
            <w:pPr>
              <w:spacing w:after="0" w:line="240" w:lineRule="auto"/>
              <w:jc w:val="center"/>
              <w:rPr>
                <w:rFonts w:ascii="Times New Roman" w:hAnsi="Times New Roman"/>
                <w:sz w:val="20"/>
                <w:szCs w:val="20"/>
              </w:rPr>
            </w:pPr>
            <w:r w:rsidRPr="00000398">
              <w:rPr>
                <w:rFonts w:ascii="Times New Roman" w:hAnsi="Times New Roman"/>
                <w:sz w:val="20"/>
                <w:szCs w:val="20"/>
              </w:rPr>
              <w:t>Não se aplica</w:t>
            </w:r>
          </w:p>
        </w:tc>
      </w:tr>
      <w:tr w:rsidR="009A3431" w:rsidRPr="00000398" w:rsidTr="00000398">
        <w:tc>
          <w:tcPr>
            <w:tcW w:w="218" w:type="pct"/>
            <w:tcBorders>
              <w:left w:val="nil"/>
            </w:tcBorders>
            <w:vAlign w:val="center"/>
          </w:tcPr>
          <w:p w:rsidR="0002519A" w:rsidRPr="00000398" w:rsidRDefault="0002519A" w:rsidP="00F62AF0">
            <w:pPr>
              <w:spacing w:after="0" w:line="240" w:lineRule="auto"/>
              <w:jc w:val="center"/>
              <w:rPr>
                <w:rFonts w:ascii="Times New Roman" w:hAnsi="Times New Roman"/>
                <w:sz w:val="20"/>
                <w:szCs w:val="20"/>
              </w:rPr>
            </w:pPr>
            <w:r w:rsidRPr="00000398">
              <w:rPr>
                <w:rFonts w:ascii="Times New Roman" w:hAnsi="Times New Roman"/>
                <w:sz w:val="20"/>
                <w:szCs w:val="20"/>
              </w:rPr>
              <w:t>B</w:t>
            </w:r>
          </w:p>
        </w:tc>
        <w:tc>
          <w:tcPr>
            <w:tcW w:w="1894" w:type="pct"/>
          </w:tcPr>
          <w:p w:rsidR="0002519A" w:rsidRPr="00000398" w:rsidRDefault="00C328FD" w:rsidP="00C328FD">
            <w:pPr>
              <w:spacing w:after="0" w:line="240" w:lineRule="auto"/>
              <w:jc w:val="both"/>
              <w:rPr>
                <w:rFonts w:ascii="Times New Roman" w:hAnsi="Times New Roman"/>
                <w:sz w:val="20"/>
                <w:szCs w:val="20"/>
              </w:rPr>
            </w:pPr>
            <w:r w:rsidRPr="00000398">
              <w:rPr>
                <w:rFonts w:ascii="Times New Roman" w:hAnsi="Times New Roman"/>
                <w:sz w:val="20"/>
                <w:szCs w:val="20"/>
              </w:rPr>
              <w:t>L</w:t>
            </w:r>
            <w:r w:rsidR="0002519A" w:rsidRPr="00000398">
              <w:rPr>
                <w:rFonts w:ascii="Times New Roman" w:hAnsi="Times New Roman"/>
                <w:sz w:val="20"/>
                <w:szCs w:val="20"/>
              </w:rPr>
              <w:t xml:space="preserve">icenças de operação, registros e demais </w:t>
            </w:r>
            <w:r w:rsidRPr="00000398">
              <w:rPr>
                <w:rFonts w:ascii="Times New Roman" w:hAnsi="Times New Roman"/>
                <w:sz w:val="20"/>
                <w:szCs w:val="20"/>
              </w:rPr>
              <w:t xml:space="preserve">despesas administrativas </w:t>
            </w:r>
            <w:proofErr w:type="gramStart"/>
            <w:r w:rsidRPr="00000398">
              <w:rPr>
                <w:rFonts w:ascii="Times New Roman" w:hAnsi="Times New Roman"/>
                <w:sz w:val="20"/>
                <w:szCs w:val="20"/>
              </w:rPr>
              <w:t>temporárias</w:t>
            </w:r>
            <w:proofErr w:type="gramEnd"/>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1.045,00</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405,00</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410,00</w:t>
            </w:r>
          </w:p>
        </w:tc>
        <w:tc>
          <w:tcPr>
            <w:tcW w:w="691" w:type="pct"/>
            <w:tcBorders>
              <w:right w:val="nil"/>
            </w:tcBorders>
            <w:vAlign w:val="center"/>
          </w:tcPr>
          <w:p w:rsidR="0002519A" w:rsidRPr="00000398" w:rsidRDefault="0002519A" w:rsidP="00F62AF0">
            <w:pPr>
              <w:spacing w:after="0" w:line="240" w:lineRule="auto"/>
              <w:jc w:val="center"/>
              <w:rPr>
                <w:rFonts w:ascii="Times New Roman" w:hAnsi="Times New Roman"/>
                <w:sz w:val="20"/>
                <w:szCs w:val="20"/>
              </w:rPr>
            </w:pPr>
            <w:r w:rsidRPr="00000398">
              <w:rPr>
                <w:rFonts w:ascii="Times New Roman" w:hAnsi="Times New Roman"/>
                <w:sz w:val="20"/>
                <w:szCs w:val="20"/>
              </w:rPr>
              <w:t>Não se aplica</w:t>
            </w:r>
          </w:p>
        </w:tc>
      </w:tr>
      <w:tr w:rsidR="009A3431" w:rsidRPr="00000398" w:rsidTr="00000398">
        <w:tc>
          <w:tcPr>
            <w:tcW w:w="218" w:type="pct"/>
            <w:tcBorders>
              <w:left w:val="nil"/>
            </w:tcBorders>
            <w:vAlign w:val="center"/>
          </w:tcPr>
          <w:p w:rsidR="0002519A" w:rsidRPr="00000398" w:rsidRDefault="0002519A" w:rsidP="00F62AF0">
            <w:pPr>
              <w:spacing w:after="0" w:line="240" w:lineRule="auto"/>
              <w:jc w:val="center"/>
              <w:rPr>
                <w:rFonts w:ascii="Times New Roman" w:hAnsi="Times New Roman"/>
                <w:sz w:val="20"/>
                <w:szCs w:val="20"/>
              </w:rPr>
            </w:pPr>
            <w:r w:rsidRPr="00000398">
              <w:rPr>
                <w:rFonts w:ascii="Times New Roman" w:hAnsi="Times New Roman"/>
                <w:sz w:val="20"/>
                <w:szCs w:val="20"/>
              </w:rPr>
              <w:t>C</w:t>
            </w:r>
          </w:p>
        </w:tc>
        <w:tc>
          <w:tcPr>
            <w:tcW w:w="1894" w:type="pct"/>
          </w:tcPr>
          <w:p w:rsidR="0002519A" w:rsidRPr="00000398" w:rsidRDefault="0002519A" w:rsidP="00F62AF0">
            <w:pPr>
              <w:spacing w:after="0" w:line="240" w:lineRule="auto"/>
              <w:jc w:val="both"/>
              <w:rPr>
                <w:rFonts w:ascii="Times New Roman" w:hAnsi="Times New Roman"/>
                <w:sz w:val="20"/>
                <w:szCs w:val="20"/>
              </w:rPr>
            </w:pPr>
            <w:r w:rsidRPr="00000398">
              <w:rPr>
                <w:rFonts w:ascii="Times New Roman" w:hAnsi="Times New Roman"/>
                <w:sz w:val="20"/>
                <w:szCs w:val="20"/>
              </w:rPr>
              <w:t>Compra do aditivo</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104.624,25</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117.979,32</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128.051,88</w:t>
            </w:r>
          </w:p>
        </w:tc>
        <w:tc>
          <w:tcPr>
            <w:tcW w:w="691" w:type="pct"/>
            <w:tcBorders>
              <w:right w:val="nil"/>
            </w:tcBorders>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131.738,60</w:t>
            </w:r>
          </w:p>
        </w:tc>
      </w:tr>
      <w:tr w:rsidR="009A3431" w:rsidRPr="00000398" w:rsidTr="00000398">
        <w:tc>
          <w:tcPr>
            <w:tcW w:w="218" w:type="pct"/>
            <w:tcBorders>
              <w:left w:val="nil"/>
            </w:tcBorders>
            <w:vAlign w:val="center"/>
          </w:tcPr>
          <w:p w:rsidR="0002519A" w:rsidRPr="00000398" w:rsidRDefault="0002519A" w:rsidP="00F62AF0">
            <w:pPr>
              <w:spacing w:after="0" w:line="240" w:lineRule="auto"/>
              <w:jc w:val="center"/>
              <w:rPr>
                <w:rFonts w:ascii="Times New Roman" w:hAnsi="Times New Roman"/>
                <w:sz w:val="20"/>
                <w:szCs w:val="20"/>
              </w:rPr>
            </w:pPr>
            <w:r w:rsidRPr="00000398">
              <w:rPr>
                <w:rFonts w:ascii="Times New Roman" w:hAnsi="Times New Roman"/>
                <w:sz w:val="20"/>
                <w:szCs w:val="20"/>
              </w:rPr>
              <w:t>D</w:t>
            </w:r>
          </w:p>
        </w:tc>
        <w:tc>
          <w:tcPr>
            <w:tcW w:w="1894" w:type="pct"/>
          </w:tcPr>
          <w:p w:rsidR="0002519A" w:rsidRPr="00000398" w:rsidRDefault="0002519A" w:rsidP="00F62AF0">
            <w:pPr>
              <w:spacing w:after="0" w:line="240" w:lineRule="auto"/>
              <w:jc w:val="both"/>
              <w:rPr>
                <w:rFonts w:ascii="Times New Roman" w:hAnsi="Times New Roman"/>
                <w:sz w:val="20"/>
                <w:szCs w:val="20"/>
              </w:rPr>
            </w:pPr>
            <w:r w:rsidRPr="00000398">
              <w:rPr>
                <w:rFonts w:ascii="Times New Roman" w:hAnsi="Times New Roman"/>
                <w:sz w:val="20"/>
                <w:szCs w:val="20"/>
              </w:rPr>
              <w:t>Pessoal (salários e encargos anuais de novas contratações da área de operações, administrativo, etc.</w:t>
            </w:r>
            <w:proofErr w:type="gramStart"/>
            <w:r w:rsidRPr="00000398">
              <w:rPr>
                <w:rFonts w:ascii="Times New Roman" w:hAnsi="Times New Roman"/>
                <w:sz w:val="20"/>
                <w:szCs w:val="20"/>
              </w:rPr>
              <w:t>)</w:t>
            </w:r>
            <w:proofErr w:type="gramEnd"/>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3.827,54</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4.072,83</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4.162,33</w:t>
            </w:r>
          </w:p>
        </w:tc>
        <w:tc>
          <w:tcPr>
            <w:tcW w:w="691" w:type="pct"/>
            <w:tcBorders>
              <w:right w:val="nil"/>
            </w:tcBorders>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4.036,34</w:t>
            </w:r>
          </w:p>
        </w:tc>
      </w:tr>
      <w:tr w:rsidR="009A3431" w:rsidRPr="00000398" w:rsidTr="00000398">
        <w:tc>
          <w:tcPr>
            <w:tcW w:w="218" w:type="pct"/>
            <w:tcBorders>
              <w:left w:val="nil"/>
            </w:tcBorders>
            <w:vAlign w:val="center"/>
          </w:tcPr>
          <w:p w:rsidR="0002519A" w:rsidRPr="00000398" w:rsidRDefault="0002519A" w:rsidP="00F62AF0">
            <w:pPr>
              <w:spacing w:after="0" w:line="240" w:lineRule="auto"/>
              <w:jc w:val="center"/>
              <w:rPr>
                <w:rFonts w:ascii="Times New Roman" w:hAnsi="Times New Roman"/>
                <w:sz w:val="20"/>
                <w:szCs w:val="20"/>
              </w:rPr>
            </w:pPr>
            <w:r w:rsidRPr="00000398">
              <w:rPr>
                <w:rFonts w:ascii="Times New Roman" w:hAnsi="Times New Roman"/>
                <w:sz w:val="20"/>
                <w:szCs w:val="20"/>
              </w:rPr>
              <w:t>E</w:t>
            </w:r>
          </w:p>
        </w:tc>
        <w:tc>
          <w:tcPr>
            <w:tcW w:w="1894" w:type="pct"/>
          </w:tcPr>
          <w:p w:rsidR="0002519A" w:rsidRPr="00000398" w:rsidRDefault="00C328FD" w:rsidP="00F62AF0">
            <w:pPr>
              <w:spacing w:after="0" w:line="240" w:lineRule="auto"/>
              <w:jc w:val="both"/>
              <w:rPr>
                <w:rFonts w:ascii="Times New Roman" w:hAnsi="Times New Roman"/>
                <w:sz w:val="20"/>
                <w:szCs w:val="20"/>
              </w:rPr>
            </w:pPr>
            <w:r w:rsidRPr="00000398">
              <w:rPr>
                <w:rFonts w:ascii="Times New Roman" w:hAnsi="Times New Roman"/>
                <w:sz w:val="20"/>
                <w:szCs w:val="20"/>
              </w:rPr>
              <w:t>T</w:t>
            </w:r>
            <w:r w:rsidR="0002519A" w:rsidRPr="00000398">
              <w:rPr>
                <w:rFonts w:ascii="Times New Roman" w:hAnsi="Times New Roman"/>
                <w:sz w:val="20"/>
                <w:szCs w:val="20"/>
              </w:rPr>
              <w:t xml:space="preserve">ransporte, armazenamento, manutenção e </w:t>
            </w:r>
            <w:proofErr w:type="gramStart"/>
            <w:r w:rsidR="0002519A" w:rsidRPr="00000398">
              <w:rPr>
                <w:rFonts w:ascii="Times New Roman" w:hAnsi="Times New Roman"/>
                <w:sz w:val="20"/>
                <w:szCs w:val="20"/>
              </w:rPr>
              <w:t>operação</w:t>
            </w:r>
            <w:proofErr w:type="gramEnd"/>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7.560,00</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8.457,00</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9.083,00</w:t>
            </w:r>
          </w:p>
        </w:tc>
        <w:tc>
          <w:tcPr>
            <w:tcW w:w="691" w:type="pct"/>
            <w:tcBorders>
              <w:right w:val="nil"/>
            </w:tcBorders>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9.460,00</w:t>
            </w:r>
          </w:p>
        </w:tc>
      </w:tr>
      <w:tr w:rsidR="009A3431" w:rsidRPr="00000398" w:rsidTr="00000398">
        <w:tc>
          <w:tcPr>
            <w:tcW w:w="218" w:type="pct"/>
            <w:tcBorders>
              <w:left w:val="nil"/>
            </w:tcBorders>
            <w:vAlign w:val="center"/>
          </w:tcPr>
          <w:p w:rsidR="0002519A" w:rsidRPr="00000398" w:rsidRDefault="0002519A" w:rsidP="00F62AF0">
            <w:pPr>
              <w:spacing w:after="0" w:line="240" w:lineRule="auto"/>
              <w:jc w:val="center"/>
              <w:rPr>
                <w:rFonts w:ascii="Times New Roman" w:hAnsi="Times New Roman"/>
                <w:sz w:val="20"/>
                <w:szCs w:val="20"/>
              </w:rPr>
            </w:pPr>
            <w:r w:rsidRPr="00000398">
              <w:rPr>
                <w:rFonts w:ascii="Times New Roman" w:hAnsi="Times New Roman"/>
                <w:sz w:val="20"/>
                <w:szCs w:val="20"/>
              </w:rPr>
              <w:t>F</w:t>
            </w:r>
          </w:p>
        </w:tc>
        <w:tc>
          <w:tcPr>
            <w:tcW w:w="1894" w:type="pct"/>
          </w:tcPr>
          <w:p w:rsidR="0002519A" w:rsidRPr="00000398" w:rsidRDefault="0002519A" w:rsidP="00F62AF0">
            <w:pPr>
              <w:spacing w:after="0" w:line="240" w:lineRule="auto"/>
              <w:jc w:val="both"/>
              <w:rPr>
                <w:rFonts w:ascii="Times New Roman" w:hAnsi="Times New Roman"/>
                <w:sz w:val="20"/>
                <w:szCs w:val="20"/>
              </w:rPr>
            </w:pPr>
            <w:r w:rsidRPr="00000398">
              <w:rPr>
                <w:rFonts w:ascii="Times New Roman" w:hAnsi="Times New Roman"/>
                <w:sz w:val="20"/>
                <w:szCs w:val="20"/>
              </w:rPr>
              <w:t>Outros</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4.039,46</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4.041,83</w:t>
            </w:r>
          </w:p>
        </w:tc>
        <w:tc>
          <w:tcPr>
            <w:tcW w:w="732" w:type="pct"/>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44,34</w:t>
            </w:r>
          </w:p>
        </w:tc>
        <w:tc>
          <w:tcPr>
            <w:tcW w:w="691" w:type="pct"/>
            <w:tcBorders>
              <w:right w:val="nil"/>
            </w:tcBorders>
            <w:vAlign w:val="center"/>
          </w:tcPr>
          <w:p w:rsidR="0002519A" w:rsidRPr="00000398" w:rsidRDefault="0002519A" w:rsidP="00F62AF0">
            <w:pPr>
              <w:spacing w:after="0" w:line="240" w:lineRule="auto"/>
              <w:jc w:val="right"/>
              <w:rPr>
                <w:rFonts w:ascii="Times New Roman" w:hAnsi="Times New Roman"/>
                <w:sz w:val="20"/>
                <w:szCs w:val="20"/>
              </w:rPr>
            </w:pPr>
            <w:r w:rsidRPr="00000398">
              <w:rPr>
                <w:rFonts w:ascii="Times New Roman" w:hAnsi="Times New Roman"/>
                <w:sz w:val="20"/>
                <w:szCs w:val="20"/>
              </w:rPr>
              <w:t>47,00</w:t>
            </w:r>
          </w:p>
        </w:tc>
      </w:tr>
      <w:tr w:rsidR="009A3431" w:rsidRPr="00000398" w:rsidTr="00000398">
        <w:tc>
          <w:tcPr>
            <w:tcW w:w="2112" w:type="pct"/>
            <w:gridSpan w:val="2"/>
            <w:tcBorders>
              <w:left w:val="nil"/>
              <w:bottom w:val="single" w:sz="4" w:space="0" w:color="000000"/>
            </w:tcBorders>
          </w:tcPr>
          <w:p w:rsidR="0002519A" w:rsidRPr="00000398" w:rsidRDefault="0002519A" w:rsidP="00F62AF0">
            <w:pPr>
              <w:spacing w:after="0" w:line="240" w:lineRule="auto"/>
              <w:jc w:val="both"/>
              <w:rPr>
                <w:rFonts w:ascii="Times New Roman" w:hAnsi="Times New Roman"/>
                <w:b/>
                <w:sz w:val="20"/>
                <w:szCs w:val="20"/>
              </w:rPr>
            </w:pPr>
            <w:r w:rsidRPr="00000398">
              <w:rPr>
                <w:rFonts w:ascii="Times New Roman" w:hAnsi="Times New Roman"/>
                <w:b/>
                <w:sz w:val="20"/>
                <w:szCs w:val="20"/>
              </w:rPr>
              <w:t>Total</w:t>
            </w:r>
          </w:p>
        </w:tc>
        <w:tc>
          <w:tcPr>
            <w:tcW w:w="732" w:type="pct"/>
            <w:tcBorders>
              <w:bottom w:val="single" w:sz="4" w:space="0" w:color="000000"/>
            </w:tcBorders>
            <w:vAlign w:val="center"/>
          </w:tcPr>
          <w:p w:rsidR="0002519A" w:rsidRPr="00000398" w:rsidRDefault="0002519A" w:rsidP="00F62AF0">
            <w:pPr>
              <w:spacing w:after="0" w:line="240" w:lineRule="auto"/>
              <w:jc w:val="right"/>
              <w:rPr>
                <w:rFonts w:ascii="Times New Roman" w:hAnsi="Times New Roman"/>
                <w:b/>
                <w:sz w:val="20"/>
                <w:szCs w:val="20"/>
              </w:rPr>
            </w:pPr>
            <w:r w:rsidRPr="00000398">
              <w:rPr>
                <w:rFonts w:ascii="Times New Roman" w:hAnsi="Times New Roman"/>
                <w:b/>
                <w:sz w:val="20"/>
                <w:szCs w:val="20"/>
              </w:rPr>
              <w:t>203.143,29</w:t>
            </w:r>
          </w:p>
        </w:tc>
        <w:tc>
          <w:tcPr>
            <w:tcW w:w="732" w:type="pct"/>
            <w:tcBorders>
              <w:bottom w:val="single" w:sz="4" w:space="0" w:color="000000"/>
            </w:tcBorders>
            <w:vAlign w:val="center"/>
          </w:tcPr>
          <w:p w:rsidR="0002519A" w:rsidRPr="00000398" w:rsidRDefault="0002519A" w:rsidP="00F62AF0">
            <w:pPr>
              <w:spacing w:after="0" w:line="240" w:lineRule="auto"/>
              <w:jc w:val="right"/>
              <w:rPr>
                <w:rFonts w:ascii="Times New Roman" w:hAnsi="Times New Roman"/>
                <w:b/>
                <w:sz w:val="20"/>
                <w:szCs w:val="20"/>
              </w:rPr>
            </w:pPr>
            <w:r w:rsidRPr="00000398">
              <w:rPr>
                <w:rFonts w:ascii="Times New Roman" w:hAnsi="Times New Roman"/>
                <w:b/>
                <w:sz w:val="20"/>
                <w:szCs w:val="20"/>
              </w:rPr>
              <w:t>213.732,12</w:t>
            </w:r>
          </w:p>
        </w:tc>
        <w:tc>
          <w:tcPr>
            <w:tcW w:w="732" w:type="pct"/>
            <w:tcBorders>
              <w:bottom w:val="single" w:sz="4" w:space="0" w:color="000000"/>
            </w:tcBorders>
            <w:vAlign w:val="center"/>
          </w:tcPr>
          <w:p w:rsidR="0002519A" w:rsidRPr="00000398" w:rsidRDefault="0002519A" w:rsidP="00F62AF0">
            <w:pPr>
              <w:spacing w:after="0" w:line="240" w:lineRule="auto"/>
              <w:jc w:val="right"/>
              <w:rPr>
                <w:rFonts w:ascii="Times New Roman" w:hAnsi="Times New Roman"/>
                <w:b/>
                <w:sz w:val="20"/>
                <w:szCs w:val="20"/>
              </w:rPr>
            </w:pPr>
            <w:r w:rsidRPr="00000398">
              <w:rPr>
                <w:rFonts w:ascii="Times New Roman" w:hAnsi="Times New Roman"/>
                <w:b/>
                <w:sz w:val="20"/>
                <w:szCs w:val="20"/>
              </w:rPr>
              <w:t>183.293,82</w:t>
            </w:r>
          </w:p>
        </w:tc>
        <w:tc>
          <w:tcPr>
            <w:tcW w:w="691" w:type="pct"/>
            <w:tcBorders>
              <w:bottom w:val="single" w:sz="4" w:space="0" w:color="000000"/>
              <w:right w:val="nil"/>
            </w:tcBorders>
            <w:vAlign w:val="center"/>
          </w:tcPr>
          <w:p w:rsidR="0002519A" w:rsidRPr="00000398" w:rsidRDefault="0002519A" w:rsidP="00F62AF0">
            <w:pPr>
              <w:spacing w:after="0" w:line="240" w:lineRule="auto"/>
              <w:jc w:val="right"/>
              <w:rPr>
                <w:rFonts w:ascii="Times New Roman" w:hAnsi="Times New Roman"/>
                <w:b/>
                <w:sz w:val="20"/>
                <w:szCs w:val="20"/>
              </w:rPr>
            </w:pPr>
            <w:r w:rsidRPr="00000398">
              <w:rPr>
                <w:rFonts w:ascii="Times New Roman" w:hAnsi="Times New Roman"/>
                <w:b/>
                <w:sz w:val="20"/>
                <w:szCs w:val="20"/>
              </w:rPr>
              <w:t>145.281,94</w:t>
            </w:r>
          </w:p>
        </w:tc>
      </w:tr>
      <w:tr w:rsidR="009A3431" w:rsidRPr="00000398" w:rsidTr="00000398">
        <w:tc>
          <w:tcPr>
            <w:tcW w:w="2112" w:type="pct"/>
            <w:gridSpan w:val="2"/>
            <w:tcBorders>
              <w:left w:val="nil"/>
              <w:bottom w:val="single" w:sz="4" w:space="0" w:color="000000"/>
              <w:right w:val="single" w:sz="4" w:space="0" w:color="000000"/>
            </w:tcBorders>
          </w:tcPr>
          <w:p w:rsidR="0002519A" w:rsidRPr="00000398" w:rsidRDefault="0002519A" w:rsidP="00F62AF0">
            <w:pPr>
              <w:spacing w:after="0" w:line="240" w:lineRule="auto"/>
              <w:jc w:val="both"/>
              <w:rPr>
                <w:rFonts w:ascii="Times New Roman" w:hAnsi="Times New Roman"/>
                <w:b/>
                <w:sz w:val="20"/>
                <w:szCs w:val="20"/>
              </w:rPr>
            </w:pPr>
            <w:r w:rsidRPr="00000398">
              <w:rPr>
                <w:rFonts w:ascii="Times New Roman" w:hAnsi="Times New Roman"/>
                <w:b/>
                <w:sz w:val="20"/>
                <w:szCs w:val="20"/>
              </w:rPr>
              <w:t>Total, exceto compra do aditivo</w:t>
            </w:r>
            <w:r w:rsidR="00751CEA" w:rsidRPr="00000398">
              <w:rPr>
                <w:rFonts w:ascii="Times New Roman" w:hAnsi="Times New Roman"/>
                <w:b/>
                <w:sz w:val="20"/>
                <w:szCs w:val="20"/>
              </w:rPr>
              <w:t xml:space="preserve"> (Item C</w:t>
            </w:r>
            <w:proofErr w:type="gramStart"/>
            <w:r w:rsidR="00751CEA" w:rsidRPr="00000398">
              <w:rPr>
                <w:rFonts w:ascii="Times New Roman" w:hAnsi="Times New Roman"/>
                <w:b/>
                <w:sz w:val="20"/>
                <w:szCs w:val="20"/>
              </w:rPr>
              <w:t>)</w:t>
            </w:r>
            <w:proofErr w:type="gramEnd"/>
          </w:p>
        </w:tc>
        <w:tc>
          <w:tcPr>
            <w:tcW w:w="732" w:type="pct"/>
            <w:tcBorders>
              <w:left w:val="single" w:sz="4" w:space="0" w:color="000000"/>
              <w:bottom w:val="single" w:sz="4" w:space="0" w:color="000000"/>
              <w:right w:val="single" w:sz="4" w:space="0" w:color="000000"/>
            </w:tcBorders>
            <w:vAlign w:val="center"/>
          </w:tcPr>
          <w:p w:rsidR="0002519A" w:rsidRPr="00000398" w:rsidRDefault="0002519A" w:rsidP="00F62AF0">
            <w:pPr>
              <w:spacing w:after="0" w:line="240" w:lineRule="auto"/>
              <w:jc w:val="right"/>
              <w:rPr>
                <w:rFonts w:ascii="Times New Roman" w:hAnsi="Times New Roman"/>
                <w:b/>
                <w:sz w:val="20"/>
                <w:szCs w:val="20"/>
              </w:rPr>
            </w:pPr>
            <w:r w:rsidRPr="00000398">
              <w:rPr>
                <w:rFonts w:ascii="Times New Roman" w:hAnsi="Times New Roman"/>
                <w:b/>
                <w:sz w:val="20"/>
                <w:szCs w:val="20"/>
              </w:rPr>
              <w:t>98.519,04</w:t>
            </w:r>
          </w:p>
        </w:tc>
        <w:tc>
          <w:tcPr>
            <w:tcW w:w="732" w:type="pct"/>
            <w:tcBorders>
              <w:left w:val="single" w:sz="4" w:space="0" w:color="000000"/>
              <w:bottom w:val="single" w:sz="4" w:space="0" w:color="000000"/>
              <w:right w:val="single" w:sz="4" w:space="0" w:color="000000"/>
            </w:tcBorders>
            <w:vAlign w:val="center"/>
          </w:tcPr>
          <w:p w:rsidR="0002519A" w:rsidRPr="00000398" w:rsidRDefault="0002519A" w:rsidP="00F62AF0">
            <w:pPr>
              <w:spacing w:after="0" w:line="240" w:lineRule="auto"/>
              <w:jc w:val="right"/>
              <w:rPr>
                <w:rFonts w:ascii="Times New Roman" w:hAnsi="Times New Roman"/>
                <w:b/>
                <w:sz w:val="20"/>
                <w:szCs w:val="20"/>
              </w:rPr>
            </w:pPr>
            <w:r w:rsidRPr="00000398">
              <w:rPr>
                <w:rFonts w:ascii="Times New Roman" w:hAnsi="Times New Roman"/>
                <w:b/>
                <w:sz w:val="20"/>
                <w:szCs w:val="20"/>
              </w:rPr>
              <w:t>95.752,80</w:t>
            </w:r>
          </w:p>
        </w:tc>
        <w:tc>
          <w:tcPr>
            <w:tcW w:w="732" w:type="pct"/>
            <w:tcBorders>
              <w:left w:val="single" w:sz="4" w:space="0" w:color="000000"/>
              <w:bottom w:val="single" w:sz="4" w:space="0" w:color="000000"/>
              <w:right w:val="single" w:sz="4" w:space="0" w:color="000000"/>
            </w:tcBorders>
            <w:vAlign w:val="center"/>
          </w:tcPr>
          <w:p w:rsidR="0002519A" w:rsidRPr="00000398" w:rsidRDefault="0002519A" w:rsidP="00F62AF0">
            <w:pPr>
              <w:spacing w:after="0" w:line="240" w:lineRule="auto"/>
              <w:jc w:val="right"/>
              <w:rPr>
                <w:rFonts w:ascii="Times New Roman" w:hAnsi="Times New Roman"/>
                <w:b/>
                <w:sz w:val="20"/>
                <w:szCs w:val="20"/>
              </w:rPr>
            </w:pPr>
            <w:r w:rsidRPr="00000398">
              <w:rPr>
                <w:rFonts w:ascii="Times New Roman" w:hAnsi="Times New Roman"/>
                <w:b/>
                <w:sz w:val="20"/>
                <w:szCs w:val="20"/>
              </w:rPr>
              <w:t>55.241,94</w:t>
            </w:r>
          </w:p>
        </w:tc>
        <w:tc>
          <w:tcPr>
            <w:tcW w:w="691" w:type="pct"/>
            <w:tcBorders>
              <w:left w:val="single" w:sz="4" w:space="0" w:color="000000"/>
              <w:bottom w:val="single" w:sz="4" w:space="0" w:color="000000"/>
              <w:right w:val="nil"/>
            </w:tcBorders>
            <w:vAlign w:val="center"/>
          </w:tcPr>
          <w:p w:rsidR="0002519A" w:rsidRPr="00000398" w:rsidRDefault="0002519A" w:rsidP="00F62AF0">
            <w:pPr>
              <w:spacing w:after="0" w:line="240" w:lineRule="auto"/>
              <w:jc w:val="right"/>
              <w:rPr>
                <w:rFonts w:ascii="Times New Roman" w:hAnsi="Times New Roman"/>
                <w:b/>
                <w:sz w:val="20"/>
                <w:szCs w:val="20"/>
              </w:rPr>
            </w:pPr>
            <w:r w:rsidRPr="00000398">
              <w:rPr>
                <w:rFonts w:ascii="Times New Roman" w:hAnsi="Times New Roman"/>
                <w:b/>
                <w:sz w:val="20"/>
                <w:szCs w:val="20"/>
              </w:rPr>
              <w:t>13.543,35</w:t>
            </w:r>
          </w:p>
        </w:tc>
      </w:tr>
      <w:tr w:rsidR="0002519A" w:rsidRPr="00000398" w:rsidTr="00000398">
        <w:trPr>
          <w:trHeight w:val="64"/>
        </w:trPr>
        <w:tc>
          <w:tcPr>
            <w:tcW w:w="5000" w:type="pct"/>
            <w:gridSpan w:val="6"/>
            <w:tcBorders>
              <w:top w:val="single" w:sz="4" w:space="0" w:color="000000"/>
              <w:left w:val="nil"/>
              <w:bottom w:val="nil"/>
              <w:right w:val="nil"/>
            </w:tcBorders>
          </w:tcPr>
          <w:p w:rsidR="0002519A" w:rsidRPr="00000398" w:rsidRDefault="00DA029D" w:rsidP="0022707A">
            <w:pPr>
              <w:spacing w:before="120" w:after="0" w:line="240" w:lineRule="auto"/>
              <w:jc w:val="both"/>
              <w:rPr>
                <w:rFonts w:ascii="Times New Roman" w:hAnsi="Times New Roman"/>
                <w:b/>
                <w:sz w:val="20"/>
                <w:szCs w:val="20"/>
              </w:rPr>
            </w:pPr>
            <w:r w:rsidRPr="00000398">
              <w:rPr>
                <w:rFonts w:ascii="Times New Roman" w:hAnsi="Times New Roman"/>
                <w:b/>
                <w:sz w:val="20"/>
                <w:szCs w:val="20"/>
              </w:rPr>
              <w:t xml:space="preserve">Fonte: </w:t>
            </w:r>
            <w:r w:rsidR="0022707A" w:rsidRPr="00000398">
              <w:rPr>
                <w:rFonts w:ascii="Times New Roman" w:hAnsi="Times New Roman"/>
                <w:b/>
                <w:sz w:val="20"/>
                <w:szCs w:val="20"/>
              </w:rPr>
              <w:t>dados fornecidos pelos distribuidores nacionais de gasolina</w:t>
            </w:r>
          </w:p>
        </w:tc>
      </w:tr>
    </w:tbl>
    <w:p w:rsidR="0002519A" w:rsidRPr="00CE3398" w:rsidRDefault="0002519A" w:rsidP="0002519A">
      <w:pPr>
        <w:pStyle w:val="NormalWeb"/>
        <w:spacing w:before="0" w:beforeAutospacing="0" w:after="120" w:afterAutospacing="0" w:line="276" w:lineRule="auto"/>
        <w:ind w:firstLine="708"/>
        <w:jc w:val="both"/>
        <w:rPr>
          <w:lang w:val="pt-PT"/>
        </w:rPr>
      </w:pP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 xml:space="preserve">Em relação ao item “compra do aditivo” (C), </w:t>
      </w:r>
      <w:r w:rsidR="00EA718F" w:rsidRPr="00CE3398">
        <w:rPr>
          <w:lang w:val="pt-PT"/>
        </w:rPr>
        <w:t xml:space="preserve">alguns </w:t>
      </w:r>
      <w:r w:rsidR="00A46D9E" w:rsidRPr="00CE3398">
        <w:rPr>
          <w:lang w:val="pt-PT"/>
        </w:rPr>
        <w:t xml:space="preserve">distribuidores </w:t>
      </w:r>
      <w:r w:rsidRPr="00CE3398">
        <w:rPr>
          <w:lang w:val="pt-PT"/>
        </w:rPr>
        <w:t xml:space="preserve">destacaram que os valores foram estimados a partir dos </w:t>
      </w:r>
      <w:r w:rsidR="00DF7EC8" w:rsidRPr="00CE3398">
        <w:rPr>
          <w:lang w:val="pt-PT"/>
        </w:rPr>
        <w:t xml:space="preserve">dispêndios </w:t>
      </w:r>
      <w:r w:rsidRPr="00CE3398">
        <w:rPr>
          <w:lang w:val="pt-PT"/>
        </w:rPr>
        <w:t xml:space="preserve">atuais com a aquisição do aditivo, inclusive em relação ao preço praticado. </w:t>
      </w:r>
      <w:r w:rsidR="00EA718F" w:rsidRPr="00CE3398">
        <w:rPr>
          <w:lang w:val="pt-PT"/>
        </w:rPr>
        <w:t xml:space="preserve">Ou seja, </w:t>
      </w:r>
      <w:r w:rsidRPr="00CE3398">
        <w:rPr>
          <w:lang w:val="pt-PT"/>
        </w:rPr>
        <w:t xml:space="preserve"> </w:t>
      </w:r>
      <w:r w:rsidR="00EA718F" w:rsidRPr="00CE3398">
        <w:rPr>
          <w:lang w:val="pt-PT"/>
        </w:rPr>
        <w:t>algumas</w:t>
      </w:r>
      <w:r w:rsidRPr="00CE3398">
        <w:rPr>
          <w:lang w:val="pt-PT"/>
        </w:rPr>
        <w:t xml:space="preserve"> estimativas </w:t>
      </w:r>
      <w:r w:rsidR="00EA718F" w:rsidRPr="00CE3398">
        <w:rPr>
          <w:lang w:val="pt-PT"/>
        </w:rPr>
        <w:t xml:space="preserve">tiveram </w:t>
      </w:r>
      <w:r w:rsidRPr="00CE3398">
        <w:rPr>
          <w:lang w:val="pt-PT"/>
        </w:rPr>
        <w:t>como base os volumes atualmente comercializados, sem a obrigatoriedade da aditivação de toda a gasolina comercializada.</w:t>
      </w:r>
      <w:r w:rsidR="00EA718F" w:rsidRPr="00CE3398">
        <w:rPr>
          <w:lang w:val="pt-PT"/>
        </w:rPr>
        <w:t xml:space="preserve"> Considerando que a nova obrigadoriedade implicará um significativo aumento no consumo de aditivo, acredita-se que o valor apresentado</w:t>
      </w:r>
      <w:r w:rsidR="00A22DB4" w:rsidRPr="00CE3398">
        <w:rPr>
          <w:lang w:val="pt-PT"/>
        </w:rPr>
        <w:t xml:space="preserve"> está subestimado</w:t>
      </w:r>
      <w:r w:rsidR="008D2E26" w:rsidRPr="00CE3398">
        <w:rPr>
          <w:lang w:val="pt-PT"/>
        </w:rPr>
        <w:t>, ao desconsiderar, em parte, esse aumento no volume</w:t>
      </w:r>
      <w:r w:rsidR="002E08F3" w:rsidRPr="00CE3398">
        <w:rPr>
          <w:lang w:val="pt-PT"/>
        </w:rPr>
        <w:t>.</w:t>
      </w:r>
      <w:r w:rsidR="00F14467" w:rsidRPr="00CE3398">
        <w:rPr>
          <w:rStyle w:val="Refdenotaderodap"/>
          <w:lang w:val="pt-PT"/>
        </w:rPr>
        <w:footnoteReference w:id="7"/>
      </w:r>
    </w:p>
    <w:p w:rsidR="0002519A" w:rsidRPr="00CE3398" w:rsidRDefault="0002519A" w:rsidP="00D87BB5">
      <w:pPr>
        <w:pStyle w:val="NormalWeb"/>
        <w:spacing w:before="0" w:beforeAutospacing="0" w:after="120" w:afterAutospacing="0" w:line="276" w:lineRule="auto"/>
        <w:ind w:firstLine="709"/>
        <w:jc w:val="both"/>
        <w:rPr>
          <w:lang w:val="pt-PT"/>
        </w:rPr>
      </w:pPr>
      <w:r w:rsidRPr="00CE3398">
        <w:rPr>
          <w:lang w:val="pt-PT"/>
        </w:rPr>
        <w:t>Sob a rubrica “outros” (F), foram elencados itens como compra e lavagem de uniformes, utilização de EPI's (</w:t>
      </w:r>
      <w:r w:rsidR="00D942E5" w:rsidRPr="00CE3398">
        <w:rPr>
          <w:lang w:val="pt-PT"/>
        </w:rPr>
        <w:t>e</w:t>
      </w:r>
      <w:r w:rsidRPr="00CE3398">
        <w:rPr>
          <w:lang w:val="pt-PT"/>
        </w:rPr>
        <w:t xml:space="preserve">quipamentos de </w:t>
      </w:r>
      <w:r w:rsidR="00D942E5" w:rsidRPr="00CE3398">
        <w:rPr>
          <w:lang w:val="pt-PT"/>
        </w:rPr>
        <w:t>p</w:t>
      </w:r>
      <w:r w:rsidRPr="00CE3398">
        <w:rPr>
          <w:lang w:val="pt-PT"/>
        </w:rPr>
        <w:t xml:space="preserve">roteção </w:t>
      </w:r>
      <w:r w:rsidR="00D942E5" w:rsidRPr="00CE3398">
        <w:rPr>
          <w:lang w:val="pt-PT"/>
        </w:rPr>
        <w:t>i</w:t>
      </w:r>
      <w:r w:rsidRPr="00CE3398">
        <w:rPr>
          <w:lang w:val="pt-PT"/>
        </w:rPr>
        <w:t>ndividual), adequação dos postos de serviços e divulgação nos pontos de venda.</w:t>
      </w:r>
    </w:p>
    <w:p w:rsidR="00D87BB5" w:rsidRPr="00CE3398" w:rsidRDefault="00D87BB5" w:rsidP="00D87BB5">
      <w:pPr>
        <w:pStyle w:val="NormalWeb"/>
        <w:spacing w:before="0" w:beforeAutospacing="0" w:after="120" w:afterAutospacing="0"/>
        <w:ind w:firstLine="709"/>
        <w:jc w:val="both"/>
        <w:rPr>
          <w:lang w:val="pt-PT"/>
        </w:rPr>
      </w:pPr>
      <w:r w:rsidRPr="00CE3398">
        <w:rPr>
          <w:lang w:val="pt-PT"/>
        </w:rPr>
        <w:t xml:space="preserve">Conforme já mencionado no item 3.3.2, a compra do aditivo é uma categoria que, a princípio, não deve ser considerada no cálculo comparativo, porque o volume total de aditivo é o mesmo nos dois cenários – aditivação pelo produtor ou pelo distribuidor </w:t>
      </w:r>
    </w:p>
    <w:p w:rsidR="0002519A" w:rsidRPr="00CE3398" w:rsidRDefault="00D87BB5" w:rsidP="0002519A">
      <w:pPr>
        <w:pStyle w:val="NormalWeb"/>
        <w:spacing w:before="0" w:beforeAutospacing="0" w:after="120" w:afterAutospacing="0" w:line="276" w:lineRule="auto"/>
        <w:ind w:firstLine="708"/>
        <w:jc w:val="both"/>
        <w:rPr>
          <w:lang w:val="pt-PT"/>
        </w:rPr>
      </w:pPr>
      <w:r w:rsidRPr="00CE3398">
        <w:rPr>
          <w:lang w:val="pt-PT"/>
        </w:rPr>
        <w:t>Dessa forma</w:t>
      </w:r>
      <w:r w:rsidR="0002519A" w:rsidRPr="00CE3398">
        <w:rPr>
          <w:lang w:val="pt-PT"/>
        </w:rPr>
        <w:t xml:space="preserve">, para </w:t>
      </w:r>
      <w:r w:rsidR="003428BD">
        <w:rPr>
          <w:lang w:val="pt-PT"/>
        </w:rPr>
        <w:t>o conjunto dos</w:t>
      </w:r>
      <w:r w:rsidR="0002519A" w:rsidRPr="00CE3398">
        <w:rPr>
          <w:lang w:val="pt-PT"/>
        </w:rPr>
        <w:t xml:space="preserve"> distribuidores de gasolina consultados, os </w:t>
      </w:r>
      <w:r w:rsidR="00B54FB6" w:rsidRPr="00CE3398">
        <w:rPr>
          <w:lang w:val="pt-PT"/>
        </w:rPr>
        <w:t xml:space="preserve">dispêndios </w:t>
      </w:r>
      <w:r w:rsidR="0002519A" w:rsidRPr="00CE3398">
        <w:rPr>
          <w:lang w:val="pt-PT"/>
        </w:rPr>
        <w:t xml:space="preserve">totais </w:t>
      </w:r>
      <w:r w:rsidR="00B54FB6" w:rsidRPr="00CE3398">
        <w:rPr>
          <w:lang w:val="pt-PT"/>
        </w:rPr>
        <w:t>com</w:t>
      </w:r>
      <w:r w:rsidR="0002519A" w:rsidRPr="00CE3398">
        <w:rPr>
          <w:lang w:val="pt-PT"/>
        </w:rPr>
        <w:t xml:space="preserve"> adaptação, até 2015</w:t>
      </w:r>
      <w:r w:rsidR="00CC1939" w:rsidRPr="00CE3398">
        <w:rPr>
          <w:lang w:val="pt-PT"/>
        </w:rPr>
        <w:t xml:space="preserve"> (excluindo a compra do aditivo)</w:t>
      </w:r>
      <w:r w:rsidR="0002519A" w:rsidRPr="00CE3398">
        <w:rPr>
          <w:lang w:val="pt-PT"/>
        </w:rPr>
        <w:t xml:space="preserve">, somam em torno de 249,5 milhões de reais, mantendo-se, como </w:t>
      </w:r>
      <w:r w:rsidR="00B54FB6" w:rsidRPr="00CE3398">
        <w:rPr>
          <w:lang w:val="pt-PT"/>
        </w:rPr>
        <w:t xml:space="preserve">gastos </w:t>
      </w:r>
      <w:r w:rsidR="0002519A" w:rsidRPr="00CE3398">
        <w:rPr>
          <w:lang w:val="pt-PT"/>
        </w:rPr>
        <w:t>permanentes, cerca de 13,5 milhões de reais por ano a partir de 2016.</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 xml:space="preserve">Em relação ao prazo, um dos </w:t>
      </w:r>
      <w:r w:rsidR="002B169A" w:rsidRPr="00CE3398">
        <w:rPr>
          <w:lang w:val="pt-PT"/>
        </w:rPr>
        <w:t>distribuidores</w:t>
      </w:r>
      <w:r w:rsidRPr="00CE3398">
        <w:rPr>
          <w:lang w:val="pt-PT"/>
        </w:rPr>
        <w:t xml:space="preserve"> consultados destacou que, no caso de a aditivação ocorrer na distribuição, o prazo mínimo estimado para a conclusão das obras de adequação das Unidades Operacionais </w:t>
      </w:r>
      <w:r w:rsidR="00DD4205" w:rsidRPr="00CE3398">
        <w:rPr>
          <w:lang w:val="pt-PT"/>
        </w:rPr>
        <w:t xml:space="preserve">seria </w:t>
      </w:r>
      <w:r w:rsidRPr="00CE3398">
        <w:rPr>
          <w:lang w:val="pt-PT"/>
        </w:rPr>
        <w:t>de três anos, considerando obtenção de licenças, compra de equipamentos, realização de projetos, obras e pré-operação. Des</w:t>
      </w:r>
      <w:r w:rsidR="00DD4205" w:rsidRPr="00CE3398">
        <w:rPr>
          <w:lang w:val="pt-PT"/>
        </w:rPr>
        <w:t>s</w:t>
      </w:r>
      <w:r w:rsidRPr="00CE3398">
        <w:rPr>
          <w:lang w:val="pt-PT"/>
        </w:rPr>
        <w:t xml:space="preserve">a forma, as Unidades Operacionais só estariam preparadas para </w:t>
      </w:r>
      <w:r w:rsidR="00DD4205" w:rsidRPr="00CE3398">
        <w:rPr>
          <w:lang w:val="pt-PT"/>
        </w:rPr>
        <w:t xml:space="preserve">a </w:t>
      </w:r>
      <w:r w:rsidRPr="00CE3398">
        <w:rPr>
          <w:lang w:val="pt-PT"/>
        </w:rPr>
        <w:t xml:space="preserve">distribuição de gasolina aditivada a partir de 2016. A </w:t>
      </w:r>
      <w:r w:rsidRPr="00CE3398">
        <w:rPr>
          <w:lang w:val="pt-PT"/>
        </w:rPr>
        <w:lastRenderedPageBreak/>
        <w:t>empresa destacou, também, que as estimativas aproximadas, ora apresentadas, são valores significativos e impactantes considerando o mercado e as margens do segmento de distribuição.</w:t>
      </w:r>
    </w:p>
    <w:p w:rsidR="0002519A" w:rsidRPr="00CE3398" w:rsidRDefault="0002519A" w:rsidP="00A11B81">
      <w:pPr>
        <w:pStyle w:val="NormalWeb"/>
        <w:spacing w:before="0" w:beforeAutospacing="0" w:after="120" w:afterAutospacing="0" w:line="276" w:lineRule="auto"/>
        <w:jc w:val="both"/>
        <w:rPr>
          <w:lang w:val="pt-PT"/>
        </w:rPr>
      </w:pPr>
    </w:p>
    <w:p w:rsidR="0002519A" w:rsidRPr="00CE3398" w:rsidRDefault="0002519A" w:rsidP="00A11B81">
      <w:pPr>
        <w:pStyle w:val="PargrafodaLista"/>
        <w:numPr>
          <w:ilvl w:val="3"/>
          <w:numId w:val="4"/>
        </w:numPr>
        <w:spacing w:after="120" w:line="240" w:lineRule="auto"/>
        <w:ind w:left="0" w:firstLine="0"/>
        <w:contextualSpacing w:val="0"/>
        <w:rPr>
          <w:rFonts w:ascii="Times New Roman" w:hAnsi="Times New Roman"/>
          <w:b/>
          <w:sz w:val="24"/>
          <w:szCs w:val="24"/>
        </w:rPr>
      </w:pPr>
      <w:r w:rsidRPr="00CE3398">
        <w:rPr>
          <w:rFonts w:ascii="Times New Roman" w:hAnsi="Times New Roman"/>
          <w:b/>
          <w:sz w:val="24"/>
          <w:szCs w:val="24"/>
        </w:rPr>
        <w:t>Problemas com emulsificação</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Não foram relatados casos de emulsificação da gasolina aditivada por nenhuma das distribuidoras consultadas. Também não foram encontradas pesquisas que sugerissem a relação entre existência de água na gasolina e eficiência do aditivo. Após serem levantadas dúvidas sobre o t</w:t>
      </w:r>
      <w:r w:rsidR="00132B5E" w:rsidRPr="00CE3398">
        <w:rPr>
          <w:lang w:val="pt-PT"/>
        </w:rPr>
        <w:t>ema</w:t>
      </w:r>
      <w:r w:rsidRPr="00CE3398">
        <w:rPr>
          <w:lang w:val="pt-PT"/>
        </w:rPr>
        <w:t xml:space="preserve"> em reunião realizada </w:t>
      </w:r>
      <w:r w:rsidR="00132B5E" w:rsidRPr="00CE3398">
        <w:rPr>
          <w:lang w:val="pt-PT"/>
        </w:rPr>
        <w:t>nesta Agência, o</w:t>
      </w:r>
      <w:r w:rsidR="006D1884" w:rsidRPr="00CE3398">
        <w:rPr>
          <w:lang w:val="pt-PT"/>
        </w:rPr>
        <w:t xml:space="preserve"> </w:t>
      </w:r>
      <w:r w:rsidR="006D1884" w:rsidRPr="00CE3398">
        <w:t xml:space="preserve">Sindicato Nacional das Empresas Distribuidoras de Combustíveis e de Lubrificantes – </w:t>
      </w:r>
      <w:r w:rsidRPr="00CE3398">
        <w:rPr>
          <w:lang w:val="pt-PT"/>
        </w:rPr>
        <w:t>SINDICOM</w:t>
      </w:r>
      <w:r w:rsidR="00132B5E" w:rsidRPr="00CE3398">
        <w:rPr>
          <w:lang w:val="pt-PT"/>
        </w:rPr>
        <w:t xml:space="preserve"> –</w:t>
      </w:r>
      <w:r w:rsidRPr="00CE3398">
        <w:rPr>
          <w:lang w:val="pt-PT"/>
        </w:rPr>
        <w:t xml:space="preserve"> </w:t>
      </w:r>
      <w:r w:rsidR="00132B5E" w:rsidRPr="00CE3398">
        <w:rPr>
          <w:lang w:val="pt-PT"/>
        </w:rPr>
        <w:t>contratou</w:t>
      </w:r>
      <w:r w:rsidRPr="00CE3398">
        <w:rPr>
          <w:lang w:val="pt-PT"/>
        </w:rPr>
        <w:t xml:space="preserve"> ensaios práticos em laboratório especializado, misturando gasolina aditivada com água para avaliar problemas de emulsificação. Os resultados não apresentaram nenhum problema neste sentido.</w:t>
      </w:r>
    </w:p>
    <w:p w:rsidR="0002519A" w:rsidRPr="00A11B81" w:rsidRDefault="0002519A" w:rsidP="00A11B81">
      <w:pPr>
        <w:pStyle w:val="NormalWeb"/>
        <w:spacing w:before="0" w:beforeAutospacing="0" w:after="120" w:afterAutospacing="0" w:line="276" w:lineRule="auto"/>
        <w:jc w:val="both"/>
        <w:rPr>
          <w:lang w:val="pt-PT"/>
        </w:rPr>
      </w:pPr>
    </w:p>
    <w:p w:rsidR="00FB5F1A" w:rsidRDefault="00FB5F1A" w:rsidP="0002519A">
      <w:pPr>
        <w:pStyle w:val="PargrafodaLista"/>
        <w:numPr>
          <w:ilvl w:val="1"/>
          <w:numId w:val="4"/>
        </w:numPr>
        <w:spacing w:after="120" w:line="240" w:lineRule="auto"/>
        <w:ind w:left="426" w:hanging="426"/>
        <w:contextualSpacing w:val="0"/>
        <w:rPr>
          <w:rFonts w:ascii="Times New Roman" w:hAnsi="Times New Roman"/>
          <w:b/>
          <w:sz w:val="24"/>
          <w:szCs w:val="24"/>
        </w:rPr>
      </w:pPr>
      <w:r>
        <w:rPr>
          <w:rFonts w:ascii="Times New Roman" w:hAnsi="Times New Roman"/>
          <w:b/>
          <w:sz w:val="24"/>
          <w:szCs w:val="24"/>
        </w:rPr>
        <w:t>CONSULTA AO GOVERNO MEXICANO</w:t>
      </w:r>
    </w:p>
    <w:p w:rsidR="00E164DA" w:rsidRPr="00E164DA" w:rsidRDefault="00FB5F1A" w:rsidP="00E164DA">
      <w:pPr>
        <w:pStyle w:val="NormalWeb"/>
        <w:spacing w:before="0" w:beforeAutospacing="0" w:after="120" w:afterAutospacing="0" w:line="276" w:lineRule="auto"/>
        <w:ind w:firstLine="708"/>
        <w:jc w:val="both"/>
        <w:rPr>
          <w:lang w:val="pt-PT"/>
        </w:rPr>
      </w:pPr>
      <w:r>
        <w:rPr>
          <w:lang w:val="pt-PT"/>
        </w:rPr>
        <w:t xml:space="preserve">A </w:t>
      </w:r>
      <w:r w:rsidR="005D38BE">
        <w:rPr>
          <w:lang w:val="pt-PT"/>
        </w:rPr>
        <w:t>ANP</w:t>
      </w:r>
      <w:r>
        <w:rPr>
          <w:lang w:val="pt-PT"/>
        </w:rPr>
        <w:t xml:space="preserve"> entrou em contato com</w:t>
      </w:r>
      <w:r w:rsidR="00E164DA" w:rsidRPr="00E164DA">
        <w:rPr>
          <w:lang w:val="pt-PT"/>
        </w:rPr>
        <w:t xml:space="preserve"> a </w:t>
      </w:r>
      <w:r w:rsidR="00E164DA" w:rsidRPr="00E164DA">
        <w:rPr>
          <w:i/>
          <w:lang w:val="pt-PT"/>
        </w:rPr>
        <w:t>Secretaria de Energia</w:t>
      </w:r>
      <w:r w:rsidR="00E164DA" w:rsidRPr="00E164DA">
        <w:rPr>
          <w:lang w:val="pt-PT"/>
        </w:rPr>
        <w:t xml:space="preserve"> (SENER/México) e o </w:t>
      </w:r>
      <w:r w:rsidR="00E164DA" w:rsidRPr="00E164DA">
        <w:rPr>
          <w:i/>
          <w:lang w:val="pt-PT"/>
        </w:rPr>
        <w:t>Instituto Mexicano del Petróleo</w:t>
      </w:r>
      <w:r w:rsidR="00E164DA" w:rsidRPr="00E164DA">
        <w:rPr>
          <w:lang w:val="pt-PT"/>
        </w:rPr>
        <w:t xml:space="preserve"> (IMP)</w:t>
      </w:r>
      <w:r w:rsidR="005D38BE">
        <w:rPr>
          <w:lang w:val="pt-PT"/>
        </w:rPr>
        <w:t>,</w:t>
      </w:r>
      <w:r w:rsidR="00E524D1">
        <w:rPr>
          <w:lang w:val="pt-PT"/>
        </w:rPr>
        <w:t xml:space="preserve"> </w:t>
      </w:r>
      <w:r w:rsidR="005D38BE">
        <w:rPr>
          <w:lang w:val="pt-PT"/>
        </w:rPr>
        <w:t>bem como</w:t>
      </w:r>
      <w:r w:rsidR="00E524D1">
        <w:rPr>
          <w:lang w:val="pt-PT"/>
        </w:rPr>
        <w:t xml:space="preserve"> encaminhou alguns questionários </w:t>
      </w:r>
      <w:r w:rsidR="005D38BE">
        <w:rPr>
          <w:lang w:val="pt-PT"/>
        </w:rPr>
        <w:t>relativos</w:t>
      </w:r>
      <w:r w:rsidR="00E524D1">
        <w:rPr>
          <w:lang w:val="pt-PT"/>
        </w:rPr>
        <w:t xml:space="preserve"> ao programa de obrigatoriedade da adição de detergente dispersante em toda gasolina mexicana</w:t>
      </w:r>
      <w:r w:rsidR="005D38BE">
        <w:rPr>
          <w:lang w:val="pt-PT"/>
        </w:rPr>
        <w:t>.</w:t>
      </w:r>
    </w:p>
    <w:p w:rsidR="00E164DA" w:rsidRPr="00E164DA" w:rsidRDefault="00E164DA" w:rsidP="00E164DA">
      <w:pPr>
        <w:pStyle w:val="NormalWeb"/>
        <w:spacing w:before="0" w:beforeAutospacing="0" w:after="120" w:afterAutospacing="0" w:line="276" w:lineRule="auto"/>
        <w:ind w:firstLine="708"/>
        <w:jc w:val="both"/>
        <w:rPr>
          <w:lang w:val="pt-PT"/>
        </w:rPr>
      </w:pPr>
      <w:r w:rsidRPr="00E164DA">
        <w:rPr>
          <w:lang w:val="pt-PT"/>
        </w:rPr>
        <w:t>A aditivação da gasolina no México teve início pela necessidade de redução de poluentes atmosféricos na Zona Metropolitana do Vale do México nos anos 1980 por meio da redução do enxofre nos combustíveis e chumbo na gasolina.</w:t>
      </w:r>
    </w:p>
    <w:p w:rsidR="00E164DA" w:rsidRPr="00E164DA" w:rsidRDefault="00E164DA" w:rsidP="00E164DA">
      <w:pPr>
        <w:pStyle w:val="NormalWeb"/>
        <w:spacing w:before="0" w:beforeAutospacing="0" w:after="120" w:afterAutospacing="0" w:line="276" w:lineRule="auto"/>
        <w:ind w:firstLine="708"/>
        <w:jc w:val="both"/>
        <w:rPr>
          <w:lang w:val="pt-PT"/>
        </w:rPr>
      </w:pPr>
      <w:r w:rsidRPr="00E164DA">
        <w:rPr>
          <w:lang w:val="pt-PT"/>
        </w:rPr>
        <w:t>Uma das medidas adotadas foi o desenvolvimento de um aditivo pelo IMP, com o objetivo de evitar o acúmulo de depósitos nos carburadores e sistemas de combustão dos veículos, contribuindo para a redução das emissões de monóxido de carbono e hidrocarbonetos. Ao longo dos anos, o IMP foi desenvolvendo novos aditivos, de acordo com as necessidades do mercado, ditadas pelas características dos combustíveis e, principalmente, pelas exigências dos novos motores (conforme uma tecnologia era substituída por outra). Estes aditivos são adicionados à gasolina pela Petróleos Mexicanos (PEMEX).</w:t>
      </w:r>
    </w:p>
    <w:p w:rsidR="00E164DA" w:rsidRPr="00E164DA" w:rsidRDefault="00E164DA" w:rsidP="00E164DA">
      <w:pPr>
        <w:pStyle w:val="NormalWeb"/>
        <w:spacing w:before="0" w:beforeAutospacing="0" w:after="120" w:afterAutospacing="0" w:line="276" w:lineRule="auto"/>
        <w:ind w:firstLine="708"/>
        <w:jc w:val="both"/>
        <w:rPr>
          <w:lang w:val="pt-PT"/>
        </w:rPr>
      </w:pPr>
      <w:r w:rsidRPr="00E164DA">
        <w:rPr>
          <w:lang w:val="pt-PT"/>
        </w:rPr>
        <w:t xml:space="preserve">Por apresentarem propriedades tensoativas, os detergentes dispersantes geram pequenas emulsões (verificadas por uma certa turbidez) na interface gasolina/água. Por esta razão, a formulação dos pacotes de aditivos no México passou a incluir demulsificantes. Além disso, a partir de 1996, o desempenho dos aditivos no México passou a ser avaliado conforme os parâmetros recomendados pela </w:t>
      </w:r>
      <w:r w:rsidRPr="00E164DA">
        <w:rPr>
          <w:i/>
          <w:lang w:val="pt-PT"/>
        </w:rPr>
        <w:t>Environmental Protection Agency</w:t>
      </w:r>
      <w:r w:rsidRPr="00E164DA">
        <w:rPr>
          <w:lang w:val="pt-PT"/>
        </w:rPr>
        <w:t xml:space="preserve"> (EPA) nos EUA. Estes aditivos possuem peso molecular mais elevado e são insolúveis em água.</w:t>
      </w:r>
    </w:p>
    <w:p w:rsidR="00E164DA" w:rsidRPr="00E164DA" w:rsidRDefault="00E164DA" w:rsidP="00E164DA">
      <w:pPr>
        <w:pStyle w:val="NormalWeb"/>
        <w:spacing w:before="0" w:beforeAutospacing="0" w:after="120" w:afterAutospacing="0" w:line="276" w:lineRule="auto"/>
        <w:ind w:firstLine="708"/>
        <w:jc w:val="both"/>
        <w:rPr>
          <w:lang w:val="pt-PT"/>
        </w:rPr>
      </w:pPr>
      <w:r w:rsidRPr="00E164DA">
        <w:rPr>
          <w:lang w:val="pt-PT"/>
        </w:rPr>
        <w:t>Conforme informado pelo IMP, a adição dos detergentes dispersantes à gasolina varia de acordo com a área: na zona metropolitana da Cidade do México é realizada no carregamento dos caminhões-tanque, por injetor automático em linha; enquanto no resto do país a dosagem é feita</w:t>
      </w:r>
      <w:r w:rsidR="00EE566C">
        <w:rPr>
          <w:lang w:val="pt-PT"/>
        </w:rPr>
        <w:t xml:space="preserve"> no produtor</w:t>
      </w:r>
      <w:r w:rsidRPr="00E164DA">
        <w:rPr>
          <w:lang w:val="pt-PT"/>
        </w:rPr>
        <w:t xml:space="preserve"> nas correntes que alimentam os tanques de produto final.</w:t>
      </w:r>
    </w:p>
    <w:p w:rsidR="00E164DA" w:rsidRPr="00F1532C" w:rsidRDefault="00E164DA" w:rsidP="005D38BE">
      <w:pPr>
        <w:ind w:firstLine="708"/>
        <w:jc w:val="both"/>
        <w:rPr>
          <w:rFonts w:ascii="Times New Roman" w:eastAsia="Times New Roman" w:hAnsi="Times New Roman"/>
          <w:sz w:val="24"/>
          <w:szCs w:val="24"/>
          <w:lang w:val="pt-PT" w:eastAsia="pt-BR"/>
        </w:rPr>
      </w:pPr>
      <w:r w:rsidRPr="00F1532C">
        <w:rPr>
          <w:rFonts w:ascii="Times New Roman" w:hAnsi="Times New Roman"/>
          <w:lang w:val="pt-PT"/>
        </w:rPr>
        <w:t>Apesar de relatarem apenas problemas esporádicos de turbidez do combustível devido ao aditivo, foram estabelecidos limites mínimos a serem atendidos, de acordo com os padrões definidos na norma ASTM D1094</w:t>
      </w:r>
      <w:r w:rsidR="00E524D1" w:rsidRPr="00F1532C">
        <w:rPr>
          <w:rFonts w:ascii="Times New Roman" w:hAnsi="Times New Roman"/>
          <w:lang w:val="pt-PT"/>
        </w:rPr>
        <w:t xml:space="preserve"> - </w:t>
      </w:r>
      <w:r w:rsidR="009D0DC1" w:rsidRPr="009D0DC1">
        <w:rPr>
          <w:rFonts w:ascii="Times New Roman" w:eastAsia="Times New Roman" w:hAnsi="Times New Roman"/>
          <w:i/>
          <w:sz w:val="24"/>
          <w:szCs w:val="24"/>
          <w:lang w:val="pt-PT" w:eastAsia="pt-BR"/>
        </w:rPr>
        <w:t>Standard Test Method for Water Reaction of Aviation Fuels</w:t>
      </w:r>
      <w:r w:rsidRPr="00F1532C">
        <w:rPr>
          <w:rFonts w:ascii="Times New Roman" w:hAnsi="Times New Roman"/>
          <w:lang w:val="pt-PT"/>
        </w:rPr>
        <w:t>. Como informação adicional, cabe dizer que a gasolina comercializada no México atualmente não contém etanol.</w:t>
      </w:r>
    </w:p>
    <w:p w:rsidR="0002519A" w:rsidRPr="00CE3398" w:rsidRDefault="0002519A" w:rsidP="0002519A">
      <w:pPr>
        <w:pStyle w:val="PargrafodaLista"/>
        <w:numPr>
          <w:ilvl w:val="1"/>
          <w:numId w:val="4"/>
        </w:numPr>
        <w:spacing w:after="120" w:line="240" w:lineRule="auto"/>
        <w:ind w:left="426" w:hanging="426"/>
        <w:contextualSpacing w:val="0"/>
        <w:rPr>
          <w:rFonts w:ascii="Times New Roman" w:hAnsi="Times New Roman"/>
          <w:b/>
          <w:sz w:val="24"/>
          <w:szCs w:val="24"/>
        </w:rPr>
      </w:pPr>
      <w:r w:rsidRPr="00CE3398">
        <w:rPr>
          <w:rFonts w:ascii="Times New Roman" w:hAnsi="Times New Roman"/>
          <w:b/>
          <w:sz w:val="24"/>
          <w:szCs w:val="24"/>
        </w:rPr>
        <w:lastRenderedPageBreak/>
        <w:t>ANÁLISE DAS OPÇÕES REGULATÓRIAS</w:t>
      </w:r>
    </w:p>
    <w:p w:rsidR="0002519A" w:rsidRPr="00CE3398" w:rsidRDefault="0002519A" w:rsidP="00D15CB9">
      <w:pPr>
        <w:spacing w:after="120" w:line="240" w:lineRule="auto"/>
        <w:rPr>
          <w:rFonts w:ascii="Times New Roman" w:hAnsi="Times New Roman"/>
          <w:b/>
          <w:sz w:val="24"/>
          <w:szCs w:val="24"/>
        </w:rPr>
      </w:pPr>
    </w:p>
    <w:p w:rsidR="00023736" w:rsidRPr="00CE3398" w:rsidRDefault="0002519A" w:rsidP="00023736">
      <w:pPr>
        <w:pStyle w:val="PargrafodaLista"/>
        <w:numPr>
          <w:ilvl w:val="2"/>
          <w:numId w:val="4"/>
        </w:numPr>
        <w:spacing w:after="120" w:line="240" w:lineRule="auto"/>
        <w:ind w:left="709" w:hanging="709"/>
        <w:contextualSpacing w:val="0"/>
        <w:jc w:val="both"/>
        <w:rPr>
          <w:rFonts w:ascii="Times New Roman" w:hAnsi="Times New Roman"/>
          <w:b/>
          <w:sz w:val="24"/>
          <w:szCs w:val="24"/>
        </w:rPr>
      </w:pPr>
      <w:r w:rsidRPr="00CE3398">
        <w:rPr>
          <w:rFonts w:ascii="Times New Roman" w:hAnsi="Times New Roman"/>
          <w:b/>
          <w:sz w:val="24"/>
          <w:szCs w:val="24"/>
        </w:rPr>
        <w:t>COMPARATIVO ENTRE CENÁRIO</w:t>
      </w:r>
      <w:r w:rsidR="002E3E4F" w:rsidRPr="00CE3398">
        <w:rPr>
          <w:rFonts w:ascii="Times New Roman" w:hAnsi="Times New Roman"/>
          <w:b/>
          <w:sz w:val="24"/>
          <w:szCs w:val="24"/>
        </w:rPr>
        <w:t>S</w:t>
      </w:r>
      <w:r w:rsidRPr="00CE3398">
        <w:rPr>
          <w:rFonts w:ascii="Times New Roman" w:hAnsi="Times New Roman"/>
          <w:b/>
          <w:sz w:val="24"/>
          <w:szCs w:val="24"/>
        </w:rPr>
        <w:t xml:space="preserve"> REGULATÓRIOS: ADITIVAÇÃO PELO PRODUTOR DE GASOLINA A </w:t>
      </w:r>
      <w:r w:rsidR="002E3E4F" w:rsidRPr="00CE3398">
        <w:rPr>
          <w:rFonts w:ascii="Times New Roman" w:hAnsi="Times New Roman"/>
          <w:b/>
          <w:i/>
          <w:sz w:val="24"/>
          <w:szCs w:val="24"/>
        </w:rPr>
        <w:t>VERSUS</w:t>
      </w:r>
      <w:r w:rsidRPr="00CE3398">
        <w:rPr>
          <w:rFonts w:ascii="Times New Roman" w:hAnsi="Times New Roman"/>
          <w:b/>
          <w:sz w:val="24"/>
          <w:szCs w:val="24"/>
        </w:rPr>
        <w:t xml:space="preserve"> ADITIVAÇÃO NO DISTRIBUIDOR</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 xml:space="preserve">O comparativo entre os impactos da aditivação pelo produtor de gasolina A e pelo distribuidor </w:t>
      </w:r>
      <w:r w:rsidR="002E3E4F" w:rsidRPr="00CE3398">
        <w:rPr>
          <w:lang w:val="pt-PT"/>
        </w:rPr>
        <w:t xml:space="preserve">de combustíveis </w:t>
      </w:r>
      <w:r w:rsidR="00984A70" w:rsidRPr="00CE3398">
        <w:rPr>
          <w:lang w:val="pt-PT"/>
        </w:rPr>
        <w:t>adotou como premissa o</w:t>
      </w:r>
      <w:r w:rsidRPr="00CE3398">
        <w:rPr>
          <w:lang w:val="pt-PT"/>
        </w:rPr>
        <w:t xml:space="preserve"> entendimento de que os benefícios gerais da nova medida serão os mesmos</w:t>
      </w:r>
      <w:r w:rsidR="002E3E4F" w:rsidRPr="00CE3398">
        <w:rPr>
          <w:lang w:val="pt-PT"/>
        </w:rPr>
        <w:t>, independentemente</w:t>
      </w:r>
      <w:r w:rsidRPr="00CE3398">
        <w:rPr>
          <w:lang w:val="pt-PT"/>
        </w:rPr>
        <w:t xml:space="preserve"> </w:t>
      </w:r>
      <w:r w:rsidR="002E3E4F" w:rsidRPr="00CE3398">
        <w:rPr>
          <w:lang w:val="pt-PT"/>
        </w:rPr>
        <w:t>do ponto de aditivação da gasolina a ser definido pela ANP</w:t>
      </w:r>
      <w:r w:rsidRPr="00CE3398">
        <w:rPr>
          <w:lang w:val="pt-PT"/>
        </w:rPr>
        <w:t xml:space="preserve">. Dessa forma, a análise concentrou-se nos </w:t>
      </w:r>
      <w:r w:rsidR="00984A70" w:rsidRPr="00CE3398">
        <w:rPr>
          <w:lang w:val="pt-PT"/>
        </w:rPr>
        <w:t xml:space="preserve">dispêndios totais </w:t>
      </w:r>
      <w:r w:rsidRPr="00CE3398">
        <w:rPr>
          <w:lang w:val="pt-PT"/>
        </w:rPr>
        <w:t xml:space="preserve">para cada </w:t>
      </w:r>
      <w:r w:rsidR="002E3E4F" w:rsidRPr="00CE3398">
        <w:rPr>
          <w:lang w:val="pt-PT"/>
        </w:rPr>
        <w:t>um dos dois segmentos</w:t>
      </w:r>
      <w:r w:rsidR="005A59AD" w:rsidRPr="00CE3398">
        <w:rPr>
          <w:lang w:val="pt-PT"/>
        </w:rPr>
        <w:t>.</w:t>
      </w:r>
    </w:p>
    <w:p w:rsidR="00B154EA" w:rsidRPr="00CE3398" w:rsidRDefault="00B154EA" w:rsidP="0002519A">
      <w:pPr>
        <w:pStyle w:val="NormalWeb"/>
        <w:spacing w:before="0" w:beforeAutospacing="0" w:after="120" w:afterAutospacing="0" w:line="276" w:lineRule="auto"/>
        <w:ind w:firstLine="708"/>
        <w:jc w:val="both"/>
        <w:rPr>
          <w:lang w:val="pt-PT"/>
        </w:rPr>
      </w:pPr>
      <w:r w:rsidRPr="00CE3398">
        <w:rPr>
          <w:lang w:val="pt-PT"/>
        </w:rPr>
        <w:t>Em termos de volume comercializado, os produtores de gasolina A consultados representam pouco mais de 98% do mercado nacional. As empresas distribuidoras consultadas, sob o mesmo critério, representam cerca de 75% do mercado de distribuição de combustíveis.</w:t>
      </w:r>
    </w:p>
    <w:p w:rsidR="0053708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 xml:space="preserve">No segundo pedido de informações enviado aos produtores e </w:t>
      </w:r>
      <w:r w:rsidR="008F0FAF" w:rsidRPr="00CE3398">
        <w:rPr>
          <w:lang w:val="pt-PT"/>
        </w:rPr>
        <w:t xml:space="preserve">aos </w:t>
      </w:r>
      <w:r w:rsidRPr="00CE3398">
        <w:rPr>
          <w:lang w:val="pt-PT"/>
        </w:rPr>
        <w:t xml:space="preserve">distribuidores, </w:t>
      </w:r>
      <w:r w:rsidR="00366781" w:rsidRPr="00CE3398">
        <w:rPr>
          <w:lang w:val="pt-PT"/>
        </w:rPr>
        <w:t xml:space="preserve">conforme </w:t>
      </w:r>
      <w:r w:rsidRPr="00CE3398">
        <w:rPr>
          <w:lang w:val="pt-PT"/>
        </w:rPr>
        <w:t>apresentado no</w:t>
      </w:r>
      <w:r w:rsidR="00366781" w:rsidRPr="00CE3398">
        <w:rPr>
          <w:lang w:val="pt-PT"/>
        </w:rPr>
        <w:t>s</w:t>
      </w:r>
      <w:r w:rsidRPr="00CE3398">
        <w:rPr>
          <w:lang w:val="pt-PT"/>
        </w:rPr>
        <w:t xml:space="preserve"> ite</w:t>
      </w:r>
      <w:r w:rsidR="00366781" w:rsidRPr="00CE3398">
        <w:rPr>
          <w:lang w:val="pt-PT"/>
        </w:rPr>
        <w:t>ns</w:t>
      </w:r>
      <w:r w:rsidRPr="00CE3398">
        <w:rPr>
          <w:lang w:val="pt-PT"/>
        </w:rPr>
        <w:t xml:space="preserve"> </w:t>
      </w:r>
      <w:r w:rsidR="00BC459D" w:rsidRPr="00CE3398">
        <w:rPr>
          <w:lang w:val="pt-PT"/>
        </w:rPr>
        <w:t>3.3.2</w:t>
      </w:r>
      <w:r w:rsidR="00366781" w:rsidRPr="00CE3398">
        <w:rPr>
          <w:lang w:val="pt-PT"/>
        </w:rPr>
        <w:t xml:space="preserve"> e </w:t>
      </w:r>
      <w:r w:rsidR="00BC459D" w:rsidRPr="00CE3398">
        <w:rPr>
          <w:lang w:val="pt-PT"/>
        </w:rPr>
        <w:t>3.3.3,</w:t>
      </w:r>
      <w:r w:rsidRPr="00CE3398">
        <w:rPr>
          <w:lang w:val="pt-PT"/>
        </w:rPr>
        <w:t xml:space="preserve"> foram considerados “temporários” os </w:t>
      </w:r>
      <w:r w:rsidR="00984A70" w:rsidRPr="00CE3398">
        <w:rPr>
          <w:lang w:val="pt-PT"/>
        </w:rPr>
        <w:t xml:space="preserve">dispêndios </w:t>
      </w:r>
      <w:r w:rsidRPr="00CE3398">
        <w:rPr>
          <w:lang w:val="pt-PT"/>
        </w:rPr>
        <w:t>iniciais de adaptação à nova regulamentação</w:t>
      </w:r>
      <w:r w:rsidR="00366781" w:rsidRPr="00CE3398">
        <w:rPr>
          <w:lang w:val="pt-PT"/>
        </w:rPr>
        <w:t xml:space="preserve"> a ser publicada</w:t>
      </w:r>
      <w:r w:rsidRPr="00CE3398">
        <w:rPr>
          <w:lang w:val="pt-PT"/>
        </w:rPr>
        <w:t xml:space="preserve">, compostos, basicamente, por investimentos para adequação da infraestrutura e </w:t>
      </w:r>
      <w:r w:rsidR="00984A70" w:rsidRPr="00CE3398">
        <w:rPr>
          <w:lang w:val="pt-PT"/>
        </w:rPr>
        <w:t xml:space="preserve">despesas </w:t>
      </w:r>
      <w:r w:rsidRPr="00CE3398">
        <w:rPr>
          <w:lang w:val="pt-PT"/>
        </w:rPr>
        <w:t>administrativ</w:t>
      </w:r>
      <w:r w:rsidR="00984A70" w:rsidRPr="00CE3398">
        <w:rPr>
          <w:lang w:val="pt-PT"/>
        </w:rPr>
        <w:t>a</w:t>
      </w:r>
      <w:r w:rsidRPr="00CE3398">
        <w:rPr>
          <w:lang w:val="pt-PT"/>
        </w:rPr>
        <w:t>s temporári</w:t>
      </w:r>
      <w:r w:rsidR="00984A70" w:rsidRPr="00CE3398">
        <w:rPr>
          <w:lang w:val="pt-PT"/>
        </w:rPr>
        <w:t>a</w:t>
      </w:r>
      <w:r w:rsidRPr="00CE3398">
        <w:rPr>
          <w:lang w:val="pt-PT"/>
        </w:rPr>
        <w:t xml:space="preserve">s, como </w:t>
      </w:r>
      <w:r w:rsidR="00984A70" w:rsidRPr="00CE3398">
        <w:rPr>
          <w:lang w:val="pt-PT"/>
        </w:rPr>
        <w:t>a</w:t>
      </w:r>
      <w:r w:rsidRPr="00CE3398">
        <w:rPr>
          <w:lang w:val="pt-PT"/>
        </w:rPr>
        <w:t xml:space="preserve">s de obtenção de licenças de operação. A estimativa para tais </w:t>
      </w:r>
      <w:r w:rsidR="00984A70" w:rsidRPr="00CE3398">
        <w:rPr>
          <w:lang w:val="pt-PT"/>
        </w:rPr>
        <w:t xml:space="preserve">dispêndios </w:t>
      </w:r>
      <w:r w:rsidRPr="00CE3398">
        <w:rPr>
          <w:lang w:val="pt-PT"/>
        </w:rPr>
        <w:t xml:space="preserve">foi informada considerando o período de 2013 a 2015. A partir de 2016, </w:t>
      </w:r>
      <w:r w:rsidR="0053708A" w:rsidRPr="00CE3398">
        <w:rPr>
          <w:lang w:val="pt-PT"/>
        </w:rPr>
        <w:t>subsiste apenas um incremento permanente nos gastos, decorrente da nova regulamentação, e que consiste nos custos</w:t>
      </w:r>
      <w:r w:rsidR="0053708A" w:rsidRPr="00CE3398">
        <w:t xml:space="preserve"> </w:t>
      </w:r>
      <w:r w:rsidR="0053708A" w:rsidRPr="00CE3398">
        <w:rPr>
          <w:lang w:val="pt-PT"/>
        </w:rPr>
        <w:t>com a compra do aditivo; despesas com pessoal (salários e encargos de novas contratações das áreas administrativa e de operações); e demais gastos com transporte, armazenamento, manutenção e operação.</w:t>
      </w:r>
    </w:p>
    <w:p w:rsidR="0002519A" w:rsidRPr="00CE3398" w:rsidRDefault="0002519A" w:rsidP="0002519A">
      <w:pPr>
        <w:pStyle w:val="NormalWeb"/>
        <w:spacing w:before="0" w:beforeAutospacing="0" w:after="120" w:afterAutospacing="0" w:line="276" w:lineRule="auto"/>
        <w:ind w:firstLine="708"/>
        <w:jc w:val="both"/>
        <w:rPr>
          <w:lang w:val="pt-PT"/>
        </w:rPr>
      </w:pPr>
      <w:r w:rsidRPr="00CE3398">
        <w:rPr>
          <w:lang w:val="pt-PT"/>
        </w:rPr>
        <w:t>Como resultado, obteve-se que</w:t>
      </w:r>
      <w:r w:rsidR="00305BC6" w:rsidRPr="00CE3398">
        <w:rPr>
          <w:lang w:val="pt-PT"/>
        </w:rPr>
        <w:t>, para o conjunto dos produtores,</w:t>
      </w:r>
      <w:r w:rsidRPr="00CE3398">
        <w:rPr>
          <w:lang w:val="pt-PT"/>
        </w:rPr>
        <w:t xml:space="preserve"> a</w:t>
      </w:r>
      <w:r w:rsidR="00A9606E" w:rsidRPr="00CE3398">
        <w:rPr>
          <w:lang w:val="pt-PT"/>
        </w:rPr>
        <w:t xml:space="preserve"> </w:t>
      </w:r>
      <w:r w:rsidR="00305BC6" w:rsidRPr="00CE3398">
        <w:rPr>
          <w:lang w:val="pt-PT"/>
        </w:rPr>
        <w:t xml:space="preserve">responsabilidade pela </w:t>
      </w:r>
      <w:r w:rsidRPr="00CE3398">
        <w:rPr>
          <w:lang w:val="pt-PT"/>
        </w:rPr>
        <w:t xml:space="preserve">aditivação </w:t>
      </w:r>
      <w:r w:rsidR="00305BC6" w:rsidRPr="00CE3398">
        <w:rPr>
          <w:lang w:val="pt-PT"/>
        </w:rPr>
        <w:t>implicaria dispêndios totais</w:t>
      </w:r>
      <w:r w:rsidRPr="00CE3398">
        <w:rPr>
          <w:lang w:val="pt-PT"/>
        </w:rPr>
        <w:t xml:space="preserve"> de adaptação da ordem de </w:t>
      </w:r>
      <w:r w:rsidR="00C56D8A">
        <w:rPr>
          <w:lang w:val="pt-PT"/>
        </w:rPr>
        <w:t>64,9</w:t>
      </w:r>
      <w:r w:rsidRPr="00CE3398">
        <w:rPr>
          <w:lang w:val="pt-PT"/>
        </w:rPr>
        <w:t xml:space="preserve"> milhões de reais, mantendo-se, como </w:t>
      </w:r>
      <w:r w:rsidR="00305BC6" w:rsidRPr="00CE3398">
        <w:rPr>
          <w:lang w:val="pt-PT"/>
        </w:rPr>
        <w:t xml:space="preserve">gastos </w:t>
      </w:r>
      <w:r w:rsidRPr="00CE3398">
        <w:rPr>
          <w:lang w:val="pt-PT"/>
        </w:rPr>
        <w:t>permanentes</w:t>
      </w:r>
      <w:r w:rsidR="00305BC6" w:rsidRPr="00CE3398">
        <w:rPr>
          <w:lang w:val="pt-PT"/>
        </w:rPr>
        <w:t xml:space="preserve"> adicionais</w:t>
      </w:r>
      <w:r w:rsidRPr="00CE3398">
        <w:rPr>
          <w:lang w:val="pt-PT"/>
        </w:rPr>
        <w:t xml:space="preserve">, cerca de </w:t>
      </w:r>
      <w:r w:rsidR="009071E2">
        <w:rPr>
          <w:lang w:val="pt-PT"/>
        </w:rPr>
        <w:t>8,43</w:t>
      </w:r>
      <w:r w:rsidRPr="00CE3398">
        <w:rPr>
          <w:lang w:val="pt-PT"/>
        </w:rPr>
        <w:t xml:space="preserve"> </w:t>
      </w:r>
      <w:r w:rsidR="009071E2" w:rsidRPr="00CE3398">
        <w:rPr>
          <w:lang w:val="pt-PT"/>
        </w:rPr>
        <w:t>milh</w:t>
      </w:r>
      <w:r w:rsidR="009071E2">
        <w:rPr>
          <w:lang w:val="pt-PT"/>
        </w:rPr>
        <w:t>ões</w:t>
      </w:r>
      <w:r w:rsidR="009071E2" w:rsidRPr="00CE3398">
        <w:rPr>
          <w:lang w:val="pt-PT"/>
        </w:rPr>
        <w:t xml:space="preserve"> </w:t>
      </w:r>
      <w:r w:rsidRPr="00CE3398">
        <w:rPr>
          <w:lang w:val="pt-PT"/>
        </w:rPr>
        <w:t xml:space="preserve">de reais por ano a partir de 2016. Para </w:t>
      </w:r>
      <w:r w:rsidR="00305BC6" w:rsidRPr="00CE3398">
        <w:rPr>
          <w:lang w:val="pt-PT"/>
        </w:rPr>
        <w:t>o conjunto d</w:t>
      </w:r>
      <w:r w:rsidRPr="00CE3398">
        <w:rPr>
          <w:lang w:val="pt-PT"/>
        </w:rPr>
        <w:t xml:space="preserve">os distribuidores, os </w:t>
      </w:r>
      <w:r w:rsidR="00305BC6" w:rsidRPr="00CE3398">
        <w:rPr>
          <w:lang w:val="pt-PT"/>
        </w:rPr>
        <w:t xml:space="preserve">dispêndios </w:t>
      </w:r>
      <w:r w:rsidRPr="00CE3398">
        <w:rPr>
          <w:lang w:val="pt-PT"/>
        </w:rPr>
        <w:t xml:space="preserve">iniciais de adaptação </w:t>
      </w:r>
      <w:r w:rsidR="00267DB1" w:rsidRPr="00CE3398">
        <w:rPr>
          <w:lang w:val="pt-PT"/>
        </w:rPr>
        <w:t>seriam</w:t>
      </w:r>
      <w:r w:rsidRPr="00CE3398">
        <w:rPr>
          <w:lang w:val="pt-PT"/>
        </w:rPr>
        <w:t xml:space="preserve"> em torno de 249,5 milhões de reais, mantendo-se, como </w:t>
      </w:r>
      <w:r w:rsidR="005F0BDA" w:rsidRPr="00CE3398">
        <w:rPr>
          <w:lang w:val="pt-PT"/>
        </w:rPr>
        <w:t xml:space="preserve">gastos </w:t>
      </w:r>
      <w:r w:rsidRPr="00CE3398">
        <w:rPr>
          <w:lang w:val="pt-PT"/>
        </w:rPr>
        <w:t>permanentes, cerca de 13,5 milhões de reais por ano a partir de 2016.</w:t>
      </w:r>
      <w:r w:rsidR="004D2A5D" w:rsidRPr="00CE3398">
        <w:rPr>
          <w:rStyle w:val="Refdenotaderodap"/>
          <w:lang w:val="pt-PT"/>
        </w:rPr>
        <w:footnoteReference w:id="8"/>
      </w:r>
    </w:p>
    <w:p w:rsidR="0002519A" w:rsidRDefault="0002519A" w:rsidP="0002519A">
      <w:pPr>
        <w:pStyle w:val="NormalWeb"/>
        <w:spacing w:before="0" w:beforeAutospacing="0" w:after="120" w:afterAutospacing="0" w:line="276" w:lineRule="auto"/>
        <w:ind w:firstLine="708"/>
        <w:jc w:val="both"/>
        <w:rPr>
          <w:lang w:val="pt-PT"/>
        </w:rPr>
      </w:pPr>
      <w:r w:rsidRPr="00CE3398">
        <w:rPr>
          <w:lang w:val="pt-PT"/>
        </w:rPr>
        <w:t xml:space="preserve">Portanto, </w:t>
      </w:r>
      <w:r w:rsidR="005F0BDA" w:rsidRPr="00CE3398">
        <w:rPr>
          <w:lang w:val="pt-PT"/>
        </w:rPr>
        <w:t>considerando apenas</w:t>
      </w:r>
      <w:r w:rsidRPr="00CE3398">
        <w:rPr>
          <w:lang w:val="pt-PT"/>
        </w:rPr>
        <w:t xml:space="preserve"> os agentes </w:t>
      </w:r>
      <w:r w:rsidR="00DC428D" w:rsidRPr="00CE3398">
        <w:rPr>
          <w:lang w:val="pt-PT"/>
        </w:rPr>
        <w:t xml:space="preserve">econômicos </w:t>
      </w:r>
      <w:r w:rsidRPr="00CE3398">
        <w:rPr>
          <w:lang w:val="pt-PT"/>
        </w:rPr>
        <w:t xml:space="preserve">diretamente envolvidos </w:t>
      </w:r>
      <w:r w:rsidR="00F61F52" w:rsidRPr="00CE3398">
        <w:rPr>
          <w:lang w:val="pt-PT"/>
        </w:rPr>
        <w:t xml:space="preserve">e atuantes nos segmentos de produção e de distribuição, </w:t>
      </w:r>
      <w:r w:rsidRPr="00CE3398">
        <w:rPr>
          <w:lang w:val="pt-PT"/>
        </w:rPr>
        <w:t xml:space="preserve">e usando como fonte apenas as informações fornecidas pelas próprias empresas, pode-se concluir que a aditivação pelo produtor </w:t>
      </w:r>
      <w:r w:rsidR="00F61F52" w:rsidRPr="00CE3398">
        <w:rPr>
          <w:lang w:val="pt-PT"/>
        </w:rPr>
        <w:t xml:space="preserve">seria </w:t>
      </w:r>
      <w:r w:rsidRPr="00CE3398">
        <w:rPr>
          <w:lang w:val="pt-PT"/>
        </w:rPr>
        <w:t>a alternativa que representa</w:t>
      </w:r>
      <w:r w:rsidR="00F61F52" w:rsidRPr="00CE3398">
        <w:rPr>
          <w:lang w:val="pt-PT"/>
        </w:rPr>
        <w:t>ria</w:t>
      </w:r>
      <w:r w:rsidRPr="00CE3398">
        <w:rPr>
          <w:lang w:val="pt-PT"/>
        </w:rPr>
        <w:t xml:space="preserve"> os menores </w:t>
      </w:r>
      <w:r w:rsidR="005F0BDA" w:rsidRPr="00CE3398">
        <w:rPr>
          <w:lang w:val="pt-PT"/>
        </w:rPr>
        <w:t xml:space="preserve">dispêndios </w:t>
      </w:r>
      <w:r w:rsidRPr="00CE3398">
        <w:rPr>
          <w:lang w:val="pt-PT"/>
        </w:rPr>
        <w:t>agregados para o mercado</w:t>
      </w:r>
      <w:r w:rsidR="00DC428D" w:rsidRPr="00CE3398">
        <w:rPr>
          <w:lang w:val="pt-PT"/>
        </w:rPr>
        <w:t xml:space="preserve"> de combustíveis</w:t>
      </w:r>
      <w:r w:rsidRPr="00CE3398">
        <w:rPr>
          <w:lang w:val="pt-PT"/>
        </w:rPr>
        <w:t>.</w:t>
      </w:r>
    </w:p>
    <w:p w:rsidR="007E585D" w:rsidRPr="00CE3398" w:rsidRDefault="007E585D" w:rsidP="0002519A">
      <w:pPr>
        <w:pStyle w:val="NormalWeb"/>
        <w:spacing w:before="0" w:beforeAutospacing="0" w:after="120" w:afterAutospacing="0" w:line="276" w:lineRule="auto"/>
        <w:ind w:firstLine="708"/>
        <w:jc w:val="both"/>
        <w:rPr>
          <w:lang w:val="pt-PT"/>
        </w:rPr>
      </w:pPr>
      <w:r>
        <w:rPr>
          <w:lang w:val="pt-PT"/>
        </w:rPr>
        <w:t>Com relação à inexistência de sistemas de aditivação automáticos para vazões acima de 150 m³/h, contatos com fornecedores desses equipamentos informaram que há sistemas compatíveis com vazões bastante superiores e que permitem a dosagem automática com altíssima precisão.</w:t>
      </w:r>
    </w:p>
    <w:p w:rsidR="001A5D99" w:rsidRDefault="001A5D99" w:rsidP="0002519A">
      <w:pPr>
        <w:pStyle w:val="NormalWeb"/>
        <w:spacing w:before="0" w:beforeAutospacing="0" w:after="120" w:afterAutospacing="0" w:line="276" w:lineRule="auto"/>
        <w:ind w:firstLine="708"/>
        <w:jc w:val="both"/>
        <w:rPr>
          <w:lang w:val="pt-PT"/>
        </w:rPr>
      </w:pPr>
      <w:r w:rsidRPr="00CE3398">
        <w:rPr>
          <w:lang w:val="pt-PT"/>
        </w:rPr>
        <w:t>De forma a dirimir as dúvidas</w:t>
      </w:r>
      <w:r w:rsidR="00FF177B" w:rsidRPr="00CE3398">
        <w:rPr>
          <w:lang w:val="pt-PT"/>
        </w:rPr>
        <w:t xml:space="preserve"> sobre a </w:t>
      </w:r>
      <w:r w:rsidRPr="00CE3398">
        <w:rPr>
          <w:lang w:val="pt-PT"/>
        </w:rPr>
        <w:t xml:space="preserve">possibilidade da formação de emulsão de gasolina A e C com água na presença de aditivos detergentes dispersantes, </w:t>
      </w:r>
      <w:r w:rsidR="00FF177B" w:rsidRPr="00CE3398">
        <w:rPr>
          <w:lang w:val="pt-PT"/>
        </w:rPr>
        <w:t xml:space="preserve">o CPT realizou análises de amostras das gasolinas </w:t>
      </w:r>
      <w:r w:rsidRPr="00CE3398">
        <w:rPr>
          <w:lang w:val="pt-PT"/>
        </w:rPr>
        <w:t xml:space="preserve">por meio do método ASTM D7451 </w:t>
      </w:r>
      <w:r w:rsidR="001C0498">
        <w:rPr>
          <w:lang w:val="pt-PT"/>
        </w:rPr>
        <w:t xml:space="preserve">- </w:t>
      </w:r>
      <w:r w:rsidR="001C0498" w:rsidRPr="009D0DC1">
        <w:rPr>
          <w:i/>
          <w:lang w:val="pt-PT"/>
        </w:rPr>
        <w:t xml:space="preserve">Standard Test Method for Water </w:t>
      </w:r>
      <w:r w:rsidR="001C0498" w:rsidRPr="009D0DC1">
        <w:rPr>
          <w:i/>
          <w:lang w:val="pt-PT"/>
        </w:rPr>
        <w:lastRenderedPageBreak/>
        <w:t xml:space="preserve">Separation Properties of Light and Middle Distillate, and Compression and Spark Ignition </w:t>
      </w:r>
      <w:r w:rsidR="001C0498">
        <w:rPr>
          <w:i/>
          <w:lang w:val="pt-PT"/>
        </w:rPr>
        <w:t xml:space="preserve"> </w:t>
      </w:r>
      <w:r w:rsidR="001C0498" w:rsidRPr="009D0DC1">
        <w:rPr>
          <w:i/>
          <w:lang w:val="pt-PT"/>
        </w:rPr>
        <w:t>Fuels</w:t>
      </w:r>
      <w:r w:rsidR="001C0498">
        <w:rPr>
          <w:i/>
          <w:lang w:val="pt-PT"/>
        </w:rPr>
        <w:t xml:space="preserve"> -</w:t>
      </w:r>
      <w:r w:rsidR="001C0498" w:rsidRPr="00CE3398">
        <w:rPr>
          <w:lang w:val="pt-PT"/>
        </w:rPr>
        <w:t xml:space="preserve"> </w:t>
      </w:r>
      <w:r w:rsidRPr="00CE3398">
        <w:rPr>
          <w:lang w:val="pt-PT"/>
        </w:rPr>
        <w:t>com algumas adaptações</w:t>
      </w:r>
      <w:r w:rsidR="001C0498">
        <w:rPr>
          <w:lang w:val="pt-PT"/>
        </w:rPr>
        <w:t xml:space="preserve"> (Anexo</w:t>
      </w:r>
      <w:r w:rsidR="00993701" w:rsidRPr="00CE3398">
        <w:rPr>
          <w:lang w:val="pt-PT"/>
        </w:rPr>
        <w:t xml:space="preserve"> VII)</w:t>
      </w:r>
      <w:r w:rsidRPr="00CE3398">
        <w:rPr>
          <w:lang w:val="pt-PT"/>
        </w:rPr>
        <w:t>. Foram analisados três aditivos diferentes, nas concentrações de 100 µL/L e 5.000 µL/L</w:t>
      </w:r>
      <w:r w:rsidR="00675AE3" w:rsidRPr="00CE3398">
        <w:rPr>
          <w:lang w:val="pt-PT"/>
        </w:rPr>
        <w:t xml:space="preserve"> (este último de forma a representar uma superdosagem acidental)</w:t>
      </w:r>
      <w:r w:rsidRPr="00CE3398">
        <w:rPr>
          <w:lang w:val="pt-PT"/>
        </w:rPr>
        <w:t xml:space="preserve">, e os resultados foram comparados com uma amostra sem aditivos. Apesar de alguns resultados apresentarem algumas bolhas ou ligeira turvação na interface, </w:t>
      </w:r>
      <w:r w:rsidR="00FF177B" w:rsidRPr="00CE3398">
        <w:rPr>
          <w:lang w:val="pt-PT"/>
        </w:rPr>
        <w:t xml:space="preserve">o resultado obtido não </w:t>
      </w:r>
      <w:r w:rsidR="004E4482" w:rsidRPr="00CE3398">
        <w:rPr>
          <w:lang w:val="pt-PT"/>
        </w:rPr>
        <w:t>apresentou diferença em referência a</w:t>
      </w:r>
      <w:r w:rsidRPr="00CE3398">
        <w:rPr>
          <w:lang w:val="pt-PT"/>
        </w:rPr>
        <w:t xml:space="preserve">o </w:t>
      </w:r>
      <w:r w:rsidR="00FF177B" w:rsidRPr="00CE3398">
        <w:rPr>
          <w:lang w:val="pt-PT"/>
        </w:rPr>
        <w:t xml:space="preserve">resultado </w:t>
      </w:r>
      <w:r w:rsidRPr="00CE3398">
        <w:rPr>
          <w:lang w:val="pt-PT"/>
        </w:rPr>
        <w:t>da amostra sem aditivos</w:t>
      </w:r>
      <w:r w:rsidR="00FF177B" w:rsidRPr="00CE3398">
        <w:rPr>
          <w:lang w:val="pt-PT"/>
        </w:rPr>
        <w:t>, o que indica que não há relação entre a presença do aditivo e a formação de emulsão</w:t>
      </w:r>
      <w:r w:rsidRPr="00CE3398">
        <w:rPr>
          <w:lang w:val="pt-PT"/>
        </w:rPr>
        <w:t>.</w:t>
      </w:r>
    </w:p>
    <w:p w:rsidR="00414366" w:rsidRPr="00414366" w:rsidRDefault="009B79DD" w:rsidP="00414366">
      <w:pPr>
        <w:ind w:firstLine="708"/>
        <w:jc w:val="both"/>
        <w:rPr>
          <w:rFonts w:ascii="Times New Roman" w:eastAsia="Times New Roman" w:hAnsi="Times New Roman"/>
          <w:sz w:val="24"/>
          <w:szCs w:val="24"/>
          <w:lang w:val="pt-PT" w:eastAsia="pt-BR"/>
        </w:rPr>
      </w:pPr>
      <w:r w:rsidRPr="00414366">
        <w:rPr>
          <w:rFonts w:ascii="Times New Roman" w:hAnsi="Times New Roman"/>
          <w:sz w:val="24"/>
          <w:szCs w:val="24"/>
          <w:lang w:val="pt-PT"/>
        </w:rPr>
        <w:t xml:space="preserve">Em adição, será </w:t>
      </w:r>
      <w:r w:rsidR="00802276">
        <w:rPr>
          <w:rFonts w:ascii="Times New Roman" w:hAnsi="Times New Roman"/>
          <w:sz w:val="24"/>
          <w:szCs w:val="24"/>
          <w:lang w:val="pt-PT"/>
        </w:rPr>
        <w:t>proposta</w:t>
      </w:r>
      <w:r w:rsidR="00414366">
        <w:rPr>
          <w:rFonts w:ascii="Times New Roman" w:hAnsi="Times New Roman"/>
          <w:sz w:val="24"/>
          <w:szCs w:val="24"/>
          <w:lang w:val="pt-PT"/>
        </w:rPr>
        <w:t xml:space="preserve"> no âmbito da</w:t>
      </w:r>
      <w:r w:rsidRPr="00414366">
        <w:rPr>
          <w:rFonts w:ascii="Times New Roman" w:hAnsi="Times New Roman"/>
          <w:sz w:val="24"/>
          <w:szCs w:val="24"/>
          <w:lang w:val="pt-PT"/>
        </w:rPr>
        <w:t xml:space="preserve"> revisão do regulamento que trata da concessão de registro de aditivos para combustíveis, que os produtores e importadores de aditivos comprovem que os aditivos detergentes dispersantes não alter</w:t>
      </w:r>
      <w:r w:rsidR="00414366">
        <w:rPr>
          <w:rFonts w:ascii="Times New Roman" w:hAnsi="Times New Roman"/>
          <w:sz w:val="24"/>
          <w:szCs w:val="24"/>
          <w:lang w:val="pt-PT"/>
        </w:rPr>
        <w:t>a</w:t>
      </w:r>
      <w:r w:rsidRPr="00414366">
        <w:rPr>
          <w:rFonts w:ascii="Times New Roman" w:hAnsi="Times New Roman"/>
          <w:sz w:val="24"/>
          <w:szCs w:val="24"/>
          <w:lang w:val="pt-PT"/>
        </w:rPr>
        <w:t>m a separação gasolina água conforme a norma ASTM D7451</w:t>
      </w:r>
      <w:r w:rsidR="00414366" w:rsidRPr="00414366">
        <w:rPr>
          <w:rFonts w:ascii="Times New Roman" w:eastAsia="Times New Roman" w:hAnsi="Times New Roman"/>
          <w:sz w:val="24"/>
          <w:szCs w:val="24"/>
          <w:lang w:val="pt-PT" w:eastAsia="pt-BR"/>
        </w:rPr>
        <w:t>.</w:t>
      </w:r>
    </w:p>
    <w:p w:rsidR="0046285D" w:rsidRPr="00CE3398" w:rsidRDefault="0046285D" w:rsidP="00217904">
      <w:pPr>
        <w:pStyle w:val="NormalWeb"/>
        <w:spacing w:before="0" w:beforeAutospacing="0" w:after="120" w:afterAutospacing="0" w:line="276" w:lineRule="auto"/>
        <w:ind w:firstLine="708"/>
        <w:jc w:val="both"/>
        <w:rPr>
          <w:lang w:val="pt-PT"/>
        </w:rPr>
      </w:pPr>
      <w:r w:rsidRPr="00CE3398">
        <w:rPr>
          <w:lang w:val="pt-PT"/>
        </w:rPr>
        <w:t>No que diz respeito aos prazos de adequação da infraestrutura</w:t>
      </w:r>
      <w:r w:rsidR="00217904" w:rsidRPr="00CE3398">
        <w:rPr>
          <w:lang w:val="pt-PT"/>
        </w:rPr>
        <w:t xml:space="preserve">, os distribuidores e produtores apresentaram prazos </w:t>
      </w:r>
      <w:r w:rsidR="00414366">
        <w:rPr>
          <w:lang w:val="pt-PT"/>
        </w:rPr>
        <w:t xml:space="preserve">similares, </w:t>
      </w:r>
      <w:r w:rsidR="00E32CC2">
        <w:rPr>
          <w:lang w:val="pt-PT"/>
        </w:rPr>
        <w:t xml:space="preserve">à </w:t>
      </w:r>
      <w:r w:rsidR="00414366">
        <w:rPr>
          <w:lang w:val="pt-PT"/>
        </w:rPr>
        <w:t>exceção d</w:t>
      </w:r>
      <w:r w:rsidR="00217904" w:rsidRPr="00CE3398">
        <w:rPr>
          <w:lang w:val="pt-PT"/>
        </w:rPr>
        <w:t xml:space="preserve">os produtores de menor porte </w:t>
      </w:r>
      <w:r w:rsidR="00414366">
        <w:rPr>
          <w:lang w:val="pt-PT"/>
        </w:rPr>
        <w:t>que indicaram</w:t>
      </w:r>
      <w:r w:rsidR="00414366" w:rsidRPr="00CE3398">
        <w:rPr>
          <w:lang w:val="pt-PT"/>
        </w:rPr>
        <w:t xml:space="preserve"> </w:t>
      </w:r>
      <w:r w:rsidR="00217904" w:rsidRPr="00CE3398">
        <w:rPr>
          <w:lang w:val="pt-PT"/>
        </w:rPr>
        <w:t>prazos iguais ou inferiores a 12 meses. Apesar do maior produtor de gasolina A ter se pronunciado</w:t>
      </w:r>
      <w:r w:rsidR="00414366">
        <w:rPr>
          <w:lang w:val="pt-PT"/>
        </w:rPr>
        <w:t xml:space="preserve"> com prazo de 3 anos</w:t>
      </w:r>
      <w:r w:rsidR="00217904" w:rsidRPr="00CE3398">
        <w:rPr>
          <w:lang w:val="pt-PT"/>
        </w:rPr>
        <w:t xml:space="preserve">, a experiência que a SRP tem em autorizações para construção e ampliação de unidades bem mais complexas que o caso da aditivação leva a concluir que o prazo apresentado pelos pequenos produtores é bastante razoável. </w:t>
      </w:r>
    </w:p>
    <w:p w:rsidR="005738C0" w:rsidRPr="00CE3398" w:rsidRDefault="00B00382" w:rsidP="005738C0">
      <w:pPr>
        <w:pStyle w:val="NormalWeb"/>
        <w:spacing w:before="0" w:beforeAutospacing="0" w:after="120" w:afterAutospacing="0" w:line="276" w:lineRule="auto"/>
        <w:ind w:firstLine="708"/>
        <w:jc w:val="both"/>
        <w:rPr>
          <w:lang w:val="pt-PT"/>
        </w:rPr>
      </w:pPr>
      <w:r w:rsidRPr="00CE3398">
        <w:rPr>
          <w:lang w:val="pt-PT"/>
        </w:rPr>
        <w:t xml:space="preserve">Com relação ao controle </w:t>
      </w:r>
      <w:r w:rsidR="005738C0" w:rsidRPr="00CE3398">
        <w:rPr>
          <w:lang w:val="pt-PT"/>
        </w:rPr>
        <w:t xml:space="preserve">a ser </w:t>
      </w:r>
      <w:r w:rsidRPr="00CE3398">
        <w:rPr>
          <w:lang w:val="pt-PT"/>
        </w:rPr>
        <w:t>exercido pela ANP sobre o cumprimento da</w:t>
      </w:r>
      <w:r w:rsidR="00BC459D" w:rsidRPr="00CE3398">
        <w:rPr>
          <w:lang w:val="pt-PT"/>
        </w:rPr>
        <w:t xml:space="preserve"> obrigatoriedade da aditivação mínima da gasolina, </w:t>
      </w:r>
      <w:r w:rsidR="005738C0" w:rsidRPr="00CE3398">
        <w:rPr>
          <w:lang w:val="pt-PT"/>
        </w:rPr>
        <w:t xml:space="preserve">como </w:t>
      </w:r>
      <w:r w:rsidR="00BC459D" w:rsidRPr="00CE3398">
        <w:rPr>
          <w:lang w:val="pt-PT"/>
        </w:rPr>
        <w:t>toda gasolina comercializada já deixa o produtor aditivada</w:t>
      </w:r>
      <w:r w:rsidR="005738C0" w:rsidRPr="00CE3398">
        <w:rPr>
          <w:lang w:val="pt-PT"/>
        </w:rPr>
        <w:t xml:space="preserve">, não há alteração nos procedimentos de campo de verificação da adequação das especificações da gasolina. O </w:t>
      </w:r>
      <w:r w:rsidR="00BC459D" w:rsidRPr="00CE3398">
        <w:rPr>
          <w:lang w:val="pt-PT"/>
        </w:rPr>
        <w:t xml:space="preserve">setor produtor, </w:t>
      </w:r>
      <w:r w:rsidR="005738C0" w:rsidRPr="00CE3398">
        <w:rPr>
          <w:lang w:val="pt-PT"/>
        </w:rPr>
        <w:t xml:space="preserve">mais concentrado que os demais, </w:t>
      </w:r>
      <w:r w:rsidR="00BC459D" w:rsidRPr="00CE3398">
        <w:rPr>
          <w:lang w:val="pt-PT"/>
        </w:rPr>
        <w:t>historicamente não apresenta problemas crônicos de descumprimentos relativos à qualidade dos combustíveis em geral, e da gasolina, em particular. Por isso, a ação da fiscalização em refinarias quanto à análise dos combustíveis é pontual</w:t>
      </w:r>
      <w:r w:rsidR="005738C0" w:rsidRPr="00CE3398">
        <w:rPr>
          <w:lang w:val="pt-PT"/>
        </w:rPr>
        <w:t xml:space="preserve"> e</w:t>
      </w:r>
      <w:r w:rsidR="00BC459D" w:rsidRPr="00CE3398">
        <w:rPr>
          <w:lang w:val="pt-PT"/>
        </w:rPr>
        <w:t xml:space="preserve"> mais facilitada</w:t>
      </w:r>
      <w:r w:rsidR="005738C0" w:rsidRPr="00CE3398">
        <w:rPr>
          <w:lang w:val="pt-PT"/>
        </w:rPr>
        <w:t>.</w:t>
      </w:r>
    </w:p>
    <w:p w:rsidR="00362F31" w:rsidRPr="00CE3398" w:rsidRDefault="00362F31" w:rsidP="00362F31">
      <w:pPr>
        <w:pStyle w:val="NormalWeb"/>
        <w:spacing w:before="0" w:beforeAutospacing="0" w:after="120" w:afterAutospacing="0" w:line="276" w:lineRule="auto"/>
        <w:ind w:firstLine="708"/>
        <w:jc w:val="both"/>
        <w:rPr>
          <w:lang w:val="pt-PT"/>
        </w:rPr>
      </w:pPr>
      <w:r w:rsidRPr="00CE3398">
        <w:rPr>
          <w:lang w:val="pt-PT"/>
        </w:rPr>
        <w:t>Na hipótese da aditivação ocorrer nas distribuidoras, a responsabilidade recai sobre um segmento com capilaridade muito superior (</w:t>
      </w:r>
      <w:r w:rsidR="00DF07CE" w:rsidRPr="00CE3398">
        <w:rPr>
          <w:lang w:val="pt-PT"/>
        </w:rPr>
        <w:t>297</w:t>
      </w:r>
      <w:r w:rsidR="004C4D58" w:rsidRPr="00CE3398">
        <w:rPr>
          <w:lang w:val="pt-PT"/>
        </w:rPr>
        <w:t xml:space="preserve"> </w:t>
      </w:r>
      <w:r w:rsidRPr="00CE3398">
        <w:rPr>
          <w:lang w:val="pt-PT"/>
        </w:rPr>
        <w:t>bases</w:t>
      </w:r>
      <w:r w:rsidR="004C4D58" w:rsidRPr="00CE3398">
        <w:rPr>
          <w:lang w:val="pt-PT"/>
        </w:rPr>
        <w:t xml:space="preserve"> que operam com gasolina</w:t>
      </w:r>
      <w:r w:rsidRPr="00CE3398">
        <w:rPr>
          <w:lang w:val="pt-PT"/>
        </w:rPr>
        <w:t xml:space="preserve">), em que existe necessidade de presença mais ostensiva da fiscalização. </w:t>
      </w:r>
    </w:p>
    <w:p w:rsidR="00BC459D" w:rsidRPr="00CE3398" w:rsidRDefault="00362F31" w:rsidP="00BC459D">
      <w:pPr>
        <w:pStyle w:val="NormalWeb"/>
        <w:spacing w:before="0" w:beforeAutospacing="0" w:after="120" w:afterAutospacing="0" w:line="276" w:lineRule="auto"/>
        <w:ind w:firstLine="708"/>
        <w:jc w:val="both"/>
        <w:rPr>
          <w:lang w:val="pt-PT"/>
        </w:rPr>
      </w:pPr>
      <w:r w:rsidRPr="00CE3398">
        <w:rPr>
          <w:lang w:val="pt-PT"/>
        </w:rPr>
        <w:t>Além disso, cabe destacar que pode haver um estímulo econômico à não aditivação deixando o produto mais competitivo em relação àqueles que cumprem a obrigação de aditivar a gasolina, o que poderia acarretar no aumento dos índices de não-conformidade e dos processos administrativos.</w:t>
      </w:r>
      <w:r w:rsidR="00DF07CE" w:rsidRPr="00CE3398">
        <w:rPr>
          <w:lang w:val="pt-PT"/>
        </w:rPr>
        <w:t xml:space="preserve">   </w:t>
      </w:r>
    </w:p>
    <w:p w:rsidR="00B00382" w:rsidRPr="00CE3398" w:rsidRDefault="00B00382" w:rsidP="0002519A">
      <w:pPr>
        <w:pStyle w:val="NormalWeb"/>
        <w:spacing w:before="0" w:beforeAutospacing="0" w:after="120" w:afterAutospacing="0" w:line="276" w:lineRule="auto"/>
        <w:jc w:val="both"/>
        <w:rPr>
          <w:lang w:val="pt-PT"/>
        </w:rPr>
      </w:pPr>
      <w:r w:rsidRPr="00CE3398">
        <w:rPr>
          <w:lang w:val="pt-PT"/>
        </w:rPr>
        <w:t xml:space="preserve"> </w:t>
      </w:r>
    </w:p>
    <w:p w:rsidR="00B61CBB" w:rsidRPr="00CE3398" w:rsidRDefault="00B61CBB" w:rsidP="00B61CBB">
      <w:pPr>
        <w:pStyle w:val="PargrafodaLista"/>
        <w:numPr>
          <w:ilvl w:val="2"/>
          <w:numId w:val="4"/>
        </w:numPr>
        <w:spacing w:after="120" w:line="240" w:lineRule="auto"/>
        <w:ind w:left="709" w:hanging="709"/>
        <w:contextualSpacing w:val="0"/>
        <w:jc w:val="both"/>
        <w:rPr>
          <w:rFonts w:ascii="Times New Roman" w:hAnsi="Times New Roman"/>
          <w:b/>
          <w:sz w:val="24"/>
          <w:szCs w:val="24"/>
        </w:rPr>
      </w:pPr>
      <w:r w:rsidRPr="00CE3398">
        <w:rPr>
          <w:rFonts w:ascii="Times New Roman" w:hAnsi="Times New Roman"/>
          <w:b/>
          <w:sz w:val="24"/>
          <w:szCs w:val="24"/>
        </w:rPr>
        <w:t>DEMAIS IMPACTOS SOBRE O MERCADO</w:t>
      </w:r>
    </w:p>
    <w:p w:rsidR="00191EFC" w:rsidRPr="00CE3398" w:rsidRDefault="0002519A" w:rsidP="004714C3">
      <w:pPr>
        <w:pStyle w:val="NormalWeb"/>
        <w:spacing w:before="0" w:beforeAutospacing="0" w:after="120" w:afterAutospacing="0" w:line="276" w:lineRule="auto"/>
        <w:ind w:firstLine="708"/>
        <w:jc w:val="both"/>
        <w:rPr>
          <w:lang w:val="pt-PT"/>
        </w:rPr>
      </w:pPr>
      <w:r w:rsidRPr="00CE3398">
        <w:rPr>
          <w:lang w:val="pt-PT"/>
        </w:rPr>
        <w:t>Ao longo do desenvolvimento d</w:t>
      </w:r>
      <w:r w:rsidR="00D52EBD" w:rsidRPr="00CE3398">
        <w:rPr>
          <w:lang w:val="pt-PT"/>
        </w:rPr>
        <w:t>a</w:t>
      </w:r>
      <w:r w:rsidRPr="00CE3398">
        <w:rPr>
          <w:lang w:val="pt-PT"/>
        </w:rPr>
        <w:t xml:space="preserve"> presente </w:t>
      </w:r>
      <w:r w:rsidR="00D52EBD" w:rsidRPr="00CE3398">
        <w:rPr>
          <w:lang w:val="pt-PT"/>
        </w:rPr>
        <w:t>análise</w:t>
      </w:r>
      <w:r w:rsidRPr="00CE3398">
        <w:rPr>
          <w:lang w:val="pt-PT"/>
        </w:rPr>
        <w:t>, levantou-se</w:t>
      </w:r>
      <w:r w:rsidR="004714C3" w:rsidRPr="00CE3398">
        <w:rPr>
          <w:lang w:val="pt-PT"/>
        </w:rPr>
        <w:t xml:space="preserve"> a hipótese de concentração no mercado de fornecedores de aditivos</w:t>
      </w:r>
      <w:r w:rsidRPr="00CE3398">
        <w:rPr>
          <w:lang w:val="pt-PT"/>
        </w:rPr>
        <w:t xml:space="preserve">, </w:t>
      </w:r>
      <w:r w:rsidR="00D06067" w:rsidRPr="00CE3398">
        <w:rPr>
          <w:lang w:val="pt-PT"/>
        </w:rPr>
        <w:t>no caso d</w:t>
      </w:r>
      <w:r w:rsidRPr="00CE3398">
        <w:rPr>
          <w:lang w:val="pt-PT"/>
        </w:rPr>
        <w:t xml:space="preserve">a aditivação </w:t>
      </w:r>
      <w:r w:rsidR="004714C3" w:rsidRPr="00CE3398">
        <w:rPr>
          <w:lang w:val="pt-PT"/>
        </w:rPr>
        <w:t>ocorrer no</w:t>
      </w:r>
      <w:r w:rsidRPr="00CE3398">
        <w:rPr>
          <w:lang w:val="pt-PT"/>
        </w:rPr>
        <w:t xml:space="preserve"> produtor de gasolina</w:t>
      </w:r>
      <w:r w:rsidR="00D52EBD" w:rsidRPr="00CE3398">
        <w:rPr>
          <w:lang w:val="pt-PT"/>
        </w:rPr>
        <w:t xml:space="preserve"> A</w:t>
      </w:r>
      <w:r w:rsidRPr="00CE3398">
        <w:rPr>
          <w:lang w:val="pt-PT"/>
        </w:rPr>
        <w:t>, uma vez que a compra em escala por parte do principal produtor nacional</w:t>
      </w:r>
      <w:r w:rsidR="00D52EBD" w:rsidRPr="00CE3398">
        <w:rPr>
          <w:lang w:val="pt-PT"/>
        </w:rPr>
        <w:t xml:space="preserve"> de gasolina A</w:t>
      </w:r>
      <w:r w:rsidRPr="00CE3398">
        <w:rPr>
          <w:lang w:val="pt-PT"/>
        </w:rPr>
        <w:t xml:space="preserve"> levaria, provavelmente, à contratação de uma única empresa</w:t>
      </w:r>
      <w:r w:rsidR="00D52EBD" w:rsidRPr="00CE3398">
        <w:rPr>
          <w:lang w:val="pt-PT"/>
        </w:rPr>
        <w:t xml:space="preserve"> fornecedora de aditivo</w:t>
      </w:r>
      <w:r w:rsidR="00A20FB5" w:rsidRPr="00CE3398">
        <w:rPr>
          <w:rStyle w:val="Refdenotaderodap"/>
          <w:lang w:val="pt-PT"/>
        </w:rPr>
        <w:footnoteReference w:id="9"/>
      </w:r>
      <w:r w:rsidRPr="00CE3398">
        <w:rPr>
          <w:lang w:val="pt-PT"/>
        </w:rPr>
        <w:t>.</w:t>
      </w:r>
      <w:r w:rsidR="004714C3" w:rsidRPr="00CE3398">
        <w:rPr>
          <w:lang w:val="pt-PT"/>
        </w:rPr>
        <w:t xml:space="preserve"> </w:t>
      </w:r>
    </w:p>
    <w:p w:rsidR="00A20FB5" w:rsidRPr="00CE3398" w:rsidRDefault="00A20FB5" w:rsidP="004714C3">
      <w:pPr>
        <w:pStyle w:val="NormalWeb"/>
        <w:spacing w:before="0" w:beforeAutospacing="0" w:after="120" w:afterAutospacing="0" w:line="276" w:lineRule="auto"/>
        <w:ind w:firstLine="708"/>
        <w:jc w:val="both"/>
        <w:rPr>
          <w:lang w:val="pt-PT"/>
        </w:rPr>
      </w:pPr>
      <w:r w:rsidRPr="00CE3398">
        <w:rPr>
          <w:lang w:val="pt-PT"/>
        </w:rPr>
        <w:lastRenderedPageBreak/>
        <w:t>Tendo em vista essa possibilidade, foi realizada uma consulta à Coordenadoria de Defesa da Concorrência (CDC) da ANP acerca dos possíveis efeitos no mercado de fornecedores de aditivos da eventual definição do ponto de aditiva</w:t>
      </w:r>
      <w:r w:rsidR="00D06067" w:rsidRPr="00CE3398">
        <w:rPr>
          <w:lang w:val="pt-PT"/>
        </w:rPr>
        <w:t>ção nas unidades produtoras de g</w:t>
      </w:r>
      <w:r w:rsidRPr="00CE3398">
        <w:rPr>
          <w:lang w:val="pt-PT"/>
        </w:rPr>
        <w:t xml:space="preserve">asolina A. </w:t>
      </w:r>
      <w:r w:rsidR="003C41E3" w:rsidRPr="00CE3398">
        <w:rPr>
          <w:lang w:val="pt-PT"/>
        </w:rPr>
        <w:t xml:space="preserve">A Nota Técnica nº 009/CDC, resultante da consulta realizada, pode ser encontrada no Anexo </w:t>
      </w:r>
      <w:r w:rsidR="00103485" w:rsidRPr="00CE3398">
        <w:rPr>
          <w:lang w:val="pt-PT"/>
        </w:rPr>
        <w:t>VIII</w:t>
      </w:r>
      <w:r w:rsidR="003C41E3" w:rsidRPr="00CE3398">
        <w:rPr>
          <w:lang w:val="pt-PT"/>
        </w:rPr>
        <w:t>.</w:t>
      </w:r>
    </w:p>
    <w:p w:rsidR="00EC39C9" w:rsidRPr="00CE3398" w:rsidRDefault="00C10B8D" w:rsidP="00EC39C9">
      <w:pPr>
        <w:pStyle w:val="NormalWeb"/>
        <w:spacing w:before="0" w:beforeAutospacing="0" w:after="120" w:afterAutospacing="0" w:line="276" w:lineRule="auto"/>
        <w:ind w:firstLine="708"/>
        <w:jc w:val="both"/>
        <w:rPr>
          <w:lang w:val="pt-PT"/>
        </w:rPr>
      </w:pPr>
      <w:r w:rsidRPr="00CE3398">
        <w:rPr>
          <w:lang w:val="pt-PT"/>
        </w:rPr>
        <w:t xml:space="preserve">De acordo com o parecer da CDC, na dimensão do produto, o aditivo a ser comercializado para fins de cumprimento da Resolução ANP nº 38/2009 compõe um mercado relevante distinto daquele que </w:t>
      </w:r>
      <w:r w:rsidR="00EC39C9" w:rsidRPr="00CE3398">
        <w:rPr>
          <w:lang w:val="pt-PT"/>
        </w:rPr>
        <w:t>seria formado pelos pacotes de aditivos hoje comercializados par</w:t>
      </w:r>
      <w:r w:rsidR="00D06067" w:rsidRPr="00CE3398">
        <w:rPr>
          <w:lang w:val="pt-PT"/>
        </w:rPr>
        <w:t>a o mercado de distribuição e, n</w:t>
      </w:r>
      <w:r w:rsidR="00EC39C9" w:rsidRPr="00CE3398">
        <w:rPr>
          <w:lang w:val="pt-PT"/>
        </w:rPr>
        <w:t>esse sentido, a opção de aditivação no produtor de gasolina A não teria, ao menos em tese, o condão de causar substanciais impactos deletérios ao ambiente concorrencial no atual mercado de aditivos.</w:t>
      </w:r>
    </w:p>
    <w:p w:rsidR="00C10B8D" w:rsidRPr="00CE3398" w:rsidRDefault="00D06067" w:rsidP="0041515C">
      <w:pPr>
        <w:pStyle w:val="NormalWeb"/>
        <w:spacing w:before="0" w:beforeAutospacing="0" w:after="120" w:afterAutospacing="0" w:line="276" w:lineRule="auto"/>
        <w:ind w:firstLine="708"/>
        <w:jc w:val="both"/>
        <w:rPr>
          <w:lang w:val="pt-PT"/>
        </w:rPr>
      </w:pPr>
      <w:r w:rsidRPr="00CE3398">
        <w:rPr>
          <w:lang w:val="pt-PT"/>
        </w:rPr>
        <w:t>Admite-se</w:t>
      </w:r>
      <w:r w:rsidR="00EC39C9" w:rsidRPr="00CE3398">
        <w:rPr>
          <w:lang w:val="pt-PT"/>
        </w:rPr>
        <w:t xml:space="preserve"> que possíveis ganhos de escala decorrentes do aumento da demanda pelo aditivo detergente dispersante pode</w:t>
      </w:r>
      <w:r w:rsidR="00191EFC" w:rsidRPr="00CE3398">
        <w:rPr>
          <w:lang w:val="pt-PT"/>
        </w:rPr>
        <w:t>m</w:t>
      </w:r>
      <w:r w:rsidR="00EC39C9" w:rsidRPr="00CE3398">
        <w:rPr>
          <w:lang w:val="pt-PT"/>
        </w:rPr>
        <w:t xml:space="preserve"> estar associado</w:t>
      </w:r>
      <w:r w:rsidR="00191EFC" w:rsidRPr="00CE3398">
        <w:rPr>
          <w:lang w:val="pt-PT"/>
        </w:rPr>
        <w:t>s</w:t>
      </w:r>
      <w:r w:rsidR="00EC39C9" w:rsidRPr="00CE3398">
        <w:rPr>
          <w:lang w:val="pt-PT"/>
        </w:rPr>
        <w:t xml:space="preserve"> a apenas um fornecedor. Esse favorecimento à concentração </w:t>
      </w:r>
      <w:r w:rsidR="00191EFC" w:rsidRPr="00CE3398">
        <w:rPr>
          <w:lang w:val="pt-PT"/>
        </w:rPr>
        <w:t>no fornecimento do aditivo</w:t>
      </w:r>
      <w:r w:rsidR="00EC39C9" w:rsidRPr="00CE3398">
        <w:rPr>
          <w:lang w:val="pt-PT"/>
        </w:rPr>
        <w:t xml:space="preserve"> poderia gerar/aumentar assimetrias no mercado, </w:t>
      </w:r>
      <w:r w:rsidR="00191EFC" w:rsidRPr="00CE3398">
        <w:rPr>
          <w:lang w:val="pt-PT"/>
        </w:rPr>
        <w:t>viabilizando a existência de uma empresa fornecedora de aditivo</w:t>
      </w:r>
      <w:r w:rsidR="0041515C" w:rsidRPr="00CE3398">
        <w:rPr>
          <w:lang w:val="pt-PT"/>
        </w:rPr>
        <w:t>s</w:t>
      </w:r>
      <w:r w:rsidR="00191EFC" w:rsidRPr="00CE3398">
        <w:rPr>
          <w:lang w:val="pt-PT"/>
        </w:rPr>
        <w:t xml:space="preserve"> quase monopolista, cujo eventual exercício de poder de mercado seria dificilmente limitado pelas demais.</w:t>
      </w:r>
      <w:r w:rsidRPr="00CE3398">
        <w:rPr>
          <w:lang w:val="pt-PT"/>
        </w:rPr>
        <w:t xml:space="preserve"> </w:t>
      </w:r>
      <w:r w:rsidR="0041515C" w:rsidRPr="00CE3398">
        <w:rPr>
          <w:lang w:val="pt-PT"/>
        </w:rPr>
        <w:t>Sobre este ponto, c</w:t>
      </w:r>
      <w:r w:rsidRPr="00CE3398">
        <w:rPr>
          <w:lang w:val="pt-PT"/>
        </w:rPr>
        <w:t>abe destacar</w:t>
      </w:r>
      <w:r w:rsidR="0041515C" w:rsidRPr="00CE3398">
        <w:rPr>
          <w:lang w:val="pt-PT"/>
        </w:rPr>
        <w:t xml:space="preserve"> </w:t>
      </w:r>
      <w:r w:rsidRPr="00CE3398">
        <w:rPr>
          <w:lang w:val="pt-PT"/>
        </w:rPr>
        <w:t xml:space="preserve">que a possibilidade de importação de aditivos é um fator essencial para a redução/minimização dos riscos de condutas anticompetitivas. A importação de aditivos já é, aliás, uma realidade no mercado brasileiro, </w:t>
      </w:r>
      <w:r w:rsidR="0041515C" w:rsidRPr="00CE3398">
        <w:rPr>
          <w:lang w:val="pt-PT"/>
        </w:rPr>
        <w:t xml:space="preserve">atendendo </w:t>
      </w:r>
      <w:r w:rsidR="000839BF" w:rsidRPr="00CE3398">
        <w:rPr>
          <w:lang w:val="pt-PT"/>
        </w:rPr>
        <w:t xml:space="preserve">à </w:t>
      </w:r>
      <w:r w:rsidR="0041515C" w:rsidRPr="00CE3398">
        <w:rPr>
          <w:lang w:val="pt-PT"/>
        </w:rPr>
        <w:t xml:space="preserve">maior parte da demanda pelo produto. </w:t>
      </w:r>
    </w:p>
    <w:p w:rsidR="00A11B81" w:rsidRDefault="00D46CB7" w:rsidP="004C4D58">
      <w:pPr>
        <w:pStyle w:val="NormalWeb"/>
        <w:spacing w:before="0" w:beforeAutospacing="0" w:after="120" w:afterAutospacing="0" w:line="276" w:lineRule="auto"/>
        <w:ind w:firstLine="708"/>
        <w:jc w:val="both"/>
        <w:rPr>
          <w:lang w:val="pt-PT"/>
        </w:rPr>
      </w:pPr>
      <w:r>
        <w:rPr>
          <w:lang w:val="pt-PT"/>
        </w:rPr>
        <w:t xml:space="preserve">Outra questão levantada pela Nota Técnica da CDC é possibilidade de importação de gasolina A por produtor ou </w:t>
      </w:r>
      <w:r w:rsidRPr="00D46CB7">
        <w:rPr>
          <w:i/>
          <w:lang w:val="pt-PT"/>
        </w:rPr>
        <w:t>importador</w:t>
      </w:r>
      <w:r>
        <w:rPr>
          <w:lang w:val="pt-PT"/>
        </w:rPr>
        <w:t>, sendo que este último poderia comercializá-la com</w:t>
      </w:r>
      <w:r w:rsidRPr="00D46CB7">
        <w:t xml:space="preserve"> </w:t>
      </w:r>
      <w:r w:rsidRPr="00CE3398">
        <w:t>distribuidoras d</w:t>
      </w:r>
      <w:r>
        <w:t>e combustíveis automotivos, produtores de gasolinas ou</w:t>
      </w:r>
      <w:r w:rsidRPr="00CE3398">
        <w:t xml:space="preserve"> importadores ou exportadores de gasolina (conforme §2º, art. 4º</w:t>
      </w:r>
      <w:proofErr w:type="gramStart"/>
      <w:r w:rsidRPr="00CE3398">
        <w:t>, Portaria ANP n.º 314, de 27 de dezembro de 2001)</w:t>
      </w:r>
      <w:proofErr w:type="gramEnd"/>
      <w:r>
        <w:t>. A este respeito,</w:t>
      </w:r>
      <w:r>
        <w:rPr>
          <w:lang w:val="pt-PT"/>
        </w:rPr>
        <w:t xml:space="preserve"> c</w:t>
      </w:r>
      <w:r w:rsidR="004C4D58" w:rsidRPr="00CE3398">
        <w:rPr>
          <w:lang w:val="pt-PT"/>
        </w:rPr>
        <w:t>abe mencionar que, nos últimos anos, somente houve importação de gasolina A, sem aditivação, pelo principal produtor</w:t>
      </w:r>
      <w:r>
        <w:rPr>
          <w:lang w:val="pt-PT"/>
        </w:rPr>
        <w:t xml:space="preserve"> nacional, não criando, portanto, qualquer problema à definição do produtor como ponto de aditivação.</w:t>
      </w:r>
    </w:p>
    <w:p w:rsidR="004C4D58" w:rsidRPr="00CE3398" w:rsidRDefault="004C4D58" w:rsidP="00A11B81">
      <w:pPr>
        <w:pStyle w:val="NormalWeb"/>
        <w:spacing w:before="0" w:beforeAutospacing="0" w:after="120" w:afterAutospacing="0" w:line="276" w:lineRule="auto"/>
        <w:jc w:val="both"/>
        <w:rPr>
          <w:lang w:val="pt-PT"/>
        </w:rPr>
      </w:pPr>
      <w:r w:rsidRPr="00CE3398">
        <w:rPr>
          <w:lang w:val="pt-PT"/>
        </w:rPr>
        <w:t xml:space="preserve"> </w:t>
      </w:r>
    </w:p>
    <w:p w:rsidR="00860176" w:rsidRPr="00CE3398" w:rsidRDefault="00860176" w:rsidP="004758ED">
      <w:pPr>
        <w:pStyle w:val="NormalWeb"/>
        <w:spacing w:before="0" w:beforeAutospacing="0" w:after="120" w:afterAutospacing="0" w:line="276" w:lineRule="auto"/>
        <w:jc w:val="both"/>
        <w:rPr>
          <w:lang w:val="pt-PT"/>
        </w:rPr>
        <w:sectPr w:rsidR="00860176" w:rsidRPr="00CE3398" w:rsidSect="0087016A">
          <w:pgSz w:w="11907" w:h="16840" w:code="9"/>
          <w:pgMar w:top="1134" w:right="851" w:bottom="1134" w:left="1701" w:header="680" w:footer="1012" w:gutter="0"/>
          <w:cols w:space="720"/>
          <w:titlePg/>
          <w:docGrid w:linePitch="272"/>
        </w:sectPr>
      </w:pPr>
    </w:p>
    <w:p w:rsidR="00B61CBB" w:rsidRPr="00CE3398" w:rsidRDefault="00B61CBB" w:rsidP="00B61CBB">
      <w:pPr>
        <w:pStyle w:val="PargrafodaLista"/>
        <w:numPr>
          <w:ilvl w:val="2"/>
          <w:numId w:val="4"/>
        </w:numPr>
        <w:spacing w:after="120" w:line="240" w:lineRule="auto"/>
        <w:ind w:left="709" w:hanging="709"/>
        <w:contextualSpacing w:val="0"/>
        <w:jc w:val="both"/>
        <w:rPr>
          <w:rFonts w:ascii="Times New Roman" w:hAnsi="Times New Roman"/>
          <w:b/>
          <w:sz w:val="24"/>
          <w:szCs w:val="24"/>
        </w:rPr>
      </w:pPr>
      <w:r w:rsidRPr="00CE3398">
        <w:rPr>
          <w:rFonts w:ascii="Times New Roman" w:hAnsi="Times New Roman"/>
          <w:b/>
          <w:sz w:val="24"/>
          <w:szCs w:val="24"/>
        </w:rPr>
        <w:lastRenderedPageBreak/>
        <w:t>QUADRO CONSOLIDADO</w:t>
      </w:r>
    </w:p>
    <w:p w:rsidR="008B6FF3" w:rsidRDefault="00FB5D05" w:rsidP="0002519A">
      <w:pPr>
        <w:spacing w:after="120" w:line="240" w:lineRule="auto"/>
        <w:rPr>
          <w:rFonts w:ascii="Times New Roman" w:hAnsi="Times New Roman"/>
          <w:sz w:val="24"/>
          <w:szCs w:val="24"/>
        </w:rPr>
      </w:pPr>
      <w:r w:rsidRPr="00CE3398">
        <w:rPr>
          <w:rFonts w:ascii="Times New Roman" w:hAnsi="Times New Roman"/>
          <w:sz w:val="24"/>
          <w:szCs w:val="24"/>
        </w:rPr>
        <w:t xml:space="preserve">A Tabela 4, a seguir, apresenta o quadro consolidado das opções regulatórias, que </w:t>
      </w:r>
      <w:r w:rsidR="00420409" w:rsidRPr="00CE3398">
        <w:rPr>
          <w:rFonts w:ascii="Times New Roman" w:hAnsi="Times New Roman"/>
          <w:sz w:val="24"/>
          <w:szCs w:val="24"/>
        </w:rPr>
        <w:t xml:space="preserve">resume os argumentos apresentados e </w:t>
      </w:r>
      <w:r w:rsidRPr="00CE3398">
        <w:rPr>
          <w:rFonts w:ascii="Times New Roman" w:hAnsi="Times New Roman"/>
          <w:sz w:val="24"/>
          <w:szCs w:val="24"/>
        </w:rPr>
        <w:t>indica, para cada critério de análise, a melhor opção regulatória em relação à definição do agente responsável pela aditivação.</w:t>
      </w:r>
    </w:p>
    <w:p w:rsidR="004B5DEE" w:rsidRPr="00CE3398" w:rsidRDefault="004B5DEE" w:rsidP="0002519A">
      <w:pPr>
        <w:spacing w:after="120" w:line="240" w:lineRule="auto"/>
        <w:rPr>
          <w:rFonts w:ascii="Times New Roman" w:hAnsi="Times New Roman"/>
          <w:sz w:val="24"/>
          <w:szCs w:val="24"/>
        </w:rPr>
      </w:pPr>
    </w:p>
    <w:tbl>
      <w:tblPr>
        <w:tblStyle w:val="Tabelacomgrade"/>
        <w:tblW w:w="0" w:type="auto"/>
        <w:tblInd w:w="108" w:type="dxa"/>
        <w:tblLook w:val="04A0"/>
      </w:tblPr>
      <w:tblGrid>
        <w:gridCol w:w="1701"/>
        <w:gridCol w:w="4253"/>
        <w:gridCol w:w="3260"/>
        <w:gridCol w:w="2835"/>
        <w:gridCol w:w="2268"/>
      </w:tblGrid>
      <w:tr w:rsidR="00FF2D26" w:rsidRPr="00A11B81" w:rsidTr="00FF2D26">
        <w:trPr>
          <w:trHeight w:val="194"/>
        </w:trPr>
        <w:tc>
          <w:tcPr>
            <w:tcW w:w="14317" w:type="dxa"/>
            <w:gridSpan w:val="5"/>
            <w:tcBorders>
              <w:top w:val="nil"/>
              <w:left w:val="nil"/>
              <w:bottom w:val="nil"/>
              <w:right w:val="nil"/>
            </w:tcBorders>
            <w:vAlign w:val="center"/>
          </w:tcPr>
          <w:p w:rsidR="00FF2D26" w:rsidRDefault="00FF2D26" w:rsidP="00DC717F">
            <w:pPr>
              <w:spacing w:after="0" w:line="240" w:lineRule="auto"/>
              <w:jc w:val="center"/>
              <w:rPr>
                <w:rFonts w:ascii="Times New Roman" w:hAnsi="Times New Roman"/>
                <w:b/>
                <w:sz w:val="20"/>
                <w:szCs w:val="20"/>
              </w:rPr>
            </w:pPr>
            <w:r w:rsidRPr="00A11B81">
              <w:rPr>
                <w:rFonts w:ascii="Times New Roman" w:hAnsi="Times New Roman"/>
                <w:b/>
                <w:sz w:val="20"/>
                <w:szCs w:val="20"/>
              </w:rPr>
              <w:t>Tabela 4 – Quadro Consolidado das Opções Regulatórias</w:t>
            </w:r>
          </w:p>
          <w:p w:rsidR="00FF2D26" w:rsidRPr="00A11B81" w:rsidRDefault="00FF2D26" w:rsidP="00DC717F">
            <w:pPr>
              <w:spacing w:after="0" w:line="240" w:lineRule="auto"/>
              <w:jc w:val="center"/>
              <w:rPr>
                <w:rFonts w:ascii="Times New Roman" w:hAnsi="Times New Roman"/>
                <w:b/>
                <w:sz w:val="20"/>
                <w:szCs w:val="20"/>
              </w:rPr>
            </w:pPr>
          </w:p>
        </w:tc>
      </w:tr>
      <w:tr w:rsidR="008458C9" w:rsidRPr="00A11B81" w:rsidTr="00FF2D26">
        <w:trPr>
          <w:trHeight w:val="194"/>
        </w:trPr>
        <w:tc>
          <w:tcPr>
            <w:tcW w:w="1701" w:type="dxa"/>
            <w:tcBorders>
              <w:top w:val="nil"/>
              <w:left w:val="nil"/>
              <w:bottom w:val="single" w:sz="12" w:space="0" w:color="000000"/>
              <w:right w:val="nil"/>
            </w:tcBorders>
            <w:shd w:val="clear" w:color="auto" w:fill="FDE9D9" w:themeFill="accent6" w:themeFillTint="33"/>
            <w:vAlign w:val="center"/>
          </w:tcPr>
          <w:p w:rsidR="00860176" w:rsidRPr="00A11B81" w:rsidRDefault="00860176" w:rsidP="00DC717F">
            <w:pPr>
              <w:spacing w:after="0" w:line="240" w:lineRule="auto"/>
              <w:jc w:val="center"/>
              <w:rPr>
                <w:rFonts w:ascii="Times New Roman" w:hAnsi="Times New Roman"/>
                <w:b/>
                <w:sz w:val="20"/>
                <w:szCs w:val="20"/>
              </w:rPr>
            </w:pPr>
            <w:r w:rsidRPr="00A11B81">
              <w:rPr>
                <w:rFonts w:ascii="Times New Roman" w:hAnsi="Times New Roman"/>
                <w:b/>
                <w:sz w:val="20"/>
                <w:szCs w:val="20"/>
              </w:rPr>
              <w:t>Critérios</w:t>
            </w:r>
          </w:p>
        </w:tc>
        <w:tc>
          <w:tcPr>
            <w:tcW w:w="4253" w:type="dxa"/>
            <w:tcBorders>
              <w:top w:val="nil"/>
              <w:left w:val="nil"/>
              <w:bottom w:val="single" w:sz="12" w:space="0" w:color="000000"/>
              <w:right w:val="nil"/>
            </w:tcBorders>
            <w:shd w:val="clear" w:color="auto" w:fill="FDE9D9" w:themeFill="accent6" w:themeFillTint="33"/>
            <w:vAlign w:val="center"/>
          </w:tcPr>
          <w:p w:rsidR="00860176" w:rsidRPr="00A11B81" w:rsidRDefault="00860176" w:rsidP="00DC717F">
            <w:pPr>
              <w:spacing w:after="0" w:line="240" w:lineRule="auto"/>
              <w:jc w:val="center"/>
              <w:rPr>
                <w:rFonts w:ascii="Times New Roman" w:hAnsi="Times New Roman"/>
                <w:b/>
                <w:sz w:val="20"/>
                <w:szCs w:val="20"/>
              </w:rPr>
            </w:pPr>
            <w:r w:rsidRPr="00A11B81">
              <w:rPr>
                <w:rFonts w:ascii="Times New Roman" w:hAnsi="Times New Roman"/>
                <w:b/>
                <w:sz w:val="20"/>
                <w:szCs w:val="20"/>
              </w:rPr>
              <w:t>Elemento de análise</w:t>
            </w:r>
          </w:p>
        </w:tc>
        <w:tc>
          <w:tcPr>
            <w:tcW w:w="3260" w:type="dxa"/>
            <w:tcBorders>
              <w:top w:val="nil"/>
              <w:left w:val="nil"/>
              <w:bottom w:val="single" w:sz="12" w:space="0" w:color="000000"/>
              <w:right w:val="nil"/>
            </w:tcBorders>
            <w:shd w:val="clear" w:color="auto" w:fill="FDE9D9" w:themeFill="accent6" w:themeFillTint="33"/>
            <w:vAlign w:val="center"/>
          </w:tcPr>
          <w:p w:rsidR="00860176" w:rsidRPr="00A11B81" w:rsidRDefault="00860176" w:rsidP="00DC717F">
            <w:pPr>
              <w:spacing w:after="0" w:line="240" w:lineRule="auto"/>
              <w:jc w:val="center"/>
              <w:rPr>
                <w:rFonts w:ascii="Times New Roman" w:hAnsi="Times New Roman"/>
                <w:b/>
                <w:sz w:val="20"/>
                <w:szCs w:val="20"/>
              </w:rPr>
            </w:pPr>
            <w:r w:rsidRPr="00A11B81">
              <w:rPr>
                <w:rFonts w:ascii="Times New Roman" w:hAnsi="Times New Roman"/>
                <w:b/>
                <w:sz w:val="20"/>
                <w:szCs w:val="20"/>
              </w:rPr>
              <w:t>Aditivação pelo produtor</w:t>
            </w:r>
          </w:p>
        </w:tc>
        <w:tc>
          <w:tcPr>
            <w:tcW w:w="2835" w:type="dxa"/>
            <w:tcBorders>
              <w:top w:val="nil"/>
              <w:left w:val="nil"/>
              <w:bottom w:val="single" w:sz="12" w:space="0" w:color="000000"/>
              <w:right w:val="nil"/>
            </w:tcBorders>
            <w:shd w:val="clear" w:color="auto" w:fill="FDE9D9" w:themeFill="accent6" w:themeFillTint="33"/>
            <w:vAlign w:val="center"/>
          </w:tcPr>
          <w:p w:rsidR="00860176" w:rsidRPr="00A11B81" w:rsidRDefault="00860176" w:rsidP="00DC717F">
            <w:pPr>
              <w:spacing w:after="0" w:line="240" w:lineRule="auto"/>
              <w:jc w:val="center"/>
              <w:rPr>
                <w:rFonts w:ascii="Times New Roman" w:hAnsi="Times New Roman"/>
                <w:b/>
                <w:sz w:val="20"/>
                <w:szCs w:val="20"/>
              </w:rPr>
            </w:pPr>
            <w:r w:rsidRPr="00A11B81">
              <w:rPr>
                <w:rFonts w:ascii="Times New Roman" w:hAnsi="Times New Roman"/>
                <w:b/>
                <w:sz w:val="20"/>
                <w:szCs w:val="20"/>
              </w:rPr>
              <w:t>Aditivação pelo distribuidor</w:t>
            </w:r>
          </w:p>
        </w:tc>
        <w:tc>
          <w:tcPr>
            <w:tcW w:w="2268" w:type="dxa"/>
            <w:tcBorders>
              <w:top w:val="nil"/>
              <w:left w:val="nil"/>
              <w:bottom w:val="single" w:sz="12" w:space="0" w:color="000000"/>
              <w:right w:val="nil"/>
            </w:tcBorders>
            <w:shd w:val="clear" w:color="auto" w:fill="FDE9D9" w:themeFill="accent6" w:themeFillTint="33"/>
            <w:vAlign w:val="center"/>
          </w:tcPr>
          <w:p w:rsidR="00860176" w:rsidRPr="00A11B81" w:rsidRDefault="00860176" w:rsidP="00DC717F">
            <w:pPr>
              <w:spacing w:after="0" w:line="240" w:lineRule="auto"/>
              <w:jc w:val="center"/>
              <w:rPr>
                <w:rFonts w:ascii="Times New Roman" w:hAnsi="Times New Roman"/>
                <w:b/>
                <w:sz w:val="20"/>
                <w:szCs w:val="20"/>
              </w:rPr>
            </w:pPr>
            <w:r w:rsidRPr="00A11B81">
              <w:rPr>
                <w:rFonts w:ascii="Times New Roman" w:hAnsi="Times New Roman"/>
                <w:b/>
                <w:sz w:val="20"/>
                <w:szCs w:val="20"/>
              </w:rPr>
              <w:t>Melhor opção</w:t>
            </w:r>
          </w:p>
        </w:tc>
      </w:tr>
      <w:tr w:rsidR="00544AE1" w:rsidRPr="00A11B81" w:rsidTr="00FF2D26">
        <w:tc>
          <w:tcPr>
            <w:tcW w:w="1701" w:type="dxa"/>
            <w:tcBorders>
              <w:top w:val="single" w:sz="12" w:space="0" w:color="000000"/>
            </w:tcBorders>
            <w:vAlign w:val="center"/>
          </w:tcPr>
          <w:p w:rsidR="00544AE1" w:rsidRPr="00A11B81" w:rsidRDefault="00544AE1" w:rsidP="00B651D8">
            <w:pPr>
              <w:spacing w:after="0" w:line="240" w:lineRule="auto"/>
              <w:jc w:val="both"/>
              <w:rPr>
                <w:rFonts w:ascii="Times New Roman" w:hAnsi="Times New Roman"/>
                <w:sz w:val="20"/>
                <w:szCs w:val="20"/>
              </w:rPr>
            </w:pPr>
            <w:r w:rsidRPr="00A11B81">
              <w:rPr>
                <w:rFonts w:ascii="Times New Roman" w:hAnsi="Times New Roman"/>
                <w:sz w:val="20"/>
                <w:szCs w:val="20"/>
              </w:rPr>
              <w:t>Controle pela ANP</w:t>
            </w:r>
          </w:p>
        </w:tc>
        <w:tc>
          <w:tcPr>
            <w:tcW w:w="4253" w:type="dxa"/>
            <w:tcBorders>
              <w:top w:val="single" w:sz="12" w:space="0" w:color="000000"/>
            </w:tcBorders>
            <w:vAlign w:val="center"/>
          </w:tcPr>
          <w:p w:rsidR="00544AE1" w:rsidRPr="00A11B81" w:rsidRDefault="00544AE1" w:rsidP="00B651D8">
            <w:pPr>
              <w:spacing w:after="0" w:line="240" w:lineRule="auto"/>
              <w:jc w:val="both"/>
              <w:rPr>
                <w:rFonts w:ascii="Times New Roman" w:hAnsi="Times New Roman"/>
                <w:sz w:val="20"/>
                <w:szCs w:val="20"/>
              </w:rPr>
            </w:pPr>
            <w:r w:rsidRPr="00A11B81">
              <w:rPr>
                <w:rFonts w:ascii="Times New Roman" w:hAnsi="Times New Roman"/>
                <w:sz w:val="20"/>
                <w:szCs w:val="20"/>
              </w:rPr>
              <w:t>Implicações para o monitoramento e a fiscalização da ANP</w:t>
            </w:r>
            <w:r w:rsidR="004B5DEE">
              <w:rPr>
                <w:rFonts w:ascii="Times New Roman" w:hAnsi="Times New Roman"/>
                <w:sz w:val="20"/>
                <w:szCs w:val="20"/>
              </w:rPr>
              <w:t>.</w:t>
            </w:r>
          </w:p>
        </w:tc>
        <w:tc>
          <w:tcPr>
            <w:tcW w:w="3260" w:type="dxa"/>
            <w:tcBorders>
              <w:top w:val="single" w:sz="12" w:space="0" w:color="000000"/>
            </w:tcBorders>
            <w:vAlign w:val="center"/>
          </w:tcPr>
          <w:p w:rsidR="00544AE1" w:rsidRPr="00A11B81" w:rsidRDefault="00544AE1" w:rsidP="00B651D8">
            <w:pPr>
              <w:spacing w:after="0" w:line="240" w:lineRule="auto"/>
              <w:jc w:val="both"/>
              <w:rPr>
                <w:rFonts w:ascii="Times New Roman" w:hAnsi="Times New Roman"/>
                <w:sz w:val="20"/>
                <w:szCs w:val="20"/>
              </w:rPr>
            </w:pPr>
            <w:r w:rsidRPr="00A11B81">
              <w:rPr>
                <w:rFonts w:ascii="Times New Roman" w:hAnsi="Times New Roman"/>
                <w:sz w:val="20"/>
                <w:szCs w:val="20"/>
              </w:rPr>
              <w:t>Sem alteração relevante</w:t>
            </w:r>
            <w:r w:rsidR="004B5DEE">
              <w:rPr>
                <w:rFonts w:ascii="Times New Roman" w:hAnsi="Times New Roman"/>
                <w:sz w:val="20"/>
                <w:szCs w:val="20"/>
              </w:rPr>
              <w:t>.</w:t>
            </w:r>
          </w:p>
        </w:tc>
        <w:tc>
          <w:tcPr>
            <w:tcW w:w="2835" w:type="dxa"/>
            <w:tcBorders>
              <w:top w:val="single" w:sz="12" w:space="0" w:color="000000"/>
            </w:tcBorders>
            <w:vAlign w:val="center"/>
          </w:tcPr>
          <w:p w:rsidR="00544AE1" w:rsidRPr="00A11B81" w:rsidRDefault="00544AE1" w:rsidP="00B651D8">
            <w:pPr>
              <w:spacing w:after="0" w:line="240" w:lineRule="auto"/>
              <w:jc w:val="both"/>
              <w:rPr>
                <w:rFonts w:ascii="Times New Roman" w:hAnsi="Times New Roman"/>
                <w:sz w:val="20"/>
                <w:szCs w:val="20"/>
              </w:rPr>
            </w:pPr>
            <w:r w:rsidRPr="00A11B81">
              <w:rPr>
                <w:rFonts w:ascii="Times New Roman" w:hAnsi="Times New Roman"/>
                <w:sz w:val="20"/>
                <w:szCs w:val="20"/>
              </w:rPr>
              <w:t>Necessidade de presença mais ostensiva da fiscalização</w:t>
            </w:r>
            <w:r w:rsidR="004B5DEE">
              <w:rPr>
                <w:rFonts w:ascii="Times New Roman" w:hAnsi="Times New Roman"/>
                <w:sz w:val="20"/>
                <w:szCs w:val="20"/>
              </w:rPr>
              <w:t>.</w:t>
            </w:r>
          </w:p>
        </w:tc>
        <w:tc>
          <w:tcPr>
            <w:tcW w:w="2268" w:type="dxa"/>
            <w:tcBorders>
              <w:top w:val="single" w:sz="12" w:space="0" w:color="000000"/>
            </w:tcBorders>
            <w:vAlign w:val="center"/>
          </w:tcPr>
          <w:p w:rsidR="000D0239" w:rsidRDefault="00544AE1">
            <w:pPr>
              <w:spacing w:after="0" w:line="240" w:lineRule="auto"/>
              <w:rPr>
                <w:rFonts w:ascii="Times New Roman" w:hAnsi="Times New Roman"/>
                <w:sz w:val="20"/>
                <w:szCs w:val="20"/>
              </w:rPr>
            </w:pPr>
            <w:r w:rsidRPr="00A11B81">
              <w:rPr>
                <w:rFonts w:ascii="Times New Roman" w:hAnsi="Times New Roman"/>
                <w:sz w:val="20"/>
                <w:szCs w:val="20"/>
              </w:rPr>
              <w:t>Aditivação pelo produtor</w:t>
            </w:r>
          </w:p>
        </w:tc>
      </w:tr>
      <w:tr w:rsidR="008458C9" w:rsidRPr="00A11B81" w:rsidTr="008458C9">
        <w:tc>
          <w:tcPr>
            <w:tcW w:w="1701" w:type="dxa"/>
            <w:vMerge w:val="restart"/>
            <w:vAlign w:val="center"/>
          </w:tcPr>
          <w:p w:rsidR="00544AE1" w:rsidRPr="00A11B81" w:rsidRDefault="00544AE1" w:rsidP="00D8685F">
            <w:pPr>
              <w:spacing w:after="0" w:line="240" w:lineRule="auto"/>
              <w:jc w:val="both"/>
              <w:rPr>
                <w:rFonts w:ascii="Times New Roman" w:hAnsi="Times New Roman"/>
                <w:sz w:val="20"/>
                <w:szCs w:val="20"/>
              </w:rPr>
            </w:pPr>
            <w:r w:rsidRPr="00A11B81">
              <w:rPr>
                <w:rFonts w:ascii="Times New Roman" w:hAnsi="Times New Roman"/>
                <w:sz w:val="20"/>
                <w:szCs w:val="20"/>
              </w:rPr>
              <w:t xml:space="preserve">Dispêndios </w:t>
            </w:r>
            <w:r w:rsidR="003428BD">
              <w:rPr>
                <w:rFonts w:ascii="Times New Roman" w:hAnsi="Times New Roman"/>
                <w:sz w:val="20"/>
                <w:szCs w:val="20"/>
              </w:rPr>
              <w:t xml:space="preserve">agregados </w:t>
            </w:r>
            <w:r w:rsidRPr="00A11B81">
              <w:rPr>
                <w:rFonts w:ascii="Times New Roman" w:hAnsi="Times New Roman"/>
                <w:sz w:val="20"/>
                <w:szCs w:val="20"/>
              </w:rPr>
              <w:t>com adaptação</w:t>
            </w:r>
          </w:p>
        </w:tc>
        <w:tc>
          <w:tcPr>
            <w:tcW w:w="4253" w:type="dxa"/>
            <w:vAlign w:val="center"/>
          </w:tcPr>
          <w:p w:rsidR="00544AE1" w:rsidRPr="00A11B81" w:rsidRDefault="00544AE1" w:rsidP="003428BD">
            <w:pPr>
              <w:spacing w:after="0" w:line="240" w:lineRule="auto"/>
              <w:jc w:val="both"/>
              <w:rPr>
                <w:rFonts w:ascii="Times New Roman" w:hAnsi="Times New Roman"/>
                <w:sz w:val="20"/>
                <w:szCs w:val="20"/>
              </w:rPr>
            </w:pPr>
            <w:r w:rsidRPr="00A11B81">
              <w:rPr>
                <w:rFonts w:ascii="Times New Roman" w:hAnsi="Times New Roman"/>
                <w:sz w:val="20"/>
                <w:szCs w:val="20"/>
              </w:rPr>
              <w:t xml:space="preserve">Dispêndios totais com adaptação, até 2015, por parte </w:t>
            </w:r>
            <w:r w:rsidR="003428BD">
              <w:rPr>
                <w:rFonts w:ascii="Times New Roman" w:hAnsi="Times New Roman"/>
                <w:sz w:val="20"/>
                <w:szCs w:val="20"/>
              </w:rPr>
              <w:t xml:space="preserve">do conjunto </w:t>
            </w:r>
            <w:r w:rsidRPr="00A11B81">
              <w:rPr>
                <w:rFonts w:ascii="Times New Roman" w:hAnsi="Times New Roman"/>
                <w:sz w:val="20"/>
                <w:szCs w:val="20"/>
              </w:rPr>
              <w:t>dos produtores de gasolina A</w:t>
            </w:r>
            <w:r w:rsidR="004B5DEE">
              <w:rPr>
                <w:rFonts w:ascii="Times New Roman" w:hAnsi="Times New Roman"/>
                <w:sz w:val="20"/>
                <w:szCs w:val="20"/>
              </w:rPr>
              <w:t>.</w:t>
            </w:r>
          </w:p>
        </w:tc>
        <w:tc>
          <w:tcPr>
            <w:tcW w:w="3260" w:type="dxa"/>
            <w:vAlign w:val="center"/>
          </w:tcPr>
          <w:p w:rsidR="00544AE1" w:rsidRPr="00A11B81" w:rsidRDefault="00544AE1" w:rsidP="00DC717F">
            <w:pPr>
              <w:spacing w:after="0" w:line="240" w:lineRule="auto"/>
              <w:jc w:val="both"/>
              <w:rPr>
                <w:rFonts w:ascii="Times New Roman" w:hAnsi="Times New Roman"/>
                <w:sz w:val="20"/>
                <w:szCs w:val="20"/>
              </w:rPr>
            </w:pPr>
            <w:r w:rsidRPr="00A11B81">
              <w:rPr>
                <w:rFonts w:ascii="Times New Roman" w:hAnsi="Times New Roman"/>
                <w:sz w:val="20"/>
                <w:szCs w:val="20"/>
              </w:rPr>
              <w:t xml:space="preserve">R$ </w:t>
            </w:r>
            <w:r w:rsidR="00B34808">
              <w:rPr>
                <w:rFonts w:ascii="Times New Roman" w:hAnsi="Times New Roman"/>
                <w:sz w:val="20"/>
                <w:szCs w:val="20"/>
              </w:rPr>
              <w:t>64,9</w:t>
            </w:r>
            <w:r w:rsidRPr="00A11B81">
              <w:rPr>
                <w:rFonts w:ascii="Times New Roman" w:hAnsi="Times New Roman"/>
                <w:sz w:val="20"/>
                <w:szCs w:val="20"/>
              </w:rPr>
              <w:t xml:space="preserve"> milhões</w:t>
            </w:r>
          </w:p>
        </w:tc>
        <w:tc>
          <w:tcPr>
            <w:tcW w:w="2835" w:type="dxa"/>
            <w:vAlign w:val="center"/>
          </w:tcPr>
          <w:p w:rsidR="00544AE1" w:rsidRPr="00A11B81" w:rsidRDefault="00B34808" w:rsidP="00147CE0">
            <w:pPr>
              <w:spacing w:after="0" w:line="240" w:lineRule="auto"/>
              <w:jc w:val="both"/>
              <w:rPr>
                <w:rFonts w:ascii="Times New Roman" w:hAnsi="Times New Roman"/>
                <w:sz w:val="20"/>
                <w:szCs w:val="20"/>
              </w:rPr>
            </w:pPr>
            <w:r>
              <w:rPr>
                <w:rFonts w:ascii="Times New Roman" w:hAnsi="Times New Roman"/>
                <w:sz w:val="20"/>
                <w:szCs w:val="20"/>
              </w:rPr>
              <w:t>Não estimados</w:t>
            </w:r>
          </w:p>
        </w:tc>
        <w:tc>
          <w:tcPr>
            <w:tcW w:w="2268" w:type="dxa"/>
            <w:vMerge w:val="restart"/>
            <w:vAlign w:val="center"/>
          </w:tcPr>
          <w:p w:rsidR="000D0239" w:rsidRDefault="00544AE1">
            <w:pPr>
              <w:spacing w:after="0" w:line="240" w:lineRule="auto"/>
              <w:rPr>
                <w:rFonts w:ascii="Times New Roman" w:hAnsi="Times New Roman"/>
                <w:sz w:val="20"/>
                <w:szCs w:val="20"/>
              </w:rPr>
            </w:pPr>
            <w:r w:rsidRPr="00A11B81">
              <w:rPr>
                <w:rFonts w:ascii="Times New Roman" w:hAnsi="Times New Roman"/>
                <w:sz w:val="20"/>
                <w:szCs w:val="20"/>
              </w:rPr>
              <w:t>Aditivação pelo produtor</w:t>
            </w:r>
          </w:p>
        </w:tc>
      </w:tr>
      <w:tr w:rsidR="008458C9" w:rsidRPr="00A11B81" w:rsidTr="008458C9">
        <w:tc>
          <w:tcPr>
            <w:tcW w:w="1701" w:type="dxa"/>
            <w:vMerge/>
            <w:vAlign w:val="center"/>
          </w:tcPr>
          <w:p w:rsidR="00544AE1" w:rsidRPr="00A11B81" w:rsidRDefault="00544AE1" w:rsidP="007152FE">
            <w:pPr>
              <w:spacing w:after="0" w:line="240" w:lineRule="auto"/>
              <w:jc w:val="both"/>
              <w:rPr>
                <w:rFonts w:ascii="Times New Roman" w:hAnsi="Times New Roman"/>
                <w:sz w:val="20"/>
                <w:szCs w:val="20"/>
              </w:rPr>
            </w:pPr>
          </w:p>
        </w:tc>
        <w:tc>
          <w:tcPr>
            <w:tcW w:w="4253" w:type="dxa"/>
            <w:vAlign w:val="center"/>
          </w:tcPr>
          <w:p w:rsidR="00544AE1" w:rsidRPr="00A11B81" w:rsidRDefault="00544AE1" w:rsidP="00DC717F">
            <w:pPr>
              <w:spacing w:after="0" w:line="240" w:lineRule="auto"/>
              <w:jc w:val="both"/>
              <w:rPr>
                <w:rFonts w:ascii="Times New Roman" w:hAnsi="Times New Roman"/>
                <w:sz w:val="20"/>
                <w:szCs w:val="20"/>
              </w:rPr>
            </w:pPr>
            <w:r w:rsidRPr="00A11B81">
              <w:rPr>
                <w:rFonts w:ascii="Times New Roman" w:hAnsi="Times New Roman"/>
                <w:sz w:val="20"/>
                <w:szCs w:val="20"/>
              </w:rPr>
              <w:t xml:space="preserve">Dispêndios totais com adaptação, até 2015, por parte </w:t>
            </w:r>
            <w:r w:rsidR="003428BD">
              <w:rPr>
                <w:rFonts w:ascii="Times New Roman" w:hAnsi="Times New Roman"/>
                <w:sz w:val="20"/>
                <w:szCs w:val="20"/>
              </w:rPr>
              <w:t xml:space="preserve">do conjunto </w:t>
            </w:r>
            <w:r w:rsidRPr="00A11B81">
              <w:rPr>
                <w:rFonts w:ascii="Times New Roman" w:hAnsi="Times New Roman"/>
                <w:sz w:val="20"/>
                <w:szCs w:val="20"/>
              </w:rPr>
              <w:t>dos distribuidores de gasolina</w:t>
            </w:r>
            <w:r w:rsidR="004B5DEE">
              <w:rPr>
                <w:rFonts w:ascii="Times New Roman" w:hAnsi="Times New Roman"/>
                <w:sz w:val="20"/>
                <w:szCs w:val="20"/>
              </w:rPr>
              <w:t>.</w:t>
            </w:r>
          </w:p>
        </w:tc>
        <w:tc>
          <w:tcPr>
            <w:tcW w:w="3260" w:type="dxa"/>
            <w:vAlign w:val="center"/>
          </w:tcPr>
          <w:p w:rsidR="00544AE1" w:rsidRPr="00A11B81" w:rsidRDefault="00544AE1" w:rsidP="00DC717F">
            <w:pPr>
              <w:spacing w:after="0" w:line="240" w:lineRule="auto"/>
              <w:jc w:val="both"/>
              <w:rPr>
                <w:rFonts w:ascii="Times New Roman" w:hAnsi="Times New Roman"/>
                <w:sz w:val="20"/>
                <w:szCs w:val="20"/>
              </w:rPr>
            </w:pPr>
            <w:r w:rsidRPr="00A11B81">
              <w:rPr>
                <w:rFonts w:ascii="Times New Roman" w:hAnsi="Times New Roman"/>
                <w:sz w:val="20"/>
                <w:szCs w:val="20"/>
              </w:rPr>
              <w:t>Não estimado</w:t>
            </w:r>
            <w:r w:rsidRPr="00A11B81">
              <w:rPr>
                <w:rStyle w:val="Refdenotaderodap"/>
                <w:rFonts w:ascii="Times New Roman" w:hAnsi="Times New Roman"/>
                <w:sz w:val="20"/>
                <w:szCs w:val="20"/>
              </w:rPr>
              <w:footnoteReference w:id="10"/>
            </w:r>
          </w:p>
        </w:tc>
        <w:tc>
          <w:tcPr>
            <w:tcW w:w="2835" w:type="dxa"/>
            <w:vAlign w:val="center"/>
          </w:tcPr>
          <w:p w:rsidR="00544AE1" w:rsidRPr="00A11B81" w:rsidRDefault="00544AE1" w:rsidP="00147CE0">
            <w:pPr>
              <w:spacing w:after="0" w:line="240" w:lineRule="auto"/>
              <w:jc w:val="both"/>
              <w:rPr>
                <w:rFonts w:ascii="Times New Roman" w:hAnsi="Times New Roman"/>
                <w:sz w:val="20"/>
                <w:szCs w:val="20"/>
              </w:rPr>
            </w:pPr>
            <w:r w:rsidRPr="00A11B81">
              <w:rPr>
                <w:rFonts w:ascii="Times New Roman" w:hAnsi="Times New Roman"/>
                <w:sz w:val="20"/>
                <w:szCs w:val="20"/>
              </w:rPr>
              <w:t>R$ 249,5 milhões</w:t>
            </w:r>
          </w:p>
        </w:tc>
        <w:tc>
          <w:tcPr>
            <w:tcW w:w="2268" w:type="dxa"/>
            <w:vMerge/>
            <w:vAlign w:val="center"/>
          </w:tcPr>
          <w:p w:rsidR="000D0239" w:rsidRDefault="000D0239">
            <w:pPr>
              <w:spacing w:after="0" w:line="240" w:lineRule="auto"/>
              <w:rPr>
                <w:rFonts w:ascii="Times New Roman" w:hAnsi="Times New Roman"/>
                <w:sz w:val="20"/>
                <w:szCs w:val="20"/>
              </w:rPr>
            </w:pPr>
          </w:p>
        </w:tc>
      </w:tr>
      <w:tr w:rsidR="00544AE1" w:rsidRPr="00A11B81" w:rsidTr="004B5DEE">
        <w:trPr>
          <w:trHeight w:val="505"/>
        </w:trPr>
        <w:tc>
          <w:tcPr>
            <w:tcW w:w="1701" w:type="dxa"/>
            <w:vAlign w:val="center"/>
          </w:tcPr>
          <w:p w:rsidR="00544AE1" w:rsidRPr="00A11B81" w:rsidRDefault="00544AE1" w:rsidP="00B651D8">
            <w:pPr>
              <w:spacing w:after="0" w:line="240" w:lineRule="auto"/>
              <w:jc w:val="both"/>
              <w:rPr>
                <w:rFonts w:ascii="Times New Roman" w:hAnsi="Times New Roman"/>
                <w:sz w:val="20"/>
                <w:szCs w:val="20"/>
              </w:rPr>
            </w:pPr>
            <w:r w:rsidRPr="00A11B81">
              <w:rPr>
                <w:rFonts w:ascii="Times New Roman" w:hAnsi="Times New Roman"/>
                <w:sz w:val="20"/>
                <w:szCs w:val="20"/>
              </w:rPr>
              <w:t>Impactos concorrenciais</w:t>
            </w:r>
          </w:p>
        </w:tc>
        <w:tc>
          <w:tcPr>
            <w:tcW w:w="4253" w:type="dxa"/>
            <w:vAlign w:val="center"/>
          </w:tcPr>
          <w:p w:rsidR="00544AE1" w:rsidRPr="00A11B81" w:rsidRDefault="00544AE1" w:rsidP="00B651D8">
            <w:pPr>
              <w:spacing w:after="0" w:line="240" w:lineRule="auto"/>
              <w:jc w:val="both"/>
              <w:rPr>
                <w:rFonts w:ascii="Times New Roman" w:hAnsi="Times New Roman"/>
                <w:sz w:val="20"/>
                <w:szCs w:val="20"/>
              </w:rPr>
            </w:pPr>
            <w:r w:rsidRPr="00A11B81">
              <w:rPr>
                <w:rFonts w:ascii="Times New Roman" w:hAnsi="Times New Roman"/>
                <w:sz w:val="20"/>
                <w:szCs w:val="20"/>
              </w:rPr>
              <w:t>Impactos sobre a concorrência no mercado de aditivos</w:t>
            </w:r>
            <w:r w:rsidR="004B5DEE">
              <w:rPr>
                <w:rFonts w:ascii="Times New Roman" w:hAnsi="Times New Roman"/>
                <w:sz w:val="20"/>
                <w:szCs w:val="20"/>
              </w:rPr>
              <w:t>.</w:t>
            </w:r>
          </w:p>
        </w:tc>
        <w:tc>
          <w:tcPr>
            <w:tcW w:w="3260" w:type="dxa"/>
            <w:vAlign w:val="center"/>
          </w:tcPr>
          <w:p w:rsidR="00544AE1" w:rsidRPr="00A11B81" w:rsidRDefault="00544AE1" w:rsidP="00B651D8">
            <w:pPr>
              <w:spacing w:after="0" w:line="240" w:lineRule="auto"/>
              <w:jc w:val="both"/>
              <w:rPr>
                <w:rFonts w:ascii="Times New Roman" w:hAnsi="Times New Roman"/>
                <w:sz w:val="20"/>
                <w:szCs w:val="20"/>
              </w:rPr>
            </w:pPr>
            <w:r w:rsidRPr="00A11B81">
              <w:rPr>
                <w:rFonts w:ascii="Times New Roman" w:hAnsi="Times New Roman"/>
                <w:sz w:val="20"/>
                <w:szCs w:val="20"/>
              </w:rPr>
              <w:t xml:space="preserve">Risco de impactos negativos à </w:t>
            </w:r>
            <w:proofErr w:type="gramStart"/>
            <w:r w:rsidRPr="00A11B81">
              <w:rPr>
                <w:rFonts w:ascii="Times New Roman" w:hAnsi="Times New Roman"/>
                <w:sz w:val="20"/>
                <w:szCs w:val="20"/>
              </w:rPr>
              <w:t>concorrência afastado teoricamente</w:t>
            </w:r>
            <w:proofErr w:type="gramEnd"/>
            <w:r w:rsidRPr="00A11B81">
              <w:rPr>
                <w:rFonts w:ascii="Times New Roman" w:hAnsi="Times New Roman"/>
                <w:sz w:val="20"/>
                <w:szCs w:val="20"/>
              </w:rPr>
              <w:t xml:space="preserve"> (Nota Técnica nº 009/CDC)</w:t>
            </w:r>
            <w:r w:rsidR="004B5DEE">
              <w:rPr>
                <w:rFonts w:ascii="Times New Roman" w:hAnsi="Times New Roman"/>
                <w:sz w:val="20"/>
                <w:szCs w:val="20"/>
              </w:rPr>
              <w:t>.</w:t>
            </w:r>
          </w:p>
        </w:tc>
        <w:tc>
          <w:tcPr>
            <w:tcW w:w="2835" w:type="dxa"/>
            <w:vAlign w:val="center"/>
          </w:tcPr>
          <w:p w:rsidR="00544AE1" w:rsidRPr="00A11B81" w:rsidRDefault="00544AE1" w:rsidP="00B651D8">
            <w:pPr>
              <w:spacing w:after="0" w:line="240" w:lineRule="auto"/>
              <w:jc w:val="both"/>
              <w:rPr>
                <w:rFonts w:ascii="Times New Roman" w:hAnsi="Times New Roman"/>
                <w:sz w:val="20"/>
                <w:szCs w:val="20"/>
              </w:rPr>
            </w:pPr>
            <w:r w:rsidRPr="00A11B81">
              <w:rPr>
                <w:rFonts w:ascii="Times New Roman" w:hAnsi="Times New Roman"/>
                <w:sz w:val="20"/>
                <w:szCs w:val="20"/>
              </w:rPr>
              <w:t>Não há</w:t>
            </w:r>
          </w:p>
        </w:tc>
        <w:tc>
          <w:tcPr>
            <w:tcW w:w="2268" w:type="dxa"/>
            <w:vAlign w:val="center"/>
          </w:tcPr>
          <w:p w:rsidR="000D0239" w:rsidRDefault="00544AE1">
            <w:pPr>
              <w:spacing w:after="0" w:line="240" w:lineRule="auto"/>
              <w:rPr>
                <w:rFonts w:ascii="Times New Roman" w:hAnsi="Times New Roman"/>
                <w:sz w:val="20"/>
                <w:szCs w:val="20"/>
              </w:rPr>
            </w:pPr>
            <w:r w:rsidRPr="00A11B81">
              <w:rPr>
                <w:rFonts w:ascii="Times New Roman" w:hAnsi="Times New Roman"/>
                <w:sz w:val="20"/>
                <w:szCs w:val="20"/>
              </w:rPr>
              <w:t>Indiferente</w:t>
            </w:r>
          </w:p>
        </w:tc>
      </w:tr>
      <w:tr w:rsidR="008458C9" w:rsidRPr="00A11B81" w:rsidTr="008458C9">
        <w:tc>
          <w:tcPr>
            <w:tcW w:w="1701" w:type="dxa"/>
            <w:vMerge w:val="restart"/>
            <w:vAlign w:val="center"/>
          </w:tcPr>
          <w:p w:rsidR="00544AE1" w:rsidRPr="00A11B81" w:rsidRDefault="00544AE1" w:rsidP="003D7290">
            <w:pPr>
              <w:spacing w:after="0" w:line="240" w:lineRule="auto"/>
              <w:rPr>
                <w:rFonts w:ascii="Times New Roman" w:hAnsi="Times New Roman"/>
                <w:sz w:val="20"/>
                <w:szCs w:val="20"/>
              </w:rPr>
            </w:pPr>
            <w:r w:rsidRPr="00A11B81">
              <w:rPr>
                <w:rFonts w:ascii="Times New Roman" w:hAnsi="Times New Roman"/>
                <w:sz w:val="20"/>
                <w:szCs w:val="20"/>
              </w:rPr>
              <w:t>Prazo de adaptação</w:t>
            </w:r>
          </w:p>
        </w:tc>
        <w:tc>
          <w:tcPr>
            <w:tcW w:w="4253" w:type="dxa"/>
            <w:vAlign w:val="center"/>
          </w:tcPr>
          <w:p w:rsidR="00544AE1" w:rsidRPr="00A11B81" w:rsidRDefault="00544AE1" w:rsidP="00DC717F">
            <w:pPr>
              <w:spacing w:after="0" w:line="240" w:lineRule="auto"/>
              <w:jc w:val="both"/>
              <w:rPr>
                <w:rFonts w:ascii="Times New Roman" w:hAnsi="Times New Roman"/>
                <w:sz w:val="20"/>
                <w:szCs w:val="20"/>
              </w:rPr>
            </w:pPr>
            <w:r w:rsidRPr="00A11B81">
              <w:rPr>
                <w:rFonts w:ascii="Times New Roman" w:hAnsi="Times New Roman"/>
                <w:sz w:val="20"/>
                <w:szCs w:val="20"/>
              </w:rPr>
              <w:t>Prazo de adaptação dos produtores de gasolina A</w:t>
            </w:r>
            <w:r w:rsidR="004B5DEE">
              <w:rPr>
                <w:rFonts w:ascii="Times New Roman" w:hAnsi="Times New Roman"/>
                <w:sz w:val="20"/>
                <w:szCs w:val="20"/>
              </w:rPr>
              <w:t>.</w:t>
            </w:r>
          </w:p>
        </w:tc>
        <w:tc>
          <w:tcPr>
            <w:tcW w:w="3260" w:type="dxa"/>
            <w:vAlign w:val="center"/>
          </w:tcPr>
          <w:p w:rsidR="00544AE1" w:rsidRPr="00A11B81" w:rsidRDefault="00544AE1" w:rsidP="00B34808">
            <w:pPr>
              <w:spacing w:after="0" w:line="240" w:lineRule="auto"/>
              <w:jc w:val="both"/>
              <w:rPr>
                <w:rFonts w:ascii="Times New Roman" w:hAnsi="Times New Roman"/>
                <w:sz w:val="20"/>
                <w:szCs w:val="20"/>
              </w:rPr>
            </w:pPr>
            <w:r w:rsidRPr="00A11B81">
              <w:rPr>
                <w:rFonts w:ascii="Times New Roman" w:hAnsi="Times New Roman"/>
                <w:sz w:val="20"/>
                <w:szCs w:val="20"/>
              </w:rPr>
              <w:t xml:space="preserve">Até </w:t>
            </w:r>
            <w:proofErr w:type="gramStart"/>
            <w:r w:rsidR="00B34808">
              <w:rPr>
                <w:rFonts w:ascii="Times New Roman" w:hAnsi="Times New Roman"/>
                <w:sz w:val="20"/>
                <w:szCs w:val="20"/>
              </w:rPr>
              <w:t>3</w:t>
            </w:r>
            <w:proofErr w:type="gramEnd"/>
            <w:r w:rsidR="00B34808" w:rsidRPr="00A11B81">
              <w:rPr>
                <w:rFonts w:ascii="Times New Roman" w:hAnsi="Times New Roman"/>
                <w:sz w:val="20"/>
                <w:szCs w:val="20"/>
              </w:rPr>
              <w:t xml:space="preserve"> </w:t>
            </w:r>
            <w:r w:rsidRPr="00A11B81">
              <w:rPr>
                <w:rFonts w:ascii="Times New Roman" w:hAnsi="Times New Roman"/>
                <w:sz w:val="20"/>
                <w:szCs w:val="20"/>
              </w:rPr>
              <w:t>ano</w:t>
            </w:r>
            <w:r w:rsidR="005D38BE">
              <w:rPr>
                <w:rFonts w:ascii="Times New Roman" w:hAnsi="Times New Roman"/>
                <w:sz w:val="20"/>
                <w:szCs w:val="20"/>
              </w:rPr>
              <w:t>s</w:t>
            </w:r>
          </w:p>
        </w:tc>
        <w:tc>
          <w:tcPr>
            <w:tcW w:w="2835" w:type="dxa"/>
            <w:vAlign w:val="center"/>
          </w:tcPr>
          <w:p w:rsidR="00544AE1" w:rsidRPr="00A11B81" w:rsidRDefault="00544AE1" w:rsidP="00147CE0">
            <w:pPr>
              <w:spacing w:after="0" w:line="240" w:lineRule="auto"/>
              <w:jc w:val="both"/>
              <w:rPr>
                <w:rFonts w:ascii="Times New Roman" w:hAnsi="Times New Roman"/>
                <w:sz w:val="20"/>
                <w:szCs w:val="20"/>
              </w:rPr>
            </w:pPr>
            <w:r w:rsidRPr="00A11B81">
              <w:rPr>
                <w:rFonts w:ascii="Times New Roman" w:hAnsi="Times New Roman"/>
                <w:sz w:val="20"/>
                <w:szCs w:val="20"/>
              </w:rPr>
              <w:t>Zero</w:t>
            </w:r>
          </w:p>
        </w:tc>
        <w:tc>
          <w:tcPr>
            <w:tcW w:w="2268" w:type="dxa"/>
            <w:vMerge w:val="restart"/>
            <w:vAlign w:val="center"/>
          </w:tcPr>
          <w:p w:rsidR="000D0239" w:rsidRDefault="00B34808">
            <w:pPr>
              <w:spacing w:after="0" w:line="240" w:lineRule="auto"/>
              <w:rPr>
                <w:rFonts w:ascii="Times New Roman" w:hAnsi="Times New Roman"/>
                <w:sz w:val="20"/>
                <w:szCs w:val="20"/>
              </w:rPr>
            </w:pPr>
            <w:r>
              <w:rPr>
                <w:rFonts w:ascii="Times New Roman" w:hAnsi="Times New Roman"/>
                <w:sz w:val="20"/>
                <w:szCs w:val="20"/>
              </w:rPr>
              <w:t>Indiferente</w:t>
            </w:r>
          </w:p>
        </w:tc>
      </w:tr>
      <w:tr w:rsidR="008458C9" w:rsidRPr="00A11B81" w:rsidTr="008458C9">
        <w:tc>
          <w:tcPr>
            <w:tcW w:w="1701" w:type="dxa"/>
            <w:vMerge/>
            <w:vAlign w:val="center"/>
          </w:tcPr>
          <w:p w:rsidR="00544AE1" w:rsidRPr="00A11B81" w:rsidRDefault="00544AE1" w:rsidP="007152FE">
            <w:pPr>
              <w:spacing w:after="0" w:line="240" w:lineRule="auto"/>
              <w:jc w:val="both"/>
              <w:rPr>
                <w:rFonts w:ascii="Times New Roman" w:hAnsi="Times New Roman"/>
                <w:sz w:val="20"/>
                <w:szCs w:val="20"/>
              </w:rPr>
            </w:pPr>
          </w:p>
        </w:tc>
        <w:tc>
          <w:tcPr>
            <w:tcW w:w="4253" w:type="dxa"/>
            <w:vAlign w:val="center"/>
          </w:tcPr>
          <w:p w:rsidR="00544AE1" w:rsidRPr="00A11B81" w:rsidRDefault="00544AE1" w:rsidP="00DC717F">
            <w:pPr>
              <w:spacing w:after="0" w:line="240" w:lineRule="auto"/>
              <w:jc w:val="both"/>
              <w:rPr>
                <w:rFonts w:ascii="Times New Roman" w:hAnsi="Times New Roman"/>
                <w:sz w:val="20"/>
                <w:szCs w:val="20"/>
              </w:rPr>
            </w:pPr>
            <w:r w:rsidRPr="00A11B81">
              <w:rPr>
                <w:rFonts w:ascii="Times New Roman" w:hAnsi="Times New Roman"/>
                <w:sz w:val="20"/>
                <w:szCs w:val="20"/>
              </w:rPr>
              <w:t>Prazo de adaptação dos distribuidores de gasolina</w:t>
            </w:r>
            <w:r w:rsidR="004B5DEE">
              <w:rPr>
                <w:rFonts w:ascii="Times New Roman" w:hAnsi="Times New Roman"/>
                <w:sz w:val="20"/>
                <w:szCs w:val="20"/>
              </w:rPr>
              <w:t>.</w:t>
            </w:r>
          </w:p>
        </w:tc>
        <w:tc>
          <w:tcPr>
            <w:tcW w:w="3260" w:type="dxa"/>
            <w:vAlign w:val="center"/>
          </w:tcPr>
          <w:p w:rsidR="00544AE1" w:rsidRPr="00A11B81" w:rsidRDefault="00544AE1" w:rsidP="00DC717F">
            <w:pPr>
              <w:spacing w:after="0" w:line="240" w:lineRule="auto"/>
              <w:jc w:val="both"/>
              <w:rPr>
                <w:rFonts w:ascii="Times New Roman" w:hAnsi="Times New Roman"/>
                <w:sz w:val="20"/>
                <w:szCs w:val="20"/>
              </w:rPr>
            </w:pPr>
            <w:r w:rsidRPr="00A11B81">
              <w:rPr>
                <w:rFonts w:ascii="Times New Roman" w:hAnsi="Times New Roman"/>
                <w:sz w:val="20"/>
                <w:szCs w:val="20"/>
              </w:rPr>
              <w:t>Zero</w:t>
            </w:r>
          </w:p>
        </w:tc>
        <w:tc>
          <w:tcPr>
            <w:tcW w:w="2835" w:type="dxa"/>
            <w:vAlign w:val="center"/>
          </w:tcPr>
          <w:p w:rsidR="00544AE1" w:rsidRPr="00A11B81" w:rsidRDefault="00544AE1" w:rsidP="00147CE0">
            <w:pPr>
              <w:spacing w:after="0" w:line="240" w:lineRule="auto"/>
              <w:jc w:val="both"/>
              <w:rPr>
                <w:rFonts w:ascii="Times New Roman" w:hAnsi="Times New Roman"/>
                <w:sz w:val="20"/>
                <w:szCs w:val="20"/>
              </w:rPr>
            </w:pPr>
            <w:r w:rsidRPr="00A11B81">
              <w:rPr>
                <w:rFonts w:ascii="Times New Roman" w:hAnsi="Times New Roman"/>
                <w:sz w:val="20"/>
                <w:szCs w:val="20"/>
              </w:rPr>
              <w:t xml:space="preserve">Até </w:t>
            </w:r>
            <w:proofErr w:type="gramStart"/>
            <w:r w:rsidRPr="00A11B81">
              <w:rPr>
                <w:rFonts w:ascii="Times New Roman" w:hAnsi="Times New Roman"/>
                <w:sz w:val="20"/>
                <w:szCs w:val="20"/>
              </w:rPr>
              <w:t>3</w:t>
            </w:r>
            <w:proofErr w:type="gramEnd"/>
            <w:r w:rsidRPr="00A11B81">
              <w:rPr>
                <w:rFonts w:ascii="Times New Roman" w:hAnsi="Times New Roman"/>
                <w:sz w:val="20"/>
                <w:szCs w:val="20"/>
              </w:rPr>
              <w:t xml:space="preserve"> anos</w:t>
            </w:r>
          </w:p>
        </w:tc>
        <w:tc>
          <w:tcPr>
            <w:tcW w:w="2268" w:type="dxa"/>
            <w:vMerge/>
            <w:vAlign w:val="center"/>
          </w:tcPr>
          <w:p w:rsidR="000D0239" w:rsidRDefault="000D0239">
            <w:pPr>
              <w:spacing w:after="0" w:line="240" w:lineRule="auto"/>
              <w:rPr>
                <w:rFonts w:ascii="Times New Roman" w:hAnsi="Times New Roman"/>
                <w:sz w:val="20"/>
                <w:szCs w:val="20"/>
              </w:rPr>
            </w:pPr>
          </w:p>
        </w:tc>
      </w:tr>
      <w:tr w:rsidR="008458C9" w:rsidRPr="00A11B81" w:rsidTr="008458C9">
        <w:tc>
          <w:tcPr>
            <w:tcW w:w="1701" w:type="dxa"/>
            <w:vMerge/>
            <w:vAlign w:val="center"/>
          </w:tcPr>
          <w:p w:rsidR="00544AE1" w:rsidRPr="00A11B81" w:rsidRDefault="00544AE1" w:rsidP="007152FE">
            <w:pPr>
              <w:spacing w:after="0" w:line="240" w:lineRule="auto"/>
              <w:jc w:val="both"/>
              <w:rPr>
                <w:rFonts w:ascii="Times New Roman" w:hAnsi="Times New Roman"/>
                <w:sz w:val="20"/>
                <w:szCs w:val="20"/>
              </w:rPr>
            </w:pPr>
          </w:p>
        </w:tc>
        <w:tc>
          <w:tcPr>
            <w:tcW w:w="4253" w:type="dxa"/>
            <w:vAlign w:val="center"/>
          </w:tcPr>
          <w:p w:rsidR="00544AE1" w:rsidRPr="00A11B81" w:rsidRDefault="00544AE1" w:rsidP="00DC717F">
            <w:pPr>
              <w:spacing w:after="0" w:line="240" w:lineRule="auto"/>
              <w:jc w:val="both"/>
              <w:rPr>
                <w:rFonts w:ascii="Times New Roman" w:hAnsi="Times New Roman"/>
                <w:sz w:val="20"/>
                <w:szCs w:val="20"/>
              </w:rPr>
            </w:pPr>
            <w:r w:rsidRPr="00A11B81">
              <w:rPr>
                <w:rFonts w:ascii="Times New Roman" w:hAnsi="Times New Roman"/>
                <w:sz w:val="20"/>
                <w:szCs w:val="20"/>
              </w:rPr>
              <w:t>Prazo de adaptação dos fornecedores de aditivo</w:t>
            </w:r>
            <w:r w:rsidR="004B5DEE">
              <w:rPr>
                <w:rFonts w:ascii="Times New Roman" w:hAnsi="Times New Roman"/>
                <w:sz w:val="20"/>
                <w:szCs w:val="20"/>
              </w:rPr>
              <w:t>.</w:t>
            </w:r>
          </w:p>
        </w:tc>
        <w:tc>
          <w:tcPr>
            <w:tcW w:w="3260" w:type="dxa"/>
            <w:vAlign w:val="center"/>
          </w:tcPr>
          <w:p w:rsidR="00544AE1" w:rsidRPr="00A11B81" w:rsidRDefault="00544AE1" w:rsidP="00DC717F">
            <w:pPr>
              <w:spacing w:after="0" w:line="240" w:lineRule="auto"/>
              <w:jc w:val="both"/>
              <w:rPr>
                <w:rFonts w:ascii="Times New Roman" w:hAnsi="Times New Roman"/>
                <w:sz w:val="20"/>
                <w:szCs w:val="20"/>
              </w:rPr>
            </w:pPr>
            <w:r w:rsidRPr="00A11B81">
              <w:rPr>
                <w:rFonts w:ascii="Times New Roman" w:hAnsi="Times New Roman"/>
                <w:sz w:val="20"/>
                <w:szCs w:val="20"/>
              </w:rPr>
              <w:t>1 a 6 meses</w:t>
            </w:r>
          </w:p>
        </w:tc>
        <w:tc>
          <w:tcPr>
            <w:tcW w:w="2835" w:type="dxa"/>
            <w:vAlign w:val="center"/>
          </w:tcPr>
          <w:p w:rsidR="00544AE1" w:rsidRPr="00A11B81" w:rsidRDefault="00544AE1" w:rsidP="00147CE0">
            <w:pPr>
              <w:spacing w:after="0" w:line="240" w:lineRule="auto"/>
              <w:jc w:val="both"/>
              <w:rPr>
                <w:rFonts w:ascii="Times New Roman" w:hAnsi="Times New Roman"/>
                <w:sz w:val="20"/>
                <w:szCs w:val="20"/>
              </w:rPr>
            </w:pPr>
            <w:r w:rsidRPr="00A11B81">
              <w:rPr>
                <w:rFonts w:ascii="Times New Roman" w:hAnsi="Times New Roman"/>
                <w:sz w:val="20"/>
                <w:szCs w:val="20"/>
              </w:rPr>
              <w:t>1 a 6 meses</w:t>
            </w:r>
          </w:p>
        </w:tc>
        <w:tc>
          <w:tcPr>
            <w:tcW w:w="2268" w:type="dxa"/>
            <w:vMerge/>
            <w:vAlign w:val="center"/>
          </w:tcPr>
          <w:p w:rsidR="000D0239" w:rsidRDefault="000D0239">
            <w:pPr>
              <w:spacing w:after="0" w:line="240" w:lineRule="auto"/>
              <w:rPr>
                <w:rFonts w:ascii="Times New Roman" w:hAnsi="Times New Roman"/>
                <w:sz w:val="20"/>
                <w:szCs w:val="20"/>
              </w:rPr>
            </w:pPr>
          </w:p>
        </w:tc>
      </w:tr>
      <w:tr w:rsidR="004B5DEE" w:rsidRPr="00A11B81" w:rsidTr="008458C9">
        <w:tc>
          <w:tcPr>
            <w:tcW w:w="1701" w:type="dxa"/>
            <w:vMerge w:val="restart"/>
            <w:vAlign w:val="center"/>
          </w:tcPr>
          <w:p w:rsidR="004B5DEE" w:rsidRDefault="004B5DEE" w:rsidP="007152FE">
            <w:pPr>
              <w:spacing w:after="0" w:line="240" w:lineRule="auto"/>
              <w:jc w:val="both"/>
              <w:rPr>
                <w:rFonts w:ascii="Times New Roman" w:hAnsi="Times New Roman"/>
                <w:sz w:val="20"/>
                <w:szCs w:val="20"/>
              </w:rPr>
            </w:pPr>
          </w:p>
          <w:p w:rsidR="004B5DEE" w:rsidRDefault="004B5DEE" w:rsidP="007152FE">
            <w:pPr>
              <w:spacing w:after="0" w:line="240" w:lineRule="auto"/>
              <w:jc w:val="both"/>
              <w:rPr>
                <w:rFonts w:ascii="Times New Roman" w:hAnsi="Times New Roman"/>
                <w:sz w:val="20"/>
                <w:szCs w:val="20"/>
              </w:rPr>
            </w:pPr>
          </w:p>
          <w:p w:rsidR="004B5DEE" w:rsidRDefault="004B5DEE" w:rsidP="007152FE">
            <w:pPr>
              <w:spacing w:after="0" w:line="240" w:lineRule="auto"/>
              <w:jc w:val="both"/>
              <w:rPr>
                <w:rFonts w:ascii="Times New Roman" w:hAnsi="Times New Roman"/>
                <w:sz w:val="20"/>
                <w:szCs w:val="20"/>
              </w:rPr>
            </w:pPr>
          </w:p>
          <w:p w:rsidR="004B5DEE" w:rsidRDefault="004B5DEE" w:rsidP="007152FE">
            <w:pPr>
              <w:spacing w:after="0" w:line="240" w:lineRule="auto"/>
              <w:jc w:val="both"/>
              <w:rPr>
                <w:rFonts w:ascii="Times New Roman" w:hAnsi="Times New Roman"/>
                <w:sz w:val="20"/>
                <w:szCs w:val="20"/>
              </w:rPr>
            </w:pPr>
          </w:p>
          <w:p w:rsidR="004B5DEE" w:rsidRPr="00A11B81" w:rsidRDefault="004B5DEE" w:rsidP="007152FE">
            <w:pPr>
              <w:spacing w:after="0" w:line="240" w:lineRule="auto"/>
              <w:jc w:val="both"/>
              <w:rPr>
                <w:rFonts w:ascii="Times New Roman" w:hAnsi="Times New Roman"/>
                <w:sz w:val="20"/>
                <w:szCs w:val="20"/>
              </w:rPr>
            </w:pPr>
            <w:r w:rsidRPr="00A11B81">
              <w:rPr>
                <w:rFonts w:ascii="Times New Roman" w:hAnsi="Times New Roman"/>
                <w:sz w:val="20"/>
                <w:szCs w:val="20"/>
              </w:rPr>
              <w:t>Riscos operacionais</w:t>
            </w:r>
          </w:p>
        </w:tc>
        <w:tc>
          <w:tcPr>
            <w:tcW w:w="4253" w:type="dxa"/>
            <w:vAlign w:val="center"/>
          </w:tcPr>
          <w:p w:rsidR="004B5DEE" w:rsidRPr="00A11B81" w:rsidRDefault="004B5DEE" w:rsidP="00DC717F">
            <w:pPr>
              <w:spacing w:after="0" w:line="240" w:lineRule="auto"/>
              <w:jc w:val="both"/>
              <w:rPr>
                <w:rFonts w:ascii="Times New Roman" w:hAnsi="Times New Roman"/>
                <w:sz w:val="20"/>
                <w:szCs w:val="20"/>
              </w:rPr>
            </w:pPr>
            <w:r w:rsidRPr="00A11B81">
              <w:rPr>
                <w:rFonts w:ascii="Times New Roman" w:hAnsi="Times New Roman"/>
                <w:sz w:val="20"/>
                <w:szCs w:val="20"/>
              </w:rPr>
              <w:t>Risco de emulsificação</w:t>
            </w:r>
          </w:p>
        </w:tc>
        <w:tc>
          <w:tcPr>
            <w:tcW w:w="3260" w:type="dxa"/>
            <w:vAlign w:val="center"/>
          </w:tcPr>
          <w:p w:rsidR="004B5DEE" w:rsidRPr="00A11B81" w:rsidRDefault="004B5DEE" w:rsidP="00DC717F">
            <w:pPr>
              <w:spacing w:after="0" w:line="240" w:lineRule="auto"/>
              <w:jc w:val="both"/>
              <w:rPr>
                <w:rFonts w:ascii="Times New Roman" w:hAnsi="Times New Roman"/>
                <w:sz w:val="20"/>
                <w:szCs w:val="20"/>
              </w:rPr>
            </w:pPr>
            <w:r w:rsidRPr="00A11B81">
              <w:rPr>
                <w:rFonts w:ascii="Times New Roman" w:hAnsi="Times New Roman"/>
                <w:sz w:val="20"/>
                <w:szCs w:val="20"/>
              </w:rPr>
              <w:t>Hipótese de aumento nas possibilidades de formação de emulsão afastada em testes laboratoriais (Nota Técnica n.º 16/2013/101/CPT)</w:t>
            </w:r>
            <w:r>
              <w:rPr>
                <w:rFonts w:ascii="Times New Roman" w:hAnsi="Times New Roman"/>
                <w:sz w:val="20"/>
                <w:szCs w:val="20"/>
              </w:rPr>
              <w:t>.</w:t>
            </w:r>
          </w:p>
        </w:tc>
        <w:tc>
          <w:tcPr>
            <w:tcW w:w="2835" w:type="dxa"/>
            <w:vAlign w:val="center"/>
          </w:tcPr>
          <w:p w:rsidR="004B5DEE" w:rsidRPr="00A11B81" w:rsidRDefault="004B5DEE" w:rsidP="00147CE0">
            <w:pPr>
              <w:spacing w:after="0" w:line="240" w:lineRule="auto"/>
              <w:jc w:val="both"/>
              <w:rPr>
                <w:rFonts w:ascii="Times New Roman" w:hAnsi="Times New Roman"/>
                <w:sz w:val="20"/>
                <w:szCs w:val="20"/>
              </w:rPr>
            </w:pPr>
            <w:r w:rsidRPr="00A11B81">
              <w:rPr>
                <w:rFonts w:ascii="Times New Roman" w:hAnsi="Times New Roman"/>
                <w:sz w:val="20"/>
                <w:szCs w:val="20"/>
              </w:rPr>
              <w:t>Possibilidades teoricamente limitadas de formação de emulsão</w:t>
            </w:r>
            <w:r>
              <w:rPr>
                <w:rFonts w:ascii="Times New Roman" w:hAnsi="Times New Roman"/>
                <w:sz w:val="20"/>
                <w:szCs w:val="20"/>
              </w:rPr>
              <w:t>.</w:t>
            </w:r>
          </w:p>
        </w:tc>
        <w:tc>
          <w:tcPr>
            <w:tcW w:w="2268" w:type="dxa"/>
            <w:vAlign w:val="center"/>
          </w:tcPr>
          <w:p w:rsidR="000D0239" w:rsidRDefault="004B5DEE">
            <w:pPr>
              <w:spacing w:after="0" w:line="240" w:lineRule="auto"/>
              <w:rPr>
                <w:rFonts w:ascii="Times New Roman" w:hAnsi="Times New Roman"/>
                <w:sz w:val="20"/>
                <w:szCs w:val="20"/>
              </w:rPr>
            </w:pPr>
            <w:r w:rsidRPr="00A11B81">
              <w:rPr>
                <w:rFonts w:ascii="Times New Roman" w:hAnsi="Times New Roman"/>
                <w:sz w:val="20"/>
                <w:szCs w:val="20"/>
              </w:rPr>
              <w:t>Indiferente</w:t>
            </w:r>
          </w:p>
        </w:tc>
      </w:tr>
      <w:tr w:rsidR="00F8090F" w:rsidRPr="00A11B81" w:rsidTr="008458C9">
        <w:tc>
          <w:tcPr>
            <w:tcW w:w="1701" w:type="dxa"/>
            <w:vMerge/>
            <w:vAlign w:val="center"/>
          </w:tcPr>
          <w:p w:rsidR="00F8090F" w:rsidRDefault="00F8090F" w:rsidP="007152FE">
            <w:pPr>
              <w:spacing w:after="0" w:line="240" w:lineRule="auto"/>
              <w:jc w:val="both"/>
              <w:rPr>
                <w:rFonts w:ascii="Times New Roman" w:hAnsi="Times New Roman"/>
                <w:sz w:val="20"/>
                <w:szCs w:val="20"/>
              </w:rPr>
            </w:pPr>
          </w:p>
        </w:tc>
        <w:tc>
          <w:tcPr>
            <w:tcW w:w="4253" w:type="dxa"/>
            <w:vAlign w:val="center"/>
          </w:tcPr>
          <w:p w:rsidR="00F8090F" w:rsidRPr="00A11B81" w:rsidRDefault="00F8090F" w:rsidP="00DC717F">
            <w:pPr>
              <w:spacing w:after="0" w:line="240" w:lineRule="auto"/>
              <w:jc w:val="both"/>
              <w:rPr>
                <w:rFonts w:ascii="Times New Roman" w:hAnsi="Times New Roman"/>
                <w:sz w:val="20"/>
                <w:szCs w:val="20"/>
              </w:rPr>
            </w:pPr>
            <w:r>
              <w:rPr>
                <w:rFonts w:ascii="Times New Roman" w:hAnsi="Times New Roman"/>
                <w:sz w:val="20"/>
                <w:szCs w:val="20"/>
              </w:rPr>
              <w:t>Risco de contaminação de outros produtos, a exemplo do QAV.</w:t>
            </w:r>
          </w:p>
        </w:tc>
        <w:tc>
          <w:tcPr>
            <w:tcW w:w="3260" w:type="dxa"/>
            <w:vAlign w:val="center"/>
          </w:tcPr>
          <w:p w:rsidR="00F8090F" w:rsidRPr="00A11B81" w:rsidRDefault="00F8090F" w:rsidP="00F8090F">
            <w:pPr>
              <w:spacing w:after="0" w:line="240" w:lineRule="auto"/>
              <w:jc w:val="both"/>
              <w:rPr>
                <w:rFonts w:ascii="Times New Roman" w:hAnsi="Times New Roman"/>
                <w:sz w:val="20"/>
                <w:szCs w:val="20"/>
              </w:rPr>
            </w:pPr>
            <w:r>
              <w:rPr>
                <w:rFonts w:ascii="Times New Roman" w:hAnsi="Times New Roman"/>
                <w:sz w:val="20"/>
                <w:szCs w:val="20"/>
              </w:rPr>
              <w:t xml:space="preserve">Não haverá passagem de gasolina aditivada nos dutos destinados ao transporte de QAV, de modo que o risco de contaminação fica afastado. </w:t>
            </w:r>
            <w:r>
              <w:rPr>
                <w:rFonts w:ascii="Times New Roman" w:hAnsi="Times New Roman"/>
                <w:sz w:val="20"/>
                <w:szCs w:val="20"/>
              </w:rPr>
              <w:lastRenderedPageBreak/>
              <w:t>A aditivação será realizada no fim da linha, já no ponto de entrega à distribuidora.</w:t>
            </w:r>
          </w:p>
        </w:tc>
        <w:tc>
          <w:tcPr>
            <w:tcW w:w="2835" w:type="dxa"/>
            <w:vAlign w:val="center"/>
          </w:tcPr>
          <w:p w:rsidR="00F8090F" w:rsidRPr="00A11B81" w:rsidRDefault="00F8090F" w:rsidP="00F8090F">
            <w:pPr>
              <w:spacing w:after="0" w:line="240" w:lineRule="auto"/>
              <w:jc w:val="both"/>
              <w:rPr>
                <w:rFonts w:ascii="Times New Roman" w:hAnsi="Times New Roman"/>
                <w:sz w:val="20"/>
                <w:szCs w:val="20"/>
              </w:rPr>
            </w:pPr>
            <w:r>
              <w:rPr>
                <w:rFonts w:ascii="Times New Roman" w:hAnsi="Times New Roman"/>
                <w:sz w:val="20"/>
                <w:szCs w:val="20"/>
              </w:rPr>
              <w:lastRenderedPageBreak/>
              <w:t>Não há</w:t>
            </w:r>
          </w:p>
        </w:tc>
        <w:tc>
          <w:tcPr>
            <w:tcW w:w="2268" w:type="dxa"/>
            <w:vAlign w:val="center"/>
          </w:tcPr>
          <w:p w:rsidR="00F8090F" w:rsidRPr="00A11B81" w:rsidRDefault="00F8090F" w:rsidP="00F8090F">
            <w:pPr>
              <w:spacing w:after="0" w:line="240" w:lineRule="auto"/>
              <w:jc w:val="center"/>
              <w:rPr>
                <w:rFonts w:ascii="Times New Roman" w:hAnsi="Times New Roman"/>
                <w:sz w:val="20"/>
                <w:szCs w:val="20"/>
              </w:rPr>
            </w:pPr>
            <w:r>
              <w:rPr>
                <w:rFonts w:ascii="Times New Roman" w:hAnsi="Times New Roman"/>
                <w:sz w:val="20"/>
                <w:szCs w:val="20"/>
              </w:rPr>
              <w:t>Indiferente</w:t>
            </w:r>
          </w:p>
        </w:tc>
      </w:tr>
      <w:tr w:rsidR="00F8090F" w:rsidRPr="00A11B81" w:rsidTr="00B34808">
        <w:tc>
          <w:tcPr>
            <w:tcW w:w="1701" w:type="dxa"/>
            <w:vMerge/>
            <w:vAlign w:val="center"/>
          </w:tcPr>
          <w:p w:rsidR="00F8090F" w:rsidRPr="00A11B81" w:rsidRDefault="00F8090F" w:rsidP="007152FE">
            <w:pPr>
              <w:spacing w:after="0" w:line="240" w:lineRule="auto"/>
              <w:jc w:val="both"/>
              <w:rPr>
                <w:rFonts w:ascii="Times New Roman" w:hAnsi="Times New Roman"/>
                <w:sz w:val="20"/>
                <w:szCs w:val="20"/>
              </w:rPr>
            </w:pPr>
          </w:p>
        </w:tc>
        <w:tc>
          <w:tcPr>
            <w:tcW w:w="4253" w:type="dxa"/>
            <w:vAlign w:val="center"/>
          </w:tcPr>
          <w:p w:rsidR="00F8090F" w:rsidRPr="00F8090F" w:rsidRDefault="00F8090F" w:rsidP="00B34808">
            <w:pPr>
              <w:spacing w:after="0" w:line="240" w:lineRule="auto"/>
              <w:jc w:val="both"/>
              <w:rPr>
                <w:rFonts w:ascii="Times New Roman" w:hAnsi="Times New Roman"/>
                <w:sz w:val="20"/>
                <w:szCs w:val="20"/>
              </w:rPr>
            </w:pPr>
            <w:r w:rsidRPr="00F8090F">
              <w:rPr>
                <w:rFonts w:ascii="Times New Roman" w:hAnsi="Times New Roman"/>
                <w:sz w:val="20"/>
                <w:szCs w:val="20"/>
              </w:rPr>
              <w:t xml:space="preserve">Risco do aumento da taxa de corrosão dos dutos pela remoção do filme de </w:t>
            </w:r>
            <w:proofErr w:type="spellStart"/>
            <w:r w:rsidRPr="00F8090F">
              <w:rPr>
                <w:rFonts w:ascii="Times New Roman" w:hAnsi="Times New Roman"/>
                <w:sz w:val="20"/>
                <w:szCs w:val="20"/>
              </w:rPr>
              <w:t>HC’s</w:t>
            </w:r>
            <w:proofErr w:type="spellEnd"/>
            <w:r w:rsidRPr="00F8090F">
              <w:rPr>
                <w:rFonts w:ascii="Times New Roman" w:hAnsi="Times New Roman"/>
                <w:sz w:val="20"/>
                <w:szCs w:val="20"/>
              </w:rPr>
              <w:t xml:space="preserve"> e anticorrosivos existentes nos dutos.</w:t>
            </w:r>
          </w:p>
        </w:tc>
        <w:tc>
          <w:tcPr>
            <w:tcW w:w="3260" w:type="dxa"/>
            <w:vAlign w:val="center"/>
          </w:tcPr>
          <w:p w:rsidR="00F8090F" w:rsidRPr="00F8090F" w:rsidRDefault="00F8090F" w:rsidP="00B34808">
            <w:pPr>
              <w:spacing w:after="0" w:line="240" w:lineRule="auto"/>
              <w:jc w:val="both"/>
              <w:rPr>
                <w:rFonts w:ascii="Times New Roman" w:hAnsi="Times New Roman"/>
                <w:sz w:val="20"/>
                <w:szCs w:val="20"/>
              </w:rPr>
            </w:pPr>
            <w:r w:rsidRPr="00F8090F">
              <w:rPr>
                <w:rFonts w:ascii="Times New Roman" w:hAnsi="Times New Roman"/>
                <w:sz w:val="20"/>
                <w:szCs w:val="20"/>
              </w:rPr>
              <w:t xml:space="preserve">A aditivação será realizada no fim da linha, já no ponto de entrega à distribuidora. Além disso, em reunião com os diversos agentes do mercado, um dos produtores de aditivos relatou não conhecer problema de que a passagem de combustível com agente detergente dispersante remova o inibidor de corrosão.  </w:t>
            </w:r>
          </w:p>
        </w:tc>
        <w:tc>
          <w:tcPr>
            <w:tcW w:w="2835" w:type="dxa"/>
            <w:vAlign w:val="center"/>
          </w:tcPr>
          <w:p w:rsidR="00F8090F" w:rsidRPr="00F8090F" w:rsidRDefault="00BA6D4F" w:rsidP="00BA6D4F">
            <w:pPr>
              <w:spacing w:after="0" w:line="240" w:lineRule="auto"/>
              <w:jc w:val="both"/>
              <w:rPr>
                <w:rFonts w:ascii="Times New Roman" w:hAnsi="Times New Roman"/>
                <w:sz w:val="20"/>
                <w:szCs w:val="20"/>
              </w:rPr>
            </w:pPr>
            <w:r>
              <w:rPr>
                <w:rFonts w:ascii="Times New Roman" w:hAnsi="Times New Roman"/>
                <w:sz w:val="20"/>
                <w:szCs w:val="20"/>
              </w:rPr>
              <w:t>Testes com inibidores de corrosão e detergentes dispersantes devem ser realizados pelos agentes econômicos de</w:t>
            </w:r>
            <w:r w:rsidR="001C0498">
              <w:rPr>
                <w:rFonts w:ascii="Times New Roman" w:hAnsi="Times New Roman"/>
                <w:sz w:val="20"/>
                <w:szCs w:val="20"/>
              </w:rPr>
              <w:t xml:space="preserve"> forma </w:t>
            </w:r>
            <w:r>
              <w:rPr>
                <w:rFonts w:ascii="Times New Roman" w:hAnsi="Times New Roman"/>
                <w:sz w:val="20"/>
                <w:szCs w:val="20"/>
              </w:rPr>
              <w:t>a afastar a</w:t>
            </w:r>
            <w:r w:rsidR="001C0498">
              <w:rPr>
                <w:rFonts w:ascii="Times New Roman" w:hAnsi="Times New Roman"/>
                <w:sz w:val="20"/>
                <w:szCs w:val="20"/>
              </w:rPr>
              <w:t xml:space="preserve"> hipótese de risco.</w:t>
            </w:r>
          </w:p>
        </w:tc>
        <w:tc>
          <w:tcPr>
            <w:tcW w:w="2268" w:type="dxa"/>
            <w:vAlign w:val="center"/>
          </w:tcPr>
          <w:p w:rsidR="00F8090F" w:rsidRPr="00F8090F" w:rsidRDefault="00F8090F">
            <w:pPr>
              <w:spacing w:after="0" w:line="240" w:lineRule="auto"/>
              <w:jc w:val="both"/>
              <w:rPr>
                <w:rFonts w:ascii="Times New Roman" w:hAnsi="Times New Roman"/>
                <w:sz w:val="20"/>
                <w:szCs w:val="20"/>
              </w:rPr>
            </w:pPr>
            <w:r w:rsidRPr="00F8090F">
              <w:rPr>
                <w:rFonts w:ascii="Times New Roman" w:hAnsi="Times New Roman"/>
                <w:sz w:val="20"/>
                <w:szCs w:val="20"/>
              </w:rPr>
              <w:t>Indiferente</w:t>
            </w:r>
          </w:p>
        </w:tc>
      </w:tr>
      <w:tr w:rsidR="00F8090F" w:rsidRPr="00A11B81" w:rsidTr="00B34808">
        <w:tc>
          <w:tcPr>
            <w:tcW w:w="1701" w:type="dxa"/>
            <w:vMerge/>
            <w:vAlign w:val="center"/>
          </w:tcPr>
          <w:p w:rsidR="00F8090F" w:rsidRPr="00A11B81" w:rsidRDefault="00F8090F" w:rsidP="007152FE">
            <w:pPr>
              <w:spacing w:after="0" w:line="240" w:lineRule="auto"/>
              <w:jc w:val="both"/>
              <w:rPr>
                <w:rFonts w:ascii="Times New Roman" w:hAnsi="Times New Roman"/>
                <w:sz w:val="20"/>
                <w:szCs w:val="20"/>
              </w:rPr>
            </w:pPr>
          </w:p>
        </w:tc>
        <w:tc>
          <w:tcPr>
            <w:tcW w:w="4253" w:type="dxa"/>
            <w:vAlign w:val="center"/>
          </w:tcPr>
          <w:p w:rsidR="00F8090F" w:rsidRPr="00F8090F" w:rsidRDefault="00F8090F" w:rsidP="00B34808">
            <w:pPr>
              <w:spacing w:after="0" w:line="240" w:lineRule="auto"/>
              <w:jc w:val="both"/>
              <w:rPr>
                <w:rFonts w:ascii="Times New Roman" w:hAnsi="Times New Roman"/>
                <w:sz w:val="20"/>
                <w:szCs w:val="20"/>
              </w:rPr>
            </w:pPr>
            <w:r w:rsidRPr="00F8090F">
              <w:rPr>
                <w:rFonts w:ascii="Times New Roman" w:hAnsi="Times New Roman"/>
                <w:sz w:val="20"/>
                <w:szCs w:val="20"/>
              </w:rPr>
              <w:t>Risco de contaminação da gasolina aditivada nos dutos devido ao alto poder de solvência do aditivo.</w:t>
            </w:r>
          </w:p>
        </w:tc>
        <w:tc>
          <w:tcPr>
            <w:tcW w:w="3260" w:type="dxa"/>
            <w:vAlign w:val="center"/>
          </w:tcPr>
          <w:p w:rsidR="00F8090F" w:rsidRPr="00F8090F" w:rsidRDefault="00F8090F" w:rsidP="00B34808">
            <w:pPr>
              <w:spacing w:after="0" w:line="240" w:lineRule="auto"/>
              <w:jc w:val="both"/>
              <w:rPr>
                <w:rFonts w:ascii="Times New Roman" w:hAnsi="Times New Roman"/>
                <w:sz w:val="20"/>
                <w:szCs w:val="20"/>
              </w:rPr>
            </w:pPr>
            <w:r w:rsidRPr="00F8090F">
              <w:rPr>
                <w:rFonts w:ascii="Times New Roman" w:hAnsi="Times New Roman"/>
                <w:sz w:val="20"/>
                <w:szCs w:val="20"/>
              </w:rPr>
              <w:t>Risco afastado pela mesma razão exposta para o QAV: a aditivação será realizada no fim da linha, já no ponto de entrega à distribuidora.</w:t>
            </w:r>
          </w:p>
        </w:tc>
        <w:tc>
          <w:tcPr>
            <w:tcW w:w="2835" w:type="dxa"/>
            <w:vAlign w:val="center"/>
          </w:tcPr>
          <w:p w:rsidR="00F8090F" w:rsidRPr="00F8090F" w:rsidRDefault="00F8090F" w:rsidP="00B34808">
            <w:pPr>
              <w:spacing w:after="0" w:line="240" w:lineRule="auto"/>
              <w:jc w:val="both"/>
              <w:rPr>
                <w:rFonts w:ascii="Times New Roman" w:hAnsi="Times New Roman"/>
                <w:sz w:val="20"/>
                <w:szCs w:val="20"/>
              </w:rPr>
            </w:pPr>
            <w:r w:rsidRPr="00F8090F">
              <w:rPr>
                <w:rFonts w:ascii="Times New Roman" w:hAnsi="Times New Roman"/>
                <w:sz w:val="20"/>
                <w:szCs w:val="20"/>
              </w:rPr>
              <w:t>Não há</w:t>
            </w:r>
          </w:p>
        </w:tc>
        <w:tc>
          <w:tcPr>
            <w:tcW w:w="2268" w:type="dxa"/>
            <w:vAlign w:val="center"/>
          </w:tcPr>
          <w:p w:rsidR="00F8090F" w:rsidRPr="00F8090F" w:rsidRDefault="00F8090F">
            <w:pPr>
              <w:spacing w:after="0" w:line="240" w:lineRule="auto"/>
              <w:jc w:val="both"/>
              <w:rPr>
                <w:rFonts w:ascii="Times New Roman" w:hAnsi="Times New Roman"/>
                <w:sz w:val="20"/>
                <w:szCs w:val="20"/>
              </w:rPr>
            </w:pPr>
            <w:r w:rsidRPr="00F8090F">
              <w:rPr>
                <w:rFonts w:ascii="Times New Roman" w:hAnsi="Times New Roman"/>
                <w:sz w:val="20"/>
                <w:szCs w:val="20"/>
              </w:rPr>
              <w:t>Indiferente</w:t>
            </w:r>
          </w:p>
        </w:tc>
      </w:tr>
      <w:tr w:rsidR="00F8090F" w:rsidRPr="00A11B81" w:rsidTr="00B34808">
        <w:tc>
          <w:tcPr>
            <w:tcW w:w="1701" w:type="dxa"/>
            <w:vMerge/>
            <w:vAlign w:val="center"/>
          </w:tcPr>
          <w:p w:rsidR="00F8090F" w:rsidRPr="00A11B81" w:rsidRDefault="00F8090F" w:rsidP="007152FE">
            <w:pPr>
              <w:spacing w:after="0" w:line="240" w:lineRule="auto"/>
              <w:jc w:val="both"/>
              <w:rPr>
                <w:rFonts w:ascii="Times New Roman" w:hAnsi="Times New Roman"/>
                <w:sz w:val="20"/>
                <w:szCs w:val="20"/>
              </w:rPr>
            </w:pPr>
          </w:p>
        </w:tc>
        <w:tc>
          <w:tcPr>
            <w:tcW w:w="4253" w:type="dxa"/>
            <w:vAlign w:val="center"/>
          </w:tcPr>
          <w:p w:rsidR="00F8090F" w:rsidRPr="00F8090F" w:rsidRDefault="00F8090F" w:rsidP="00B34808">
            <w:pPr>
              <w:spacing w:after="0" w:line="240" w:lineRule="auto"/>
              <w:jc w:val="both"/>
              <w:rPr>
                <w:rFonts w:ascii="Times New Roman" w:hAnsi="Times New Roman"/>
                <w:sz w:val="20"/>
                <w:szCs w:val="20"/>
              </w:rPr>
            </w:pPr>
            <w:r w:rsidRPr="00F8090F">
              <w:rPr>
                <w:rFonts w:ascii="Times New Roman" w:hAnsi="Times New Roman"/>
                <w:sz w:val="20"/>
                <w:szCs w:val="20"/>
              </w:rPr>
              <w:t>Risco de interrupção do bombeio de gasolina na montagem do sistema de aditivação.</w:t>
            </w:r>
          </w:p>
        </w:tc>
        <w:tc>
          <w:tcPr>
            <w:tcW w:w="3260" w:type="dxa"/>
            <w:vAlign w:val="center"/>
          </w:tcPr>
          <w:p w:rsidR="00F8090F" w:rsidRPr="00F8090F" w:rsidRDefault="00F8090F" w:rsidP="00B34808">
            <w:pPr>
              <w:spacing w:after="0" w:line="240" w:lineRule="auto"/>
              <w:jc w:val="both"/>
              <w:rPr>
                <w:rFonts w:ascii="Times New Roman" w:hAnsi="Times New Roman"/>
                <w:sz w:val="20"/>
                <w:szCs w:val="20"/>
              </w:rPr>
            </w:pPr>
            <w:r w:rsidRPr="00F8090F">
              <w:rPr>
                <w:rFonts w:ascii="Times New Roman" w:hAnsi="Times New Roman"/>
                <w:sz w:val="20"/>
                <w:szCs w:val="20"/>
              </w:rPr>
              <w:t>O único local onde poderia haver interrupção do bombeio de produtos é nos dutos. Entretanto, tal necessidade depende da tecnologia injetora adotada, dado que existem sistemas de injeção que podem ser implantados sem a interrupção do fluxo.</w:t>
            </w:r>
          </w:p>
        </w:tc>
        <w:tc>
          <w:tcPr>
            <w:tcW w:w="2835" w:type="dxa"/>
            <w:vAlign w:val="center"/>
          </w:tcPr>
          <w:p w:rsidR="00F8090F" w:rsidRPr="00F8090F" w:rsidRDefault="00F8090F" w:rsidP="00B34808">
            <w:pPr>
              <w:spacing w:after="0" w:line="240" w:lineRule="auto"/>
              <w:jc w:val="both"/>
              <w:rPr>
                <w:rFonts w:ascii="Times New Roman" w:hAnsi="Times New Roman"/>
                <w:sz w:val="20"/>
                <w:szCs w:val="20"/>
              </w:rPr>
            </w:pPr>
            <w:r w:rsidRPr="00F8090F">
              <w:rPr>
                <w:rFonts w:ascii="Times New Roman" w:hAnsi="Times New Roman"/>
                <w:sz w:val="20"/>
                <w:szCs w:val="20"/>
              </w:rPr>
              <w:t>Não há</w:t>
            </w:r>
          </w:p>
        </w:tc>
        <w:tc>
          <w:tcPr>
            <w:tcW w:w="2268" w:type="dxa"/>
            <w:vAlign w:val="center"/>
          </w:tcPr>
          <w:p w:rsidR="00F8090F" w:rsidRPr="00F8090F" w:rsidRDefault="00F8090F">
            <w:pPr>
              <w:spacing w:after="0" w:line="240" w:lineRule="auto"/>
              <w:jc w:val="both"/>
              <w:rPr>
                <w:rFonts w:ascii="Times New Roman" w:hAnsi="Times New Roman"/>
                <w:sz w:val="20"/>
                <w:szCs w:val="20"/>
              </w:rPr>
            </w:pPr>
            <w:r w:rsidRPr="00F8090F">
              <w:rPr>
                <w:rFonts w:ascii="Times New Roman" w:hAnsi="Times New Roman"/>
                <w:sz w:val="20"/>
                <w:szCs w:val="20"/>
              </w:rPr>
              <w:t>Indiferente</w:t>
            </w:r>
          </w:p>
        </w:tc>
      </w:tr>
    </w:tbl>
    <w:p w:rsidR="00860176" w:rsidRPr="00CE3398" w:rsidRDefault="00860176" w:rsidP="0002519A">
      <w:pPr>
        <w:spacing w:after="120" w:line="240" w:lineRule="auto"/>
        <w:rPr>
          <w:rFonts w:ascii="Times New Roman" w:hAnsi="Times New Roman"/>
          <w:b/>
          <w:sz w:val="24"/>
          <w:szCs w:val="24"/>
        </w:rPr>
        <w:sectPr w:rsidR="00860176" w:rsidRPr="00CE3398" w:rsidSect="00860176">
          <w:pgSz w:w="16840" w:h="11907" w:orient="landscape" w:code="9"/>
          <w:pgMar w:top="1701" w:right="1134" w:bottom="851" w:left="1134" w:header="680" w:footer="1012" w:gutter="0"/>
          <w:cols w:space="720"/>
          <w:titlePg/>
          <w:docGrid w:linePitch="299"/>
        </w:sectPr>
      </w:pPr>
    </w:p>
    <w:p w:rsidR="0002519A" w:rsidRPr="00CE3398" w:rsidRDefault="0002519A" w:rsidP="0014325C">
      <w:pPr>
        <w:pStyle w:val="PargrafodaLista"/>
        <w:numPr>
          <w:ilvl w:val="0"/>
          <w:numId w:val="4"/>
        </w:numPr>
        <w:spacing w:after="120" w:line="240" w:lineRule="auto"/>
        <w:contextualSpacing w:val="0"/>
        <w:rPr>
          <w:rFonts w:ascii="Times New Roman" w:hAnsi="Times New Roman"/>
          <w:b/>
          <w:sz w:val="24"/>
          <w:szCs w:val="24"/>
        </w:rPr>
      </w:pPr>
      <w:r w:rsidRPr="00CE3398">
        <w:rPr>
          <w:rFonts w:ascii="Times New Roman" w:hAnsi="Times New Roman"/>
          <w:b/>
          <w:sz w:val="24"/>
          <w:szCs w:val="24"/>
        </w:rPr>
        <w:lastRenderedPageBreak/>
        <w:t>CONCLUSÃO</w:t>
      </w:r>
    </w:p>
    <w:p w:rsidR="007F2EEA" w:rsidRPr="00CE3398" w:rsidRDefault="007F2EEA" w:rsidP="00D84F22">
      <w:pPr>
        <w:pStyle w:val="NormalWeb"/>
        <w:spacing w:before="0" w:beforeAutospacing="0" w:after="120" w:afterAutospacing="0" w:line="276" w:lineRule="auto"/>
        <w:ind w:firstLine="708"/>
        <w:jc w:val="both"/>
        <w:rPr>
          <w:lang w:val="pt-PT"/>
        </w:rPr>
      </w:pPr>
      <w:r w:rsidRPr="00CE3398">
        <w:rPr>
          <w:lang w:val="pt-PT"/>
        </w:rPr>
        <w:t>Em vista do apresentado neste Relatório, recomenda-se que o produtor de gasolina A seja definido como o agente econômico responsável pela aditivação mínima da gasolina</w:t>
      </w:r>
      <w:r w:rsidR="00334352" w:rsidRPr="00CE3398">
        <w:rPr>
          <w:lang w:val="pt-PT"/>
        </w:rPr>
        <w:t>, em razão dos seguintes argumentos</w:t>
      </w:r>
      <w:r w:rsidRPr="00CE3398">
        <w:rPr>
          <w:lang w:val="pt-PT"/>
        </w:rPr>
        <w:t>:</w:t>
      </w:r>
      <w:r w:rsidR="00334352" w:rsidRPr="00CE3398">
        <w:rPr>
          <w:lang w:val="pt-PT"/>
        </w:rPr>
        <w:t xml:space="preserve"> </w:t>
      </w:r>
    </w:p>
    <w:p w:rsidR="00BC459D" w:rsidRPr="00CE3398" w:rsidRDefault="000E34F9" w:rsidP="00BC459D">
      <w:pPr>
        <w:pStyle w:val="NormalWeb"/>
        <w:numPr>
          <w:ilvl w:val="0"/>
          <w:numId w:val="26"/>
        </w:numPr>
        <w:spacing w:before="0" w:beforeAutospacing="0" w:after="120" w:afterAutospacing="0" w:line="276" w:lineRule="auto"/>
        <w:jc w:val="both"/>
        <w:rPr>
          <w:lang w:val="pt-PT"/>
        </w:rPr>
      </w:pPr>
      <w:r w:rsidRPr="00CE3398">
        <w:rPr>
          <w:lang w:val="pt-PT"/>
        </w:rPr>
        <w:t xml:space="preserve">As </w:t>
      </w:r>
      <w:r w:rsidR="00D84F22" w:rsidRPr="00CE3398">
        <w:rPr>
          <w:lang w:val="pt-PT"/>
        </w:rPr>
        <w:t>informações fornecidas pelas empresas</w:t>
      </w:r>
      <w:r w:rsidR="00BC459D" w:rsidRPr="00CE3398">
        <w:rPr>
          <w:lang w:val="pt-PT"/>
        </w:rPr>
        <w:t xml:space="preserve"> consultadas</w:t>
      </w:r>
      <w:r w:rsidRPr="00CE3398">
        <w:rPr>
          <w:lang w:val="pt-PT"/>
        </w:rPr>
        <w:t xml:space="preserve"> indicam que </w:t>
      </w:r>
      <w:r w:rsidR="00D84F22" w:rsidRPr="00CE3398">
        <w:rPr>
          <w:lang w:val="pt-PT"/>
        </w:rPr>
        <w:t xml:space="preserve">a aditivação </w:t>
      </w:r>
      <w:r w:rsidRPr="00CE3398">
        <w:rPr>
          <w:lang w:val="pt-PT"/>
        </w:rPr>
        <w:t xml:space="preserve">no </w:t>
      </w:r>
      <w:r w:rsidR="00D84F22" w:rsidRPr="00CE3398">
        <w:rPr>
          <w:lang w:val="pt-PT"/>
        </w:rPr>
        <w:t>produtor</w:t>
      </w:r>
      <w:r w:rsidR="00FC16AA" w:rsidRPr="00CE3398">
        <w:rPr>
          <w:lang w:val="pt-PT"/>
        </w:rPr>
        <w:t xml:space="preserve"> de gasolina A</w:t>
      </w:r>
      <w:r w:rsidR="00D84F22" w:rsidRPr="00CE3398">
        <w:rPr>
          <w:lang w:val="pt-PT"/>
        </w:rPr>
        <w:t xml:space="preserve"> </w:t>
      </w:r>
      <w:r w:rsidR="00362F31" w:rsidRPr="00CE3398">
        <w:rPr>
          <w:lang w:val="pt-PT"/>
        </w:rPr>
        <w:t xml:space="preserve">apresenta </w:t>
      </w:r>
      <w:r w:rsidR="00D84F22" w:rsidRPr="00CE3398">
        <w:rPr>
          <w:lang w:val="pt-PT"/>
        </w:rPr>
        <w:t xml:space="preserve">menores </w:t>
      </w:r>
      <w:r w:rsidR="003D5CE0" w:rsidRPr="00CE3398">
        <w:rPr>
          <w:lang w:val="pt-PT"/>
        </w:rPr>
        <w:t xml:space="preserve">dispêndios </w:t>
      </w:r>
      <w:r w:rsidR="00D84F22" w:rsidRPr="00CE3398">
        <w:rPr>
          <w:lang w:val="pt-PT"/>
        </w:rPr>
        <w:t>agregados para o mercado de combustíveis</w:t>
      </w:r>
      <w:r w:rsidRPr="00CE3398">
        <w:rPr>
          <w:lang w:val="pt-PT"/>
        </w:rPr>
        <w:t>;</w:t>
      </w:r>
      <w:r w:rsidR="007F2EEA" w:rsidRPr="00CE3398">
        <w:rPr>
          <w:lang w:val="pt-PT"/>
        </w:rPr>
        <w:t xml:space="preserve"> </w:t>
      </w:r>
    </w:p>
    <w:p w:rsidR="00BC459D" w:rsidRPr="00CE3398" w:rsidRDefault="00334352" w:rsidP="00BC459D">
      <w:pPr>
        <w:pStyle w:val="NormalWeb"/>
        <w:numPr>
          <w:ilvl w:val="0"/>
          <w:numId w:val="26"/>
        </w:numPr>
        <w:spacing w:before="0" w:beforeAutospacing="0" w:after="120" w:afterAutospacing="0" w:line="276" w:lineRule="auto"/>
        <w:jc w:val="both"/>
        <w:rPr>
          <w:lang w:val="pt-PT"/>
        </w:rPr>
      </w:pPr>
      <w:r w:rsidRPr="00CE3398">
        <w:rPr>
          <w:lang w:val="pt-PT"/>
        </w:rPr>
        <w:t xml:space="preserve">O controle </w:t>
      </w:r>
      <w:r w:rsidR="00FC16AA" w:rsidRPr="00CE3398">
        <w:rPr>
          <w:lang w:val="pt-PT"/>
        </w:rPr>
        <w:t>da ANP sobre o cumprimento da obrigatoriedade de aditivação mínima da gasolina</w:t>
      </w:r>
      <w:r w:rsidR="000E34F9" w:rsidRPr="00CE3398">
        <w:rPr>
          <w:lang w:val="pt-PT"/>
        </w:rPr>
        <w:t xml:space="preserve"> é facilitada n</w:t>
      </w:r>
      <w:r w:rsidR="00FC16AA" w:rsidRPr="00CE3398">
        <w:rPr>
          <w:lang w:val="pt-PT"/>
        </w:rPr>
        <w:t xml:space="preserve">a hipótese </w:t>
      </w:r>
      <w:r w:rsidR="000E34F9" w:rsidRPr="00CE3398">
        <w:rPr>
          <w:lang w:val="pt-PT"/>
        </w:rPr>
        <w:t xml:space="preserve">de aditivação no produtor. </w:t>
      </w:r>
    </w:p>
    <w:p w:rsidR="006459DC" w:rsidRDefault="006459DC" w:rsidP="00334352">
      <w:pPr>
        <w:pStyle w:val="NormalWeb"/>
        <w:spacing w:before="0" w:beforeAutospacing="0" w:after="120" w:afterAutospacing="0" w:line="276" w:lineRule="auto"/>
        <w:ind w:firstLine="708"/>
        <w:jc w:val="both"/>
        <w:rPr>
          <w:lang w:val="pt-PT"/>
        </w:rPr>
      </w:pPr>
      <w:r w:rsidRPr="00CE3398">
        <w:rPr>
          <w:lang w:val="pt-PT"/>
        </w:rPr>
        <w:t>Foram afastad</w:t>
      </w:r>
      <w:r w:rsidR="00E32CC2">
        <w:rPr>
          <w:lang w:val="pt-PT"/>
        </w:rPr>
        <w:t>a</w:t>
      </w:r>
      <w:r w:rsidRPr="00CE3398">
        <w:rPr>
          <w:lang w:val="pt-PT"/>
        </w:rPr>
        <w:t>s a</w:t>
      </w:r>
      <w:r w:rsidR="00E32CC2">
        <w:rPr>
          <w:lang w:val="pt-PT"/>
        </w:rPr>
        <w:t>s</w:t>
      </w:r>
      <w:r w:rsidRPr="00CE3398">
        <w:rPr>
          <w:lang w:val="pt-PT"/>
        </w:rPr>
        <w:t xml:space="preserve"> possibilidade</w:t>
      </w:r>
      <w:r w:rsidR="00E32CC2">
        <w:rPr>
          <w:lang w:val="pt-PT"/>
        </w:rPr>
        <w:t>s</w:t>
      </w:r>
      <w:r w:rsidRPr="00CE3398">
        <w:rPr>
          <w:lang w:val="pt-PT"/>
        </w:rPr>
        <w:t xml:space="preserve"> de possível prejuízo ao ambiente concorrencial no atual mercado de combustíveis, nos termos da Nota Técnica nº 009/CDC</w:t>
      </w:r>
      <w:r>
        <w:rPr>
          <w:lang w:val="pt-PT"/>
        </w:rPr>
        <w:t xml:space="preserve"> e </w:t>
      </w:r>
      <w:r w:rsidR="007C7CAF" w:rsidRPr="00CE3398">
        <w:rPr>
          <w:lang w:val="pt-PT"/>
        </w:rPr>
        <w:t xml:space="preserve">de emulsificação da gasolina </w:t>
      </w:r>
      <w:r w:rsidR="007C7CAF">
        <w:rPr>
          <w:lang w:val="pt-PT"/>
        </w:rPr>
        <w:t>com detergentes dispersantes, na</w:t>
      </w:r>
      <w:r w:rsidRPr="00CE3398">
        <w:rPr>
          <w:lang w:val="pt-PT"/>
        </w:rPr>
        <w:t xml:space="preserve"> hipótese</w:t>
      </w:r>
      <w:r>
        <w:rPr>
          <w:lang w:val="pt-PT"/>
        </w:rPr>
        <w:t xml:space="preserve">  </w:t>
      </w:r>
      <w:r w:rsidR="007C7CAF">
        <w:rPr>
          <w:lang w:val="pt-PT"/>
        </w:rPr>
        <w:t>de a aditivação</w:t>
      </w:r>
      <w:r w:rsidRPr="00CE3398">
        <w:rPr>
          <w:lang w:val="pt-PT"/>
        </w:rPr>
        <w:t xml:space="preserve"> ocorrer no produtor de gasolina A, de acordo com a Nota Técnica n.º 16/2013/101/CPT</w:t>
      </w:r>
      <w:r w:rsidR="007C7CAF">
        <w:rPr>
          <w:lang w:val="pt-PT"/>
        </w:rPr>
        <w:t>. Adicionalmente, será exigido do produtor e importador de aditivos que o detergente dispersante não altere a separação gasolina água.</w:t>
      </w:r>
      <w:r w:rsidRPr="00CE3398">
        <w:rPr>
          <w:lang w:val="pt-PT"/>
        </w:rPr>
        <w:t xml:space="preserve"> </w:t>
      </w:r>
    </w:p>
    <w:p w:rsidR="00354A4B" w:rsidRDefault="006459DC" w:rsidP="00334352">
      <w:pPr>
        <w:pStyle w:val="NormalWeb"/>
        <w:spacing w:before="0" w:beforeAutospacing="0" w:after="120" w:afterAutospacing="0" w:line="276" w:lineRule="auto"/>
        <w:ind w:firstLine="708"/>
        <w:jc w:val="both"/>
        <w:rPr>
          <w:lang w:val="pt-PT"/>
        </w:rPr>
      </w:pPr>
      <w:r>
        <w:rPr>
          <w:lang w:val="pt-PT"/>
        </w:rPr>
        <w:t>Por fim, no que concerne</w:t>
      </w:r>
      <w:r w:rsidR="00354A4B">
        <w:rPr>
          <w:lang w:val="pt-PT"/>
        </w:rPr>
        <w:t xml:space="preserve"> a gasolina importada, entende-se </w:t>
      </w:r>
      <w:r w:rsidR="00C12B76">
        <w:rPr>
          <w:lang w:val="pt-PT"/>
        </w:rPr>
        <w:t>que independente do responsável pela adição do detergente dispersante na gasolina produzida no país, o importador deverá fazê-lo na internação do produto. Assim, as regras quanto a essa disposição ser</w:t>
      </w:r>
      <w:r w:rsidR="00E32CC2">
        <w:rPr>
          <w:lang w:val="pt-PT"/>
        </w:rPr>
        <w:t>ão</w:t>
      </w:r>
      <w:r w:rsidR="00C12B76">
        <w:rPr>
          <w:lang w:val="pt-PT"/>
        </w:rPr>
        <w:t xml:space="preserve"> apresentada</w:t>
      </w:r>
      <w:r w:rsidR="00E32CC2">
        <w:rPr>
          <w:lang w:val="pt-PT"/>
        </w:rPr>
        <w:t>s</w:t>
      </w:r>
      <w:r w:rsidR="00C12B76">
        <w:rPr>
          <w:lang w:val="pt-PT"/>
        </w:rPr>
        <w:t xml:space="preserve"> na minuta de revisão da Resolução ANP nº 38, de 10 de dezembro de 2009.</w:t>
      </w:r>
    </w:p>
    <w:p w:rsidR="00BC459D" w:rsidRPr="00CE3398" w:rsidRDefault="00BC459D" w:rsidP="004003A4">
      <w:pPr>
        <w:pStyle w:val="PargrafodaLista"/>
        <w:rPr>
          <w:rFonts w:ascii="Times New Roman" w:hAnsi="Times New Roman"/>
          <w:b/>
          <w:sz w:val="24"/>
          <w:szCs w:val="24"/>
        </w:rPr>
      </w:pPr>
    </w:p>
    <w:p w:rsidR="00902A88" w:rsidRPr="00CE3398" w:rsidRDefault="0002519A" w:rsidP="0037622D">
      <w:pPr>
        <w:pStyle w:val="PargrafodaLista"/>
        <w:numPr>
          <w:ilvl w:val="0"/>
          <w:numId w:val="4"/>
        </w:numPr>
        <w:spacing w:after="120" w:line="240" w:lineRule="auto"/>
        <w:contextualSpacing w:val="0"/>
        <w:rPr>
          <w:rFonts w:ascii="Times New Roman" w:hAnsi="Times New Roman"/>
          <w:b/>
          <w:sz w:val="24"/>
          <w:szCs w:val="24"/>
        </w:rPr>
      </w:pPr>
      <w:r w:rsidRPr="00CE3398">
        <w:rPr>
          <w:rFonts w:ascii="Times New Roman" w:hAnsi="Times New Roman"/>
          <w:b/>
          <w:sz w:val="24"/>
          <w:szCs w:val="24"/>
        </w:rPr>
        <w:t>IMPLANTAÇÃO E MONITORAMENTO</w:t>
      </w:r>
    </w:p>
    <w:p w:rsidR="00E52757" w:rsidRPr="00CE3398" w:rsidRDefault="000410F6" w:rsidP="00E52757">
      <w:pPr>
        <w:pStyle w:val="NormalWeb"/>
        <w:spacing w:before="0" w:beforeAutospacing="0" w:after="120" w:afterAutospacing="0" w:line="276" w:lineRule="auto"/>
        <w:ind w:firstLine="708"/>
        <w:jc w:val="both"/>
        <w:rPr>
          <w:lang w:val="pt-PT"/>
        </w:rPr>
      </w:pPr>
      <w:r w:rsidRPr="00CE3398">
        <w:rPr>
          <w:lang w:val="pt-PT"/>
        </w:rPr>
        <w:t xml:space="preserve">A implantação </w:t>
      </w:r>
      <w:r w:rsidR="000E4E9B" w:rsidRPr="00CE3398">
        <w:rPr>
          <w:lang w:val="pt-PT"/>
        </w:rPr>
        <w:t xml:space="preserve">da adição do aditivo detergente dispersante será regulamentada pela ANP </w:t>
      </w:r>
      <w:r w:rsidR="00A46370" w:rsidRPr="00CE3398">
        <w:rPr>
          <w:lang w:val="pt-PT"/>
        </w:rPr>
        <w:t xml:space="preserve">mediante publicação de </w:t>
      </w:r>
      <w:r w:rsidR="000E4E9B" w:rsidRPr="00CE3398">
        <w:rPr>
          <w:lang w:val="pt-PT"/>
        </w:rPr>
        <w:t>Resolução</w:t>
      </w:r>
      <w:r w:rsidR="00A46370" w:rsidRPr="00CE3398">
        <w:rPr>
          <w:lang w:val="pt-PT"/>
        </w:rPr>
        <w:t xml:space="preserve"> estabelecendo</w:t>
      </w:r>
      <w:r w:rsidR="000E4E9B" w:rsidRPr="00CE3398">
        <w:rPr>
          <w:lang w:val="pt-PT"/>
        </w:rPr>
        <w:t xml:space="preserve"> o agente</w:t>
      </w:r>
      <w:r w:rsidR="00A46370" w:rsidRPr="00CE3398">
        <w:rPr>
          <w:lang w:val="pt-PT"/>
        </w:rPr>
        <w:t xml:space="preserve"> </w:t>
      </w:r>
      <w:r w:rsidR="001F37A5" w:rsidRPr="00CE3398">
        <w:rPr>
          <w:lang w:val="pt-PT"/>
        </w:rPr>
        <w:t>econômico</w:t>
      </w:r>
      <w:r w:rsidR="00A46370" w:rsidRPr="00CE3398">
        <w:rPr>
          <w:lang w:val="pt-PT"/>
        </w:rPr>
        <w:t xml:space="preserve"> </w:t>
      </w:r>
      <w:r w:rsidR="000E4E9B" w:rsidRPr="00CE3398">
        <w:rPr>
          <w:lang w:val="pt-PT"/>
        </w:rPr>
        <w:t>responsáve</w:t>
      </w:r>
      <w:r w:rsidR="00A46370" w:rsidRPr="00CE3398">
        <w:rPr>
          <w:lang w:val="pt-PT"/>
        </w:rPr>
        <w:t>l</w:t>
      </w:r>
      <w:r w:rsidR="000E4E9B" w:rsidRPr="00CE3398">
        <w:rPr>
          <w:lang w:val="pt-PT"/>
        </w:rPr>
        <w:t xml:space="preserve"> pela </w:t>
      </w:r>
      <w:r w:rsidR="00A46370" w:rsidRPr="00CE3398">
        <w:rPr>
          <w:lang w:val="pt-PT"/>
        </w:rPr>
        <w:t>aditivação</w:t>
      </w:r>
      <w:r w:rsidR="000E4E9B" w:rsidRPr="00CE3398">
        <w:rPr>
          <w:lang w:val="pt-PT"/>
        </w:rPr>
        <w:t xml:space="preserve"> e as demais regras referentes à </w:t>
      </w:r>
      <w:r w:rsidR="00A46370" w:rsidRPr="00CE3398">
        <w:rPr>
          <w:lang w:val="pt-PT"/>
        </w:rPr>
        <w:t xml:space="preserve">sua </w:t>
      </w:r>
      <w:r w:rsidR="000E4E9B" w:rsidRPr="00CE3398">
        <w:rPr>
          <w:lang w:val="pt-PT"/>
        </w:rPr>
        <w:t>operacionalização</w:t>
      </w:r>
      <w:r w:rsidR="00E52757" w:rsidRPr="00CE3398">
        <w:rPr>
          <w:lang w:val="pt-PT"/>
        </w:rPr>
        <w:t xml:space="preserve">, além da definição do nível máximo de depósito </w:t>
      </w:r>
      <w:r w:rsidR="00D444A6" w:rsidRPr="00CE3398">
        <w:rPr>
          <w:lang w:val="pt-PT"/>
        </w:rPr>
        <w:t xml:space="preserve">nas válvulas de admissão </w:t>
      </w:r>
      <w:r w:rsidR="00E52757" w:rsidRPr="00CE3398">
        <w:rPr>
          <w:lang w:val="pt-PT"/>
        </w:rPr>
        <w:t>com o uso do aditivo</w:t>
      </w:r>
      <w:r w:rsidR="00640C1E" w:rsidRPr="00CE3398">
        <w:rPr>
          <w:lang w:val="pt-PT"/>
        </w:rPr>
        <w:t xml:space="preserve">, de acordo com metodologia </w:t>
      </w:r>
      <w:r w:rsidR="00AB1ED5" w:rsidRPr="00CE3398">
        <w:rPr>
          <w:lang w:val="pt-PT"/>
        </w:rPr>
        <w:t>também definida por meio do referido regulamento</w:t>
      </w:r>
      <w:r w:rsidR="00E52757" w:rsidRPr="00CE3398">
        <w:rPr>
          <w:lang w:val="pt-PT"/>
        </w:rPr>
        <w:t xml:space="preserve">. </w:t>
      </w:r>
      <w:r w:rsidR="007D6404" w:rsidRPr="00CE3398">
        <w:rPr>
          <w:lang w:val="pt-PT"/>
        </w:rPr>
        <w:t>Por meio dessa</w:t>
      </w:r>
      <w:r w:rsidR="003B09E8" w:rsidRPr="00CE3398">
        <w:rPr>
          <w:lang w:val="pt-PT"/>
        </w:rPr>
        <w:t xml:space="preserve"> Resolução, também será regulamentada a hipótese de aquisição </w:t>
      </w:r>
      <w:r w:rsidR="00D444A6" w:rsidRPr="00CE3398">
        <w:rPr>
          <w:lang w:val="pt-PT"/>
        </w:rPr>
        <w:t xml:space="preserve">pelo distribuidor </w:t>
      </w:r>
      <w:r w:rsidR="003B09E8" w:rsidRPr="00CE3398">
        <w:rPr>
          <w:lang w:val="pt-PT"/>
        </w:rPr>
        <w:t>de gasolina A importada</w:t>
      </w:r>
      <w:r w:rsidR="00D444A6" w:rsidRPr="00CE3398">
        <w:rPr>
          <w:lang w:val="pt-PT"/>
        </w:rPr>
        <w:t xml:space="preserve"> pelo agente autorizado pela ANP para o exercício da atividade de importação.</w:t>
      </w:r>
    </w:p>
    <w:p w:rsidR="0072557A" w:rsidRPr="00CE3398" w:rsidRDefault="000E4E9B" w:rsidP="0072557A">
      <w:pPr>
        <w:pStyle w:val="NormalWeb"/>
        <w:spacing w:before="0" w:beforeAutospacing="0" w:after="120" w:afterAutospacing="0" w:line="276" w:lineRule="auto"/>
        <w:ind w:firstLine="708"/>
        <w:jc w:val="both"/>
        <w:rPr>
          <w:lang w:val="pt-PT"/>
        </w:rPr>
      </w:pPr>
      <w:r w:rsidRPr="00CE3398">
        <w:rPr>
          <w:lang w:val="pt-PT"/>
        </w:rPr>
        <w:t>Em relação ao aditivo detergente dispersante, está em andamento na A</w:t>
      </w:r>
      <w:r w:rsidR="00172C94" w:rsidRPr="00CE3398">
        <w:rPr>
          <w:lang w:val="pt-PT"/>
        </w:rPr>
        <w:t>gência</w:t>
      </w:r>
      <w:r w:rsidRPr="00CE3398">
        <w:rPr>
          <w:lang w:val="pt-PT"/>
        </w:rPr>
        <w:t xml:space="preserve"> a revisão da Portaria ANP nº 41</w:t>
      </w:r>
      <w:r w:rsidR="00EC39D6" w:rsidRPr="00CE3398">
        <w:rPr>
          <w:lang w:val="pt-PT"/>
        </w:rPr>
        <w:t xml:space="preserve">, de 12 de março de </w:t>
      </w:r>
      <w:r w:rsidRPr="00CE3398">
        <w:rPr>
          <w:lang w:val="pt-PT"/>
        </w:rPr>
        <w:t xml:space="preserve">1999, com vistas à introdução dos requisitos necessários para o registro do aditivo junto à ANP. Dentre esses requisitos, o requerente do registro deverá comprovar, mediante a realização de </w:t>
      </w:r>
      <w:r w:rsidR="00703F4A" w:rsidRPr="00CE3398">
        <w:rPr>
          <w:lang w:val="pt-PT"/>
        </w:rPr>
        <w:t>ensaios</w:t>
      </w:r>
      <w:r w:rsidRPr="00CE3398">
        <w:rPr>
          <w:lang w:val="pt-PT"/>
        </w:rPr>
        <w:t xml:space="preserve"> em amostras de gasolina com e sem o aditivo, o desempenho do produto no controle da formação de depósitos.</w:t>
      </w:r>
      <w:r w:rsidR="00703F4A" w:rsidRPr="00CE3398">
        <w:rPr>
          <w:lang w:val="pt-PT"/>
        </w:rPr>
        <w:t xml:space="preserve"> Esses ensaios deverão ser </w:t>
      </w:r>
      <w:r w:rsidR="00031337" w:rsidRPr="00CE3398">
        <w:rPr>
          <w:lang w:val="pt-PT"/>
        </w:rPr>
        <w:t>feitos</w:t>
      </w:r>
      <w:r w:rsidR="00703F4A" w:rsidRPr="00CE3398">
        <w:rPr>
          <w:lang w:val="pt-PT"/>
        </w:rPr>
        <w:t xml:space="preserve"> de acordo com a norma ABNT NBR 16038:2012 - Combustíveis - Medição de depósitos em válvulas de admissão em motor com ignição por centelhas, elaborada por um Grupo de Trabalho coordenado pela ANP e integrado por representantes da indústria de combustíveis, de aditivos e de veículos automotores, além de diversos centros de pesquisa. </w:t>
      </w:r>
      <w:r w:rsidRPr="00CE3398">
        <w:rPr>
          <w:lang w:val="pt-PT"/>
        </w:rPr>
        <w:t xml:space="preserve"> </w:t>
      </w:r>
    </w:p>
    <w:p w:rsidR="0072557A" w:rsidRPr="00CE3398" w:rsidRDefault="00202483" w:rsidP="0072557A">
      <w:pPr>
        <w:pStyle w:val="NormalWeb"/>
        <w:spacing w:before="0" w:beforeAutospacing="0" w:after="120" w:afterAutospacing="0" w:line="276" w:lineRule="auto"/>
        <w:ind w:firstLine="708"/>
        <w:jc w:val="both"/>
        <w:rPr>
          <w:lang w:val="pt-PT"/>
        </w:rPr>
      </w:pPr>
      <w:r w:rsidRPr="00CE3398">
        <w:rPr>
          <w:lang w:val="pt-PT"/>
        </w:rPr>
        <w:t>Inicialmente</w:t>
      </w:r>
      <w:r w:rsidR="00FC3417" w:rsidRPr="00CE3398">
        <w:rPr>
          <w:lang w:val="pt-PT"/>
        </w:rPr>
        <w:t xml:space="preserve">, a Agência </w:t>
      </w:r>
      <w:r w:rsidR="00703F4A" w:rsidRPr="00CE3398">
        <w:rPr>
          <w:lang w:val="pt-PT"/>
        </w:rPr>
        <w:t xml:space="preserve">irá </w:t>
      </w:r>
      <w:r w:rsidR="00FC3417" w:rsidRPr="00CE3398">
        <w:rPr>
          <w:lang w:val="pt-PT"/>
        </w:rPr>
        <w:t xml:space="preserve">monitorar </w:t>
      </w:r>
      <w:r w:rsidRPr="00CE3398">
        <w:rPr>
          <w:lang w:val="pt-PT"/>
        </w:rPr>
        <w:t>a aditivação mínima obrigatória</w:t>
      </w:r>
      <w:r w:rsidR="00FC3417" w:rsidRPr="00CE3398">
        <w:rPr>
          <w:lang w:val="pt-PT"/>
        </w:rPr>
        <w:t xml:space="preserve"> mediante balanço de massa feito a partir das informações transmitidas pelos agentes a respeito</w:t>
      </w:r>
      <w:r w:rsidR="00985013" w:rsidRPr="00CE3398">
        <w:rPr>
          <w:lang w:val="pt-PT"/>
        </w:rPr>
        <w:t xml:space="preserve"> dos volumes de gasolina A produzida e de aditivo comercializado. Essas informações, </w:t>
      </w:r>
      <w:r w:rsidR="00703F4A" w:rsidRPr="00CE3398">
        <w:rPr>
          <w:lang w:val="pt-PT"/>
        </w:rPr>
        <w:t xml:space="preserve">enviadas </w:t>
      </w:r>
      <w:r w:rsidR="00985013" w:rsidRPr="00CE3398">
        <w:rPr>
          <w:lang w:val="pt-PT"/>
        </w:rPr>
        <w:t xml:space="preserve">pelos produtores de gasolina e de aditivo, respectivamente, serão encaminhadas mensalmente à ANP por meio do Sistema de </w:t>
      </w:r>
      <w:r w:rsidR="00985013" w:rsidRPr="00CE3398">
        <w:rPr>
          <w:lang w:val="pt-PT"/>
        </w:rPr>
        <w:lastRenderedPageBreak/>
        <w:t xml:space="preserve">Informação de Movimentação de Produtos (SIMP), já operado pela ANP para controle de movimentação dos produtos regulados. </w:t>
      </w:r>
    </w:p>
    <w:p w:rsidR="0072557A" w:rsidRPr="00CE3398" w:rsidRDefault="00985013" w:rsidP="0072557A">
      <w:pPr>
        <w:pStyle w:val="NormalWeb"/>
        <w:spacing w:before="0" w:beforeAutospacing="0" w:after="120" w:afterAutospacing="0" w:line="276" w:lineRule="auto"/>
        <w:ind w:firstLine="708"/>
        <w:jc w:val="both"/>
        <w:rPr>
          <w:lang w:val="pt-PT"/>
        </w:rPr>
      </w:pPr>
      <w:r w:rsidRPr="00CE3398">
        <w:rPr>
          <w:lang w:val="pt-PT"/>
        </w:rPr>
        <w:t xml:space="preserve">Para a nova atividade, deverão ser incluídos na Tabela de Código de Produtos do SIMP todos os aditivos detergente dispersante registrados na ANP. Além disso, o Núcleo de Informática da ANP </w:t>
      </w:r>
      <w:r w:rsidR="00EC7464" w:rsidRPr="00CE3398">
        <w:rPr>
          <w:lang w:val="pt-PT"/>
        </w:rPr>
        <w:t xml:space="preserve">(NIN/ANP) </w:t>
      </w:r>
      <w:r w:rsidRPr="00CE3398">
        <w:rPr>
          <w:lang w:val="pt-PT"/>
        </w:rPr>
        <w:t xml:space="preserve">desenvolverá um relatório </w:t>
      </w:r>
      <w:r w:rsidR="00EC7464" w:rsidRPr="00CE3398">
        <w:rPr>
          <w:lang w:val="pt-PT"/>
        </w:rPr>
        <w:t xml:space="preserve">para </w:t>
      </w:r>
      <w:r w:rsidRPr="00CE3398">
        <w:rPr>
          <w:lang w:val="pt-PT"/>
        </w:rPr>
        <w:t>calcul</w:t>
      </w:r>
      <w:r w:rsidR="00EC7464" w:rsidRPr="00CE3398">
        <w:rPr>
          <w:lang w:val="pt-PT"/>
        </w:rPr>
        <w:t>ar</w:t>
      </w:r>
      <w:r w:rsidRPr="00CE3398">
        <w:rPr>
          <w:lang w:val="pt-PT"/>
        </w:rPr>
        <w:t xml:space="preserve"> automaticamente o balanço de massa, considerando a periodicidade determinada</w:t>
      </w:r>
      <w:r w:rsidR="00EC7464" w:rsidRPr="00CE3398">
        <w:rPr>
          <w:lang w:val="pt-PT"/>
        </w:rPr>
        <w:t xml:space="preserve"> pelo usuário</w:t>
      </w:r>
      <w:r w:rsidRPr="00CE3398">
        <w:rPr>
          <w:lang w:val="pt-PT"/>
        </w:rPr>
        <w:t xml:space="preserve">. </w:t>
      </w:r>
    </w:p>
    <w:p w:rsidR="00B57D50" w:rsidRPr="00CE3398" w:rsidRDefault="00B57D50" w:rsidP="00B57D50">
      <w:pPr>
        <w:pStyle w:val="NormalWeb"/>
        <w:spacing w:before="0" w:beforeAutospacing="0" w:after="120" w:afterAutospacing="0" w:line="276" w:lineRule="auto"/>
        <w:ind w:firstLine="708"/>
        <w:jc w:val="both"/>
      </w:pPr>
      <w:r w:rsidRPr="00CE3398">
        <w:rPr>
          <w:lang w:val="pt-PT"/>
        </w:rPr>
        <w:t xml:space="preserve">É importante destacar que </w:t>
      </w:r>
      <w:r w:rsidRPr="00CE3398">
        <w:t>está em desenvolvimento a metodologia para identificação da presença do aditivo detergente dispersante na gasolina, de forma a garantir o desempenho mínimo obrigatório, e que</w:t>
      </w:r>
      <w:r w:rsidR="0018238F" w:rsidRPr="00CE3398">
        <w:t>,</w:t>
      </w:r>
      <w:r w:rsidRPr="00CE3398">
        <w:t xml:space="preserve"> uma vez normatizada a metodologia, o monitoramento também poderá ser realizado no âmbito do Programa de Monitoramento da Qualidade de Combustíveis </w:t>
      </w:r>
      <w:r w:rsidR="00EC7464" w:rsidRPr="00CE3398">
        <w:t xml:space="preserve">– PMQC, </w:t>
      </w:r>
      <w:r w:rsidRPr="00CE3398">
        <w:t xml:space="preserve">executado pela </w:t>
      </w:r>
      <w:r w:rsidR="00EC7464" w:rsidRPr="00CE3398">
        <w:t>SBQ/</w:t>
      </w:r>
      <w:r w:rsidRPr="00CE3398">
        <w:t xml:space="preserve">ANP. </w:t>
      </w:r>
    </w:p>
    <w:p w:rsidR="0072557A" w:rsidRPr="00CE3398" w:rsidRDefault="00B57D50" w:rsidP="0072557A">
      <w:pPr>
        <w:pStyle w:val="NormalWeb"/>
        <w:spacing w:before="0" w:beforeAutospacing="0" w:after="120" w:afterAutospacing="0" w:line="276" w:lineRule="auto"/>
        <w:ind w:firstLine="708"/>
        <w:jc w:val="both"/>
        <w:rPr>
          <w:lang w:val="pt-PT"/>
        </w:rPr>
      </w:pPr>
      <w:r w:rsidRPr="00CE3398">
        <w:rPr>
          <w:lang w:val="pt-PT"/>
        </w:rPr>
        <w:t xml:space="preserve">O </w:t>
      </w:r>
      <w:r w:rsidR="0021601C" w:rsidRPr="00CE3398">
        <w:rPr>
          <w:lang w:val="pt-PT"/>
        </w:rPr>
        <w:t>PMQC</w:t>
      </w:r>
      <w:r w:rsidRPr="00CE3398">
        <w:rPr>
          <w:lang w:val="pt-PT"/>
        </w:rPr>
        <w:t xml:space="preserve"> tem como objetivos o </w:t>
      </w:r>
      <w:r w:rsidR="0072557A" w:rsidRPr="00CE3398">
        <w:rPr>
          <w:lang w:val="pt-PT"/>
        </w:rPr>
        <w:t>levantamento dos indicadores gerais da qualidade dos combustíveis automotivos comercializados no País, bem como a identificação de focos de não conformidade, visando orientar e apoiar as ações de fiscalização realizadas pela ANP ou por órgãos conveniados.</w:t>
      </w:r>
    </w:p>
    <w:p w:rsidR="0072557A" w:rsidRPr="00CE3398" w:rsidRDefault="00B57D50" w:rsidP="0072557A">
      <w:pPr>
        <w:pStyle w:val="NormalWeb"/>
        <w:spacing w:before="0" w:beforeAutospacing="0" w:after="120" w:afterAutospacing="0" w:line="276" w:lineRule="auto"/>
        <w:ind w:firstLine="708"/>
        <w:jc w:val="both"/>
      </w:pPr>
      <w:r w:rsidRPr="00CE3398">
        <w:t>M</w:t>
      </w:r>
      <w:r w:rsidR="0021601C" w:rsidRPr="00CE3398">
        <w:t>ensalmente</w:t>
      </w:r>
      <w:r w:rsidR="001D7520" w:rsidRPr="00CE3398">
        <w:t>,</w:t>
      </w:r>
      <w:r w:rsidR="0021601C" w:rsidRPr="00CE3398">
        <w:t xml:space="preserve"> </w:t>
      </w:r>
      <w:r w:rsidRPr="00CE3398">
        <w:t xml:space="preserve">são coletadas </w:t>
      </w:r>
      <w:r w:rsidR="0021601C" w:rsidRPr="00CE3398">
        <w:t>mais de 20 mil amostras de gasolina, etanol hidratado combustível e óleo diesel em postos</w:t>
      </w:r>
      <w:r w:rsidR="0018238F" w:rsidRPr="00CE3398">
        <w:t xml:space="preserve"> revendedores</w:t>
      </w:r>
      <w:r w:rsidR="0021601C" w:rsidRPr="00CE3398">
        <w:t xml:space="preserve">. As amostras são analisadas em relação a diversos parâmetros técnicos no Centro de Pesquisas e Análises Tecnológicas </w:t>
      </w:r>
      <w:r w:rsidR="001F60AA" w:rsidRPr="00CE3398">
        <w:t xml:space="preserve">(CPT) </w:t>
      </w:r>
      <w:r w:rsidR="0021601C" w:rsidRPr="00CE3398">
        <w:t>da ANP</w:t>
      </w:r>
      <w:r w:rsidR="001F60AA" w:rsidRPr="00CE3398">
        <w:t xml:space="preserve"> </w:t>
      </w:r>
      <w:r w:rsidR="0021601C" w:rsidRPr="00CE3398">
        <w:t xml:space="preserve">e nos 22 laboratórios de instituições de ensino e pesquisa contratados pela ANP e distribuídos por todo o território brasileiro. </w:t>
      </w:r>
    </w:p>
    <w:p w:rsidR="0072557A" w:rsidRPr="00CE3398" w:rsidRDefault="00202483" w:rsidP="0072557A">
      <w:pPr>
        <w:pStyle w:val="NormalWeb"/>
        <w:spacing w:before="0" w:beforeAutospacing="0" w:after="120" w:afterAutospacing="0" w:line="276" w:lineRule="auto"/>
        <w:ind w:firstLine="708"/>
        <w:jc w:val="both"/>
      </w:pPr>
      <w:r w:rsidRPr="00CE3398">
        <w:t>E</w:t>
      </w:r>
      <w:r w:rsidR="00B57D50" w:rsidRPr="00CE3398">
        <w:t xml:space="preserve">m uma etapa inicial, a metodologia será implantada apenas no CPT, </w:t>
      </w:r>
      <w:r w:rsidR="006925BB" w:rsidRPr="00CE3398">
        <w:t>em função d</w:t>
      </w:r>
      <w:r w:rsidR="00B57D50" w:rsidRPr="00CE3398">
        <w:t xml:space="preserve">os custos envolvidos e </w:t>
      </w:r>
      <w:r w:rsidR="006925BB" w:rsidRPr="00CE3398">
        <w:t>d</w:t>
      </w:r>
      <w:r w:rsidR="00B57D50" w:rsidRPr="00CE3398">
        <w:t xml:space="preserve">o reflexo desses </w:t>
      </w:r>
      <w:r w:rsidR="006925BB" w:rsidRPr="00CE3398">
        <w:t>gastos</w:t>
      </w:r>
      <w:r w:rsidR="00B57D50" w:rsidRPr="00CE3398">
        <w:t xml:space="preserve"> nos contratos firmados pela ANP com as instituições de ensino. Ademais, como se trata de uma metodologia nova, a ANP pretende consolidar os resultados iniciais obtidos no CPT</w:t>
      </w:r>
      <w:r w:rsidR="001F60AA" w:rsidRPr="00CE3398">
        <w:t xml:space="preserve"> </w:t>
      </w:r>
      <w:r w:rsidR="00B57D50" w:rsidRPr="00CE3398">
        <w:t xml:space="preserve">para então </w:t>
      </w:r>
      <w:r w:rsidR="006925BB" w:rsidRPr="00CE3398">
        <w:t>ampliar</w:t>
      </w:r>
      <w:r w:rsidR="00B57D50" w:rsidRPr="00CE3398">
        <w:t xml:space="preserve"> a implantação da metodologia aos </w:t>
      </w:r>
      <w:r w:rsidR="00D94DDA" w:rsidRPr="00CE3398">
        <w:t xml:space="preserve">laboratórios contratados. </w:t>
      </w:r>
      <w:r w:rsidR="00B57D50" w:rsidRPr="00CE3398">
        <w:t xml:space="preserve"> </w:t>
      </w:r>
    </w:p>
    <w:p w:rsidR="0072557A" w:rsidRPr="00CE3398" w:rsidRDefault="00D94DDA" w:rsidP="0072557A">
      <w:pPr>
        <w:pStyle w:val="NormalWeb"/>
        <w:spacing w:before="0" w:beforeAutospacing="0" w:after="120" w:afterAutospacing="0" w:line="276" w:lineRule="auto"/>
        <w:ind w:firstLine="708"/>
        <w:jc w:val="both"/>
        <w:rPr>
          <w:lang w:val="pt-PT"/>
        </w:rPr>
      </w:pPr>
      <w:r w:rsidRPr="00CE3398">
        <w:t xml:space="preserve">A partir da definição da metodologia, o controle do cumprimento da aditivação mínima obrigatória também será realizado </w:t>
      </w:r>
      <w:r w:rsidR="00AB2904" w:rsidRPr="00CE3398">
        <w:t xml:space="preserve">rotineiramente </w:t>
      </w:r>
      <w:r w:rsidRPr="00CE3398">
        <w:t xml:space="preserve">pela ANP em suas ações de fiscalização, </w:t>
      </w:r>
      <w:r w:rsidR="001F60AA" w:rsidRPr="00CE3398">
        <w:t>sendo previsto,</w:t>
      </w:r>
      <w:r w:rsidR="0072557A" w:rsidRPr="00CE3398">
        <w:rPr>
          <w:lang w:val="pt-PT"/>
        </w:rPr>
        <w:t xml:space="preserve"> </w:t>
      </w:r>
      <w:r w:rsidRPr="00CE3398">
        <w:rPr>
          <w:lang w:val="pt-PT"/>
        </w:rPr>
        <w:t>durante determinado tempo</w:t>
      </w:r>
      <w:r w:rsidR="001F60AA" w:rsidRPr="00CE3398">
        <w:rPr>
          <w:lang w:val="pt-PT"/>
        </w:rPr>
        <w:t>,</w:t>
      </w:r>
      <w:r w:rsidRPr="00CE3398">
        <w:rPr>
          <w:lang w:val="pt-PT"/>
        </w:rPr>
        <w:t xml:space="preserve"> </w:t>
      </w:r>
      <w:r w:rsidR="001F60AA" w:rsidRPr="00CE3398">
        <w:rPr>
          <w:lang w:val="pt-PT"/>
        </w:rPr>
        <w:t>a</w:t>
      </w:r>
      <w:r w:rsidR="0072557A" w:rsidRPr="00CE3398">
        <w:rPr>
          <w:lang w:val="pt-PT"/>
        </w:rPr>
        <w:t xml:space="preserve"> necessidade de intensificação de fiscalização da gasolina em toda </w:t>
      </w:r>
      <w:r w:rsidR="00AB2904" w:rsidRPr="00CE3398">
        <w:rPr>
          <w:lang w:val="pt-PT"/>
        </w:rPr>
        <w:t xml:space="preserve">a </w:t>
      </w:r>
      <w:r w:rsidR="0072557A" w:rsidRPr="00CE3398">
        <w:rPr>
          <w:lang w:val="pt-PT"/>
        </w:rPr>
        <w:t xml:space="preserve">cadeia. </w:t>
      </w:r>
    </w:p>
    <w:p w:rsidR="00E03752" w:rsidRDefault="00E03752" w:rsidP="00E03752">
      <w:pPr>
        <w:pStyle w:val="Textodenotadefim"/>
        <w:spacing w:before="120" w:after="120"/>
        <w:jc w:val="both"/>
        <w:rPr>
          <w:rFonts w:ascii="Arial" w:hAnsi="Arial" w:cs="Arial"/>
          <w:sz w:val="24"/>
          <w:szCs w:val="24"/>
          <w:lang w:val="pt-BR"/>
        </w:rPr>
      </w:pPr>
    </w:p>
    <w:p w:rsidR="00E03752" w:rsidRPr="00755562" w:rsidRDefault="00E03752" w:rsidP="00E03752">
      <w:pPr>
        <w:pStyle w:val="Textodenotadefim"/>
        <w:spacing w:before="120" w:after="120"/>
        <w:jc w:val="both"/>
        <w:rPr>
          <w:rFonts w:ascii="Arial" w:hAnsi="Arial" w:cs="Arial"/>
          <w:sz w:val="24"/>
          <w:szCs w:val="24"/>
          <w:lang w:val="pt-BR"/>
        </w:rPr>
      </w:pPr>
    </w:p>
    <w:tbl>
      <w:tblPr>
        <w:tblW w:w="10070" w:type="dxa"/>
        <w:tblLook w:val="04A0"/>
      </w:tblPr>
      <w:tblGrid>
        <w:gridCol w:w="4928"/>
        <w:gridCol w:w="5142"/>
      </w:tblGrid>
      <w:tr w:rsidR="00E03752" w:rsidRPr="00E03752" w:rsidTr="009C08F8">
        <w:tc>
          <w:tcPr>
            <w:tcW w:w="4928" w:type="dxa"/>
          </w:tcPr>
          <w:p w:rsidR="00E03752" w:rsidRDefault="00E03752"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SBQ</w:t>
            </w:r>
          </w:p>
          <w:p w:rsidR="00E03752" w:rsidRDefault="00E03752" w:rsidP="00E03752">
            <w:pPr>
              <w:pStyle w:val="PargrafodaLista"/>
              <w:spacing w:before="120" w:after="120"/>
              <w:ind w:left="0"/>
              <w:jc w:val="center"/>
              <w:rPr>
                <w:rFonts w:ascii="Times New Roman" w:hAnsi="Times New Roman"/>
                <w:b/>
                <w:sz w:val="24"/>
                <w:szCs w:val="24"/>
              </w:rPr>
            </w:pPr>
          </w:p>
          <w:p w:rsidR="00E03752" w:rsidRDefault="00E03752" w:rsidP="00E03752">
            <w:pPr>
              <w:pStyle w:val="PargrafodaLista"/>
              <w:spacing w:before="120" w:after="120"/>
              <w:ind w:left="0"/>
              <w:jc w:val="center"/>
              <w:rPr>
                <w:rFonts w:ascii="Times New Roman" w:hAnsi="Times New Roman"/>
                <w:b/>
                <w:sz w:val="24"/>
                <w:szCs w:val="24"/>
              </w:rPr>
            </w:pPr>
          </w:p>
          <w:p w:rsidR="00E03752" w:rsidRDefault="00E03752" w:rsidP="00E03752">
            <w:pPr>
              <w:pStyle w:val="PargrafodaLista"/>
              <w:spacing w:before="120" w:after="120"/>
              <w:ind w:left="0"/>
              <w:jc w:val="center"/>
              <w:rPr>
                <w:rFonts w:ascii="Times New Roman" w:hAnsi="Times New Roman"/>
                <w:b/>
                <w:sz w:val="24"/>
                <w:szCs w:val="24"/>
              </w:rPr>
            </w:pPr>
          </w:p>
          <w:p w:rsidR="00E03752" w:rsidRPr="00E03752" w:rsidRDefault="00E03752"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Rita Capra Vieira</w:t>
            </w:r>
          </w:p>
          <w:p w:rsidR="00E03752" w:rsidRPr="00E03752" w:rsidRDefault="00E03752" w:rsidP="00E03752">
            <w:pPr>
              <w:pStyle w:val="PargrafodaLista"/>
              <w:spacing w:before="120" w:after="120"/>
              <w:ind w:left="0"/>
              <w:jc w:val="center"/>
              <w:rPr>
                <w:rFonts w:ascii="Times New Roman" w:hAnsi="Times New Roman"/>
              </w:rPr>
            </w:pPr>
            <w:r w:rsidRPr="00E03752">
              <w:rPr>
                <w:rFonts w:ascii="Times New Roman" w:hAnsi="Times New Roman"/>
              </w:rPr>
              <w:t xml:space="preserve">Especialista em Regulação de Petróleo e Derivados, Álcool Hidratado Combustível e Gás </w:t>
            </w:r>
            <w:proofErr w:type="gramStart"/>
            <w:r w:rsidRPr="00E03752">
              <w:rPr>
                <w:rFonts w:ascii="Times New Roman" w:hAnsi="Times New Roman"/>
              </w:rPr>
              <w:t>Natural</w:t>
            </w:r>
            <w:proofErr w:type="gramEnd"/>
          </w:p>
          <w:p w:rsidR="00E03752" w:rsidRPr="00E03752" w:rsidRDefault="00E03752" w:rsidP="00E03752">
            <w:pPr>
              <w:pStyle w:val="Textodenotadefim"/>
              <w:ind w:left="-142"/>
              <w:jc w:val="center"/>
              <w:rPr>
                <w:snapToGrid w:val="0"/>
                <w:sz w:val="24"/>
                <w:szCs w:val="24"/>
                <w:lang w:val="pt-BR" w:eastAsia="pt-BR"/>
              </w:rPr>
            </w:pPr>
          </w:p>
          <w:p w:rsidR="00E03752" w:rsidRPr="00E03752" w:rsidRDefault="00E03752" w:rsidP="00E03752">
            <w:pPr>
              <w:pStyle w:val="Textodenotadefim"/>
              <w:ind w:left="-142"/>
              <w:jc w:val="center"/>
              <w:rPr>
                <w:b/>
                <w:sz w:val="24"/>
                <w:szCs w:val="24"/>
                <w:lang w:val="pt-BR" w:eastAsia="pt-BR"/>
              </w:rPr>
            </w:pPr>
          </w:p>
        </w:tc>
        <w:tc>
          <w:tcPr>
            <w:tcW w:w="5142" w:type="dxa"/>
          </w:tcPr>
          <w:p w:rsidR="00E03752" w:rsidRDefault="00E03752"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SBQ</w:t>
            </w:r>
          </w:p>
          <w:p w:rsidR="00E03752" w:rsidRDefault="00E03752" w:rsidP="00E03752">
            <w:pPr>
              <w:pStyle w:val="PargrafodaLista"/>
              <w:spacing w:before="120" w:after="120"/>
              <w:ind w:left="0"/>
              <w:jc w:val="center"/>
              <w:rPr>
                <w:rFonts w:ascii="Times New Roman" w:hAnsi="Times New Roman"/>
                <w:b/>
                <w:sz w:val="24"/>
                <w:szCs w:val="24"/>
              </w:rPr>
            </w:pPr>
          </w:p>
          <w:p w:rsidR="00E03752" w:rsidRDefault="00E03752" w:rsidP="00E03752">
            <w:pPr>
              <w:pStyle w:val="PargrafodaLista"/>
              <w:spacing w:before="120" w:after="120"/>
              <w:ind w:left="0"/>
              <w:jc w:val="center"/>
              <w:rPr>
                <w:rFonts w:ascii="Times New Roman" w:hAnsi="Times New Roman"/>
                <w:b/>
                <w:sz w:val="24"/>
                <w:szCs w:val="24"/>
              </w:rPr>
            </w:pPr>
          </w:p>
          <w:p w:rsidR="00E03752" w:rsidRDefault="00E03752" w:rsidP="00E03752">
            <w:pPr>
              <w:pStyle w:val="PargrafodaLista"/>
              <w:spacing w:before="120" w:after="120"/>
              <w:ind w:left="0"/>
              <w:jc w:val="center"/>
              <w:rPr>
                <w:rFonts w:ascii="Times New Roman" w:hAnsi="Times New Roman"/>
                <w:b/>
                <w:sz w:val="24"/>
                <w:szCs w:val="24"/>
              </w:rPr>
            </w:pPr>
          </w:p>
          <w:p w:rsidR="00E03752" w:rsidRPr="00E03752" w:rsidRDefault="00E03752"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Jackson da Silva Albuquerque</w:t>
            </w:r>
          </w:p>
          <w:p w:rsidR="00E03752" w:rsidRPr="00E03752" w:rsidRDefault="00E03752" w:rsidP="00E03752">
            <w:pPr>
              <w:pStyle w:val="PargrafodaLista"/>
              <w:spacing w:before="120" w:after="120"/>
              <w:ind w:left="0"/>
              <w:jc w:val="center"/>
              <w:rPr>
                <w:rFonts w:ascii="Times New Roman" w:hAnsi="Times New Roman"/>
              </w:rPr>
            </w:pPr>
            <w:r w:rsidRPr="00E03752">
              <w:rPr>
                <w:rFonts w:ascii="Times New Roman" w:hAnsi="Times New Roman"/>
              </w:rPr>
              <w:t xml:space="preserve">Especialista em Regulação de Petróleo e Derivados, Álcool Hidratado Combustível e Gás </w:t>
            </w:r>
            <w:proofErr w:type="gramStart"/>
            <w:r w:rsidRPr="00E03752">
              <w:rPr>
                <w:rFonts w:ascii="Times New Roman" w:hAnsi="Times New Roman"/>
              </w:rPr>
              <w:t>Natural</w:t>
            </w:r>
            <w:proofErr w:type="gramEnd"/>
          </w:p>
          <w:p w:rsidR="00E03752" w:rsidRPr="00E03752" w:rsidRDefault="00E03752" w:rsidP="00E03752">
            <w:pPr>
              <w:pStyle w:val="Textodenotadefim"/>
              <w:ind w:left="-142"/>
              <w:jc w:val="center"/>
              <w:rPr>
                <w:b/>
                <w:sz w:val="24"/>
                <w:szCs w:val="24"/>
                <w:lang w:val="pt-BR" w:eastAsia="pt-BR"/>
              </w:rPr>
            </w:pPr>
          </w:p>
          <w:p w:rsidR="00E03752" w:rsidRPr="00E03752" w:rsidRDefault="00E03752" w:rsidP="00E03752">
            <w:pPr>
              <w:pStyle w:val="Textodenotadefim"/>
              <w:ind w:left="-142"/>
              <w:jc w:val="center"/>
              <w:rPr>
                <w:b/>
                <w:sz w:val="24"/>
                <w:szCs w:val="24"/>
                <w:lang w:val="pt-BR" w:eastAsia="pt-BR"/>
              </w:rPr>
            </w:pPr>
          </w:p>
        </w:tc>
      </w:tr>
      <w:tr w:rsidR="00E03752" w:rsidRPr="00E03752" w:rsidTr="009C08F8">
        <w:tc>
          <w:tcPr>
            <w:tcW w:w="4928" w:type="dxa"/>
          </w:tcPr>
          <w:p w:rsidR="00E03752" w:rsidRDefault="00E03752" w:rsidP="00E03752">
            <w:pPr>
              <w:pStyle w:val="Textodenotadefim"/>
              <w:ind w:left="-142"/>
              <w:jc w:val="center"/>
              <w:rPr>
                <w:b/>
                <w:sz w:val="24"/>
                <w:szCs w:val="24"/>
                <w:lang w:val="pt-BR" w:eastAsia="pt-BR"/>
              </w:rPr>
            </w:pPr>
            <w:r>
              <w:rPr>
                <w:b/>
                <w:sz w:val="24"/>
                <w:szCs w:val="24"/>
                <w:lang w:val="pt-BR" w:eastAsia="pt-BR"/>
              </w:rPr>
              <w:lastRenderedPageBreak/>
              <w:t>SAB</w:t>
            </w:r>
          </w:p>
          <w:p w:rsidR="00E03752" w:rsidRDefault="00E03752" w:rsidP="00E03752">
            <w:pPr>
              <w:pStyle w:val="Textodenotadefim"/>
              <w:ind w:left="-142"/>
              <w:jc w:val="center"/>
              <w:rPr>
                <w:b/>
                <w:sz w:val="24"/>
                <w:szCs w:val="24"/>
                <w:lang w:val="pt-BR" w:eastAsia="pt-BR"/>
              </w:rPr>
            </w:pPr>
          </w:p>
          <w:p w:rsidR="00E03752" w:rsidRDefault="00E03752" w:rsidP="00E03752">
            <w:pPr>
              <w:pStyle w:val="Textodenotadefim"/>
              <w:ind w:left="-142"/>
              <w:jc w:val="center"/>
              <w:rPr>
                <w:b/>
                <w:sz w:val="24"/>
                <w:szCs w:val="24"/>
                <w:lang w:val="pt-BR" w:eastAsia="pt-BR"/>
              </w:rPr>
            </w:pPr>
          </w:p>
          <w:p w:rsidR="00E03752" w:rsidRDefault="00E03752" w:rsidP="00E03752">
            <w:pPr>
              <w:pStyle w:val="Textodenotadefim"/>
              <w:ind w:left="-142"/>
              <w:jc w:val="center"/>
              <w:rPr>
                <w:b/>
                <w:sz w:val="24"/>
                <w:szCs w:val="24"/>
                <w:lang w:val="pt-BR" w:eastAsia="pt-BR"/>
              </w:rPr>
            </w:pPr>
          </w:p>
          <w:p w:rsidR="00E03752" w:rsidRPr="00E03752" w:rsidRDefault="00E03752"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 xml:space="preserve">Renata </w:t>
            </w:r>
            <w:proofErr w:type="spellStart"/>
            <w:r>
              <w:rPr>
                <w:rFonts w:ascii="Times New Roman" w:hAnsi="Times New Roman"/>
                <w:b/>
                <w:sz w:val="24"/>
                <w:szCs w:val="24"/>
              </w:rPr>
              <w:t>Bona</w:t>
            </w:r>
            <w:proofErr w:type="spellEnd"/>
            <w:r>
              <w:rPr>
                <w:rFonts w:ascii="Times New Roman" w:hAnsi="Times New Roman"/>
                <w:b/>
                <w:sz w:val="24"/>
                <w:szCs w:val="24"/>
              </w:rPr>
              <w:t xml:space="preserve"> </w:t>
            </w:r>
            <w:proofErr w:type="spellStart"/>
            <w:r>
              <w:rPr>
                <w:rFonts w:ascii="Times New Roman" w:hAnsi="Times New Roman"/>
                <w:b/>
                <w:sz w:val="24"/>
                <w:szCs w:val="24"/>
              </w:rPr>
              <w:t>Mallemont</w:t>
            </w:r>
            <w:proofErr w:type="spellEnd"/>
            <w:r>
              <w:rPr>
                <w:rFonts w:ascii="Times New Roman" w:hAnsi="Times New Roman"/>
                <w:b/>
                <w:sz w:val="24"/>
                <w:szCs w:val="24"/>
              </w:rPr>
              <w:t xml:space="preserve"> Rebello </w:t>
            </w:r>
          </w:p>
          <w:p w:rsidR="00E03752" w:rsidRDefault="00E03752" w:rsidP="00E03752">
            <w:pPr>
              <w:pStyle w:val="PargrafodaLista"/>
              <w:spacing w:before="120" w:after="120"/>
              <w:ind w:left="0"/>
              <w:jc w:val="center"/>
              <w:rPr>
                <w:rFonts w:ascii="Times New Roman" w:hAnsi="Times New Roman"/>
              </w:rPr>
            </w:pPr>
            <w:r w:rsidRPr="00E03752">
              <w:rPr>
                <w:rFonts w:ascii="Times New Roman" w:hAnsi="Times New Roman"/>
              </w:rPr>
              <w:t xml:space="preserve">Especialista em Regulação de Petróleo e Derivados, Álcool Hidratado Combustível e Gás </w:t>
            </w:r>
            <w:proofErr w:type="gramStart"/>
            <w:r w:rsidRPr="00E03752">
              <w:rPr>
                <w:rFonts w:ascii="Times New Roman" w:hAnsi="Times New Roman"/>
              </w:rPr>
              <w:t>Natural</w:t>
            </w:r>
            <w:proofErr w:type="gramEnd"/>
          </w:p>
          <w:p w:rsidR="009C08F8" w:rsidRPr="00E03752" w:rsidRDefault="009C08F8" w:rsidP="00E03752">
            <w:pPr>
              <w:pStyle w:val="PargrafodaLista"/>
              <w:spacing w:before="120" w:after="120"/>
              <w:ind w:left="0"/>
              <w:jc w:val="center"/>
              <w:rPr>
                <w:rFonts w:ascii="Times New Roman" w:hAnsi="Times New Roman"/>
              </w:rPr>
            </w:pPr>
          </w:p>
        </w:tc>
        <w:tc>
          <w:tcPr>
            <w:tcW w:w="5142" w:type="dxa"/>
          </w:tcPr>
          <w:p w:rsidR="00E03752" w:rsidRDefault="00E03752" w:rsidP="00E03752">
            <w:pPr>
              <w:pStyle w:val="Textodenotadefim"/>
              <w:ind w:left="-142"/>
              <w:jc w:val="center"/>
              <w:rPr>
                <w:b/>
                <w:sz w:val="24"/>
                <w:szCs w:val="24"/>
                <w:lang w:val="pt-BR" w:eastAsia="pt-BR"/>
              </w:rPr>
            </w:pPr>
            <w:r>
              <w:rPr>
                <w:b/>
                <w:sz w:val="24"/>
                <w:szCs w:val="24"/>
                <w:lang w:val="pt-BR" w:eastAsia="pt-BR"/>
              </w:rPr>
              <w:t>SFI</w:t>
            </w:r>
          </w:p>
          <w:p w:rsidR="00E03752" w:rsidRDefault="00E03752" w:rsidP="00E03752">
            <w:pPr>
              <w:pStyle w:val="Textodenotadefim"/>
              <w:ind w:left="-142"/>
              <w:jc w:val="center"/>
              <w:rPr>
                <w:b/>
                <w:sz w:val="24"/>
                <w:szCs w:val="24"/>
                <w:lang w:val="pt-BR" w:eastAsia="pt-BR"/>
              </w:rPr>
            </w:pPr>
          </w:p>
          <w:p w:rsidR="00E03752" w:rsidRDefault="00E03752" w:rsidP="00E03752">
            <w:pPr>
              <w:pStyle w:val="Textodenotadefim"/>
              <w:ind w:left="-142"/>
              <w:jc w:val="center"/>
              <w:rPr>
                <w:b/>
                <w:sz w:val="24"/>
                <w:szCs w:val="24"/>
                <w:lang w:val="pt-BR" w:eastAsia="pt-BR"/>
              </w:rPr>
            </w:pPr>
          </w:p>
          <w:p w:rsidR="00E03752" w:rsidRPr="00E03752" w:rsidRDefault="00E03752" w:rsidP="00E03752">
            <w:pPr>
              <w:pStyle w:val="Textodenotadefim"/>
              <w:ind w:left="-142"/>
              <w:jc w:val="center"/>
              <w:rPr>
                <w:b/>
                <w:sz w:val="24"/>
                <w:szCs w:val="24"/>
                <w:lang w:val="pt-BR" w:eastAsia="pt-BR"/>
              </w:rPr>
            </w:pPr>
          </w:p>
          <w:p w:rsidR="00E03752" w:rsidRPr="00E03752" w:rsidRDefault="00E03752" w:rsidP="00E03752">
            <w:pPr>
              <w:pStyle w:val="PargrafodaLista"/>
              <w:spacing w:before="120" w:after="120"/>
              <w:ind w:left="0"/>
              <w:jc w:val="center"/>
              <w:rPr>
                <w:rFonts w:ascii="Times New Roman" w:hAnsi="Times New Roman"/>
              </w:rPr>
            </w:pPr>
            <w:r w:rsidRPr="00E03752">
              <w:rPr>
                <w:rFonts w:ascii="Times New Roman" w:hAnsi="Times New Roman"/>
                <w:b/>
                <w:sz w:val="24"/>
                <w:szCs w:val="24"/>
                <w:lang w:eastAsia="pt-BR"/>
              </w:rPr>
              <w:t>Felipe Elias de Oliveira</w:t>
            </w:r>
            <w:r w:rsidRPr="00E03752">
              <w:rPr>
                <w:rFonts w:ascii="Times New Roman" w:hAnsi="Times New Roman"/>
              </w:rPr>
              <w:t xml:space="preserve"> </w:t>
            </w:r>
          </w:p>
          <w:p w:rsidR="00E03752" w:rsidRDefault="00C46797" w:rsidP="00E03752">
            <w:pPr>
              <w:pStyle w:val="PargrafodaLista"/>
              <w:spacing w:before="120" w:after="120"/>
              <w:ind w:left="0"/>
              <w:jc w:val="center"/>
              <w:rPr>
                <w:rFonts w:ascii="Times New Roman" w:hAnsi="Times New Roman"/>
              </w:rPr>
            </w:pPr>
            <w:r>
              <w:rPr>
                <w:rFonts w:ascii="Times New Roman" w:hAnsi="Times New Roman"/>
              </w:rPr>
              <w:t>Analista Administrativo</w:t>
            </w:r>
          </w:p>
          <w:p w:rsidR="009C08F8" w:rsidRPr="00E03752" w:rsidDel="00F570C2" w:rsidRDefault="009C08F8" w:rsidP="00E03752">
            <w:pPr>
              <w:pStyle w:val="PargrafodaLista"/>
              <w:spacing w:before="120" w:after="120"/>
              <w:ind w:left="0"/>
              <w:jc w:val="center"/>
              <w:rPr>
                <w:rFonts w:ascii="Times New Roman" w:hAnsi="Times New Roman"/>
              </w:rPr>
            </w:pPr>
          </w:p>
          <w:p w:rsidR="00E03752" w:rsidRPr="00E03752" w:rsidRDefault="00E03752" w:rsidP="00E03752">
            <w:pPr>
              <w:pStyle w:val="Textodenotadefim"/>
              <w:ind w:left="-142"/>
              <w:jc w:val="center"/>
              <w:rPr>
                <w:b/>
                <w:sz w:val="24"/>
                <w:szCs w:val="24"/>
                <w:lang w:val="pt-BR" w:eastAsia="pt-BR"/>
              </w:rPr>
            </w:pPr>
          </w:p>
        </w:tc>
      </w:tr>
      <w:tr w:rsidR="00E03752" w:rsidRPr="00E03752" w:rsidTr="009C08F8">
        <w:tc>
          <w:tcPr>
            <w:tcW w:w="4928" w:type="dxa"/>
          </w:tcPr>
          <w:p w:rsidR="00E03752" w:rsidRDefault="00E03752"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SRP</w:t>
            </w:r>
          </w:p>
          <w:p w:rsidR="009C08F8" w:rsidRDefault="009C08F8" w:rsidP="00E03752">
            <w:pPr>
              <w:pStyle w:val="PargrafodaLista"/>
              <w:spacing w:before="120" w:after="120"/>
              <w:ind w:left="0"/>
              <w:jc w:val="center"/>
              <w:rPr>
                <w:rFonts w:ascii="Times New Roman" w:hAnsi="Times New Roman"/>
                <w:b/>
                <w:sz w:val="24"/>
                <w:szCs w:val="24"/>
              </w:rPr>
            </w:pPr>
          </w:p>
          <w:p w:rsidR="009C08F8" w:rsidRDefault="009C08F8" w:rsidP="00E03752">
            <w:pPr>
              <w:pStyle w:val="PargrafodaLista"/>
              <w:spacing w:before="120" w:after="120"/>
              <w:ind w:left="0"/>
              <w:jc w:val="center"/>
              <w:rPr>
                <w:rFonts w:ascii="Times New Roman" w:hAnsi="Times New Roman"/>
                <w:b/>
                <w:sz w:val="24"/>
                <w:szCs w:val="24"/>
              </w:rPr>
            </w:pPr>
          </w:p>
          <w:p w:rsidR="009C08F8" w:rsidRDefault="009C08F8" w:rsidP="00E03752">
            <w:pPr>
              <w:pStyle w:val="PargrafodaLista"/>
              <w:spacing w:before="120" w:after="120"/>
              <w:ind w:left="0"/>
              <w:jc w:val="center"/>
              <w:rPr>
                <w:rFonts w:ascii="Times New Roman" w:hAnsi="Times New Roman"/>
                <w:b/>
                <w:sz w:val="24"/>
                <w:szCs w:val="24"/>
              </w:rPr>
            </w:pPr>
          </w:p>
          <w:p w:rsidR="009C08F8" w:rsidRDefault="009C08F8"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Luciana Tavares dos Santos de Almeida</w:t>
            </w:r>
          </w:p>
          <w:p w:rsidR="009C08F8" w:rsidRDefault="009C08F8" w:rsidP="009C08F8">
            <w:pPr>
              <w:pStyle w:val="PargrafodaLista"/>
              <w:spacing w:before="120" w:after="120"/>
              <w:ind w:left="0"/>
              <w:jc w:val="center"/>
              <w:rPr>
                <w:rFonts w:ascii="Times New Roman" w:hAnsi="Times New Roman"/>
              </w:rPr>
            </w:pPr>
            <w:r w:rsidRPr="00E03752">
              <w:rPr>
                <w:rFonts w:ascii="Times New Roman" w:hAnsi="Times New Roman"/>
              </w:rPr>
              <w:t>Especialista em Regulação de Petróleo e Derivados,</w:t>
            </w:r>
            <w:r w:rsidRPr="00E03752">
              <w:rPr>
                <w:rFonts w:ascii="Times New Roman" w:hAnsi="Times New Roman"/>
              </w:rPr>
              <w:br/>
              <w:t xml:space="preserve"> Álcool Hidratado Combustível e Gás </w:t>
            </w:r>
            <w:proofErr w:type="gramStart"/>
            <w:r w:rsidRPr="00E03752">
              <w:rPr>
                <w:rFonts w:ascii="Times New Roman" w:hAnsi="Times New Roman"/>
              </w:rPr>
              <w:t>Natural</w:t>
            </w:r>
            <w:proofErr w:type="gramEnd"/>
          </w:p>
          <w:p w:rsidR="009C08F8" w:rsidRPr="00E03752" w:rsidDel="00F570C2" w:rsidRDefault="009C08F8" w:rsidP="009C08F8">
            <w:pPr>
              <w:pStyle w:val="PargrafodaLista"/>
              <w:spacing w:before="120" w:after="120"/>
              <w:ind w:left="0"/>
              <w:jc w:val="center"/>
              <w:rPr>
                <w:rFonts w:ascii="Times New Roman" w:hAnsi="Times New Roman"/>
              </w:rPr>
            </w:pPr>
          </w:p>
          <w:p w:rsidR="009C08F8" w:rsidRPr="00E03752" w:rsidRDefault="009C08F8" w:rsidP="00E03752">
            <w:pPr>
              <w:pStyle w:val="PargrafodaLista"/>
              <w:spacing w:before="120" w:after="120"/>
              <w:ind w:left="0"/>
              <w:jc w:val="center"/>
              <w:rPr>
                <w:rFonts w:ascii="Times New Roman" w:hAnsi="Times New Roman"/>
                <w:b/>
                <w:sz w:val="24"/>
                <w:szCs w:val="24"/>
              </w:rPr>
            </w:pPr>
          </w:p>
        </w:tc>
        <w:tc>
          <w:tcPr>
            <w:tcW w:w="5142" w:type="dxa"/>
          </w:tcPr>
          <w:p w:rsidR="00E03752" w:rsidRDefault="00E03752"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CDC</w:t>
            </w:r>
            <w:r w:rsidRPr="00E03752">
              <w:rPr>
                <w:rFonts w:ascii="Times New Roman" w:hAnsi="Times New Roman"/>
                <w:b/>
                <w:sz w:val="24"/>
                <w:szCs w:val="24"/>
              </w:rPr>
              <w:t xml:space="preserve"> </w:t>
            </w:r>
          </w:p>
          <w:p w:rsidR="009C08F8" w:rsidRDefault="009C08F8" w:rsidP="00E03752">
            <w:pPr>
              <w:pStyle w:val="PargrafodaLista"/>
              <w:spacing w:before="120" w:after="120"/>
              <w:ind w:left="0"/>
              <w:jc w:val="center"/>
              <w:rPr>
                <w:rFonts w:ascii="Times New Roman" w:hAnsi="Times New Roman"/>
                <w:b/>
                <w:sz w:val="24"/>
                <w:szCs w:val="24"/>
              </w:rPr>
            </w:pPr>
          </w:p>
          <w:p w:rsidR="009C08F8" w:rsidRDefault="009C08F8" w:rsidP="00E03752">
            <w:pPr>
              <w:pStyle w:val="PargrafodaLista"/>
              <w:spacing w:before="120" w:after="120"/>
              <w:ind w:left="0"/>
              <w:jc w:val="center"/>
              <w:rPr>
                <w:rFonts w:ascii="Times New Roman" w:hAnsi="Times New Roman"/>
                <w:b/>
                <w:sz w:val="24"/>
                <w:szCs w:val="24"/>
              </w:rPr>
            </w:pPr>
          </w:p>
          <w:p w:rsidR="009C08F8" w:rsidRDefault="009C08F8" w:rsidP="00E03752">
            <w:pPr>
              <w:pStyle w:val="PargrafodaLista"/>
              <w:spacing w:before="120" w:after="120"/>
              <w:ind w:left="0"/>
              <w:jc w:val="center"/>
              <w:rPr>
                <w:rFonts w:ascii="Times New Roman" w:hAnsi="Times New Roman"/>
                <w:b/>
                <w:sz w:val="24"/>
                <w:szCs w:val="24"/>
              </w:rPr>
            </w:pPr>
          </w:p>
          <w:p w:rsidR="00E03752" w:rsidRPr="00E03752" w:rsidRDefault="00E03752" w:rsidP="00E03752">
            <w:pPr>
              <w:pStyle w:val="PargrafodaLista"/>
              <w:spacing w:before="120" w:after="120"/>
              <w:ind w:left="0"/>
              <w:jc w:val="center"/>
              <w:rPr>
                <w:rFonts w:ascii="Times New Roman" w:hAnsi="Times New Roman"/>
                <w:b/>
                <w:sz w:val="24"/>
                <w:szCs w:val="24"/>
              </w:rPr>
            </w:pPr>
            <w:r w:rsidRPr="00E03752">
              <w:rPr>
                <w:rFonts w:ascii="Times New Roman" w:hAnsi="Times New Roman"/>
                <w:b/>
                <w:sz w:val="24"/>
                <w:szCs w:val="24"/>
              </w:rPr>
              <w:t>Márcio de Araújo Alves Dias</w:t>
            </w:r>
          </w:p>
          <w:p w:rsidR="00E03752" w:rsidRPr="00E03752" w:rsidDel="00F570C2" w:rsidRDefault="00E03752" w:rsidP="00E03752">
            <w:pPr>
              <w:pStyle w:val="PargrafodaLista"/>
              <w:spacing w:before="120" w:after="120"/>
              <w:ind w:left="0"/>
              <w:jc w:val="center"/>
              <w:rPr>
                <w:rFonts w:ascii="Times New Roman" w:hAnsi="Times New Roman"/>
              </w:rPr>
            </w:pPr>
            <w:r w:rsidRPr="00E03752">
              <w:rPr>
                <w:rFonts w:ascii="Times New Roman" w:hAnsi="Times New Roman"/>
              </w:rPr>
              <w:t>Especialista em Regulação de Petróleo e Derivados,</w:t>
            </w:r>
            <w:r w:rsidRPr="00E03752">
              <w:rPr>
                <w:rFonts w:ascii="Times New Roman" w:hAnsi="Times New Roman"/>
              </w:rPr>
              <w:br/>
              <w:t xml:space="preserve"> Álcool Hidratado Combustível e Gás </w:t>
            </w:r>
            <w:proofErr w:type="gramStart"/>
            <w:r w:rsidRPr="00E03752">
              <w:rPr>
                <w:rFonts w:ascii="Times New Roman" w:hAnsi="Times New Roman"/>
              </w:rPr>
              <w:t>Natural</w:t>
            </w:r>
            <w:proofErr w:type="gramEnd"/>
          </w:p>
          <w:p w:rsidR="00E03752" w:rsidRPr="00E03752" w:rsidRDefault="00E03752" w:rsidP="00E03752">
            <w:pPr>
              <w:pStyle w:val="PargrafodaLista"/>
              <w:spacing w:before="120" w:after="120"/>
              <w:ind w:left="0"/>
              <w:jc w:val="center"/>
              <w:rPr>
                <w:rFonts w:ascii="Times New Roman" w:hAnsi="Times New Roman"/>
                <w:b/>
                <w:sz w:val="24"/>
                <w:szCs w:val="24"/>
              </w:rPr>
            </w:pPr>
          </w:p>
        </w:tc>
      </w:tr>
      <w:tr w:rsidR="00E03752" w:rsidRPr="00E03752" w:rsidTr="009C08F8">
        <w:tc>
          <w:tcPr>
            <w:tcW w:w="4928" w:type="dxa"/>
          </w:tcPr>
          <w:p w:rsidR="00E03752" w:rsidRDefault="00E03752"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SPD</w:t>
            </w:r>
          </w:p>
          <w:p w:rsidR="009C08F8" w:rsidRDefault="009C08F8" w:rsidP="00E03752">
            <w:pPr>
              <w:pStyle w:val="PargrafodaLista"/>
              <w:spacing w:before="120" w:after="120"/>
              <w:ind w:left="0"/>
              <w:jc w:val="center"/>
              <w:rPr>
                <w:rFonts w:ascii="Times New Roman" w:hAnsi="Times New Roman"/>
                <w:b/>
                <w:sz w:val="24"/>
                <w:szCs w:val="24"/>
              </w:rPr>
            </w:pPr>
          </w:p>
          <w:p w:rsidR="009C08F8" w:rsidRDefault="009C08F8" w:rsidP="00E03752">
            <w:pPr>
              <w:pStyle w:val="PargrafodaLista"/>
              <w:spacing w:before="120" w:after="120"/>
              <w:ind w:left="0"/>
              <w:jc w:val="center"/>
              <w:rPr>
                <w:rFonts w:ascii="Times New Roman" w:hAnsi="Times New Roman"/>
                <w:b/>
                <w:sz w:val="24"/>
                <w:szCs w:val="24"/>
              </w:rPr>
            </w:pPr>
          </w:p>
          <w:p w:rsidR="009C08F8" w:rsidRDefault="009C08F8" w:rsidP="00E03752">
            <w:pPr>
              <w:pStyle w:val="PargrafodaLista"/>
              <w:spacing w:before="120" w:after="120"/>
              <w:ind w:left="0"/>
              <w:jc w:val="center"/>
              <w:rPr>
                <w:rFonts w:ascii="Times New Roman" w:hAnsi="Times New Roman"/>
                <w:b/>
                <w:sz w:val="24"/>
                <w:szCs w:val="24"/>
              </w:rPr>
            </w:pPr>
          </w:p>
          <w:p w:rsidR="009C08F8" w:rsidRDefault="009C08F8" w:rsidP="00E03752">
            <w:pPr>
              <w:pStyle w:val="PargrafodaLista"/>
              <w:spacing w:before="120" w:after="120"/>
              <w:ind w:left="0"/>
              <w:jc w:val="center"/>
              <w:rPr>
                <w:rFonts w:ascii="Times New Roman" w:hAnsi="Times New Roman"/>
                <w:b/>
                <w:sz w:val="24"/>
                <w:szCs w:val="24"/>
              </w:rPr>
            </w:pPr>
            <w:r>
              <w:rPr>
                <w:rFonts w:ascii="Times New Roman" w:hAnsi="Times New Roman"/>
                <w:b/>
                <w:sz w:val="24"/>
                <w:szCs w:val="24"/>
              </w:rPr>
              <w:t>José Carlos Soares Tigre</w:t>
            </w:r>
          </w:p>
          <w:p w:rsidR="009C08F8" w:rsidRDefault="009C08F8" w:rsidP="009C08F8">
            <w:pPr>
              <w:pStyle w:val="PargrafodaLista"/>
              <w:spacing w:before="120" w:after="120"/>
              <w:ind w:left="0"/>
              <w:jc w:val="center"/>
              <w:rPr>
                <w:rFonts w:ascii="Times New Roman" w:hAnsi="Times New Roman"/>
              </w:rPr>
            </w:pPr>
            <w:r w:rsidRPr="00E03752">
              <w:rPr>
                <w:rFonts w:ascii="Times New Roman" w:hAnsi="Times New Roman"/>
              </w:rPr>
              <w:t>Especialista em Regulação de Petróleo e Derivados,</w:t>
            </w:r>
            <w:r w:rsidRPr="00E03752">
              <w:rPr>
                <w:rFonts w:ascii="Times New Roman" w:hAnsi="Times New Roman"/>
              </w:rPr>
              <w:br/>
              <w:t xml:space="preserve"> Álcool Hidratado Combustível e Gás </w:t>
            </w:r>
            <w:proofErr w:type="gramStart"/>
            <w:r w:rsidRPr="00E03752">
              <w:rPr>
                <w:rFonts w:ascii="Times New Roman" w:hAnsi="Times New Roman"/>
              </w:rPr>
              <w:t>Natural</w:t>
            </w:r>
            <w:proofErr w:type="gramEnd"/>
          </w:p>
          <w:p w:rsidR="009C08F8" w:rsidRPr="00E03752" w:rsidDel="00F570C2" w:rsidRDefault="009C08F8" w:rsidP="009C08F8">
            <w:pPr>
              <w:pStyle w:val="PargrafodaLista"/>
              <w:spacing w:before="120" w:after="120"/>
              <w:ind w:left="0"/>
              <w:jc w:val="center"/>
              <w:rPr>
                <w:rFonts w:ascii="Times New Roman" w:hAnsi="Times New Roman"/>
              </w:rPr>
            </w:pPr>
          </w:p>
          <w:p w:rsidR="009C08F8" w:rsidRDefault="009C08F8" w:rsidP="00E03752">
            <w:pPr>
              <w:pStyle w:val="PargrafodaLista"/>
              <w:spacing w:before="120" w:after="120"/>
              <w:ind w:left="0"/>
              <w:jc w:val="center"/>
              <w:rPr>
                <w:rFonts w:ascii="Times New Roman" w:hAnsi="Times New Roman"/>
                <w:b/>
                <w:sz w:val="24"/>
                <w:szCs w:val="24"/>
              </w:rPr>
            </w:pPr>
          </w:p>
          <w:p w:rsidR="009C08F8" w:rsidRPr="00E03752" w:rsidRDefault="009C08F8" w:rsidP="00E03752">
            <w:pPr>
              <w:pStyle w:val="PargrafodaLista"/>
              <w:spacing w:before="120" w:after="120"/>
              <w:ind w:left="0"/>
              <w:jc w:val="center"/>
              <w:rPr>
                <w:rFonts w:ascii="Times New Roman" w:hAnsi="Times New Roman"/>
                <w:b/>
                <w:sz w:val="24"/>
                <w:szCs w:val="24"/>
              </w:rPr>
            </w:pPr>
          </w:p>
        </w:tc>
        <w:tc>
          <w:tcPr>
            <w:tcW w:w="5142" w:type="dxa"/>
          </w:tcPr>
          <w:p w:rsidR="00E03752" w:rsidRPr="00E03752" w:rsidRDefault="00E03752" w:rsidP="00E03752">
            <w:pPr>
              <w:pStyle w:val="PargrafodaLista"/>
              <w:spacing w:before="120" w:after="120"/>
              <w:ind w:left="0"/>
              <w:jc w:val="center"/>
              <w:rPr>
                <w:rFonts w:ascii="Times New Roman" w:hAnsi="Times New Roman"/>
                <w:b/>
                <w:sz w:val="24"/>
                <w:szCs w:val="24"/>
              </w:rPr>
            </w:pPr>
          </w:p>
        </w:tc>
      </w:tr>
      <w:tr w:rsidR="00E03752" w:rsidRPr="00E03752" w:rsidTr="009C08F8">
        <w:tc>
          <w:tcPr>
            <w:tcW w:w="4928" w:type="dxa"/>
          </w:tcPr>
          <w:p w:rsidR="00E03752" w:rsidRPr="00E03752" w:rsidRDefault="00E03752" w:rsidP="00E03752">
            <w:pPr>
              <w:pStyle w:val="Textodenotadefim"/>
              <w:ind w:left="-142"/>
              <w:jc w:val="center"/>
              <w:rPr>
                <w:sz w:val="24"/>
                <w:szCs w:val="24"/>
                <w:lang w:val="pt-BR" w:eastAsia="pt-BR"/>
              </w:rPr>
            </w:pPr>
            <w:r w:rsidRPr="00E03752">
              <w:rPr>
                <w:sz w:val="24"/>
                <w:szCs w:val="24"/>
                <w:lang w:val="pt-BR" w:eastAsia="pt-BR"/>
              </w:rPr>
              <w:t>De acordo:</w:t>
            </w:r>
          </w:p>
          <w:p w:rsidR="00E03752" w:rsidRPr="00E03752" w:rsidRDefault="00E03752" w:rsidP="00E03752">
            <w:pPr>
              <w:pStyle w:val="Textodenotadefim"/>
              <w:ind w:left="-142"/>
              <w:jc w:val="center"/>
              <w:rPr>
                <w:sz w:val="24"/>
                <w:szCs w:val="24"/>
                <w:lang w:val="pt-BR" w:eastAsia="pt-BR"/>
              </w:rPr>
            </w:pPr>
          </w:p>
          <w:p w:rsidR="00E03752" w:rsidRPr="00E03752" w:rsidRDefault="00E03752" w:rsidP="00E03752">
            <w:pPr>
              <w:pStyle w:val="Textodenotadefim"/>
              <w:ind w:left="-142"/>
              <w:jc w:val="center"/>
              <w:rPr>
                <w:sz w:val="24"/>
                <w:szCs w:val="24"/>
                <w:lang w:val="pt-BR" w:eastAsia="pt-BR"/>
              </w:rPr>
            </w:pPr>
          </w:p>
          <w:p w:rsidR="00E03752" w:rsidRPr="00E03752" w:rsidRDefault="00E03752" w:rsidP="00E03752">
            <w:pPr>
              <w:pStyle w:val="Textodenotadefim"/>
              <w:ind w:left="-142"/>
              <w:jc w:val="center"/>
              <w:rPr>
                <w:sz w:val="24"/>
                <w:szCs w:val="24"/>
                <w:lang w:val="pt-BR" w:eastAsia="pt-BR"/>
              </w:rPr>
            </w:pPr>
          </w:p>
          <w:p w:rsidR="00E03752" w:rsidRPr="00E03752" w:rsidRDefault="00E03752" w:rsidP="00E03752">
            <w:pPr>
              <w:pStyle w:val="PargrafodaLista"/>
              <w:spacing w:before="120" w:after="120"/>
              <w:ind w:left="0"/>
              <w:jc w:val="center"/>
              <w:rPr>
                <w:rFonts w:ascii="Times New Roman" w:hAnsi="Times New Roman"/>
                <w:b/>
                <w:sz w:val="24"/>
                <w:szCs w:val="24"/>
              </w:rPr>
            </w:pPr>
            <w:r w:rsidRPr="00E03752">
              <w:rPr>
                <w:rFonts w:ascii="Times New Roman" w:hAnsi="Times New Roman"/>
                <w:b/>
                <w:sz w:val="24"/>
                <w:szCs w:val="24"/>
              </w:rPr>
              <w:t xml:space="preserve">ROSÂNGELA MOREIRA DE ARAÚJO </w:t>
            </w:r>
          </w:p>
          <w:p w:rsidR="00E03752" w:rsidRPr="00C46797" w:rsidRDefault="00E03752" w:rsidP="00E03752">
            <w:pPr>
              <w:pStyle w:val="PargrafodaLista"/>
              <w:spacing w:before="120" w:after="120"/>
              <w:ind w:left="0"/>
              <w:jc w:val="center"/>
              <w:rPr>
                <w:rFonts w:ascii="Times New Roman" w:hAnsi="Times New Roman"/>
              </w:rPr>
            </w:pPr>
            <w:r w:rsidRPr="00C46797">
              <w:rPr>
                <w:rFonts w:ascii="Times New Roman" w:hAnsi="Times New Roman"/>
              </w:rPr>
              <w:t>Superintendente</w:t>
            </w:r>
            <w:r w:rsidR="00C46797" w:rsidRPr="00C46797">
              <w:rPr>
                <w:rFonts w:ascii="Times New Roman" w:hAnsi="Times New Roman"/>
              </w:rPr>
              <w:t xml:space="preserve"> de Biocombustíveis e Qualidade de Produtos</w:t>
            </w:r>
          </w:p>
        </w:tc>
        <w:tc>
          <w:tcPr>
            <w:tcW w:w="5142" w:type="dxa"/>
          </w:tcPr>
          <w:p w:rsidR="00E03752" w:rsidRPr="00E03752" w:rsidRDefault="00E03752" w:rsidP="00E03752">
            <w:pPr>
              <w:pStyle w:val="PargrafodaLista"/>
              <w:spacing w:before="120" w:after="120"/>
              <w:ind w:left="0"/>
              <w:jc w:val="center"/>
              <w:rPr>
                <w:rFonts w:ascii="Times New Roman" w:hAnsi="Times New Roman"/>
                <w:sz w:val="24"/>
                <w:szCs w:val="24"/>
              </w:rPr>
            </w:pPr>
          </w:p>
        </w:tc>
      </w:tr>
    </w:tbl>
    <w:p w:rsidR="00AA5523" w:rsidRPr="00CE3398" w:rsidRDefault="00AA5523">
      <w:pPr>
        <w:spacing w:after="0" w:line="240" w:lineRule="auto"/>
        <w:rPr>
          <w:rFonts w:ascii="Times New Roman" w:hAnsi="Times New Roman"/>
          <w:b/>
          <w:sz w:val="24"/>
          <w:szCs w:val="24"/>
        </w:rPr>
      </w:pPr>
      <w:r w:rsidRPr="00CE3398">
        <w:rPr>
          <w:rFonts w:ascii="Times New Roman" w:hAnsi="Times New Roman"/>
          <w:b/>
          <w:sz w:val="24"/>
          <w:szCs w:val="24"/>
        </w:rPr>
        <w:br w:type="page"/>
      </w:r>
    </w:p>
    <w:p w:rsidR="0002519A" w:rsidRPr="00CE3398" w:rsidRDefault="00AA21D4" w:rsidP="00ED4142">
      <w:pPr>
        <w:jc w:val="center"/>
        <w:rPr>
          <w:rFonts w:ascii="Times New Roman" w:hAnsi="Times New Roman"/>
          <w:b/>
          <w:sz w:val="24"/>
          <w:szCs w:val="24"/>
        </w:rPr>
      </w:pPr>
      <w:r w:rsidRPr="00CE3398">
        <w:rPr>
          <w:rFonts w:ascii="Times New Roman" w:hAnsi="Times New Roman"/>
          <w:b/>
          <w:sz w:val="24"/>
          <w:szCs w:val="24"/>
        </w:rPr>
        <w:lastRenderedPageBreak/>
        <w:t>ANEXO I</w:t>
      </w:r>
      <w:r w:rsidR="009E699F">
        <w:rPr>
          <w:rFonts w:ascii="Times New Roman" w:hAnsi="Times New Roman"/>
          <w:b/>
          <w:sz w:val="24"/>
          <w:szCs w:val="24"/>
        </w:rPr>
        <w:t xml:space="preserve"> </w:t>
      </w:r>
      <w:r w:rsidR="00A42214">
        <w:rPr>
          <w:rFonts w:ascii="Times New Roman" w:hAnsi="Times New Roman"/>
          <w:b/>
          <w:sz w:val="24"/>
          <w:szCs w:val="24"/>
        </w:rPr>
        <w:t>-</w:t>
      </w:r>
      <w:r w:rsidR="009E699F">
        <w:rPr>
          <w:rFonts w:ascii="Times New Roman" w:hAnsi="Times New Roman"/>
          <w:b/>
          <w:sz w:val="24"/>
          <w:szCs w:val="24"/>
        </w:rPr>
        <w:t xml:space="preserve"> </w:t>
      </w:r>
      <w:r w:rsidRPr="00CE3398">
        <w:rPr>
          <w:rFonts w:ascii="Times New Roman" w:hAnsi="Times New Roman"/>
          <w:b/>
          <w:sz w:val="24"/>
          <w:szCs w:val="24"/>
        </w:rPr>
        <w:t>BENEFÍCIOS DA ADITIVAÇÃO DA GASOLINA PARA OS MOTORES E PARA A SAÚDE PÚBLICA</w:t>
      </w:r>
    </w:p>
    <w:p w:rsidR="0002519A" w:rsidRPr="00CE3398" w:rsidRDefault="0002519A" w:rsidP="0002519A">
      <w:pPr>
        <w:pStyle w:val="PargrafodaLista"/>
        <w:numPr>
          <w:ilvl w:val="0"/>
          <w:numId w:val="24"/>
        </w:numPr>
        <w:spacing w:after="120" w:line="240" w:lineRule="auto"/>
        <w:rPr>
          <w:rFonts w:ascii="Times New Roman" w:hAnsi="Times New Roman"/>
          <w:b/>
          <w:sz w:val="24"/>
          <w:szCs w:val="24"/>
        </w:rPr>
      </w:pPr>
      <w:r w:rsidRPr="00CE3398">
        <w:rPr>
          <w:rFonts w:ascii="Times New Roman" w:hAnsi="Times New Roman"/>
          <w:b/>
          <w:sz w:val="24"/>
          <w:szCs w:val="24"/>
        </w:rPr>
        <w:t xml:space="preserve">Efeito dos </w:t>
      </w:r>
      <w:r w:rsidR="009C581E" w:rsidRPr="00CE3398">
        <w:rPr>
          <w:rFonts w:ascii="Times New Roman" w:hAnsi="Times New Roman"/>
          <w:b/>
          <w:sz w:val="24"/>
          <w:szCs w:val="24"/>
        </w:rPr>
        <w:t>D</w:t>
      </w:r>
      <w:r w:rsidRPr="00CE3398">
        <w:rPr>
          <w:rFonts w:ascii="Times New Roman" w:hAnsi="Times New Roman"/>
          <w:b/>
          <w:sz w:val="24"/>
          <w:szCs w:val="24"/>
        </w:rPr>
        <w:t xml:space="preserve">epósitos nos </w:t>
      </w:r>
      <w:r w:rsidR="009C581E" w:rsidRPr="00CE3398">
        <w:rPr>
          <w:rFonts w:ascii="Times New Roman" w:hAnsi="Times New Roman"/>
          <w:b/>
          <w:sz w:val="24"/>
          <w:szCs w:val="24"/>
        </w:rPr>
        <w:t>M</w:t>
      </w:r>
      <w:r w:rsidRPr="00CE3398">
        <w:rPr>
          <w:rFonts w:ascii="Times New Roman" w:hAnsi="Times New Roman"/>
          <w:b/>
          <w:sz w:val="24"/>
          <w:szCs w:val="24"/>
        </w:rPr>
        <w:t>otores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Em virtude do uso contínuo, depósitos formam-se, invariavelmente, em todas as superfícies internas do motor e alteram seu desempenho, impactando em aspectos como</w:t>
      </w:r>
      <w:r w:rsidR="00025F0E" w:rsidRPr="00CE3398">
        <w:rPr>
          <w:rFonts w:ascii="Times New Roman" w:hAnsi="Times New Roman"/>
          <w:sz w:val="24"/>
          <w:szCs w:val="24"/>
        </w:rPr>
        <w:t>:</w:t>
      </w:r>
      <w:r w:rsidRPr="00CE3398">
        <w:rPr>
          <w:rFonts w:ascii="Times New Roman" w:hAnsi="Times New Roman"/>
          <w:sz w:val="24"/>
          <w:szCs w:val="24"/>
        </w:rPr>
        <w:t xml:space="preserve"> consumo de combustível, potência, emissões, requisito mínimo de poder antidetonante – octanagem – e dirigibilidade (KALGHATGI, 1990).</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 natureza e a velocidade de formação de depósitos nas diferentes partes do motor variam consideravelmente devido às temperaturas a que estão sujeitas e aos processos que ocorrem junto às suas superfícies. Enquanto a temperatura na área do carburador é próxima à ambiente, superfícies da válvula de exaustão e câmara de combustão são submetidas a temperaturas de até 600°C. Na maior parte dos casos, o acúmulo de depósitos em motores pode ser controlado pelo uso de aditivos (KALGHATGI, 1990).</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Nes</w:t>
      </w:r>
      <w:r w:rsidR="00025F0E" w:rsidRPr="00CE3398">
        <w:rPr>
          <w:rFonts w:ascii="Times New Roman" w:hAnsi="Times New Roman"/>
          <w:sz w:val="24"/>
          <w:szCs w:val="24"/>
        </w:rPr>
        <w:t>s</w:t>
      </w:r>
      <w:r w:rsidRPr="00CE3398">
        <w:rPr>
          <w:rFonts w:ascii="Times New Roman" w:hAnsi="Times New Roman"/>
          <w:sz w:val="24"/>
          <w:szCs w:val="24"/>
        </w:rPr>
        <w:t>a etapa de descrição dos benefícios do programa de aditivação</w:t>
      </w:r>
      <w:r w:rsidR="0037622D" w:rsidRPr="00CE3398">
        <w:rPr>
          <w:rFonts w:ascii="Times New Roman" w:hAnsi="Times New Roman"/>
          <w:sz w:val="24"/>
          <w:szCs w:val="24"/>
        </w:rPr>
        <w:t xml:space="preserve"> mínima da gasolina</w:t>
      </w:r>
      <w:r w:rsidR="00025F0E" w:rsidRPr="00CE3398">
        <w:rPr>
          <w:rFonts w:ascii="Times New Roman" w:hAnsi="Times New Roman"/>
          <w:sz w:val="24"/>
          <w:szCs w:val="24"/>
        </w:rPr>
        <w:t>,</w:t>
      </w:r>
      <w:r w:rsidR="0037622D" w:rsidRPr="00CE3398">
        <w:rPr>
          <w:rFonts w:ascii="Times New Roman" w:hAnsi="Times New Roman"/>
          <w:sz w:val="24"/>
          <w:szCs w:val="24"/>
        </w:rPr>
        <w:t xml:space="preserve"> </w:t>
      </w:r>
      <w:r w:rsidRPr="00CE3398">
        <w:rPr>
          <w:rFonts w:ascii="Times New Roman" w:hAnsi="Times New Roman"/>
          <w:sz w:val="24"/>
          <w:szCs w:val="24"/>
        </w:rPr>
        <w:t>serão abordados depósitos em carburadores, bicos injetores e válvulas de admissão, devido à maior disponibilidade de material bibliográfico e de testes práticos de acúmulo e controle de depósitos nestes componentes.</w:t>
      </w:r>
    </w:p>
    <w:p w:rsidR="0002519A" w:rsidRPr="00CE3398" w:rsidRDefault="0002519A" w:rsidP="0002519A">
      <w:pPr>
        <w:pStyle w:val="PargrafodaLista"/>
        <w:numPr>
          <w:ilvl w:val="1"/>
          <w:numId w:val="24"/>
        </w:numPr>
        <w:spacing w:after="120" w:line="240" w:lineRule="auto"/>
        <w:ind w:left="567" w:hanging="567"/>
        <w:rPr>
          <w:rFonts w:ascii="Times New Roman" w:hAnsi="Times New Roman"/>
          <w:b/>
          <w:sz w:val="24"/>
          <w:szCs w:val="24"/>
        </w:rPr>
      </w:pPr>
      <w:r w:rsidRPr="00CE3398">
        <w:rPr>
          <w:rFonts w:ascii="Times New Roman" w:hAnsi="Times New Roman"/>
          <w:b/>
          <w:sz w:val="24"/>
          <w:szCs w:val="24"/>
        </w:rPr>
        <w:t>Depósito em Carburadores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 parcela de veículos automotores de ignição por centelha equipados com carburadores na frota nacional tende a diminuir, na medida da taxa de sucateamento des</w:t>
      </w:r>
      <w:r w:rsidR="00025F0E" w:rsidRPr="00CE3398">
        <w:rPr>
          <w:rFonts w:ascii="Times New Roman" w:hAnsi="Times New Roman"/>
          <w:sz w:val="24"/>
          <w:szCs w:val="24"/>
        </w:rPr>
        <w:t>s</w:t>
      </w:r>
      <w:r w:rsidRPr="00CE3398">
        <w:rPr>
          <w:rFonts w:ascii="Times New Roman" w:hAnsi="Times New Roman"/>
          <w:sz w:val="24"/>
          <w:szCs w:val="24"/>
        </w:rPr>
        <w:t xml:space="preserve">a frota, uma vez que a produção atual emprega sistemas de injeção eletrônica.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 despeito da consideração acima e visando esclarecer se o programa de aditivação </w:t>
      </w:r>
      <w:r w:rsidR="0037622D" w:rsidRPr="00CE3398">
        <w:rPr>
          <w:rFonts w:ascii="Times New Roman" w:hAnsi="Times New Roman"/>
          <w:sz w:val="24"/>
          <w:szCs w:val="24"/>
        </w:rPr>
        <w:t xml:space="preserve">mínima da gasolina </w:t>
      </w:r>
      <w:r w:rsidRPr="00CE3398">
        <w:rPr>
          <w:rFonts w:ascii="Times New Roman" w:hAnsi="Times New Roman"/>
          <w:sz w:val="24"/>
          <w:szCs w:val="24"/>
        </w:rPr>
        <w:t>será benéfico também para veículos equipados com carburador, s</w:t>
      </w:r>
      <w:r w:rsidR="00025F0E" w:rsidRPr="00CE3398">
        <w:rPr>
          <w:rFonts w:ascii="Times New Roman" w:hAnsi="Times New Roman"/>
          <w:sz w:val="24"/>
          <w:szCs w:val="24"/>
        </w:rPr>
        <w:t>er</w:t>
      </w:r>
      <w:r w:rsidRPr="00CE3398">
        <w:rPr>
          <w:rFonts w:ascii="Times New Roman" w:hAnsi="Times New Roman"/>
          <w:sz w:val="24"/>
          <w:szCs w:val="24"/>
        </w:rPr>
        <w:t xml:space="preserve">ão avaliados, a seguir, a formação e os efeitos de depósitos </w:t>
      </w:r>
      <w:r w:rsidR="00025F0E" w:rsidRPr="00CE3398">
        <w:rPr>
          <w:rFonts w:ascii="Times New Roman" w:hAnsi="Times New Roman"/>
          <w:sz w:val="24"/>
          <w:szCs w:val="24"/>
        </w:rPr>
        <w:t xml:space="preserve">nesse </w:t>
      </w:r>
      <w:r w:rsidRPr="00CE3398">
        <w:rPr>
          <w:rFonts w:ascii="Times New Roman" w:hAnsi="Times New Roman"/>
          <w:sz w:val="24"/>
          <w:szCs w:val="24"/>
        </w:rPr>
        <w:t>sistema de dosagem de combustível.</w:t>
      </w:r>
    </w:p>
    <w:p w:rsidR="0002519A" w:rsidRPr="00CE3398" w:rsidRDefault="0002519A" w:rsidP="00ED4142">
      <w:pPr>
        <w:pStyle w:val="PargrafodaLista"/>
        <w:numPr>
          <w:ilvl w:val="2"/>
          <w:numId w:val="24"/>
        </w:numPr>
        <w:spacing w:after="120" w:line="240" w:lineRule="auto"/>
        <w:ind w:left="0" w:firstLine="0"/>
        <w:rPr>
          <w:rFonts w:ascii="Times New Roman" w:hAnsi="Times New Roman"/>
          <w:b/>
          <w:sz w:val="24"/>
          <w:szCs w:val="24"/>
        </w:rPr>
      </w:pPr>
      <w:r w:rsidRPr="00CE3398">
        <w:rPr>
          <w:rFonts w:ascii="Times New Roman" w:hAnsi="Times New Roman"/>
          <w:b/>
          <w:sz w:val="24"/>
          <w:szCs w:val="24"/>
        </w:rPr>
        <w:t>Formação de depósito em carburadores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Os aspectos que governam a taxa de formação de depósitos no carburador são essencialmente a composição do combustível, a intensidade de tráfego – rotação e carga – e as condições climáticas. A presença de hidrocarbonetos insaturados – principalmente olefinas e diolefinas – na composição do combustível passa por oxidação parcial, levando à formação de gomas e resinas, que por sua vez atuam como ligantes para precursores de depósitos, como resíduos dos gases de exaustão (EGR), gases de </w:t>
      </w:r>
      <w:r w:rsidRPr="00CE3398">
        <w:rPr>
          <w:rFonts w:ascii="Times New Roman" w:hAnsi="Times New Roman"/>
          <w:i/>
          <w:sz w:val="24"/>
          <w:szCs w:val="24"/>
        </w:rPr>
        <w:t>blow-by</w:t>
      </w:r>
      <w:r w:rsidRPr="00CE3398">
        <w:rPr>
          <w:rFonts w:ascii="Times New Roman" w:hAnsi="Times New Roman"/>
          <w:sz w:val="24"/>
          <w:szCs w:val="24"/>
        </w:rPr>
        <w:t xml:space="preserve"> (PCV) e poeira, que podem adentrar o carburador e contribuir para a formação de depósitos (EPA, 1995).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Nishizaki et al. (1979), em um teste com dezesseis gasolinas distintas de pontos de ebulição próximos, concluíram que, quanto maior o teor de olefinas no combustível, maior a quantidade de depósitos no carburador. A oxidação do combustível pode ainda ocorrer diretamente no corpo da borboleta do carburador, durante o período de resfriamento que se segue após o motor ser desligado (</w:t>
      </w:r>
      <w:r w:rsidR="00C661DD" w:rsidRPr="00CE3398">
        <w:rPr>
          <w:rFonts w:ascii="Times New Roman" w:hAnsi="Times New Roman"/>
          <w:i/>
          <w:sz w:val="24"/>
          <w:szCs w:val="24"/>
        </w:rPr>
        <w:t>California Air Resource Board</w:t>
      </w:r>
      <w:r w:rsidRPr="00CE3398">
        <w:rPr>
          <w:rFonts w:ascii="Times New Roman" w:hAnsi="Times New Roman"/>
          <w:sz w:val="24"/>
          <w:szCs w:val="24"/>
        </w:rPr>
        <w:t>, 1990). Quanto ao teor de enxofre, Franklin et al. (1972) concluíram que concentrações mais altas deste elemento no combustível favorecem o acúmulo de depósitos em carburadores.</w:t>
      </w:r>
    </w:p>
    <w:p w:rsidR="0002519A"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No que diz respeito ao regime de funcionamento do motor, Nishizaki </w:t>
      </w:r>
      <w:proofErr w:type="gramStart"/>
      <w:r w:rsidRPr="00CE3398">
        <w:rPr>
          <w:rFonts w:ascii="Times New Roman" w:hAnsi="Times New Roman"/>
          <w:sz w:val="24"/>
          <w:szCs w:val="24"/>
        </w:rPr>
        <w:t>et</w:t>
      </w:r>
      <w:proofErr w:type="gramEnd"/>
      <w:r w:rsidRPr="00CE3398">
        <w:rPr>
          <w:rFonts w:ascii="Times New Roman" w:hAnsi="Times New Roman"/>
          <w:sz w:val="24"/>
          <w:szCs w:val="24"/>
        </w:rPr>
        <w:t xml:space="preserve"> al. (1979) demonstraram que condições de rotação e carga médias são as que mais propiciam a formação de depósitos em carburadores.</w:t>
      </w:r>
    </w:p>
    <w:p w:rsidR="009164E3" w:rsidRPr="00CE3398" w:rsidRDefault="009164E3" w:rsidP="0002519A">
      <w:pPr>
        <w:tabs>
          <w:tab w:val="left" w:pos="0"/>
        </w:tabs>
        <w:spacing w:after="120" w:line="240" w:lineRule="auto"/>
        <w:ind w:firstLine="709"/>
        <w:jc w:val="both"/>
        <w:rPr>
          <w:rFonts w:ascii="Times New Roman" w:hAnsi="Times New Roman"/>
          <w:sz w:val="24"/>
          <w:szCs w:val="24"/>
        </w:rPr>
      </w:pPr>
    </w:p>
    <w:p w:rsidR="0002519A" w:rsidRPr="00CE3398" w:rsidRDefault="0002519A" w:rsidP="00ED4142">
      <w:pPr>
        <w:pStyle w:val="PargrafodaLista"/>
        <w:numPr>
          <w:ilvl w:val="2"/>
          <w:numId w:val="24"/>
        </w:numPr>
        <w:spacing w:after="120" w:line="240" w:lineRule="auto"/>
        <w:ind w:left="0" w:firstLine="0"/>
        <w:rPr>
          <w:rFonts w:ascii="Times New Roman" w:hAnsi="Times New Roman"/>
          <w:b/>
          <w:sz w:val="24"/>
          <w:szCs w:val="24"/>
        </w:rPr>
      </w:pPr>
      <w:r w:rsidRPr="00CE3398">
        <w:rPr>
          <w:rFonts w:ascii="Times New Roman" w:hAnsi="Times New Roman"/>
          <w:b/>
          <w:sz w:val="24"/>
          <w:szCs w:val="24"/>
        </w:rPr>
        <w:lastRenderedPageBreak/>
        <w:t>Impacto dos depósitos nos carburadores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Depósitos em carburadores restringem o fluxo de ar, resultando no enriquecimento da mistura ar-combustível. Isso pode causar falhas em marcha lenta, parada repentina do motor, aceleração deficiente, aumento do consumo de combustível e aumento nas emissões gasosas de hidrocarbonetos (HC), monóxido de carbono (CO) e, em alguns casos, óxidos de nitrogênio (NO</w:t>
      </w:r>
      <w:r w:rsidRPr="00CE3398">
        <w:rPr>
          <w:rFonts w:ascii="Times New Roman" w:hAnsi="Times New Roman"/>
          <w:sz w:val="24"/>
          <w:szCs w:val="24"/>
          <w:vertAlign w:val="subscript"/>
        </w:rPr>
        <w:t>X</w:t>
      </w:r>
      <w:r w:rsidRPr="00CE3398">
        <w:rPr>
          <w:rFonts w:ascii="Times New Roman" w:hAnsi="Times New Roman"/>
          <w:sz w:val="24"/>
          <w:szCs w:val="24"/>
        </w:rPr>
        <w:t>) (</w:t>
      </w:r>
      <w:r w:rsidR="00FA291C" w:rsidRPr="00CE3398">
        <w:rPr>
          <w:rFonts w:ascii="Times New Roman" w:hAnsi="Times New Roman"/>
          <w:i/>
          <w:sz w:val="24"/>
          <w:szCs w:val="24"/>
        </w:rPr>
        <w:t>California Air Resource Board</w:t>
      </w:r>
      <w:r w:rsidRPr="00CE3398">
        <w:rPr>
          <w:rFonts w:ascii="Times New Roman" w:hAnsi="Times New Roman"/>
          <w:sz w:val="24"/>
          <w:szCs w:val="24"/>
        </w:rPr>
        <w:t xml:space="preserve">, 1990; </w:t>
      </w:r>
      <w:r w:rsidR="00FA291C" w:rsidRPr="00CE3398">
        <w:rPr>
          <w:rFonts w:ascii="Times New Roman" w:hAnsi="Times New Roman"/>
          <w:sz w:val="24"/>
          <w:szCs w:val="24"/>
        </w:rPr>
        <w:t>Sigworth &amp; Payne</w:t>
      </w:r>
      <w:r w:rsidRPr="00CE3398">
        <w:rPr>
          <w:rFonts w:ascii="Times New Roman" w:hAnsi="Times New Roman"/>
          <w:sz w:val="24"/>
          <w:szCs w:val="24"/>
        </w:rPr>
        <w:t xml:space="preserve">, 1954; </w:t>
      </w:r>
      <w:r w:rsidR="00FA291C" w:rsidRPr="00CE3398">
        <w:rPr>
          <w:rFonts w:ascii="Times New Roman" w:hAnsi="Times New Roman"/>
          <w:sz w:val="24"/>
          <w:szCs w:val="24"/>
        </w:rPr>
        <w:t>Hall &amp; Gibbs</w:t>
      </w:r>
      <w:r w:rsidRPr="00CE3398">
        <w:rPr>
          <w:rFonts w:ascii="Times New Roman" w:hAnsi="Times New Roman"/>
          <w:sz w:val="24"/>
          <w:szCs w:val="24"/>
        </w:rPr>
        <w:t xml:space="preserve">, 1976; </w:t>
      </w:r>
      <w:r w:rsidR="00FA291C" w:rsidRPr="00CE3398">
        <w:rPr>
          <w:rFonts w:ascii="Times New Roman" w:hAnsi="Times New Roman"/>
          <w:sz w:val="24"/>
          <w:szCs w:val="24"/>
        </w:rPr>
        <w:t>Retzloff</w:t>
      </w:r>
      <w:r w:rsidRPr="00CE3398">
        <w:rPr>
          <w:rFonts w:ascii="Times New Roman" w:hAnsi="Times New Roman"/>
          <w:sz w:val="24"/>
          <w:szCs w:val="24"/>
        </w:rPr>
        <w:t xml:space="preserve"> et al</w:t>
      </w:r>
      <w:r w:rsidR="00450EFE" w:rsidRPr="00CE3398">
        <w:rPr>
          <w:rFonts w:ascii="Times New Roman" w:hAnsi="Times New Roman"/>
          <w:sz w:val="24"/>
          <w:szCs w:val="24"/>
        </w:rPr>
        <w:t>.</w:t>
      </w:r>
      <w:r w:rsidRPr="00CE3398">
        <w:rPr>
          <w:rFonts w:ascii="Times New Roman" w:hAnsi="Times New Roman"/>
          <w:sz w:val="24"/>
          <w:szCs w:val="24"/>
        </w:rPr>
        <w:t xml:space="preserve">, 1972; </w:t>
      </w:r>
      <w:r w:rsidR="00FA291C" w:rsidRPr="00CE3398">
        <w:rPr>
          <w:rFonts w:ascii="Times New Roman" w:hAnsi="Times New Roman"/>
          <w:sz w:val="24"/>
          <w:szCs w:val="24"/>
        </w:rPr>
        <w:t>Kipp</w:t>
      </w:r>
      <w:r w:rsidRPr="00CE3398">
        <w:rPr>
          <w:rFonts w:ascii="Times New Roman" w:hAnsi="Times New Roman"/>
          <w:sz w:val="24"/>
          <w:szCs w:val="24"/>
        </w:rPr>
        <w:t xml:space="preserve"> et al</w:t>
      </w:r>
      <w:r w:rsidR="00450EFE" w:rsidRPr="00CE3398">
        <w:rPr>
          <w:rFonts w:ascii="Times New Roman" w:hAnsi="Times New Roman"/>
          <w:sz w:val="24"/>
          <w:szCs w:val="24"/>
        </w:rPr>
        <w:t>.</w:t>
      </w:r>
      <w:r w:rsidRPr="00CE3398">
        <w:rPr>
          <w:rFonts w:ascii="Times New Roman" w:hAnsi="Times New Roman"/>
          <w:sz w:val="24"/>
          <w:szCs w:val="24"/>
        </w:rPr>
        <w:t xml:space="preserve">, 1970; </w:t>
      </w:r>
      <w:r w:rsidR="00FA291C" w:rsidRPr="00CE3398">
        <w:rPr>
          <w:rFonts w:ascii="Times New Roman" w:hAnsi="Times New Roman"/>
          <w:sz w:val="24"/>
          <w:szCs w:val="24"/>
        </w:rPr>
        <w:t>Gibbs &amp; Richardson</w:t>
      </w:r>
      <w:r w:rsidRPr="00CE3398">
        <w:rPr>
          <w:rFonts w:ascii="Times New Roman" w:hAnsi="Times New Roman"/>
          <w:sz w:val="24"/>
          <w:szCs w:val="24"/>
        </w:rPr>
        <w:t>, 1979).</w:t>
      </w:r>
    </w:p>
    <w:p w:rsidR="0002519A" w:rsidRPr="00CE3398" w:rsidRDefault="0002519A" w:rsidP="0002519A">
      <w:pPr>
        <w:pStyle w:val="PargrafodaLista"/>
        <w:numPr>
          <w:ilvl w:val="1"/>
          <w:numId w:val="24"/>
        </w:numPr>
        <w:spacing w:after="120" w:line="240" w:lineRule="auto"/>
        <w:ind w:left="567" w:hanging="567"/>
        <w:rPr>
          <w:rFonts w:ascii="Times New Roman" w:hAnsi="Times New Roman"/>
          <w:sz w:val="24"/>
          <w:szCs w:val="24"/>
        </w:rPr>
      </w:pPr>
      <w:r w:rsidRPr="00CE3398">
        <w:rPr>
          <w:rFonts w:ascii="Times New Roman" w:hAnsi="Times New Roman"/>
          <w:b/>
          <w:sz w:val="24"/>
          <w:szCs w:val="24"/>
        </w:rPr>
        <w:t>Depósitos</w:t>
      </w:r>
      <w:r w:rsidRPr="00CE3398">
        <w:rPr>
          <w:rFonts w:ascii="Times New Roman" w:hAnsi="Times New Roman"/>
          <w:sz w:val="24"/>
          <w:szCs w:val="24"/>
        </w:rPr>
        <w:t xml:space="preserve"> </w:t>
      </w:r>
      <w:r w:rsidRPr="00CE3398">
        <w:rPr>
          <w:rFonts w:ascii="Times New Roman" w:hAnsi="Times New Roman"/>
          <w:b/>
          <w:sz w:val="24"/>
          <w:szCs w:val="24"/>
        </w:rPr>
        <w:t>em Bicos Injetores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Um problema generalizado envolvendo depósitos em bicos injetores tornou-se crítico nos Estados Unidos em meados dos anos </w:t>
      </w:r>
      <w:r w:rsidR="007754C3" w:rsidRPr="00CE3398">
        <w:rPr>
          <w:rFonts w:ascii="Times New Roman" w:hAnsi="Times New Roman"/>
          <w:sz w:val="24"/>
          <w:szCs w:val="24"/>
        </w:rPr>
        <w:t>19</w:t>
      </w:r>
      <w:r w:rsidRPr="00CE3398">
        <w:rPr>
          <w:rFonts w:ascii="Times New Roman" w:hAnsi="Times New Roman"/>
          <w:sz w:val="24"/>
          <w:szCs w:val="24"/>
        </w:rPr>
        <w:t>80, impulsionando o estudo da natureza e formação de depósitos nesses sistemas e o desenvolvimento de testes e aditivos detergentes dispersantes (</w:t>
      </w:r>
      <w:r w:rsidR="00DD3322" w:rsidRPr="00CE3398">
        <w:rPr>
          <w:rFonts w:ascii="Times New Roman" w:hAnsi="Times New Roman"/>
          <w:sz w:val="24"/>
          <w:szCs w:val="24"/>
        </w:rPr>
        <w:t>Kalghatgi</w:t>
      </w:r>
      <w:r w:rsidRPr="00CE3398">
        <w:rPr>
          <w:rFonts w:ascii="Times New Roman" w:hAnsi="Times New Roman"/>
          <w:sz w:val="24"/>
          <w:szCs w:val="24"/>
        </w:rPr>
        <w:t>, 1990). O sistema de injeção eletrônica passou a ser utilizado no Brasil em 1988 (</w:t>
      </w:r>
      <w:r w:rsidR="00DD3322" w:rsidRPr="00CE3398">
        <w:rPr>
          <w:rFonts w:ascii="Times New Roman" w:hAnsi="Times New Roman"/>
          <w:sz w:val="24"/>
          <w:szCs w:val="24"/>
        </w:rPr>
        <w:t>Terra</w:t>
      </w:r>
      <w:r w:rsidRPr="00CE3398">
        <w:rPr>
          <w:rFonts w:ascii="Times New Roman" w:hAnsi="Times New Roman"/>
          <w:sz w:val="24"/>
          <w:szCs w:val="24"/>
        </w:rPr>
        <w:t>, 2012) e, atualmente, toda a produção de veículos automotores utiliza essa tecnologia.</w:t>
      </w:r>
    </w:p>
    <w:p w:rsidR="0002519A" w:rsidRPr="00CE3398" w:rsidRDefault="0002519A" w:rsidP="00ED4142">
      <w:pPr>
        <w:pStyle w:val="PargrafodaLista"/>
        <w:numPr>
          <w:ilvl w:val="2"/>
          <w:numId w:val="24"/>
        </w:numPr>
        <w:spacing w:after="120" w:line="240" w:lineRule="auto"/>
        <w:ind w:left="0" w:firstLine="0"/>
        <w:rPr>
          <w:rFonts w:ascii="Times New Roman" w:hAnsi="Times New Roman"/>
          <w:b/>
          <w:sz w:val="24"/>
          <w:szCs w:val="24"/>
        </w:rPr>
      </w:pPr>
      <w:r w:rsidRPr="00CE3398">
        <w:rPr>
          <w:rFonts w:ascii="Times New Roman" w:hAnsi="Times New Roman"/>
          <w:b/>
          <w:sz w:val="24"/>
          <w:szCs w:val="24"/>
        </w:rPr>
        <w:t xml:space="preserve">Formação de </w:t>
      </w:r>
      <w:r w:rsidR="009C581E" w:rsidRPr="00CE3398">
        <w:rPr>
          <w:rFonts w:ascii="Times New Roman" w:hAnsi="Times New Roman"/>
          <w:b/>
          <w:sz w:val="24"/>
          <w:szCs w:val="24"/>
        </w:rPr>
        <w:t>d</w:t>
      </w:r>
      <w:r w:rsidRPr="00CE3398">
        <w:rPr>
          <w:rFonts w:ascii="Times New Roman" w:hAnsi="Times New Roman"/>
          <w:b/>
          <w:sz w:val="24"/>
          <w:szCs w:val="24"/>
        </w:rPr>
        <w:t xml:space="preserve">epósitos em </w:t>
      </w:r>
      <w:r w:rsidR="009C581E" w:rsidRPr="00CE3398">
        <w:rPr>
          <w:rFonts w:ascii="Times New Roman" w:hAnsi="Times New Roman"/>
          <w:b/>
          <w:sz w:val="24"/>
          <w:szCs w:val="24"/>
        </w:rPr>
        <w:t>b</w:t>
      </w:r>
      <w:r w:rsidRPr="00CE3398">
        <w:rPr>
          <w:rFonts w:ascii="Times New Roman" w:hAnsi="Times New Roman"/>
          <w:b/>
          <w:sz w:val="24"/>
          <w:szCs w:val="24"/>
        </w:rPr>
        <w:t xml:space="preserve">icos </w:t>
      </w:r>
      <w:r w:rsidR="009C581E" w:rsidRPr="00CE3398">
        <w:rPr>
          <w:rFonts w:ascii="Times New Roman" w:hAnsi="Times New Roman"/>
          <w:b/>
          <w:sz w:val="24"/>
          <w:szCs w:val="24"/>
        </w:rPr>
        <w:t>i</w:t>
      </w:r>
      <w:r w:rsidRPr="00CE3398">
        <w:rPr>
          <w:rFonts w:ascii="Times New Roman" w:hAnsi="Times New Roman"/>
          <w:b/>
          <w:sz w:val="24"/>
          <w:szCs w:val="24"/>
        </w:rPr>
        <w:t>njetores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 formação de depósitos em bicos injetores está diretamente relacionada ao perfil de temperatura ao qual está submetido cada injetor nos instantes que se seguem ao desligamento do motor. Temperaturas mais altas favorecem a formação de depósitos. É essencial que haja temperaturas acima de 100°C na ponta do bico injetor para que ocorra a polimerização dos compostos que ali permanecem após a interrupção do fluxo de combustível, de forma a gerar o depósito. Assim, o projeto do habitáculo do motor e a posição dos injetores são fatores chaves para a formação de depósitos em bicos injetores (</w:t>
      </w:r>
      <w:r w:rsidR="00D42A5C" w:rsidRPr="00CE3398">
        <w:rPr>
          <w:rFonts w:ascii="Times New Roman" w:hAnsi="Times New Roman"/>
          <w:sz w:val="24"/>
          <w:szCs w:val="24"/>
        </w:rPr>
        <w:t>Tupa</w:t>
      </w:r>
      <w:r w:rsidRPr="00CE3398">
        <w:rPr>
          <w:rFonts w:ascii="Times New Roman" w:hAnsi="Times New Roman"/>
          <w:sz w:val="24"/>
          <w:szCs w:val="24"/>
        </w:rPr>
        <w:t xml:space="preserve"> et al</w:t>
      </w:r>
      <w:r w:rsidR="00450EFE" w:rsidRPr="00CE3398">
        <w:rPr>
          <w:rFonts w:ascii="Times New Roman" w:hAnsi="Times New Roman"/>
          <w:sz w:val="24"/>
          <w:szCs w:val="24"/>
        </w:rPr>
        <w:t>.</w:t>
      </w:r>
      <w:r w:rsidRPr="00CE3398">
        <w:rPr>
          <w:rFonts w:ascii="Times New Roman" w:hAnsi="Times New Roman"/>
          <w:sz w:val="24"/>
          <w:szCs w:val="24"/>
        </w:rPr>
        <w:t xml:space="preserve">, 1986; </w:t>
      </w:r>
      <w:r w:rsidR="00D42A5C" w:rsidRPr="00CE3398">
        <w:rPr>
          <w:rFonts w:ascii="Times New Roman" w:hAnsi="Times New Roman"/>
          <w:sz w:val="24"/>
          <w:szCs w:val="24"/>
        </w:rPr>
        <w:t>Abramo</w:t>
      </w:r>
      <w:r w:rsidRPr="00CE3398">
        <w:rPr>
          <w:rFonts w:ascii="Times New Roman" w:hAnsi="Times New Roman"/>
          <w:sz w:val="24"/>
          <w:szCs w:val="24"/>
        </w:rPr>
        <w:t xml:space="preserve"> et al</w:t>
      </w:r>
      <w:r w:rsidR="00450EFE" w:rsidRPr="00CE3398">
        <w:rPr>
          <w:rFonts w:ascii="Times New Roman" w:hAnsi="Times New Roman"/>
          <w:sz w:val="24"/>
          <w:szCs w:val="24"/>
        </w:rPr>
        <w:t>.</w:t>
      </w:r>
      <w:r w:rsidRPr="00CE3398">
        <w:rPr>
          <w:rFonts w:ascii="Times New Roman" w:hAnsi="Times New Roman"/>
          <w:sz w:val="24"/>
          <w:szCs w:val="24"/>
        </w:rPr>
        <w:t>, 1986).</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Regimes de funcionamento em que ocorrem partidas e desligamentos frequentes do motor propiciam o acúmulo de depósitos em injetores. Estudos confirmaram que depósitos em bicos injetores não se formam em operações contínuas do motor </w:t>
      </w:r>
      <w:r w:rsidR="00450EFE" w:rsidRPr="00CE3398">
        <w:rPr>
          <w:rFonts w:ascii="Times New Roman" w:hAnsi="Times New Roman"/>
          <w:sz w:val="24"/>
          <w:szCs w:val="24"/>
        </w:rPr>
        <w:t>(</w:t>
      </w:r>
      <w:r w:rsidRPr="00CE3398">
        <w:rPr>
          <w:rFonts w:ascii="Times New Roman" w:hAnsi="Times New Roman"/>
          <w:sz w:val="24"/>
          <w:szCs w:val="24"/>
        </w:rPr>
        <w:t>quando há fluxo de combustível no injetor</w:t>
      </w:r>
      <w:r w:rsidR="00450EFE" w:rsidRPr="00CE3398">
        <w:rPr>
          <w:rFonts w:ascii="Times New Roman" w:hAnsi="Times New Roman"/>
          <w:sz w:val="24"/>
          <w:szCs w:val="24"/>
        </w:rPr>
        <w:t>)</w:t>
      </w:r>
      <w:r w:rsidRPr="00CE3398">
        <w:rPr>
          <w:rFonts w:ascii="Times New Roman" w:hAnsi="Times New Roman"/>
          <w:sz w:val="24"/>
          <w:szCs w:val="24"/>
        </w:rPr>
        <w:t>, seja em alta rotação ou em marcha lenta (Tupa et al</w:t>
      </w:r>
      <w:r w:rsidR="00450EFE" w:rsidRPr="00CE3398">
        <w:rPr>
          <w:rFonts w:ascii="Times New Roman" w:hAnsi="Times New Roman"/>
          <w:sz w:val="24"/>
          <w:szCs w:val="24"/>
        </w:rPr>
        <w:t>.</w:t>
      </w:r>
      <w:r w:rsidRPr="00CE3398">
        <w:rPr>
          <w:rFonts w:ascii="Times New Roman" w:hAnsi="Times New Roman"/>
          <w:sz w:val="24"/>
          <w:szCs w:val="24"/>
        </w:rPr>
        <w:t>, 1986).</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Experiências de campo mostraram que o perfil de composição da gasolina e a falta de aditivo detergente dispersante são também fatores que influenciam a velocidade de formação de depósitos em bicos injetores (TUPA et al</w:t>
      </w:r>
      <w:r w:rsidR="00450EFE" w:rsidRPr="00CE3398">
        <w:rPr>
          <w:rFonts w:ascii="Times New Roman" w:hAnsi="Times New Roman"/>
          <w:sz w:val="24"/>
          <w:szCs w:val="24"/>
        </w:rPr>
        <w:t>.</w:t>
      </w:r>
      <w:r w:rsidRPr="00CE3398">
        <w:rPr>
          <w:rFonts w:ascii="Times New Roman" w:hAnsi="Times New Roman"/>
          <w:sz w:val="24"/>
          <w:szCs w:val="24"/>
        </w:rPr>
        <w:t>, 1986).</w:t>
      </w:r>
    </w:p>
    <w:p w:rsidR="0002519A" w:rsidRPr="00CE3398" w:rsidRDefault="0002519A" w:rsidP="00ED4142">
      <w:pPr>
        <w:pStyle w:val="PargrafodaLista"/>
        <w:numPr>
          <w:ilvl w:val="2"/>
          <w:numId w:val="24"/>
        </w:numPr>
        <w:spacing w:after="120" w:line="240" w:lineRule="auto"/>
        <w:ind w:left="0" w:firstLine="0"/>
        <w:rPr>
          <w:rFonts w:ascii="Times New Roman" w:hAnsi="Times New Roman"/>
          <w:b/>
          <w:sz w:val="24"/>
          <w:szCs w:val="24"/>
        </w:rPr>
      </w:pPr>
      <w:r w:rsidRPr="00CE3398">
        <w:rPr>
          <w:rFonts w:ascii="Times New Roman" w:hAnsi="Times New Roman"/>
          <w:b/>
          <w:sz w:val="24"/>
          <w:szCs w:val="24"/>
        </w:rPr>
        <w:t>Impacto dos depósitos nos bicos injetores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Depósitos em bicos injetores prejudicam o fluxo de gasolina e afetam o padrão do jato. Os sintomas são marcha lenta irregular, falhas durante a aceleração, perdas de potência e dirigibilidade, aumento de emissões e do consumo de combustível (</w:t>
      </w:r>
      <w:r w:rsidR="00660EEB" w:rsidRPr="00CE3398">
        <w:rPr>
          <w:rFonts w:ascii="Times New Roman" w:hAnsi="Times New Roman"/>
          <w:sz w:val="24"/>
          <w:szCs w:val="24"/>
        </w:rPr>
        <w:t>Tupa</w:t>
      </w:r>
      <w:r w:rsidRPr="00CE3398">
        <w:rPr>
          <w:rFonts w:ascii="Times New Roman" w:hAnsi="Times New Roman"/>
          <w:sz w:val="24"/>
          <w:szCs w:val="24"/>
        </w:rPr>
        <w:t xml:space="preserve"> et al</w:t>
      </w:r>
      <w:r w:rsidR="00660EEB" w:rsidRPr="00CE3398">
        <w:rPr>
          <w:rFonts w:ascii="Times New Roman" w:hAnsi="Times New Roman"/>
          <w:sz w:val="24"/>
          <w:szCs w:val="24"/>
        </w:rPr>
        <w:t>.</w:t>
      </w:r>
      <w:r w:rsidRPr="00CE3398">
        <w:rPr>
          <w:rFonts w:ascii="Times New Roman" w:hAnsi="Times New Roman"/>
          <w:sz w:val="24"/>
          <w:szCs w:val="24"/>
        </w:rPr>
        <w:t>, 1986).</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O impacto de depósitos em bicos injetores nas emissões veiculares já foi demonstrado em diversos estudos (</w:t>
      </w:r>
      <w:r w:rsidR="00C661DD" w:rsidRPr="00CE3398">
        <w:rPr>
          <w:rFonts w:ascii="Times New Roman" w:hAnsi="Times New Roman"/>
          <w:i/>
          <w:sz w:val="24"/>
          <w:szCs w:val="24"/>
        </w:rPr>
        <w:t>California Air Resource Board</w:t>
      </w:r>
      <w:r w:rsidRPr="00CE3398">
        <w:rPr>
          <w:rFonts w:ascii="Times New Roman" w:hAnsi="Times New Roman"/>
          <w:sz w:val="24"/>
          <w:szCs w:val="24"/>
        </w:rPr>
        <w:t xml:space="preserve">, 1990). Testes em veículos com restrições de fluxo de injetores variando de 20 a 25% mostraram os seguintes impactos nas emissões: 28% de aumento em HC, 266% de aumento em CO e 28% de aumento em NOx. Em outro teste com veículos que apresentavam em média 8% de restrição de fluxo de injetores, foram apresentadas as seguintes alterações nas emissões: aumento de 26% em HC, aumento de 16% em CO e diminuição de 5% em NOx (EPA, 1995).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Um conjunto de dados de emissões foi apresentado utilizando-se quatro conjuntos de injetores com níveis de incrustação variados. </w:t>
      </w:r>
      <w:r w:rsidR="00342286" w:rsidRPr="00CE3398">
        <w:rPr>
          <w:rFonts w:ascii="Times New Roman" w:hAnsi="Times New Roman"/>
          <w:sz w:val="24"/>
          <w:szCs w:val="24"/>
        </w:rPr>
        <w:t>Enquanto o</w:t>
      </w:r>
      <w:r w:rsidRPr="00CE3398">
        <w:rPr>
          <w:rFonts w:ascii="Times New Roman" w:hAnsi="Times New Roman"/>
          <w:sz w:val="24"/>
          <w:szCs w:val="24"/>
        </w:rPr>
        <w:t xml:space="preserve"> aumento na emissão de HC variou de 63% a 168%</w:t>
      </w:r>
      <w:r w:rsidR="00342286" w:rsidRPr="00CE3398">
        <w:rPr>
          <w:rFonts w:ascii="Times New Roman" w:hAnsi="Times New Roman"/>
          <w:sz w:val="24"/>
          <w:szCs w:val="24"/>
        </w:rPr>
        <w:t>,</w:t>
      </w:r>
      <w:r w:rsidRPr="00CE3398">
        <w:rPr>
          <w:rFonts w:ascii="Times New Roman" w:hAnsi="Times New Roman"/>
          <w:sz w:val="24"/>
          <w:szCs w:val="24"/>
        </w:rPr>
        <w:t xml:space="preserve"> no caso das emissões de CO, a variação ficou entre 129% e 668%. O efeito em NOx variou de um aumento de 106% até uma diminuição de 42%. Dados de outros testes em veículo com injetores sujos mostraram aumentos de 228% nas emissões de HC, 48% em CO e 169% em NOx (EPA, 1995).</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lastRenderedPageBreak/>
        <w:t>Os resultados apresentados acima demonstram que depósitos em bicos injetores podem aumentar significativamente as emissões de HC e CO. Entretanto, o efeito dos depósitos sobre as emissões de NOx é variável, sendo os dados, nes</w:t>
      </w:r>
      <w:r w:rsidR="00342286" w:rsidRPr="00CE3398">
        <w:rPr>
          <w:rFonts w:ascii="Times New Roman" w:hAnsi="Times New Roman"/>
          <w:sz w:val="24"/>
          <w:szCs w:val="24"/>
        </w:rPr>
        <w:t>s</w:t>
      </w:r>
      <w:r w:rsidRPr="00CE3398">
        <w:rPr>
          <w:rFonts w:ascii="Times New Roman" w:hAnsi="Times New Roman"/>
          <w:sz w:val="24"/>
          <w:szCs w:val="24"/>
        </w:rPr>
        <w:t>e caso, insuficientes para determinar o impacto final.</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Perdas significantes de potência, falhas de funcionamento em cargas e rotações médias, marcha lenta irregular e aumento do consumo de combustível causados pelo acúmulo de depósitos em bicos injetores foram exitosamente documentados em diversos estudos (</w:t>
      </w:r>
      <w:r w:rsidR="00342286" w:rsidRPr="00CE3398">
        <w:rPr>
          <w:rFonts w:ascii="Times New Roman" w:hAnsi="Times New Roman"/>
          <w:sz w:val="24"/>
          <w:szCs w:val="24"/>
        </w:rPr>
        <w:t>Tupa</w:t>
      </w:r>
      <w:r w:rsidRPr="00CE3398">
        <w:rPr>
          <w:rFonts w:ascii="Times New Roman" w:hAnsi="Times New Roman"/>
          <w:sz w:val="24"/>
          <w:szCs w:val="24"/>
        </w:rPr>
        <w:t xml:space="preserve"> et al</w:t>
      </w:r>
      <w:r w:rsidR="00342286" w:rsidRPr="00CE3398">
        <w:rPr>
          <w:rFonts w:ascii="Times New Roman" w:hAnsi="Times New Roman"/>
          <w:sz w:val="24"/>
          <w:szCs w:val="24"/>
        </w:rPr>
        <w:t>.</w:t>
      </w:r>
      <w:r w:rsidRPr="00CE3398">
        <w:rPr>
          <w:rFonts w:ascii="Times New Roman" w:hAnsi="Times New Roman"/>
          <w:sz w:val="24"/>
          <w:szCs w:val="24"/>
        </w:rPr>
        <w:t xml:space="preserve">, 1986; </w:t>
      </w:r>
      <w:r w:rsidR="00342286" w:rsidRPr="00CE3398">
        <w:rPr>
          <w:rFonts w:ascii="Times New Roman" w:hAnsi="Times New Roman"/>
          <w:sz w:val="24"/>
          <w:szCs w:val="24"/>
        </w:rPr>
        <w:t>Benson &amp; Yaccarino</w:t>
      </w:r>
      <w:r w:rsidRPr="00CE3398">
        <w:rPr>
          <w:rFonts w:ascii="Times New Roman" w:hAnsi="Times New Roman"/>
          <w:sz w:val="24"/>
          <w:szCs w:val="24"/>
        </w:rPr>
        <w:t xml:space="preserve">, 1986; </w:t>
      </w:r>
      <w:r w:rsidR="00342286" w:rsidRPr="00CE3398">
        <w:rPr>
          <w:rFonts w:ascii="Times New Roman" w:hAnsi="Times New Roman"/>
          <w:sz w:val="24"/>
          <w:szCs w:val="24"/>
        </w:rPr>
        <w:t>Taniguchi</w:t>
      </w:r>
      <w:r w:rsidRPr="00CE3398">
        <w:rPr>
          <w:rFonts w:ascii="Times New Roman" w:hAnsi="Times New Roman"/>
          <w:sz w:val="24"/>
          <w:szCs w:val="24"/>
        </w:rPr>
        <w:t xml:space="preserve"> et al</w:t>
      </w:r>
      <w:r w:rsidR="00342286" w:rsidRPr="00CE3398">
        <w:rPr>
          <w:rFonts w:ascii="Times New Roman" w:hAnsi="Times New Roman"/>
          <w:sz w:val="24"/>
          <w:szCs w:val="24"/>
        </w:rPr>
        <w:t>.</w:t>
      </w:r>
      <w:r w:rsidRPr="00CE3398">
        <w:rPr>
          <w:rFonts w:ascii="Times New Roman" w:hAnsi="Times New Roman"/>
          <w:sz w:val="24"/>
          <w:szCs w:val="24"/>
        </w:rPr>
        <w:t>, 1986).</w:t>
      </w:r>
    </w:p>
    <w:p w:rsidR="0002519A" w:rsidRPr="00CE3398" w:rsidRDefault="0002519A" w:rsidP="0002519A">
      <w:pPr>
        <w:pStyle w:val="PargrafodaLista"/>
        <w:numPr>
          <w:ilvl w:val="1"/>
          <w:numId w:val="24"/>
        </w:numPr>
        <w:spacing w:after="120" w:line="240" w:lineRule="auto"/>
        <w:ind w:left="567" w:hanging="567"/>
        <w:rPr>
          <w:rFonts w:ascii="Times New Roman" w:hAnsi="Times New Roman"/>
          <w:b/>
          <w:sz w:val="24"/>
          <w:szCs w:val="24"/>
        </w:rPr>
      </w:pPr>
      <w:r w:rsidRPr="00CE3398">
        <w:rPr>
          <w:rFonts w:ascii="Times New Roman" w:hAnsi="Times New Roman"/>
          <w:b/>
          <w:sz w:val="24"/>
          <w:szCs w:val="24"/>
        </w:rPr>
        <w:t>Depósitos em Válvulas de Admissão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Depósitos em válvulas de admissão se formam principalmente na região denominada tulipa. A origem desses depósitos está no combustível que constantemente passa por ali </w:t>
      </w:r>
      <w:r w:rsidR="0031583A" w:rsidRPr="00CE3398">
        <w:rPr>
          <w:rFonts w:ascii="Times New Roman" w:hAnsi="Times New Roman"/>
          <w:sz w:val="24"/>
          <w:szCs w:val="24"/>
        </w:rPr>
        <w:t>(</w:t>
      </w:r>
      <w:r w:rsidRPr="00CE3398">
        <w:rPr>
          <w:rFonts w:ascii="Times New Roman" w:hAnsi="Times New Roman"/>
          <w:sz w:val="24"/>
          <w:szCs w:val="24"/>
        </w:rPr>
        <w:t>no caso de veículos de ignição por centelha com injeção indireta</w:t>
      </w:r>
      <w:r w:rsidR="0031583A" w:rsidRPr="00CE3398">
        <w:rPr>
          <w:rFonts w:ascii="Times New Roman" w:hAnsi="Times New Roman"/>
          <w:sz w:val="24"/>
          <w:szCs w:val="24"/>
        </w:rPr>
        <w:t>)</w:t>
      </w:r>
      <w:r w:rsidRPr="00CE3398">
        <w:rPr>
          <w:rFonts w:ascii="Times New Roman" w:hAnsi="Times New Roman"/>
          <w:sz w:val="24"/>
          <w:szCs w:val="24"/>
        </w:rPr>
        <w:t xml:space="preserve"> e no óleo lubrificante que eventualmente escorre pela haste da válvula (</w:t>
      </w:r>
      <w:r w:rsidR="0031583A" w:rsidRPr="00CE3398">
        <w:rPr>
          <w:rFonts w:ascii="Times New Roman" w:hAnsi="Times New Roman"/>
          <w:sz w:val="24"/>
          <w:szCs w:val="24"/>
        </w:rPr>
        <w:t>Rogers &amp; Jonach</w:t>
      </w:r>
      <w:r w:rsidRPr="00CE3398">
        <w:rPr>
          <w:rFonts w:ascii="Times New Roman" w:hAnsi="Times New Roman"/>
          <w:sz w:val="24"/>
          <w:szCs w:val="24"/>
        </w:rPr>
        <w:t>, 1958).</w:t>
      </w:r>
    </w:p>
    <w:p w:rsidR="0002519A" w:rsidRPr="00CE3398" w:rsidRDefault="0002519A" w:rsidP="00A42214">
      <w:pPr>
        <w:pStyle w:val="PargrafodaLista"/>
        <w:numPr>
          <w:ilvl w:val="2"/>
          <w:numId w:val="24"/>
        </w:numPr>
        <w:spacing w:after="120" w:line="240" w:lineRule="auto"/>
        <w:ind w:left="0" w:firstLine="0"/>
        <w:rPr>
          <w:rFonts w:ascii="Times New Roman" w:hAnsi="Times New Roman"/>
          <w:b/>
          <w:sz w:val="24"/>
          <w:szCs w:val="24"/>
        </w:rPr>
      </w:pPr>
      <w:r w:rsidRPr="00CE3398">
        <w:rPr>
          <w:rFonts w:ascii="Times New Roman" w:hAnsi="Times New Roman"/>
          <w:b/>
          <w:sz w:val="24"/>
          <w:szCs w:val="24"/>
        </w:rPr>
        <w:t xml:space="preserve">Formação de </w:t>
      </w:r>
      <w:r w:rsidR="009C581E" w:rsidRPr="00CE3398">
        <w:rPr>
          <w:rFonts w:ascii="Times New Roman" w:hAnsi="Times New Roman"/>
          <w:b/>
          <w:sz w:val="24"/>
          <w:szCs w:val="24"/>
        </w:rPr>
        <w:t>d</w:t>
      </w:r>
      <w:r w:rsidRPr="00CE3398">
        <w:rPr>
          <w:rFonts w:ascii="Times New Roman" w:hAnsi="Times New Roman"/>
          <w:b/>
          <w:sz w:val="24"/>
          <w:szCs w:val="24"/>
        </w:rPr>
        <w:t xml:space="preserve">epósitos em </w:t>
      </w:r>
      <w:r w:rsidR="009C581E" w:rsidRPr="00CE3398">
        <w:rPr>
          <w:rFonts w:ascii="Times New Roman" w:hAnsi="Times New Roman"/>
          <w:b/>
          <w:sz w:val="24"/>
          <w:szCs w:val="24"/>
        </w:rPr>
        <w:t>v</w:t>
      </w:r>
      <w:r w:rsidRPr="00CE3398">
        <w:rPr>
          <w:rFonts w:ascii="Times New Roman" w:hAnsi="Times New Roman"/>
          <w:b/>
          <w:sz w:val="24"/>
          <w:szCs w:val="24"/>
        </w:rPr>
        <w:t xml:space="preserve">álvulas de </w:t>
      </w:r>
      <w:r w:rsidR="009C581E" w:rsidRPr="00CE3398">
        <w:rPr>
          <w:rFonts w:ascii="Times New Roman" w:hAnsi="Times New Roman"/>
          <w:b/>
          <w:sz w:val="24"/>
          <w:szCs w:val="24"/>
        </w:rPr>
        <w:t>a</w:t>
      </w:r>
      <w:r w:rsidRPr="00CE3398">
        <w:rPr>
          <w:rFonts w:ascii="Times New Roman" w:hAnsi="Times New Roman"/>
          <w:b/>
          <w:sz w:val="24"/>
          <w:szCs w:val="24"/>
        </w:rPr>
        <w:t>dmissão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O mecanismo químico de formação dos depósitos é complexo e pouco compreendido. Ainda assim, sabe-se que os principais fatores que determinam o acúmulo de depósitos em válvulas de admissão são: fração de líquido sobre a válvula, temperatura do ar de admissão, composição do combustível e temperatura da superfície da válvula (</w:t>
      </w:r>
      <w:r w:rsidR="00354036" w:rsidRPr="00CE3398">
        <w:rPr>
          <w:rFonts w:ascii="Times New Roman" w:hAnsi="Times New Roman"/>
          <w:sz w:val="24"/>
          <w:szCs w:val="24"/>
        </w:rPr>
        <w:t>Kalghatgi</w:t>
      </w:r>
      <w:r w:rsidRPr="00CE3398">
        <w:rPr>
          <w:rFonts w:ascii="Times New Roman" w:hAnsi="Times New Roman"/>
          <w:sz w:val="24"/>
          <w:szCs w:val="24"/>
        </w:rPr>
        <w:t>, 1990). Regimes de operação com cargas e rotações altas levam a maior deposição em válvulas de admissão (</w:t>
      </w:r>
      <w:r w:rsidR="00354036" w:rsidRPr="00CE3398">
        <w:rPr>
          <w:rFonts w:ascii="Times New Roman" w:hAnsi="Times New Roman"/>
          <w:sz w:val="24"/>
          <w:szCs w:val="24"/>
        </w:rPr>
        <w:t>Nishizaki</w:t>
      </w:r>
      <w:r w:rsidRPr="00CE3398">
        <w:rPr>
          <w:rFonts w:ascii="Times New Roman" w:hAnsi="Times New Roman"/>
          <w:sz w:val="24"/>
          <w:szCs w:val="24"/>
        </w:rPr>
        <w:t xml:space="preserve"> et al</w:t>
      </w:r>
      <w:r w:rsidR="00354036" w:rsidRPr="00CE3398">
        <w:rPr>
          <w:rFonts w:ascii="Times New Roman" w:hAnsi="Times New Roman"/>
          <w:sz w:val="24"/>
          <w:szCs w:val="24"/>
        </w:rPr>
        <w:t>.</w:t>
      </w:r>
      <w:r w:rsidRPr="00CE3398">
        <w:rPr>
          <w:rFonts w:ascii="Times New Roman" w:hAnsi="Times New Roman"/>
          <w:sz w:val="24"/>
          <w:szCs w:val="24"/>
        </w:rPr>
        <w:t>, 1979).</w:t>
      </w:r>
    </w:p>
    <w:p w:rsidR="0002519A" w:rsidRPr="00CE3398" w:rsidRDefault="0002519A" w:rsidP="00A42214">
      <w:pPr>
        <w:pStyle w:val="PargrafodaLista"/>
        <w:numPr>
          <w:ilvl w:val="2"/>
          <w:numId w:val="24"/>
        </w:numPr>
        <w:spacing w:after="120" w:line="240" w:lineRule="auto"/>
        <w:ind w:left="0" w:firstLine="0"/>
        <w:rPr>
          <w:rFonts w:ascii="Times New Roman" w:hAnsi="Times New Roman"/>
          <w:b/>
          <w:sz w:val="24"/>
          <w:szCs w:val="24"/>
        </w:rPr>
      </w:pPr>
      <w:r w:rsidRPr="00CE3398">
        <w:rPr>
          <w:rFonts w:ascii="Times New Roman" w:hAnsi="Times New Roman"/>
          <w:b/>
          <w:sz w:val="24"/>
          <w:szCs w:val="24"/>
        </w:rPr>
        <w:t xml:space="preserve">Impacto dos </w:t>
      </w:r>
      <w:r w:rsidR="009C581E" w:rsidRPr="00CE3398">
        <w:rPr>
          <w:rFonts w:ascii="Times New Roman" w:hAnsi="Times New Roman"/>
          <w:b/>
          <w:sz w:val="24"/>
          <w:szCs w:val="24"/>
        </w:rPr>
        <w:t>d</w:t>
      </w:r>
      <w:r w:rsidRPr="00CE3398">
        <w:rPr>
          <w:rFonts w:ascii="Times New Roman" w:hAnsi="Times New Roman"/>
          <w:b/>
          <w:sz w:val="24"/>
          <w:szCs w:val="24"/>
        </w:rPr>
        <w:t xml:space="preserve">epósitos em </w:t>
      </w:r>
      <w:r w:rsidR="009C581E" w:rsidRPr="00CE3398">
        <w:rPr>
          <w:rFonts w:ascii="Times New Roman" w:hAnsi="Times New Roman"/>
          <w:b/>
          <w:sz w:val="24"/>
          <w:szCs w:val="24"/>
        </w:rPr>
        <w:t>v</w:t>
      </w:r>
      <w:r w:rsidRPr="00CE3398">
        <w:rPr>
          <w:rFonts w:ascii="Times New Roman" w:hAnsi="Times New Roman"/>
          <w:b/>
          <w:sz w:val="24"/>
          <w:szCs w:val="24"/>
        </w:rPr>
        <w:t xml:space="preserve">álvulas de </w:t>
      </w:r>
      <w:r w:rsidR="009C581E" w:rsidRPr="00CE3398">
        <w:rPr>
          <w:rFonts w:ascii="Times New Roman" w:hAnsi="Times New Roman"/>
          <w:b/>
          <w:sz w:val="24"/>
          <w:szCs w:val="24"/>
        </w:rPr>
        <w:t>a</w:t>
      </w:r>
      <w:r w:rsidRPr="00CE3398">
        <w:rPr>
          <w:rFonts w:ascii="Times New Roman" w:hAnsi="Times New Roman"/>
          <w:b/>
          <w:sz w:val="24"/>
          <w:szCs w:val="24"/>
        </w:rPr>
        <w:t>dmissão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O efeito de depósitos em válvulas de admissão foi demonstrado em alguns programas de testes em veículos. O benefício ambiental do controle desses depósitos é considerável, dada a magnitude do potencial impacto nas emissões demonstrad</w:t>
      </w:r>
      <w:r w:rsidR="000C09EB" w:rsidRPr="00CE3398">
        <w:rPr>
          <w:rFonts w:ascii="Times New Roman" w:hAnsi="Times New Roman"/>
          <w:sz w:val="24"/>
          <w:szCs w:val="24"/>
        </w:rPr>
        <w:t>a</w:t>
      </w:r>
      <w:r w:rsidRPr="00CE3398">
        <w:rPr>
          <w:rFonts w:ascii="Times New Roman" w:hAnsi="Times New Roman"/>
          <w:sz w:val="24"/>
          <w:szCs w:val="24"/>
        </w:rPr>
        <w:t xml:space="preserve"> nestes estudos. Um desses estudos sugere que o efeito de depósitos em válvulas de admissão pode ser uma função linear da quantidade de depósitos e, ainda, que qualquer nível de depósitos em válvulas pode apresentar um efeito adverso nas emissões de escapamento (</w:t>
      </w:r>
      <w:r w:rsidR="000C09EB" w:rsidRPr="00CE3398">
        <w:rPr>
          <w:rFonts w:ascii="Times New Roman" w:hAnsi="Times New Roman"/>
          <w:sz w:val="24"/>
          <w:szCs w:val="24"/>
        </w:rPr>
        <w:t>Houser &amp; Crosby</w:t>
      </w:r>
      <w:r w:rsidRPr="00CE3398">
        <w:rPr>
          <w:rFonts w:ascii="Times New Roman" w:hAnsi="Times New Roman"/>
          <w:sz w:val="24"/>
          <w:szCs w:val="24"/>
        </w:rPr>
        <w:t xml:space="preserve">, </w:t>
      </w:r>
      <w:r w:rsidR="003C2F75" w:rsidRPr="00CE3398">
        <w:rPr>
          <w:rFonts w:ascii="Times New Roman" w:hAnsi="Times New Roman"/>
          <w:sz w:val="24"/>
          <w:szCs w:val="24"/>
        </w:rPr>
        <w:t>1992</w:t>
      </w:r>
      <w:r w:rsidRPr="00CE3398">
        <w:rPr>
          <w:rFonts w:ascii="Times New Roman" w:hAnsi="Times New Roman"/>
          <w:sz w:val="24"/>
          <w:szCs w:val="24"/>
        </w:rPr>
        <w:t>). No referido estudo, foi utilizada uma frota de 20 modelos ano 1990, representativa da tecnologia veicular de controle de emissões existente à época. O efeito médio dos depósitos nas válvulas mostrou um aumento de 11% nas emissões de CO e 15% em NOx e um aumento médio de 12% nas emissões de HC. Outros estudos comprovaram o aumento na emissão de NOx ocasionado por depósitos em válvulas de admissão (</w:t>
      </w:r>
      <w:r w:rsidR="00652592" w:rsidRPr="00CE3398">
        <w:rPr>
          <w:rFonts w:ascii="Times New Roman" w:hAnsi="Times New Roman"/>
          <w:sz w:val="24"/>
          <w:szCs w:val="24"/>
        </w:rPr>
        <w:t>Taniguchi</w:t>
      </w:r>
      <w:r w:rsidRPr="00CE3398">
        <w:rPr>
          <w:rFonts w:ascii="Times New Roman" w:hAnsi="Times New Roman"/>
          <w:sz w:val="24"/>
          <w:szCs w:val="24"/>
        </w:rPr>
        <w:t xml:space="preserve"> et al</w:t>
      </w:r>
      <w:r w:rsidR="00652592" w:rsidRPr="00CE3398">
        <w:rPr>
          <w:rFonts w:ascii="Times New Roman" w:hAnsi="Times New Roman"/>
          <w:sz w:val="24"/>
          <w:szCs w:val="24"/>
        </w:rPr>
        <w:t>.</w:t>
      </w:r>
      <w:r w:rsidRPr="00CE3398">
        <w:rPr>
          <w:rFonts w:ascii="Times New Roman" w:hAnsi="Times New Roman"/>
          <w:sz w:val="24"/>
          <w:szCs w:val="24"/>
        </w:rPr>
        <w:t xml:space="preserve">, 1986; </w:t>
      </w:r>
      <w:r w:rsidR="00652592" w:rsidRPr="00CE3398">
        <w:rPr>
          <w:rFonts w:ascii="Times New Roman" w:hAnsi="Times New Roman"/>
          <w:sz w:val="24"/>
          <w:szCs w:val="24"/>
        </w:rPr>
        <w:t>Gething</w:t>
      </w:r>
      <w:r w:rsidRPr="00CE3398">
        <w:rPr>
          <w:rFonts w:ascii="Times New Roman" w:hAnsi="Times New Roman"/>
          <w:sz w:val="24"/>
          <w:szCs w:val="24"/>
        </w:rPr>
        <w:t xml:space="preserve">, 1987; </w:t>
      </w:r>
      <w:r w:rsidR="00652592" w:rsidRPr="00CE3398">
        <w:rPr>
          <w:rFonts w:ascii="Times New Roman" w:hAnsi="Times New Roman"/>
          <w:sz w:val="24"/>
          <w:szCs w:val="24"/>
        </w:rPr>
        <w:t>Niewhauve</w:t>
      </w:r>
      <w:r w:rsidRPr="00CE3398">
        <w:rPr>
          <w:rFonts w:ascii="Times New Roman" w:hAnsi="Times New Roman"/>
          <w:sz w:val="24"/>
          <w:szCs w:val="24"/>
        </w:rPr>
        <w:t xml:space="preserve"> et al</w:t>
      </w:r>
      <w:r w:rsidR="00652592" w:rsidRPr="00CE3398">
        <w:rPr>
          <w:rFonts w:ascii="Times New Roman" w:hAnsi="Times New Roman"/>
          <w:sz w:val="24"/>
          <w:szCs w:val="24"/>
        </w:rPr>
        <w:t>.</w:t>
      </w:r>
      <w:r w:rsidRPr="00CE3398">
        <w:rPr>
          <w:rFonts w:ascii="Times New Roman" w:hAnsi="Times New Roman"/>
          <w:sz w:val="24"/>
          <w:szCs w:val="24"/>
        </w:rPr>
        <w:t>, 1978/</w:t>
      </w:r>
      <w:r w:rsidR="00652592" w:rsidRPr="00CE3398">
        <w:rPr>
          <w:rFonts w:ascii="Times New Roman" w:hAnsi="Times New Roman"/>
          <w:sz w:val="24"/>
          <w:szCs w:val="24"/>
        </w:rPr>
        <w:t>19</w:t>
      </w:r>
      <w:r w:rsidRPr="00CE3398">
        <w:rPr>
          <w:rFonts w:ascii="Times New Roman" w:hAnsi="Times New Roman"/>
          <w:sz w:val="24"/>
          <w:szCs w:val="24"/>
        </w:rPr>
        <w:t>79).</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 eliminação dos depósitos nas válvulas gerou uma diminuição significativa nas emissões de NOx, entre 6% e 54%. O efeito em CO e HC é mais variável, com alguns veículos mostrando uma diminuição e outros, um aumento, depois de removidos os depósitos em válvulas (EPA, 1995).</w:t>
      </w:r>
    </w:p>
    <w:p w:rsidR="0002519A" w:rsidRPr="00CE3398" w:rsidRDefault="0002519A" w:rsidP="00E67AFA">
      <w:pPr>
        <w:tabs>
          <w:tab w:val="left" w:pos="0"/>
        </w:tabs>
        <w:spacing w:after="240" w:line="240" w:lineRule="auto"/>
        <w:ind w:firstLine="709"/>
        <w:jc w:val="both"/>
        <w:rPr>
          <w:rFonts w:ascii="Times New Roman" w:hAnsi="Times New Roman"/>
          <w:sz w:val="24"/>
          <w:szCs w:val="24"/>
        </w:rPr>
      </w:pPr>
      <w:r w:rsidRPr="00CE3398">
        <w:rPr>
          <w:rFonts w:ascii="Times New Roman" w:hAnsi="Times New Roman"/>
          <w:sz w:val="24"/>
          <w:szCs w:val="24"/>
        </w:rPr>
        <w:t>Os problemas de desempenho do veículo causados por depósitos em válvulas de admissão são mais pronunciados no regime transiente de aquecimento do motor. Os efeitos mais comuns são perda de potência, funcionamento irregular do motor e resposta lenta à aceleração (</w:t>
      </w:r>
      <w:r w:rsidR="00D736C8" w:rsidRPr="00CE3398">
        <w:rPr>
          <w:rFonts w:ascii="Times New Roman" w:hAnsi="Times New Roman"/>
          <w:sz w:val="24"/>
          <w:szCs w:val="24"/>
        </w:rPr>
        <w:t>Taniguchi</w:t>
      </w:r>
      <w:r w:rsidRPr="00CE3398">
        <w:rPr>
          <w:rFonts w:ascii="Times New Roman" w:hAnsi="Times New Roman"/>
          <w:sz w:val="24"/>
          <w:szCs w:val="24"/>
        </w:rPr>
        <w:t xml:space="preserve"> et al</w:t>
      </w:r>
      <w:r w:rsidR="00D736C8" w:rsidRPr="00CE3398">
        <w:rPr>
          <w:rFonts w:ascii="Times New Roman" w:hAnsi="Times New Roman"/>
          <w:sz w:val="24"/>
          <w:szCs w:val="24"/>
        </w:rPr>
        <w:t>.</w:t>
      </w:r>
      <w:r w:rsidRPr="00CE3398">
        <w:rPr>
          <w:rFonts w:ascii="Times New Roman" w:hAnsi="Times New Roman"/>
          <w:sz w:val="24"/>
          <w:szCs w:val="24"/>
        </w:rPr>
        <w:t xml:space="preserve">, 1986; </w:t>
      </w:r>
      <w:r w:rsidR="00D736C8" w:rsidRPr="00CE3398">
        <w:rPr>
          <w:rFonts w:ascii="Times New Roman" w:hAnsi="Times New Roman"/>
          <w:sz w:val="24"/>
          <w:szCs w:val="24"/>
        </w:rPr>
        <w:t>Bitting</w:t>
      </w:r>
      <w:r w:rsidRPr="00CE3398">
        <w:rPr>
          <w:rFonts w:ascii="Times New Roman" w:hAnsi="Times New Roman"/>
          <w:sz w:val="24"/>
          <w:szCs w:val="24"/>
        </w:rPr>
        <w:t xml:space="preserve"> et al</w:t>
      </w:r>
      <w:r w:rsidR="00D736C8" w:rsidRPr="00CE3398">
        <w:rPr>
          <w:rFonts w:ascii="Times New Roman" w:hAnsi="Times New Roman"/>
          <w:sz w:val="24"/>
          <w:szCs w:val="24"/>
        </w:rPr>
        <w:t>.</w:t>
      </w:r>
      <w:r w:rsidRPr="00CE3398">
        <w:rPr>
          <w:rFonts w:ascii="Times New Roman" w:hAnsi="Times New Roman"/>
          <w:sz w:val="24"/>
          <w:szCs w:val="24"/>
        </w:rPr>
        <w:t xml:space="preserve">, 1987; </w:t>
      </w:r>
      <w:r w:rsidR="00D736C8" w:rsidRPr="00CE3398">
        <w:rPr>
          <w:rFonts w:ascii="Times New Roman" w:hAnsi="Times New Roman"/>
          <w:sz w:val="24"/>
          <w:szCs w:val="24"/>
        </w:rPr>
        <w:t>Tomita</w:t>
      </w:r>
      <w:r w:rsidRPr="00CE3398">
        <w:rPr>
          <w:rFonts w:ascii="Times New Roman" w:hAnsi="Times New Roman"/>
          <w:sz w:val="24"/>
          <w:szCs w:val="24"/>
        </w:rPr>
        <w:t xml:space="preserve"> et al</w:t>
      </w:r>
      <w:r w:rsidR="00D736C8" w:rsidRPr="00CE3398">
        <w:rPr>
          <w:rFonts w:ascii="Times New Roman" w:hAnsi="Times New Roman"/>
          <w:sz w:val="24"/>
          <w:szCs w:val="24"/>
        </w:rPr>
        <w:t>.</w:t>
      </w:r>
      <w:r w:rsidRPr="00CE3398">
        <w:rPr>
          <w:rFonts w:ascii="Times New Roman" w:hAnsi="Times New Roman"/>
          <w:sz w:val="24"/>
          <w:szCs w:val="24"/>
        </w:rPr>
        <w:t>, 1990).</w:t>
      </w:r>
    </w:p>
    <w:p w:rsidR="0002519A" w:rsidRPr="00CE3398" w:rsidRDefault="0002519A" w:rsidP="00E67AFA">
      <w:pPr>
        <w:pStyle w:val="PargrafodaLista"/>
        <w:numPr>
          <w:ilvl w:val="0"/>
          <w:numId w:val="24"/>
        </w:numPr>
        <w:spacing w:before="120" w:after="120" w:line="360" w:lineRule="auto"/>
        <w:ind w:left="357" w:hanging="357"/>
        <w:rPr>
          <w:rFonts w:ascii="Times New Roman" w:hAnsi="Times New Roman"/>
          <w:b/>
          <w:sz w:val="24"/>
          <w:szCs w:val="24"/>
        </w:rPr>
      </w:pPr>
      <w:r w:rsidRPr="00CE3398">
        <w:rPr>
          <w:rFonts w:ascii="Times New Roman" w:hAnsi="Times New Roman"/>
          <w:b/>
          <w:sz w:val="24"/>
          <w:szCs w:val="24"/>
        </w:rPr>
        <w:t>Tipos de Aditivos Detergentes</w:t>
      </w:r>
    </w:p>
    <w:p w:rsidR="0002519A" w:rsidRPr="00CE3398" w:rsidRDefault="0002519A" w:rsidP="00E67AFA">
      <w:pPr>
        <w:pStyle w:val="PargrafodaLista"/>
        <w:numPr>
          <w:ilvl w:val="1"/>
          <w:numId w:val="24"/>
        </w:numPr>
        <w:spacing w:before="120" w:after="120" w:line="240" w:lineRule="auto"/>
        <w:ind w:left="567" w:hanging="567"/>
        <w:rPr>
          <w:rFonts w:ascii="Times New Roman" w:hAnsi="Times New Roman"/>
          <w:b/>
          <w:sz w:val="24"/>
          <w:szCs w:val="24"/>
        </w:rPr>
      </w:pPr>
      <w:r w:rsidRPr="00CE3398">
        <w:rPr>
          <w:rFonts w:ascii="Times New Roman" w:hAnsi="Times New Roman"/>
          <w:b/>
          <w:sz w:val="24"/>
          <w:szCs w:val="24"/>
        </w:rPr>
        <w:t>Aditivos Detergentes para Carburadores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Aditivos controladores de depósitos em carburadores são detergentes produzidos a partir de aminas, carboxiladas ou não, de baixa massa molecular. Essas moléculas possuem uma cabeça polar acoplada por meio de uma ligação apropriada a uma cauda apolar. As terminações polares são atraídas por superfícies metálicas, por depósitos e por precursores de depósitos, enquanto as caudas </w:t>
      </w:r>
      <w:r w:rsidRPr="00CE3398">
        <w:rPr>
          <w:rFonts w:ascii="Times New Roman" w:hAnsi="Times New Roman"/>
          <w:sz w:val="24"/>
          <w:szCs w:val="24"/>
        </w:rPr>
        <w:lastRenderedPageBreak/>
        <w:t>apolares das moléculas são solúveis no combustível (</w:t>
      </w:r>
      <w:r w:rsidR="006F44DC" w:rsidRPr="00CE3398">
        <w:rPr>
          <w:rFonts w:ascii="Times New Roman" w:hAnsi="Times New Roman"/>
          <w:sz w:val="24"/>
          <w:szCs w:val="24"/>
        </w:rPr>
        <w:t>Udelhofen &amp; Zahalka</w:t>
      </w:r>
      <w:r w:rsidRPr="00CE3398">
        <w:rPr>
          <w:rFonts w:ascii="Times New Roman" w:hAnsi="Times New Roman"/>
          <w:sz w:val="24"/>
          <w:szCs w:val="24"/>
        </w:rPr>
        <w:t>, 1988). Esses aditivos são tipicamente adicionados à gasolina na proporção de 40 a 60 miligramas de aditivo por quilograma de combustível (</w:t>
      </w:r>
      <w:r w:rsidR="006F44DC" w:rsidRPr="00CE3398">
        <w:rPr>
          <w:rFonts w:ascii="Times New Roman" w:hAnsi="Times New Roman"/>
          <w:sz w:val="24"/>
          <w:szCs w:val="24"/>
        </w:rPr>
        <w:t>Tupa &amp; Dorer</w:t>
      </w:r>
      <w:r w:rsidRPr="00CE3398">
        <w:rPr>
          <w:rFonts w:ascii="Times New Roman" w:hAnsi="Times New Roman"/>
          <w:sz w:val="24"/>
          <w:szCs w:val="24"/>
        </w:rPr>
        <w:t>,1986).</w:t>
      </w:r>
    </w:p>
    <w:p w:rsidR="0002519A" w:rsidRPr="00CE3398" w:rsidRDefault="0002519A" w:rsidP="0002519A">
      <w:pPr>
        <w:pStyle w:val="PargrafodaLista"/>
        <w:numPr>
          <w:ilvl w:val="1"/>
          <w:numId w:val="24"/>
        </w:numPr>
        <w:spacing w:after="120" w:line="240" w:lineRule="auto"/>
        <w:ind w:left="567" w:hanging="567"/>
        <w:rPr>
          <w:rFonts w:ascii="Times New Roman" w:hAnsi="Times New Roman"/>
          <w:b/>
          <w:sz w:val="24"/>
          <w:szCs w:val="24"/>
        </w:rPr>
      </w:pPr>
      <w:r w:rsidRPr="00CE3398">
        <w:rPr>
          <w:rFonts w:ascii="Times New Roman" w:hAnsi="Times New Roman"/>
          <w:b/>
          <w:sz w:val="24"/>
          <w:szCs w:val="24"/>
        </w:rPr>
        <w:t>Aditivos para Controle de Depósitos em Bicos Injetores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Alguns aditivos controladores de depósitos em bicos injetores, por vezes chamados de detergentes para injetores são, na verdade, detergentes para carburadores aplicados em concentrações maiores, de forma a obter-se o benefício de limpeza em bicos injetores. Apesar desses aditivos efetivamente limparem bicos injetores, alguns apresentam efeitos colaterais de decomposição e oxidação, propiciando o acúmulo de depósitos em válvulas e coletores de admissão (</w:t>
      </w:r>
      <w:r w:rsidR="00BC459D" w:rsidRPr="00CE3398">
        <w:rPr>
          <w:rFonts w:ascii="Times New Roman" w:hAnsi="Times New Roman"/>
          <w:i/>
          <w:sz w:val="24"/>
          <w:szCs w:val="24"/>
        </w:rPr>
        <w:t>California Air Resource Board</w:t>
      </w:r>
      <w:r w:rsidRPr="00CE3398">
        <w:rPr>
          <w:rFonts w:ascii="Times New Roman" w:hAnsi="Times New Roman"/>
          <w:sz w:val="24"/>
          <w:szCs w:val="24"/>
        </w:rPr>
        <w:t>, 1990).</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Os detergentes dispersantes são outro tipo de aditivo para bicos injetores, compostos por succinamidas alcenílicas ou aminas hidrocarbílicas. Além da função detergente, esses aditivos apresentam a propriedade de dispersar depósitos em finas partículas, o que permite que os depósitos passem do sistema de combustível para dentro da câmara de combustão, para serem então queimados com o combustível. Esses aditivos podem limpar também coletores de admissão, mas não são efetivos na limpeza de carburadores ou no controle de depósitos em válvulas de admissão (</w:t>
      </w:r>
      <w:r w:rsidR="00BC459D" w:rsidRPr="00CE3398">
        <w:rPr>
          <w:rFonts w:ascii="Times New Roman" w:hAnsi="Times New Roman"/>
          <w:i/>
          <w:sz w:val="24"/>
          <w:szCs w:val="24"/>
        </w:rPr>
        <w:t>California Air Resource Board</w:t>
      </w:r>
      <w:r w:rsidRPr="00CE3398">
        <w:rPr>
          <w:rFonts w:ascii="Times New Roman" w:hAnsi="Times New Roman"/>
          <w:sz w:val="24"/>
          <w:szCs w:val="24"/>
        </w:rPr>
        <w:t>, 1990).</w:t>
      </w:r>
    </w:p>
    <w:p w:rsidR="0002519A" w:rsidRPr="00CE3398" w:rsidRDefault="0002519A" w:rsidP="0002519A">
      <w:pPr>
        <w:pStyle w:val="PargrafodaLista"/>
        <w:numPr>
          <w:ilvl w:val="1"/>
          <w:numId w:val="24"/>
        </w:numPr>
        <w:spacing w:after="120" w:line="240" w:lineRule="auto"/>
        <w:ind w:left="567" w:hanging="567"/>
        <w:rPr>
          <w:rFonts w:ascii="Times New Roman" w:hAnsi="Times New Roman"/>
          <w:b/>
          <w:sz w:val="24"/>
          <w:szCs w:val="24"/>
        </w:rPr>
      </w:pPr>
      <w:r w:rsidRPr="00CE3398">
        <w:rPr>
          <w:rFonts w:ascii="Times New Roman" w:hAnsi="Times New Roman"/>
          <w:b/>
          <w:sz w:val="24"/>
          <w:szCs w:val="24"/>
        </w:rPr>
        <w:t>Aditivos para Controle de Depósitos em Válvulas de Admissão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Aditivos para controle de depósitos em válvulas de admissão são hidrocarbonetos de estruturas poliméricas de alta massa molecular. Esses aditivos são termicamente mais estáveis e menos atraídos pelas superfícies metálicas do que os detergentes simples ou detergentes dispersantes. Essa menor afinidade pelas superfícies metálicas os torna menos propensos a induzirem à formação de depósitos em válvulas e coletores de admissão. Por serem hidrocarbonetos de cadeias mais longas, relativamente aos detergentes dispersantes, os aditivos para controle de depósitos em válvulas de admissão possuem maior solubilidade no combustível e melhor capacidade de dispersar depósitos e seus precursores. Dependendo da concentração, aditivos para controle de depósitos em válvulas de admissão podem ainda limpar ou prevenir depósitos em carburadores, injetores, coletores e válvulas de admissão (</w:t>
      </w:r>
      <w:r w:rsidR="00BC459D" w:rsidRPr="00CE3398">
        <w:rPr>
          <w:rFonts w:ascii="Times New Roman" w:hAnsi="Times New Roman"/>
          <w:i/>
          <w:sz w:val="24"/>
          <w:szCs w:val="24"/>
        </w:rPr>
        <w:t>California Air Resource Board</w:t>
      </w:r>
      <w:r w:rsidRPr="00CE3398">
        <w:rPr>
          <w:rFonts w:ascii="Times New Roman" w:hAnsi="Times New Roman"/>
          <w:sz w:val="24"/>
          <w:szCs w:val="24"/>
        </w:rPr>
        <w:t>, 1990).</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No início da década de 1970, aditivos para controle de depósitos em válvulas de admissão eram baseados em moléculas de poliolefinas, normalmente o polibuteno, e tinham de ser adicionados de um óleo carreador de base sintética ou mineral. Quando aditivos poliolefínicos são adicionados à gasolina sem chumbo, eles induzem </w:t>
      </w:r>
      <w:r w:rsidR="00246E3B" w:rsidRPr="00CE3398">
        <w:rPr>
          <w:rFonts w:ascii="Times New Roman" w:hAnsi="Times New Roman"/>
          <w:sz w:val="24"/>
          <w:szCs w:val="24"/>
        </w:rPr>
        <w:t xml:space="preserve">à </w:t>
      </w:r>
      <w:r w:rsidRPr="00CE3398">
        <w:rPr>
          <w:rFonts w:ascii="Times New Roman" w:hAnsi="Times New Roman"/>
          <w:sz w:val="24"/>
          <w:szCs w:val="24"/>
        </w:rPr>
        <w:t>formação de depósitos em câmaras de combustão, o que demanda uma gasolina de maior octanagem. Outro efeito colateral desses aditivos consiste no aumento do grau de elevação da viscosidade do óleo lubrificante, devido à penetração do óleo carreador e das moléculas de polibutileno no cárter do motor (</w:t>
      </w:r>
      <w:r w:rsidR="00BC459D" w:rsidRPr="00CE3398">
        <w:rPr>
          <w:rFonts w:ascii="Times New Roman" w:hAnsi="Times New Roman"/>
          <w:i/>
          <w:sz w:val="24"/>
          <w:szCs w:val="24"/>
        </w:rPr>
        <w:t>California Air Resource Board</w:t>
      </w:r>
      <w:r w:rsidRPr="00CE3398">
        <w:rPr>
          <w:rFonts w:ascii="Times New Roman" w:hAnsi="Times New Roman"/>
          <w:sz w:val="24"/>
          <w:szCs w:val="24"/>
        </w:rPr>
        <w:t>, 1990).</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Para contornar esses problemas, no início da década de 1980 foram desenvolvidos aditivos para controle de depósitos em válvulas baseados em estruturas de poliéter. Aditivos baseados em poliéteres possuem a mesma habilidade de limpeza dos polibutenos, com a vantagem de produzir menos depósitos em câmaras de combustão e não necessitar de óleo carreador. A ausência do óleo carreador ameniza a elevação de viscosidade do óleo lubrificante do cárter do motor. Aditivos para controle de depósitos em válvulas são tipicamente adicionados à gasolina em dosagens de 20 a 600 miligramas de aditivo por quilograma de combustível (</w:t>
      </w:r>
      <w:r w:rsidR="00BC459D" w:rsidRPr="00CE3398">
        <w:rPr>
          <w:rFonts w:ascii="Times New Roman" w:hAnsi="Times New Roman"/>
          <w:i/>
          <w:sz w:val="24"/>
          <w:szCs w:val="24"/>
        </w:rPr>
        <w:t>California Air Resource Board</w:t>
      </w:r>
      <w:r w:rsidRPr="00CE3398">
        <w:rPr>
          <w:rFonts w:ascii="Times New Roman" w:hAnsi="Times New Roman"/>
          <w:sz w:val="24"/>
          <w:szCs w:val="24"/>
        </w:rPr>
        <w:t>, 1990).</w:t>
      </w:r>
    </w:p>
    <w:p w:rsidR="0002519A" w:rsidRDefault="0002519A" w:rsidP="0002519A">
      <w:pPr>
        <w:tabs>
          <w:tab w:val="left" w:pos="0"/>
        </w:tabs>
        <w:spacing w:after="120" w:line="240" w:lineRule="auto"/>
        <w:jc w:val="both"/>
        <w:rPr>
          <w:rFonts w:ascii="Times New Roman" w:hAnsi="Times New Roman"/>
          <w:sz w:val="24"/>
          <w:szCs w:val="24"/>
        </w:rPr>
      </w:pPr>
    </w:p>
    <w:p w:rsidR="00E67AFA" w:rsidRDefault="00E67AFA" w:rsidP="0002519A">
      <w:pPr>
        <w:tabs>
          <w:tab w:val="left" w:pos="0"/>
        </w:tabs>
        <w:spacing w:after="120" w:line="240" w:lineRule="auto"/>
        <w:jc w:val="both"/>
        <w:rPr>
          <w:rFonts w:ascii="Times New Roman" w:hAnsi="Times New Roman"/>
          <w:sz w:val="24"/>
          <w:szCs w:val="24"/>
        </w:rPr>
      </w:pPr>
    </w:p>
    <w:p w:rsidR="00E67AFA" w:rsidRPr="00CE3398" w:rsidRDefault="00E67AFA" w:rsidP="0002519A">
      <w:pPr>
        <w:tabs>
          <w:tab w:val="left" w:pos="0"/>
        </w:tabs>
        <w:spacing w:after="120" w:line="240" w:lineRule="auto"/>
        <w:jc w:val="both"/>
        <w:rPr>
          <w:rFonts w:ascii="Times New Roman" w:hAnsi="Times New Roman"/>
          <w:sz w:val="24"/>
          <w:szCs w:val="24"/>
        </w:rPr>
      </w:pPr>
    </w:p>
    <w:p w:rsidR="0002519A" w:rsidRPr="00CE3398" w:rsidRDefault="0002519A" w:rsidP="0002519A">
      <w:pPr>
        <w:pStyle w:val="PargrafodaLista"/>
        <w:numPr>
          <w:ilvl w:val="0"/>
          <w:numId w:val="24"/>
        </w:numPr>
        <w:spacing w:after="120" w:line="240" w:lineRule="auto"/>
        <w:rPr>
          <w:rFonts w:ascii="Times New Roman" w:hAnsi="Times New Roman"/>
          <w:b/>
          <w:sz w:val="24"/>
          <w:szCs w:val="24"/>
        </w:rPr>
      </w:pPr>
      <w:r w:rsidRPr="00CE3398">
        <w:rPr>
          <w:rFonts w:ascii="Times New Roman" w:hAnsi="Times New Roman"/>
          <w:b/>
          <w:sz w:val="24"/>
          <w:szCs w:val="24"/>
        </w:rPr>
        <w:lastRenderedPageBreak/>
        <w:t>Benefícios da Utilização de Aditivos Controladores de Depósitos na Gasolina</w:t>
      </w:r>
    </w:p>
    <w:p w:rsidR="0002519A" w:rsidRPr="00CE3398" w:rsidRDefault="0002519A" w:rsidP="0002519A">
      <w:pPr>
        <w:pStyle w:val="PargrafodaLista"/>
        <w:spacing w:after="120" w:line="240" w:lineRule="auto"/>
        <w:ind w:left="360"/>
        <w:rPr>
          <w:rFonts w:ascii="Times New Roman" w:hAnsi="Times New Roman"/>
          <w:b/>
          <w:sz w:val="24"/>
          <w:szCs w:val="24"/>
        </w:rPr>
      </w:pPr>
    </w:p>
    <w:p w:rsidR="0002519A" w:rsidRPr="00CE3398" w:rsidRDefault="0002519A" w:rsidP="0002519A">
      <w:pPr>
        <w:pStyle w:val="PargrafodaLista"/>
        <w:numPr>
          <w:ilvl w:val="1"/>
          <w:numId w:val="24"/>
        </w:numPr>
        <w:spacing w:after="120" w:line="240" w:lineRule="auto"/>
        <w:ind w:left="567" w:hanging="567"/>
        <w:rPr>
          <w:rFonts w:ascii="Times New Roman" w:hAnsi="Times New Roman"/>
          <w:b/>
          <w:sz w:val="24"/>
          <w:szCs w:val="24"/>
        </w:rPr>
      </w:pPr>
      <w:r w:rsidRPr="00CE3398">
        <w:rPr>
          <w:rFonts w:ascii="Times New Roman" w:hAnsi="Times New Roman"/>
          <w:b/>
          <w:sz w:val="24"/>
          <w:szCs w:val="24"/>
        </w:rPr>
        <w:t>Benefícios Diretos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Considerando que o acúmulo de depósitos em carburadores, bicos injetores e válvulas de admissão comprovadamente deterioram alguns aspectos de emissões de escapamento e de desempenho de veículos, inibir a formação de depósitos nesses componentes do motor é uma forma de mitigar as emissões de fontes veiculares e desacelerar o aumento do consumo de gasolina.</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Numerosos estudos comprovam a diminuição do consumo de combustível e de emissões de escapamento com o uso de aditivos detergentes em veículos equipados com carburador (</w:t>
      </w:r>
      <w:r w:rsidR="00312C14" w:rsidRPr="00CE3398">
        <w:rPr>
          <w:rFonts w:ascii="Times New Roman" w:hAnsi="Times New Roman"/>
          <w:sz w:val="24"/>
          <w:szCs w:val="24"/>
        </w:rPr>
        <w:t>Retzloff</w:t>
      </w:r>
      <w:r w:rsidRPr="00CE3398">
        <w:rPr>
          <w:rFonts w:ascii="Times New Roman" w:hAnsi="Times New Roman"/>
          <w:sz w:val="24"/>
          <w:szCs w:val="24"/>
        </w:rPr>
        <w:t xml:space="preserve"> et al, 1972; </w:t>
      </w:r>
      <w:r w:rsidR="00312C14" w:rsidRPr="00CE3398">
        <w:rPr>
          <w:rFonts w:ascii="Times New Roman" w:hAnsi="Times New Roman"/>
          <w:sz w:val="24"/>
          <w:szCs w:val="24"/>
        </w:rPr>
        <w:t>Hall &amp; Gibbs</w:t>
      </w:r>
      <w:r w:rsidRPr="00CE3398">
        <w:rPr>
          <w:rFonts w:ascii="Times New Roman" w:hAnsi="Times New Roman"/>
          <w:sz w:val="24"/>
          <w:szCs w:val="24"/>
        </w:rPr>
        <w:t xml:space="preserve">, 1976; </w:t>
      </w:r>
      <w:r w:rsidR="00312C14" w:rsidRPr="00CE3398">
        <w:rPr>
          <w:rFonts w:ascii="Times New Roman" w:hAnsi="Times New Roman"/>
          <w:sz w:val="24"/>
          <w:szCs w:val="24"/>
        </w:rPr>
        <w:t>Kipp</w:t>
      </w:r>
      <w:r w:rsidRPr="00CE3398">
        <w:rPr>
          <w:rFonts w:ascii="Times New Roman" w:hAnsi="Times New Roman"/>
          <w:sz w:val="24"/>
          <w:szCs w:val="24"/>
        </w:rPr>
        <w:t xml:space="preserve"> et al</w:t>
      </w:r>
      <w:r w:rsidR="00312C14" w:rsidRPr="00CE3398">
        <w:rPr>
          <w:rFonts w:ascii="Times New Roman" w:hAnsi="Times New Roman"/>
          <w:sz w:val="24"/>
          <w:szCs w:val="24"/>
        </w:rPr>
        <w:t>.</w:t>
      </w:r>
      <w:r w:rsidRPr="00CE3398">
        <w:rPr>
          <w:rFonts w:ascii="Times New Roman" w:hAnsi="Times New Roman"/>
          <w:sz w:val="24"/>
          <w:szCs w:val="24"/>
        </w:rPr>
        <w:t xml:space="preserve">, 1970; </w:t>
      </w:r>
      <w:r w:rsidR="00312C14" w:rsidRPr="00CE3398">
        <w:rPr>
          <w:rFonts w:ascii="Times New Roman" w:hAnsi="Times New Roman"/>
          <w:sz w:val="24"/>
          <w:szCs w:val="24"/>
        </w:rPr>
        <w:t>Gibbs &amp; Richardson</w:t>
      </w:r>
      <w:r w:rsidRPr="00CE3398">
        <w:rPr>
          <w:rFonts w:ascii="Times New Roman" w:hAnsi="Times New Roman"/>
          <w:sz w:val="24"/>
          <w:szCs w:val="24"/>
        </w:rPr>
        <w:t xml:space="preserve">, 1979; </w:t>
      </w:r>
      <w:r w:rsidR="00312C14" w:rsidRPr="00CE3398">
        <w:rPr>
          <w:rFonts w:ascii="Times New Roman" w:hAnsi="Times New Roman"/>
          <w:sz w:val="24"/>
          <w:szCs w:val="24"/>
        </w:rPr>
        <w:t>Franklin</w:t>
      </w:r>
      <w:r w:rsidRPr="00CE3398">
        <w:rPr>
          <w:rFonts w:ascii="Times New Roman" w:hAnsi="Times New Roman"/>
          <w:sz w:val="24"/>
          <w:szCs w:val="24"/>
        </w:rPr>
        <w:t xml:space="preserve"> et al</w:t>
      </w:r>
      <w:r w:rsidR="00312C14" w:rsidRPr="00CE3398">
        <w:rPr>
          <w:rFonts w:ascii="Times New Roman" w:hAnsi="Times New Roman"/>
          <w:sz w:val="24"/>
          <w:szCs w:val="24"/>
        </w:rPr>
        <w:t>.</w:t>
      </w:r>
      <w:r w:rsidRPr="00CE3398">
        <w:rPr>
          <w:rFonts w:ascii="Times New Roman" w:hAnsi="Times New Roman"/>
          <w:sz w:val="24"/>
          <w:szCs w:val="24"/>
        </w:rPr>
        <w:t xml:space="preserve">, 1972; </w:t>
      </w:r>
      <w:r w:rsidR="00312C14" w:rsidRPr="00CE3398">
        <w:rPr>
          <w:rFonts w:ascii="Times New Roman" w:hAnsi="Times New Roman"/>
          <w:sz w:val="24"/>
          <w:szCs w:val="24"/>
        </w:rPr>
        <w:t>Dable &amp; Sheahan</w:t>
      </w:r>
      <w:r w:rsidRPr="00CE3398">
        <w:rPr>
          <w:rFonts w:ascii="Times New Roman" w:hAnsi="Times New Roman"/>
          <w:sz w:val="24"/>
          <w:szCs w:val="24"/>
        </w:rPr>
        <w:t xml:space="preserve">, 1971; </w:t>
      </w:r>
      <w:r w:rsidR="00312C14" w:rsidRPr="00CE3398">
        <w:rPr>
          <w:rFonts w:ascii="Times New Roman" w:hAnsi="Times New Roman"/>
          <w:sz w:val="24"/>
          <w:szCs w:val="24"/>
        </w:rPr>
        <w:t>Asseff</w:t>
      </w:r>
      <w:r w:rsidRPr="00CE3398">
        <w:rPr>
          <w:rFonts w:ascii="Times New Roman" w:hAnsi="Times New Roman"/>
          <w:sz w:val="24"/>
          <w:szCs w:val="24"/>
        </w:rPr>
        <w:t xml:space="preserve">, 1966; </w:t>
      </w:r>
      <w:r w:rsidR="00312C14" w:rsidRPr="00CE3398">
        <w:rPr>
          <w:rFonts w:ascii="Times New Roman" w:hAnsi="Times New Roman"/>
          <w:sz w:val="24"/>
          <w:szCs w:val="24"/>
        </w:rPr>
        <w:t>Sheanan</w:t>
      </w:r>
      <w:r w:rsidRPr="00CE3398">
        <w:rPr>
          <w:rFonts w:ascii="Times New Roman" w:hAnsi="Times New Roman"/>
          <w:sz w:val="24"/>
          <w:szCs w:val="24"/>
        </w:rPr>
        <w:t xml:space="preserve"> et al</w:t>
      </w:r>
      <w:r w:rsidR="00312C14" w:rsidRPr="00CE3398">
        <w:rPr>
          <w:rFonts w:ascii="Times New Roman" w:hAnsi="Times New Roman"/>
          <w:sz w:val="24"/>
          <w:szCs w:val="24"/>
        </w:rPr>
        <w:t>.</w:t>
      </w:r>
      <w:r w:rsidRPr="00CE3398">
        <w:rPr>
          <w:rFonts w:ascii="Times New Roman" w:hAnsi="Times New Roman"/>
          <w:sz w:val="24"/>
          <w:szCs w:val="24"/>
        </w:rPr>
        <w:t xml:space="preserve">, 1969; </w:t>
      </w:r>
      <w:r w:rsidR="00312C14" w:rsidRPr="00CE3398">
        <w:rPr>
          <w:rFonts w:ascii="Times New Roman" w:hAnsi="Times New Roman"/>
          <w:sz w:val="24"/>
          <w:szCs w:val="24"/>
        </w:rPr>
        <w:t>Mixon</w:t>
      </w:r>
      <w:r w:rsidRPr="00CE3398">
        <w:rPr>
          <w:rFonts w:ascii="Times New Roman" w:hAnsi="Times New Roman"/>
          <w:sz w:val="24"/>
          <w:szCs w:val="24"/>
        </w:rPr>
        <w:t xml:space="preserve"> et al</w:t>
      </w:r>
      <w:r w:rsidR="00312C14" w:rsidRPr="00CE3398">
        <w:rPr>
          <w:rFonts w:ascii="Times New Roman" w:hAnsi="Times New Roman"/>
          <w:sz w:val="24"/>
          <w:szCs w:val="24"/>
        </w:rPr>
        <w:t>.</w:t>
      </w:r>
      <w:r w:rsidRPr="00CE3398">
        <w:rPr>
          <w:rFonts w:ascii="Times New Roman" w:hAnsi="Times New Roman"/>
          <w:sz w:val="24"/>
          <w:szCs w:val="24"/>
        </w:rPr>
        <w:t>, 1971).</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Depósitos em bicos injetores podem ser controlados e efetivamente eliminados com o uso de aditivos detergentes apropriados (</w:t>
      </w:r>
      <w:r w:rsidR="008B3D90" w:rsidRPr="00CE3398">
        <w:rPr>
          <w:rFonts w:ascii="Times New Roman" w:hAnsi="Times New Roman"/>
          <w:sz w:val="24"/>
          <w:szCs w:val="24"/>
        </w:rPr>
        <w:t>Tupa</w:t>
      </w:r>
      <w:r w:rsidRPr="00CE3398">
        <w:rPr>
          <w:rFonts w:ascii="Times New Roman" w:hAnsi="Times New Roman"/>
          <w:sz w:val="24"/>
          <w:szCs w:val="24"/>
        </w:rPr>
        <w:t xml:space="preserve"> et al</w:t>
      </w:r>
      <w:r w:rsidR="008B3D90" w:rsidRPr="00CE3398">
        <w:rPr>
          <w:rFonts w:ascii="Times New Roman" w:hAnsi="Times New Roman"/>
          <w:sz w:val="24"/>
          <w:szCs w:val="24"/>
        </w:rPr>
        <w:t>.</w:t>
      </w:r>
      <w:r w:rsidRPr="00CE3398">
        <w:rPr>
          <w:rFonts w:ascii="Times New Roman" w:hAnsi="Times New Roman"/>
          <w:sz w:val="24"/>
          <w:szCs w:val="24"/>
        </w:rPr>
        <w:t xml:space="preserve">, 1986; </w:t>
      </w:r>
      <w:r w:rsidR="008B3D90" w:rsidRPr="00CE3398">
        <w:rPr>
          <w:rFonts w:ascii="Times New Roman" w:hAnsi="Times New Roman"/>
          <w:sz w:val="24"/>
          <w:szCs w:val="24"/>
        </w:rPr>
        <w:t>Taniguchi</w:t>
      </w:r>
      <w:r w:rsidRPr="00CE3398">
        <w:rPr>
          <w:rFonts w:ascii="Times New Roman" w:hAnsi="Times New Roman"/>
          <w:sz w:val="24"/>
          <w:szCs w:val="24"/>
        </w:rPr>
        <w:t xml:space="preserve"> et al</w:t>
      </w:r>
      <w:r w:rsidR="008B3D90" w:rsidRPr="00CE3398">
        <w:rPr>
          <w:rFonts w:ascii="Times New Roman" w:hAnsi="Times New Roman"/>
          <w:sz w:val="24"/>
          <w:szCs w:val="24"/>
        </w:rPr>
        <w:t>.</w:t>
      </w:r>
      <w:r w:rsidRPr="00CE3398">
        <w:rPr>
          <w:rFonts w:ascii="Times New Roman" w:hAnsi="Times New Roman"/>
          <w:sz w:val="24"/>
          <w:szCs w:val="24"/>
        </w:rPr>
        <w:t xml:space="preserve">, 1986; </w:t>
      </w:r>
      <w:r w:rsidR="008B3D90" w:rsidRPr="00CE3398">
        <w:rPr>
          <w:rFonts w:ascii="Times New Roman" w:hAnsi="Times New Roman"/>
          <w:sz w:val="24"/>
          <w:szCs w:val="24"/>
        </w:rPr>
        <w:t>Tupa</w:t>
      </w:r>
      <w:r w:rsidRPr="00CE3398">
        <w:rPr>
          <w:rFonts w:ascii="Times New Roman" w:hAnsi="Times New Roman"/>
          <w:sz w:val="24"/>
          <w:szCs w:val="24"/>
        </w:rPr>
        <w:t>, 1987), assim como depósitos em válvulas de admissão (</w:t>
      </w:r>
      <w:r w:rsidR="008B3D90" w:rsidRPr="00CE3398">
        <w:rPr>
          <w:rFonts w:ascii="Times New Roman" w:hAnsi="Times New Roman"/>
          <w:sz w:val="24"/>
          <w:szCs w:val="24"/>
        </w:rPr>
        <w:t>Taniguchi</w:t>
      </w:r>
      <w:r w:rsidRPr="00CE3398">
        <w:rPr>
          <w:rFonts w:ascii="Times New Roman" w:hAnsi="Times New Roman"/>
          <w:sz w:val="24"/>
          <w:szCs w:val="24"/>
        </w:rPr>
        <w:t xml:space="preserve"> et al</w:t>
      </w:r>
      <w:r w:rsidR="008B3D90" w:rsidRPr="00CE3398">
        <w:rPr>
          <w:rFonts w:ascii="Times New Roman" w:hAnsi="Times New Roman"/>
          <w:sz w:val="24"/>
          <w:szCs w:val="24"/>
        </w:rPr>
        <w:t>.</w:t>
      </w:r>
      <w:r w:rsidRPr="00CE3398">
        <w:rPr>
          <w:rFonts w:ascii="Times New Roman" w:hAnsi="Times New Roman"/>
          <w:sz w:val="24"/>
          <w:szCs w:val="24"/>
        </w:rPr>
        <w:t xml:space="preserve">,; </w:t>
      </w:r>
      <w:r w:rsidR="008B3D90" w:rsidRPr="00CE3398">
        <w:rPr>
          <w:rFonts w:ascii="Times New Roman" w:hAnsi="Times New Roman"/>
          <w:sz w:val="24"/>
          <w:szCs w:val="24"/>
        </w:rPr>
        <w:t>Rogers &amp; Jonach</w:t>
      </w:r>
      <w:r w:rsidRPr="00CE3398">
        <w:rPr>
          <w:rFonts w:ascii="Times New Roman" w:hAnsi="Times New Roman"/>
          <w:sz w:val="24"/>
          <w:szCs w:val="24"/>
        </w:rPr>
        <w:t xml:space="preserve">, 1958; </w:t>
      </w:r>
      <w:r w:rsidR="008B3D90" w:rsidRPr="00CE3398">
        <w:rPr>
          <w:rFonts w:ascii="Times New Roman" w:hAnsi="Times New Roman"/>
          <w:sz w:val="24"/>
          <w:szCs w:val="24"/>
        </w:rPr>
        <w:t>Jewitt</w:t>
      </w:r>
      <w:r w:rsidRPr="00CE3398">
        <w:rPr>
          <w:rFonts w:ascii="Times New Roman" w:hAnsi="Times New Roman"/>
          <w:sz w:val="24"/>
          <w:szCs w:val="24"/>
        </w:rPr>
        <w:t xml:space="preserve"> et al</w:t>
      </w:r>
      <w:r w:rsidR="008B3D90" w:rsidRPr="00CE3398">
        <w:rPr>
          <w:rFonts w:ascii="Times New Roman" w:hAnsi="Times New Roman"/>
          <w:sz w:val="24"/>
          <w:szCs w:val="24"/>
        </w:rPr>
        <w:t>.</w:t>
      </w:r>
      <w:r w:rsidRPr="00CE3398">
        <w:rPr>
          <w:rFonts w:ascii="Times New Roman" w:hAnsi="Times New Roman"/>
          <w:sz w:val="24"/>
          <w:szCs w:val="24"/>
        </w:rPr>
        <w:t>, 1987; CRC, 1989</w:t>
      </w:r>
      <w:r w:rsidR="008B3D90" w:rsidRPr="00CE3398">
        <w:rPr>
          <w:rFonts w:ascii="Times New Roman" w:hAnsi="Times New Roman"/>
          <w:sz w:val="24"/>
          <w:szCs w:val="24"/>
        </w:rPr>
        <w:t xml:space="preserve">; Nishizaki </w:t>
      </w:r>
      <w:r w:rsidRPr="00CE3398">
        <w:rPr>
          <w:rFonts w:ascii="Times New Roman" w:hAnsi="Times New Roman"/>
          <w:sz w:val="24"/>
          <w:szCs w:val="24"/>
        </w:rPr>
        <w:t>et al</w:t>
      </w:r>
      <w:r w:rsidR="008B3D90" w:rsidRPr="00CE3398">
        <w:rPr>
          <w:rFonts w:ascii="Times New Roman" w:hAnsi="Times New Roman"/>
          <w:sz w:val="24"/>
          <w:szCs w:val="24"/>
        </w:rPr>
        <w:t>.</w:t>
      </w:r>
      <w:r w:rsidRPr="00CE3398">
        <w:rPr>
          <w:rFonts w:ascii="Times New Roman" w:hAnsi="Times New Roman"/>
          <w:sz w:val="24"/>
          <w:szCs w:val="24"/>
        </w:rPr>
        <w:t xml:space="preserve">, 1979; </w:t>
      </w:r>
      <w:r w:rsidR="008B3D90" w:rsidRPr="00CE3398">
        <w:rPr>
          <w:rFonts w:ascii="Times New Roman" w:hAnsi="Times New Roman"/>
          <w:sz w:val="24"/>
          <w:szCs w:val="24"/>
        </w:rPr>
        <w:t>Franklin</w:t>
      </w:r>
      <w:r w:rsidRPr="00CE3398">
        <w:rPr>
          <w:rFonts w:ascii="Times New Roman" w:hAnsi="Times New Roman"/>
          <w:sz w:val="24"/>
          <w:szCs w:val="24"/>
        </w:rPr>
        <w:t xml:space="preserve"> et al</w:t>
      </w:r>
      <w:r w:rsidR="008B3D90" w:rsidRPr="00CE3398">
        <w:rPr>
          <w:rFonts w:ascii="Times New Roman" w:hAnsi="Times New Roman"/>
          <w:sz w:val="24"/>
          <w:szCs w:val="24"/>
        </w:rPr>
        <w:t>.</w:t>
      </w:r>
      <w:r w:rsidRPr="00CE3398">
        <w:rPr>
          <w:rFonts w:ascii="Times New Roman" w:hAnsi="Times New Roman"/>
          <w:sz w:val="24"/>
          <w:szCs w:val="24"/>
        </w:rPr>
        <w:t xml:space="preserve">, 1972; </w:t>
      </w:r>
      <w:r w:rsidR="008B3D90" w:rsidRPr="00CE3398">
        <w:rPr>
          <w:rFonts w:ascii="Times New Roman" w:hAnsi="Times New Roman"/>
          <w:sz w:val="24"/>
          <w:szCs w:val="24"/>
        </w:rPr>
        <w:t>Lepperhoff</w:t>
      </w:r>
      <w:r w:rsidRPr="00CE3398">
        <w:rPr>
          <w:rFonts w:ascii="Times New Roman" w:hAnsi="Times New Roman"/>
          <w:sz w:val="24"/>
          <w:szCs w:val="24"/>
        </w:rPr>
        <w:t xml:space="preserve">, 1987; </w:t>
      </w:r>
      <w:r w:rsidR="008B3D90" w:rsidRPr="00CE3398">
        <w:rPr>
          <w:rFonts w:ascii="Times New Roman" w:hAnsi="Times New Roman"/>
          <w:sz w:val="24"/>
          <w:szCs w:val="24"/>
        </w:rPr>
        <w:t>Bond</w:t>
      </w:r>
      <w:r w:rsidRPr="00CE3398">
        <w:rPr>
          <w:rFonts w:ascii="Times New Roman" w:hAnsi="Times New Roman"/>
          <w:sz w:val="24"/>
          <w:szCs w:val="24"/>
        </w:rPr>
        <w:t xml:space="preserve"> et al</w:t>
      </w:r>
      <w:r w:rsidR="008B3D90" w:rsidRPr="00CE3398">
        <w:rPr>
          <w:rFonts w:ascii="Times New Roman" w:hAnsi="Times New Roman"/>
          <w:sz w:val="24"/>
          <w:szCs w:val="24"/>
        </w:rPr>
        <w:t>.</w:t>
      </w:r>
      <w:r w:rsidRPr="00CE3398">
        <w:rPr>
          <w:rFonts w:ascii="Times New Roman" w:hAnsi="Times New Roman"/>
          <w:sz w:val="24"/>
          <w:szCs w:val="24"/>
        </w:rPr>
        <w:t xml:space="preserve">, 1989; </w:t>
      </w:r>
      <w:r w:rsidR="008B3D90" w:rsidRPr="00CE3398">
        <w:rPr>
          <w:rFonts w:ascii="Times New Roman" w:hAnsi="Times New Roman"/>
          <w:sz w:val="24"/>
          <w:szCs w:val="24"/>
        </w:rPr>
        <w:t>Tupa &amp; Koehler</w:t>
      </w:r>
      <w:r w:rsidRPr="00CE3398">
        <w:rPr>
          <w:rFonts w:ascii="Times New Roman" w:hAnsi="Times New Roman"/>
          <w:sz w:val="24"/>
          <w:szCs w:val="24"/>
        </w:rPr>
        <w:t>, 1988).</w:t>
      </w:r>
    </w:p>
    <w:p w:rsidR="0002519A" w:rsidRPr="00CE3398" w:rsidRDefault="0002519A" w:rsidP="0002519A">
      <w:pPr>
        <w:pStyle w:val="PargrafodaLista"/>
        <w:numPr>
          <w:ilvl w:val="1"/>
          <w:numId w:val="24"/>
        </w:numPr>
        <w:spacing w:after="120" w:line="240" w:lineRule="auto"/>
        <w:ind w:left="567" w:hanging="567"/>
        <w:rPr>
          <w:rFonts w:ascii="Times New Roman" w:hAnsi="Times New Roman"/>
          <w:b/>
          <w:sz w:val="24"/>
          <w:szCs w:val="24"/>
        </w:rPr>
      </w:pPr>
      <w:r w:rsidRPr="00CE3398">
        <w:rPr>
          <w:rFonts w:ascii="Times New Roman" w:hAnsi="Times New Roman"/>
          <w:b/>
          <w:sz w:val="24"/>
          <w:szCs w:val="24"/>
        </w:rPr>
        <w:t>Benefícios Indiretos</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Em decorrência da eliminação dos depósitos em carburadores, bicos injetores e válvulas de admissão, há uma melhoria no desempenho, em termos de recuperação de potência e de dirigibilidade dos veículos, e uma possível diminuição dos custos de manutenção.</w:t>
      </w:r>
    </w:p>
    <w:p w:rsidR="0002519A" w:rsidRPr="00CE3398" w:rsidRDefault="0002519A" w:rsidP="0002519A">
      <w:pPr>
        <w:pStyle w:val="PargrafodaLista"/>
        <w:numPr>
          <w:ilvl w:val="0"/>
          <w:numId w:val="24"/>
        </w:numPr>
        <w:spacing w:after="120" w:line="240" w:lineRule="auto"/>
        <w:rPr>
          <w:rFonts w:ascii="Times New Roman" w:hAnsi="Times New Roman"/>
          <w:b/>
          <w:sz w:val="24"/>
          <w:szCs w:val="24"/>
        </w:rPr>
      </w:pPr>
      <w:r w:rsidRPr="00CE3398">
        <w:rPr>
          <w:rFonts w:ascii="Times New Roman" w:hAnsi="Times New Roman"/>
          <w:b/>
          <w:sz w:val="24"/>
          <w:szCs w:val="24"/>
        </w:rPr>
        <w:t xml:space="preserve">Benefícios </w:t>
      </w:r>
      <w:r w:rsidR="00865CAF" w:rsidRPr="00CE3398">
        <w:rPr>
          <w:rFonts w:ascii="Times New Roman" w:hAnsi="Times New Roman"/>
          <w:b/>
          <w:sz w:val="24"/>
          <w:szCs w:val="24"/>
        </w:rPr>
        <w:t xml:space="preserve">para </w:t>
      </w:r>
      <w:r w:rsidRPr="00CE3398">
        <w:rPr>
          <w:rFonts w:ascii="Times New Roman" w:hAnsi="Times New Roman"/>
          <w:b/>
          <w:sz w:val="24"/>
          <w:szCs w:val="24"/>
        </w:rPr>
        <w:t>a Saúde Pública</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Nas áreas metropolitanas, o problema da poluição do ar tem se constituído numa das mais graves ameaças à qualidade de vida de seus habitantes. Nas últimas décadas, os veículos automotores ultrapassaram as fontes industriais e se tornaram a principal causa de poluição do ar nos grandes centros urbanos.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As emissões causadas por veículos carregam diversas substâncias tóxicas que, em contato com o sistema respiratório, podem produzir vários efeitos negativos sobre a saúde. Essa emissão é composta de gases como: monóxido de carbono (CO), óxidos de nitrogênio (NOx), hidrocarbonetos (HC), óxidos de enxofre (SOx), material particulado (MP), etc. (CETESB, 2007).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Serão apresentadas, a seguir, algumas informações a respeito do impacto da poluição sobre a saúde pública. Apesar de ser bastante claro o benefício para a saúde da população da redução da poluição causada pelas emissões veiculares, não há estudos que permitam precisar o quanto dessa redução da carga de poluentes poderia ser atribuída especificamente à aditivação da gasolina, nos moldes da que será implementada no Brasil. </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 dificuldade de quantificação, no entanto, não fragiliza os argumentos em favor da aditivação. Cabe destacar, ainda, que de acordo com os resultados apresentados em seções anteriores, a adição de aditivo à gasolina tende a trazer benefícios como maior durabilidade dos motores e melhor desempenho, reduzindo o consumo de combustível e, portanto, contribuindo para a redução dos níveis de emissão para uma mesma distância percorrida. </w:t>
      </w:r>
    </w:p>
    <w:p w:rsidR="0002519A" w:rsidRPr="00CE3398" w:rsidRDefault="0002519A" w:rsidP="0002519A">
      <w:pPr>
        <w:pStyle w:val="PargrafodaLista"/>
        <w:numPr>
          <w:ilvl w:val="1"/>
          <w:numId w:val="24"/>
        </w:numPr>
        <w:spacing w:after="120" w:line="240" w:lineRule="auto"/>
        <w:ind w:left="567" w:hanging="567"/>
        <w:rPr>
          <w:rFonts w:ascii="Times New Roman" w:hAnsi="Times New Roman"/>
          <w:b/>
          <w:sz w:val="24"/>
          <w:szCs w:val="24"/>
        </w:rPr>
      </w:pPr>
      <w:r w:rsidRPr="00CE3398">
        <w:rPr>
          <w:rFonts w:ascii="Times New Roman" w:hAnsi="Times New Roman"/>
          <w:b/>
          <w:sz w:val="24"/>
          <w:szCs w:val="24"/>
        </w:rPr>
        <w:t xml:space="preserve">Efeitos da </w:t>
      </w:r>
      <w:r w:rsidR="009C581E" w:rsidRPr="00CE3398">
        <w:rPr>
          <w:rFonts w:ascii="Times New Roman" w:hAnsi="Times New Roman"/>
          <w:b/>
          <w:sz w:val="24"/>
          <w:szCs w:val="24"/>
        </w:rPr>
        <w:t>P</w:t>
      </w:r>
      <w:r w:rsidRPr="00CE3398">
        <w:rPr>
          <w:rFonts w:ascii="Times New Roman" w:hAnsi="Times New Roman"/>
          <w:b/>
          <w:sz w:val="24"/>
          <w:szCs w:val="24"/>
        </w:rPr>
        <w:t xml:space="preserve">oluição na </w:t>
      </w:r>
      <w:r w:rsidR="009C581E" w:rsidRPr="00CE3398">
        <w:rPr>
          <w:rFonts w:ascii="Times New Roman" w:hAnsi="Times New Roman"/>
          <w:b/>
          <w:sz w:val="24"/>
          <w:szCs w:val="24"/>
        </w:rPr>
        <w:t>S</w:t>
      </w:r>
      <w:r w:rsidRPr="00CE3398">
        <w:rPr>
          <w:rFonts w:ascii="Times New Roman" w:hAnsi="Times New Roman"/>
          <w:b/>
          <w:sz w:val="24"/>
          <w:szCs w:val="24"/>
        </w:rPr>
        <w:t xml:space="preserve">aúde da </w:t>
      </w:r>
      <w:r w:rsidR="009C581E" w:rsidRPr="00CE3398">
        <w:rPr>
          <w:rFonts w:ascii="Times New Roman" w:hAnsi="Times New Roman"/>
          <w:b/>
          <w:sz w:val="24"/>
          <w:szCs w:val="24"/>
        </w:rPr>
        <w:t>P</w:t>
      </w:r>
      <w:r w:rsidRPr="00CE3398">
        <w:rPr>
          <w:rFonts w:ascii="Times New Roman" w:hAnsi="Times New Roman"/>
          <w:b/>
          <w:sz w:val="24"/>
          <w:szCs w:val="24"/>
        </w:rPr>
        <w:t>opulação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Estimativas, em termos globais, atribuem aos efeitos da poluição do ar cerca de 3% dos óbitos por doenças cardiopulmonares, 5% dos cânceres de pulmão e 3% dos óbitos em crianças de até cinco anos de idade (1 a 3% por infecções respiratórias), totalizando 800 mil óbitos prematuros e 6,4 milhões de anos de vida perdidos por morte prematura (</w:t>
      </w:r>
      <w:r w:rsidR="003B563A" w:rsidRPr="00CE3398">
        <w:rPr>
          <w:rFonts w:ascii="Times New Roman" w:hAnsi="Times New Roman"/>
          <w:sz w:val="24"/>
          <w:szCs w:val="24"/>
        </w:rPr>
        <w:t>Cohen</w:t>
      </w:r>
      <w:r w:rsidRPr="00CE3398">
        <w:rPr>
          <w:rFonts w:ascii="Times New Roman" w:hAnsi="Times New Roman"/>
          <w:sz w:val="24"/>
          <w:szCs w:val="24"/>
        </w:rPr>
        <w:t>, 2005; Lopez, 2006).</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lastRenderedPageBreak/>
        <w:t xml:space="preserve">A concentração de poluentes na atmosfera leva, ao longo dos anos, a uma redução da expectativa de vida. Estima-se que os níveis atuais de poluição da cidade de São Paulo promovam uma redução de cerca de </w:t>
      </w:r>
      <w:r w:rsidR="00AB119B" w:rsidRPr="00CE3398">
        <w:rPr>
          <w:rFonts w:ascii="Times New Roman" w:hAnsi="Times New Roman"/>
          <w:sz w:val="24"/>
          <w:szCs w:val="24"/>
        </w:rPr>
        <w:t>um ano e meio</w:t>
      </w:r>
      <w:r w:rsidRPr="00CE3398">
        <w:rPr>
          <w:rFonts w:ascii="Times New Roman" w:hAnsi="Times New Roman"/>
          <w:sz w:val="24"/>
          <w:szCs w:val="24"/>
        </w:rPr>
        <w:t xml:space="preserve"> de vida, </w:t>
      </w:r>
      <w:r w:rsidR="00AB119B" w:rsidRPr="00CE3398">
        <w:rPr>
          <w:rFonts w:ascii="Times New Roman" w:hAnsi="Times New Roman"/>
          <w:sz w:val="24"/>
          <w:szCs w:val="24"/>
        </w:rPr>
        <w:t xml:space="preserve">em função </w:t>
      </w:r>
      <w:r w:rsidR="00F5577B" w:rsidRPr="00CE3398">
        <w:rPr>
          <w:rFonts w:ascii="Times New Roman" w:hAnsi="Times New Roman"/>
          <w:sz w:val="24"/>
          <w:szCs w:val="24"/>
        </w:rPr>
        <w:t>de</w:t>
      </w:r>
      <w:r w:rsidRPr="00CE3398">
        <w:rPr>
          <w:rFonts w:ascii="Times New Roman" w:hAnsi="Times New Roman"/>
          <w:sz w:val="24"/>
          <w:szCs w:val="24"/>
        </w:rPr>
        <w:t xml:space="preserve">: câncer do pulmão e </w:t>
      </w:r>
      <w:r w:rsidR="00AB119B" w:rsidRPr="00CE3398">
        <w:rPr>
          <w:rFonts w:ascii="Times New Roman" w:hAnsi="Times New Roman"/>
          <w:sz w:val="24"/>
          <w:szCs w:val="24"/>
        </w:rPr>
        <w:t xml:space="preserve">de </w:t>
      </w:r>
      <w:r w:rsidRPr="00CE3398">
        <w:rPr>
          <w:rFonts w:ascii="Times New Roman" w:hAnsi="Times New Roman"/>
          <w:sz w:val="24"/>
          <w:szCs w:val="24"/>
        </w:rPr>
        <w:t>vias aéreas superiores, infarto agudo do miocárdio e arritmias e bronquite crônica e asma. Viver em São Paulo corresponderia a fumar quatro cigarros diariamente em virtude das partículas em suspensão no ar (</w:t>
      </w:r>
      <w:r w:rsidR="00AB119B" w:rsidRPr="00CE3398">
        <w:rPr>
          <w:rFonts w:ascii="Times New Roman" w:hAnsi="Times New Roman"/>
          <w:sz w:val="24"/>
          <w:szCs w:val="24"/>
        </w:rPr>
        <w:t>Saldiva, Vormittag</w:t>
      </w:r>
      <w:r w:rsidRPr="00CE3398">
        <w:rPr>
          <w:rFonts w:ascii="Times New Roman" w:hAnsi="Times New Roman"/>
          <w:sz w:val="24"/>
          <w:szCs w:val="24"/>
        </w:rPr>
        <w:t xml:space="preserve">, 2010). </w:t>
      </w:r>
    </w:p>
    <w:p w:rsidR="00217904" w:rsidRPr="00CE3398" w:rsidRDefault="0002519A">
      <w:pPr>
        <w:tabs>
          <w:tab w:val="left" w:pos="0"/>
        </w:tabs>
        <w:spacing w:before="240" w:after="120" w:line="240" w:lineRule="auto"/>
        <w:ind w:firstLine="709"/>
        <w:jc w:val="both"/>
        <w:rPr>
          <w:rFonts w:ascii="Times New Roman" w:hAnsi="Times New Roman"/>
          <w:sz w:val="24"/>
          <w:szCs w:val="24"/>
        </w:rPr>
      </w:pPr>
      <w:r w:rsidRPr="00CE3398">
        <w:rPr>
          <w:rFonts w:ascii="Times New Roman" w:hAnsi="Times New Roman"/>
          <w:sz w:val="24"/>
          <w:szCs w:val="24"/>
        </w:rPr>
        <w:t>Além de impactar o número de óbitos, os poluentes também são responsáveis por aumentos no número de atendimentos em pronto</w:t>
      </w:r>
      <w:r w:rsidR="00355A78" w:rsidRPr="00CE3398">
        <w:rPr>
          <w:rFonts w:ascii="Times New Roman" w:hAnsi="Times New Roman"/>
          <w:sz w:val="24"/>
          <w:szCs w:val="24"/>
        </w:rPr>
        <w:t>s</w:t>
      </w:r>
      <w:r w:rsidRPr="00CE3398">
        <w:rPr>
          <w:rFonts w:ascii="Times New Roman" w:hAnsi="Times New Roman"/>
          <w:sz w:val="24"/>
          <w:szCs w:val="24"/>
        </w:rPr>
        <w:t>-socorro</w:t>
      </w:r>
      <w:r w:rsidR="00355A78" w:rsidRPr="00CE3398">
        <w:rPr>
          <w:rFonts w:ascii="Times New Roman" w:hAnsi="Times New Roman"/>
          <w:sz w:val="24"/>
          <w:szCs w:val="24"/>
        </w:rPr>
        <w:t>s</w:t>
      </w:r>
      <w:r w:rsidRPr="00CE3398">
        <w:rPr>
          <w:rFonts w:ascii="Times New Roman" w:hAnsi="Times New Roman"/>
          <w:sz w:val="24"/>
          <w:szCs w:val="24"/>
        </w:rPr>
        <w:t xml:space="preserve"> e internações hospitalares por doenças respiratórias – doença pulmonar obstrutiva crônica, asma, pneumonia e gripe – em idosos (</w:t>
      </w:r>
      <w:r w:rsidR="00355A78" w:rsidRPr="00CE3398">
        <w:rPr>
          <w:rFonts w:ascii="Times New Roman" w:hAnsi="Times New Roman"/>
          <w:sz w:val="24"/>
          <w:szCs w:val="24"/>
        </w:rPr>
        <w:t>Martins</w:t>
      </w:r>
      <w:r w:rsidRPr="00CE3398">
        <w:rPr>
          <w:rFonts w:ascii="Times New Roman" w:hAnsi="Times New Roman"/>
          <w:sz w:val="24"/>
          <w:szCs w:val="24"/>
        </w:rPr>
        <w:t>, 2002) – e doenças isquêmicas do coração (</w:t>
      </w:r>
      <w:r w:rsidR="00355A78" w:rsidRPr="00CE3398">
        <w:rPr>
          <w:rFonts w:ascii="Times New Roman" w:hAnsi="Times New Roman"/>
          <w:sz w:val="24"/>
          <w:szCs w:val="24"/>
        </w:rPr>
        <w:t>Lin</w:t>
      </w:r>
      <w:r w:rsidRPr="00CE3398">
        <w:rPr>
          <w:rFonts w:ascii="Times New Roman" w:hAnsi="Times New Roman"/>
          <w:sz w:val="24"/>
          <w:szCs w:val="24"/>
        </w:rPr>
        <w:t>, 2003). Também estão ligados a aumentos de concentrações de PM10</w:t>
      </w:r>
      <w:r w:rsidR="00355A78" w:rsidRPr="00CE3398">
        <w:rPr>
          <w:rFonts w:ascii="Times New Roman" w:hAnsi="Times New Roman"/>
          <w:sz w:val="24"/>
          <w:szCs w:val="24"/>
        </w:rPr>
        <w:t xml:space="preserve"> (um tipo de </w:t>
      </w:r>
      <w:r w:rsidR="00D139FA" w:rsidRPr="00CE3398">
        <w:rPr>
          <w:rFonts w:ascii="Times New Roman" w:hAnsi="Times New Roman"/>
          <w:sz w:val="24"/>
          <w:szCs w:val="24"/>
        </w:rPr>
        <w:t xml:space="preserve">partícula </w:t>
      </w:r>
      <w:r w:rsidR="00355A78" w:rsidRPr="00CE3398">
        <w:rPr>
          <w:rFonts w:ascii="Times New Roman" w:hAnsi="Times New Roman"/>
          <w:sz w:val="24"/>
          <w:szCs w:val="24"/>
        </w:rPr>
        <w:t>inaláve</w:t>
      </w:r>
      <w:r w:rsidR="0035297B" w:rsidRPr="00CE3398">
        <w:rPr>
          <w:rFonts w:ascii="Times New Roman" w:hAnsi="Times New Roman"/>
          <w:sz w:val="24"/>
          <w:szCs w:val="24"/>
        </w:rPr>
        <w:t>l</w:t>
      </w:r>
      <w:r w:rsidR="00355A78" w:rsidRPr="00CE3398">
        <w:rPr>
          <w:rFonts w:ascii="Times New Roman" w:hAnsi="Times New Roman"/>
          <w:sz w:val="24"/>
          <w:szCs w:val="24"/>
          <w:lang w:val="pt-PT"/>
        </w:rPr>
        <w:t>)</w:t>
      </w:r>
      <w:r w:rsidRPr="00CE3398">
        <w:rPr>
          <w:rFonts w:ascii="Times New Roman" w:hAnsi="Times New Roman"/>
          <w:sz w:val="24"/>
          <w:szCs w:val="24"/>
        </w:rPr>
        <w:t>, SO</w:t>
      </w:r>
      <w:r w:rsidRPr="00CE3398">
        <w:rPr>
          <w:rFonts w:ascii="Times New Roman" w:hAnsi="Times New Roman"/>
          <w:sz w:val="24"/>
          <w:szCs w:val="24"/>
          <w:vertAlign w:val="subscript"/>
        </w:rPr>
        <w:t>2</w:t>
      </w:r>
      <w:r w:rsidRPr="00CE3398">
        <w:rPr>
          <w:rFonts w:ascii="Times New Roman" w:hAnsi="Times New Roman"/>
          <w:sz w:val="24"/>
          <w:szCs w:val="24"/>
        </w:rPr>
        <w:t xml:space="preserve"> (dióxido de enxofre), CO (monóxido de carbono), NO</w:t>
      </w:r>
      <w:r w:rsidRPr="00CE3398">
        <w:rPr>
          <w:rFonts w:ascii="Times New Roman" w:hAnsi="Times New Roman"/>
          <w:sz w:val="24"/>
          <w:szCs w:val="24"/>
          <w:vertAlign w:val="subscript"/>
        </w:rPr>
        <w:t>2</w:t>
      </w:r>
      <w:r w:rsidRPr="00CE3398">
        <w:rPr>
          <w:rFonts w:ascii="Times New Roman" w:hAnsi="Times New Roman"/>
          <w:sz w:val="24"/>
          <w:szCs w:val="24"/>
        </w:rPr>
        <w:t xml:space="preserve"> (dióxido de nitrogênio), poluentes primários, O</w:t>
      </w:r>
      <w:r w:rsidRPr="00CE3398">
        <w:rPr>
          <w:rFonts w:ascii="Times New Roman" w:hAnsi="Times New Roman"/>
          <w:sz w:val="24"/>
          <w:szCs w:val="24"/>
          <w:vertAlign w:val="subscript"/>
        </w:rPr>
        <w:t>3</w:t>
      </w:r>
      <w:r w:rsidRPr="00CE3398">
        <w:rPr>
          <w:rFonts w:ascii="Times New Roman" w:hAnsi="Times New Roman"/>
          <w:sz w:val="24"/>
          <w:szCs w:val="24"/>
        </w:rPr>
        <w:t xml:space="preserve"> (ozônio)</w:t>
      </w:r>
      <w:r w:rsidR="00355A78" w:rsidRPr="00CE3398">
        <w:rPr>
          <w:rFonts w:ascii="Times New Roman" w:hAnsi="Times New Roman"/>
          <w:sz w:val="24"/>
          <w:szCs w:val="24"/>
        </w:rPr>
        <w:t xml:space="preserve"> e</w:t>
      </w:r>
      <w:r w:rsidRPr="00CE3398">
        <w:rPr>
          <w:rFonts w:ascii="Times New Roman" w:hAnsi="Times New Roman"/>
          <w:sz w:val="24"/>
          <w:szCs w:val="24"/>
        </w:rPr>
        <w:t xml:space="preserve"> poluente secundário. Mais recentemente, </w:t>
      </w:r>
      <w:r w:rsidR="00D406D2" w:rsidRPr="00CE3398">
        <w:rPr>
          <w:rFonts w:ascii="Times New Roman" w:hAnsi="Times New Roman"/>
          <w:sz w:val="24"/>
          <w:szCs w:val="24"/>
        </w:rPr>
        <w:t>o</w:t>
      </w:r>
      <w:r w:rsidRPr="00CE3398">
        <w:rPr>
          <w:rFonts w:ascii="Times New Roman" w:hAnsi="Times New Roman"/>
          <w:sz w:val="24"/>
          <w:szCs w:val="24"/>
        </w:rPr>
        <w:t xml:space="preserve"> </w:t>
      </w:r>
      <w:r w:rsidR="001106B6" w:rsidRPr="00CE3398">
        <w:rPr>
          <w:rFonts w:ascii="Times New Roman" w:hAnsi="Times New Roman"/>
          <w:sz w:val="24"/>
          <w:szCs w:val="24"/>
        </w:rPr>
        <w:t xml:space="preserve">Laboratório de Poluição Atmosférica Experimental da Universidade de São Paulo - </w:t>
      </w:r>
      <w:r w:rsidRPr="00CE3398">
        <w:rPr>
          <w:rFonts w:ascii="Times New Roman" w:hAnsi="Times New Roman"/>
          <w:sz w:val="24"/>
          <w:szCs w:val="24"/>
        </w:rPr>
        <w:t xml:space="preserve">LPAE demonstrou que, apesar de crianças e idosos serem os dois grupos etários mais suscetíveis aos efeitos da poluição, os efeitos dos poluentes nas doenças cardiovasculares </w:t>
      </w:r>
      <w:r w:rsidR="0035297B" w:rsidRPr="00CE3398">
        <w:rPr>
          <w:rFonts w:ascii="Times New Roman" w:hAnsi="Times New Roman"/>
          <w:sz w:val="24"/>
          <w:szCs w:val="24"/>
        </w:rPr>
        <w:t xml:space="preserve">manifestam-se </w:t>
      </w:r>
      <w:r w:rsidRPr="00CE3398">
        <w:rPr>
          <w:rFonts w:ascii="Times New Roman" w:hAnsi="Times New Roman"/>
          <w:sz w:val="24"/>
          <w:szCs w:val="24"/>
        </w:rPr>
        <w:t>também em adultos e, em especial sobre as mulheres (</w:t>
      </w:r>
      <w:r w:rsidR="00355A78" w:rsidRPr="00CE3398">
        <w:rPr>
          <w:rFonts w:ascii="Times New Roman" w:hAnsi="Times New Roman"/>
          <w:sz w:val="24"/>
          <w:szCs w:val="24"/>
        </w:rPr>
        <w:t>Instituto Saúde e Sustentabilidade</w:t>
      </w:r>
      <w:r w:rsidRPr="00CE3398">
        <w:rPr>
          <w:rFonts w:ascii="Times New Roman" w:hAnsi="Times New Roman"/>
          <w:sz w:val="24"/>
          <w:szCs w:val="24"/>
        </w:rPr>
        <w:t>, 2009). Estudos demonstram</w:t>
      </w:r>
      <w:r w:rsidR="00355A78" w:rsidRPr="00CE3398">
        <w:rPr>
          <w:rFonts w:ascii="Times New Roman" w:hAnsi="Times New Roman"/>
          <w:sz w:val="24"/>
          <w:szCs w:val="24"/>
        </w:rPr>
        <w:t>,</w:t>
      </w:r>
      <w:r w:rsidRPr="00CE3398">
        <w:rPr>
          <w:rFonts w:ascii="Times New Roman" w:hAnsi="Times New Roman"/>
          <w:sz w:val="24"/>
          <w:szCs w:val="24"/>
        </w:rPr>
        <w:t xml:space="preserve"> ainda</w:t>
      </w:r>
      <w:r w:rsidR="00355A78" w:rsidRPr="00CE3398">
        <w:rPr>
          <w:rFonts w:ascii="Times New Roman" w:hAnsi="Times New Roman"/>
          <w:sz w:val="24"/>
          <w:szCs w:val="24"/>
        </w:rPr>
        <w:t>,</w:t>
      </w:r>
      <w:r w:rsidRPr="00CE3398">
        <w:rPr>
          <w:rFonts w:ascii="Times New Roman" w:hAnsi="Times New Roman"/>
          <w:sz w:val="24"/>
          <w:szCs w:val="24"/>
        </w:rPr>
        <w:t xml:space="preserve"> alterações relacionadas à poluição também no período fetal: mortes fetais tardias (</w:t>
      </w:r>
      <w:r w:rsidR="00355A78" w:rsidRPr="00CE3398">
        <w:rPr>
          <w:rFonts w:ascii="Times New Roman" w:hAnsi="Times New Roman"/>
          <w:sz w:val="24"/>
          <w:szCs w:val="24"/>
        </w:rPr>
        <w:t>Pereira</w:t>
      </w:r>
      <w:r w:rsidRPr="00CE3398">
        <w:rPr>
          <w:rFonts w:ascii="Times New Roman" w:hAnsi="Times New Roman"/>
          <w:sz w:val="24"/>
          <w:szCs w:val="24"/>
        </w:rPr>
        <w:t xml:space="preserve">, 1998) e diminuição do peso de nascimento. </w:t>
      </w:r>
    </w:p>
    <w:p w:rsidR="0002519A" w:rsidRPr="00CE3398" w:rsidRDefault="0002519A" w:rsidP="0002519A">
      <w:pPr>
        <w:pStyle w:val="PargrafodaLista"/>
        <w:numPr>
          <w:ilvl w:val="1"/>
          <w:numId w:val="24"/>
        </w:numPr>
        <w:spacing w:after="120" w:line="240" w:lineRule="auto"/>
        <w:ind w:left="567" w:hanging="567"/>
        <w:rPr>
          <w:rFonts w:ascii="Times New Roman" w:hAnsi="Times New Roman"/>
          <w:b/>
          <w:sz w:val="24"/>
          <w:szCs w:val="24"/>
        </w:rPr>
      </w:pPr>
      <w:r w:rsidRPr="00CE3398">
        <w:rPr>
          <w:rFonts w:ascii="Times New Roman" w:hAnsi="Times New Roman"/>
          <w:b/>
          <w:sz w:val="24"/>
          <w:szCs w:val="24"/>
        </w:rPr>
        <w:t xml:space="preserve">Custos para a </w:t>
      </w:r>
      <w:r w:rsidR="009C581E" w:rsidRPr="00CE3398">
        <w:rPr>
          <w:rFonts w:ascii="Times New Roman" w:hAnsi="Times New Roman"/>
          <w:b/>
          <w:sz w:val="24"/>
          <w:szCs w:val="24"/>
        </w:rPr>
        <w:t>S</w:t>
      </w:r>
      <w:r w:rsidRPr="00CE3398">
        <w:rPr>
          <w:rFonts w:ascii="Times New Roman" w:hAnsi="Times New Roman"/>
          <w:b/>
          <w:sz w:val="24"/>
          <w:szCs w:val="24"/>
        </w:rPr>
        <w:t xml:space="preserve">ociedade dos </w:t>
      </w:r>
      <w:r w:rsidR="009C581E" w:rsidRPr="00CE3398">
        <w:rPr>
          <w:rFonts w:ascii="Times New Roman" w:hAnsi="Times New Roman"/>
          <w:b/>
          <w:sz w:val="24"/>
          <w:szCs w:val="24"/>
        </w:rPr>
        <w:t>E</w:t>
      </w:r>
      <w:r w:rsidRPr="00CE3398">
        <w:rPr>
          <w:rFonts w:ascii="Times New Roman" w:hAnsi="Times New Roman"/>
          <w:b/>
          <w:sz w:val="24"/>
          <w:szCs w:val="24"/>
        </w:rPr>
        <w:t xml:space="preserve">feitos da </w:t>
      </w:r>
      <w:r w:rsidR="009C581E" w:rsidRPr="00CE3398">
        <w:rPr>
          <w:rFonts w:ascii="Times New Roman" w:hAnsi="Times New Roman"/>
          <w:b/>
          <w:sz w:val="24"/>
          <w:szCs w:val="24"/>
        </w:rPr>
        <w:t>P</w:t>
      </w:r>
      <w:r w:rsidRPr="00CE3398">
        <w:rPr>
          <w:rFonts w:ascii="Times New Roman" w:hAnsi="Times New Roman"/>
          <w:b/>
          <w:sz w:val="24"/>
          <w:szCs w:val="24"/>
        </w:rPr>
        <w:t xml:space="preserve">oluição na </w:t>
      </w:r>
      <w:r w:rsidR="009C581E" w:rsidRPr="00CE3398">
        <w:rPr>
          <w:rFonts w:ascii="Times New Roman" w:hAnsi="Times New Roman"/>
          <w:b/>
          <w:sz w:val="24"/>
          <w:szCs w:val="24"/>
        </w:rPr>
        <w:t>S</w:t>
      </w:r>
      <w:r w:rsidRPr="00CE3398">
        <w:rPr>
          <w:rFonts w:ascii="Times New Roman" w:hAnsi="Times New Roman"/>
          <w:b/>
          <w:sz w:val="24"/>
          <w:szCs w:val="24"/>
        </w:rPr>
        <w:t xml:space="preserve">aúde da </w:t>
      </w:r>
      <w:r w:rsidR="009C581E" w:rsidRPr="00CE3398">
        <w:rPr>
          <w:rFonts w:ascii="Times New Roman" w:hAnsi="Times New Roman"/>
          <w:b/>
          <w:sz w:val="24"/>
          <w:szCs w:val="24"/>
        </w:rPr>
        <w:t>P</w:t>
      </w:r>
      <w:r w:rsidRPr="00CE3398">
        <w:rPr>
          <w:rFonts w:ascii="Times New Roman" w:hAnsi="Times New Roman"/>
          <w:b/>
          <w:sz w:val="24"/>
          <w:szCs w:val="24"/>
        </w:rPr>
        <w:t>opulação</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Estima-se que, a cada ano, a poluição seja responsável pela morte de cerca de 3.500 moradores só na cidade de São Paulo. Se considerados apenas os impactos econômicos, a perda dessas vidas, levando em conta os anos de vida potencialmente produtivos que foram perdidos, somados à perspectiva de conviver com doenças crônicas, que reduzem a capacidade de trabalho, representaria um custo total de US$ 350 milhões (</w:t>
      </w:r>
      <w:r w:rsidR="000B188E" w:rsidRPr="00CE3398">
        <w:rPr>
          <w:rFonts w:ascii="Times New Roman" w:hAnsi="Times New Roman"/>
          <w:sz w:val="24"/>
          <w:szCs w:val="24"/>
        </w:rPr>
        <w:t>Bicudo</w:t>
      </w:r>
      <w:r w:rsidRPr="00CE3398">
        <w:rPr>
          <w:rFonts w:ascii="Times New Roman" w:hAnsi="Times New Roman"/>
          <w:sz w:val="24"/>
          <w:szCs w:val="24"/>
        </w:rPr>
        <w:t xml:space="preserve">, 2006). São Paulo, Cidade do México e Santiago, no Chile, poderiam evitar 150 mil mortes, 4 milhões de crises de asma, 300 mil internações de crianças e 48 mil casos de bronquite crônica em um período de 20 anos e gerar uma economia de US$ 165 bilhões se reduzissem os níveis de poluição aos parâmetros indicados pela Organização Mundial da Saúde </w:t>
      </w:r>
      <w:r w:rsidR="000B188E" w:rsidRPr="00CE3398">
        <w:rPr>
          <w:rFonts w:ascii="Times New Roman" w:hAnsi="Times New Roman"/>
          <w:sz w:val="24"/>
          <w:szCs w:val="24"/>
        </w:rPr>
        <w:t xml:space="preserve">- </w:t>
      </w:r>
      <w:r w:rsidRPr="00CE3398">
        <w:rPr>
          <w:rFonts w:ascii="Times New Roman" w:hAnsi="Times New Roman"/>
          <w:sz w:val="24"/>
          <w:szCs w:val="24"/>
        </w:rPr>
        <w:t>OMS (</w:t>
      </w:r>
      <w:r w:rsidR="000B188E" w:rsidRPr="00CE3398">
        <w:rPr>
          <w:rFonts w:ascii="Times New Roman" w:hAnsi="Times New Roman"/>
          <w:sz w:val="24"/>
          <w:szCs w:val="24"/>
        </w:rPr>
        <w:t>Gouveia</w:t>
      </w:r>
      <w:r w:rsidRPr="00CE3398">
        <w:rPr>
          <w:rFonts w:ascii="Times New Roman" w:hAnsi="Times New Roman"/>
          <w:sz w:val="24"/>
          <w:szCs w:val="24"/>
        </w:rPr>
        <w:t xml:space="preserve"> et al</w:t>
      </w:r>
      <w:r w:rsidR="000B188E" w:rsidRPr="00CE3398">
        <w:rPr>
          <w:rFonts w:ascii="Times New Roman" w:hAnsi="Times New Roman"/>
          <w:sz w:val="24"/>
          <w:szCs w:val="24"/>
        </w:rPr>
        <w:t>.</w:t>
      </w:r>
      <w:r w:rsidRPr="00CE3398">
        <w:rPr>
          <w:rFonts w:ascii="Times New Roman" w:hAnsi="Times New Roman"/>
          <w:sz w:val="24"/>
          <w:szCs w:val="24"/>
        </w:rPr>
        <w:t xml:space="preserve">, </w:t>
      </w:r>
      <w:r w:rsidR="001106B6" w:rsidRPr="00CE3398">
        <w:rPr>
          <w:rFonts w:ascii="Times New Roman" w:hAnsi="Times New Roman"/>
          <w:sz w:val="24"/>
          <w:szCs w:val="24"/>
        </w:rPr>
        <w:t>2006</w:t>
      </w:r>
      <w:r w:rsidRPr="00CE3398">
        <w:rPr>
          <w:rFonts w:ascii="Times New Roman" w:hAnsi="Times New Roman"/>
          <w:sz w:val="24"/>
          <w:szCs w:val="24"/>
        </w:rPr>
        <w:t xml:space="preserve">, apud </w:t>
      </w:r>
      <w:r w:rsidR="000B188E" w:rsidRPr="00CE3398">
        <w:rPr>
          <w:rFonts w:ascii="Times New Roman" w:hAnsi="Times New Roman"/>
          <w:sz w:val="24"/>
          <w:szCs w:val="24"/>
        </w:rPr>
        <w:t>Bicudo</w:t>
      </w:r>
      <w:r w:rsidRPr="00CE3398">
        <w:rPr>
          <w:rFonts w:ascii="Times New Roman" w:hAnsi="Times New Roman"/>
          <w:sz w:val="24"/>
          <w:szCs w:val="24"/>
        </w:rPr>
        <w:t>, 2006).</w:t>
      </w:r>
    </w:p>
    <w:p w:rsidR="0002519A" w:rsidRPr="00CE3398" w:rsidRDefault="0002519A" w:rsidP="0002519A">
      <w:pPr>
        <w:tabs>
          <w:tab w:val="left" w:pos="0"/>
        </w:tabs>
        <w:spacing w:after="120" w:line="240" w:lineRule="auto"/>
        <w:ind w:firstLine="709"/>
        <w:jc w:val="both"/>
        <w:rPr>
          <w:rFonts w:ascii="Times New Roman" w:hAnsi="Times New Roman"/>
          <w:sz w:val="24"/>
          <w:szCs w:val="24"/>
        </w:rPr>
      </w:pPr>
      <w:r w:rsidRPr="00CE3398">
        <w:rPr>
          <w:rFonts w:ascii="Times New Roman" w:hAnsi="Times New Roman"/>
          <w:sz w:val="24"/>
          <w:szCs w:val="24"/>
        </w:rPr>
        <w:t xml:space="preserve">A redução </w:t>
      </w:r>
      <w:r w:rsidR="000B188E" w:rsidRPr="00CE3398">
        <w:rPr>
          <w:rFonts w:ascii="Times New Roman" w:hAnsi="Times New Roman"/>
          <w:sz w:val="24"/>
          <w:szCs w:val="24"/>
        </w:rPr>
        <w:t xml:space="preserve">em </w:t>
      </w:r>
      <w:r w:rsidRPr="00CE3398">
        <w:rPr>
          <w:rFonts w:ascii="Times New Roman" w:hAnsi="Times New Roman"/>
          <w:sz w:val="24"/>
          <w:szCs w:val="24"/>
        </w:rPr>
        <w:t xml:space="preserve">40% na concentração dos poluentes entre os anos </w:t>
      </w:r>
      <w:r w:rsidR="000B188E" w:rsidRPr="00CE3398">
        <w:rPr>
          <w:rFonts w:ascii="Times New Roman" w:hAnsi="Times New Roman"/>
          <w:sz w:val="24"/>
          <w:szCs w:val="24"/>
        </w:rPr>
        <w:t>19</w:t>
      </w:r>
      <w:r w:rsidRPr="00CE3398">
        <w:rPr>
          <w:rFonts w:ascii="Times New Roman" w:hAnsi="Times New Roman"/>
          <w:sz w:val="24"/>
          <w:szCs w:val="24"/>
        </w:rPr>
        <w:t>90 e os primeiros cinco anos deste século, estimulada por programas como o PROCONVE, foi suficiente para diminuir de 12 para 8 o número de mortes diárias atribuídas à poluição do ar na região metropolitana de São Paulo (</w:t>
      </w:r>
      <w:r w:rsidR="000B188E" w:rsidRPr="00CE3398">
        <w:rPr>
          <w:rFonts w:ascii="Times New Roman" w:hAnsi="Times New Roman"/>
          <w:sz w:val="24"/>
          <w:szCs w:val="24"/>
        </w:rPr>
        <w:t>Instituto Saúde e Sustentabilidade</w:t>
      </w:r>
      <w:r w:rsidRPr="00CE3398">
        <w:rPr>
          <w:rFonts w:ascii="Times New Roman" w:hAnsi="Times New Roman"/>
          <w:sz w:val="24"/>
          <w:szCs w:val="24"/>
        </w:rPr>
        <w:t>, 2009), evitando uma perda de US$</w:t>
      </w:r>
      <w:r w:rsidR="000B188E" w:rsidRPr="00CE3398">
        <w:rPr>
          <w:rFonts w:ascii="Times New Roman" w:hAnsi="Times New Roman"/>
          <w:sz w:val="24"/>
          <w:szCs w:val="24"/>
        </w:rPr>
        <w:t xml:space="preserve"> </w:t>
      </w:r>
      <w:r w:rsidRPr="00CE3398">
        <w:rPr>
          <w:rFonts w:ascii="Times New Roman" w:hAnsi="Times New Roman"/>
          <w:sz w:val="24"/>
          <w:szCs w:val="24"/>
        </w:rPr>
        <w:t>600 milhões apenas com as mortes (IES B</w:t>
      </w:r>
      <w:r w:rsidR="000B188E" w:rsidRPr="00CE3398">
        <w:rPr>
          <w:rFonts w:ascii="Times New Roman" w:hAnsi="Times New Roman"/>
          <w:sz w:val="24"/>
          <w:szCs w:val="24"/>
        </w:rPr>
        <w:t>razil</w:t>
      </w:r>
      <w:r w:rsidRPr="00CE3398">
        <w:rPr>
          <w:rFonts w:ascii="Times New Roman" w:hAnsi="Times New Roman"/>
          <w:sz w:val="24"/>
          <w:szCs w:val="24"/>
        </w:rPr>
        <w:t>, 2004).</w:t>
      </w:r>
    </w:p>
    <w:p w:rsidR="0049552B" w:rsidRPr="00CE3398" w:rsidRDefault="0049552B" w:rsidP="0049552B">
      <w:pPr>
        <w:spacing w:after="0" w:line="240" w:lineRule="auto"/>
        <w:rPr>
          <w:rFonts w:ascii="Times New Roman" w:hAnsi="Times New Roman"/>
          <w:sz w:val="24"/>
          <w:szCs w:val="24"/>
        </w:rPr>
      </w:pPr>
    </w:p>
    <w:p w:rsidR="00AA5523" w:rsidRPr="00E66BEF" w:rsidRDefault="00AA5523" w:rsidP="0049552B">
      <w:pPr>
        <w:spacing w:after="0" w:line="240" w:lineRule="auto"/>
        <w:rPr>
          <w:rFonts w:ascii="Times New Roman" w:hAnsi="Times New Roman"/>
          <w:sz w:val="24"/>
          <w:szCs w:val="24"/>
          <w:highlight w:val="yellow"/>
          <w:lang w:val="en-US"/>
        </w:rPr>
      </w:pPr>
      <w:r w:rsidRPr="00E66BEF">
        <w:rPr>
          <w:rFonts w:ascii="Times New Roman" w:hAnsi="Times New Roman"/>
          <w:b/>
          <w:sz w:val="24"/>
          <w:szCs w:val="24"/>
          <w:lang w:val="en-US"/>
        </w:rPr>
        <w:t>REFERÊNCIAS BIBLIOGRÁFICAS</w:t>
      </w:r>
      <w:r w:rsidRPr="00E66BEF">
        <w:rPr>
          <w:rFonts w:ascii="Times New Roman" w:hAnsi="Times New Roman"/>
          <w:b/>
          <w:sz w:val="24"/>
          <w:szCs w:val="24"/>
          <w:highlight w:val="yellow"/>
          <w:lang w:val="en-US"/>
        </w:rPr>
        <w:t xml:space="preserve"> </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ABRAMO, G P, HOROWITZ, A M and TREWELLA, J C. Port fuel injector cleanliness studies. International fuels and lubricants meeting and exposition. Philadelphia : SAE, 1986. SAE Paper 861535.</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ASSEFF, P A. Multifunctional gasoline additives reduce engine deposits. s.l. : SAE, 1966. SAE Paper 660543.</w:t>
      </w:r>
    </w:p>
    <w:p w:rsidR="00AA5523" w:rsidRPr="00CE3398" w:rsidRDefault="00AA5523" w:rsidP="00AA5523">
      <w:pPr>
        <w:spacing w:after="120" w:line="240" w:lineRule="auto"/>
        <w:jc w:val="both"/>
        <w:rPr>
          <w:rFonts w:ascii="Times New Roman" w:hAnsi="Times New Roman"/>
          <w:sz w:val="24"/>
          <w:szCs w:val="24"/>
        </w:rPr>
      </w:pPr>
      <w:r w:rsidRPr="00CE3398">
        <w:rPr>
          <w:rFonts w:ascii="Times New Roman" w:hAnsi="Times New Roman"/>
          <w:sz w:val="24"/>
          <w:szCs w:val="24"/>
          <w:lang w:val="en-US"/>
        </w:rPr>
        <w:t xml:space="preserve">BENSON, J D and YACCARINO, P. Fuel and additive effects on multiport fuel injector deposits. s.l. : SAE, 1986. </w:t>
      </w:r>
      <w:r w:rsidRPr="00CE3398">
        <w:rPr>
          <w:rFonts w:ascii="Times New Roman" w:hAnsi="Times New Roman"/>
          <w:sz w:val="24"/>
          <w:szCs w:val="24"/>
        </w:rPr>
        <w:t>SAE Paper 861533.</w:t>
      </w:r>
    </w:p>
    <w:p w:rsidR="00AA5523" w:rsidRPr="00CE3398" w:rsidRDefault="00AA5523" w:rsidP="00AA5523">
      <w:pPr>
        <w:spacing w:after="120" w:line="240" w:lineRule="auto"/>
        <w:jc w:val="both"/>
        <w:rPr>
          <w:rFonts w:ascii="Times New Roman" w:hAnsi="Times New Roman"/>
          <w:sz w:val="24"/>
          <w:szCs w:val="24"/>
        </w:rPr>
      </w:pPr>
      <w:r w:rsidRPr="00CE3398">
        <w:rPr>
          <w:rFonts w:ascii="Times New Roman" w:hAnsi="Times New Roman"/>
          <w:sz w:val="24"/>
          <w:szCs w:val="24"/>
        </w:rPr>
        <w:t>BICUDO, Francisco. Cortina de fumaça. Revista Pesquisa FAPESP, Edição 129, novembro 2006. (Disponível em &lt;http://www.revistapesquisa.fapesp.br/extras/imprimir.php?id=3092&amp;bid=1 &gt; acesso em 13/01/2012).</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lastRenderedPageBreak/>
        <w:t>BITTING, W, et al. Intake valve deposit - fuel detergency requirements revisited. s.l. : SAE, 1987. SAE Paper 872117.</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BOND, T J, GERRY, F S and WAGNER, W. Intake valve deposit control - a laboratory programme to optimise fuel/additive performance. 1989.</w:t>
      </w:r>
    </w:p>
    <w:p w:rsidR="00AA5523" w:rsidRPr="00CE3398" w:rsidRDefault="00AA5523" w:rsidP="00AA5523">
      <w:pPr>
        <w:spacing w:after="120" w:line="240" w:lineRule="auto"/>
        <w:jc w:val="both"/>
        <w:rPr>
          <w:rFonts w:ascii="Times New Roman" w:hAnsi="Times New Roman"/>
          <w:sz w:val="24"/>
          <w:szCs w:val="24"/>
        </w:rPr>
      </w:pPr>
      <w:r w:rsidRPr="00CE3398">
        <w:rPr>
          <w:rFonts w:ascii="Times New Roman" w:hAnsi="Times New Roman"/>
          <w:sz w:val="24"/>
          <w:szCs w:val="24"/>
          <w:lang w:val="en-US"/>
        </w:rPr>
        <w:t xml:space="preserve">California Air Resource Board. Reformulated Gasoline: Proposed Phase 1 Specifications - Staff Report. </w:t>
      </w:r>
      <w:r w:rsidRPr="00CE3398">
        <w:rPr>
          <w:rFonts w:ascii="Times New Roman" w:hAnsi="Times New Roman"/>
          <w:sz w:val="24"/>
          <w:szCs w:val="24"/>
        </w:rPr>
        <w:t>Agosto 13, 1990.</w:t>
      </w:r>
    </w:p>
    <w:p w:rsidR="00AA5523" w:rsidRPr="00CE3398" w:rsidRDefault="00AA5523" w:rsidP="00AA5523">
      <w:pPr>
        <w:spacing w:after="120" w:line="240" w:lineRule="auto"/>
        <w:jc w:val="both"/>
        <w:rPr>
          <w:rFonts w:ascii="Times New Roman" w:hAnsi="Times New Roman"/>
          <w:sz w:val="24"/>
          <w:szCs w:val="24"/>
        </w:rPr>
      </w:pPr>
      <w:r w:rsidRPr="00CE3398">
        <w:rPr>
          <w:rFonts w:ascii="Times New Roman" w:hAnsi="Times New Roman"/>
          <w:sz w:val="24"/>
          <w:szCs w:val="24"/>
        </w:rPr>
        <w:t>CETESB - Companhia de Tecnologia e Saneamento Ambiental. Secretaria de Estado do Meio Ambiente. Emissão Veicular. São Paulo, 2007 (Disponível na internet &lt; http://www.cetesb.sp.gov.br/ar/emissao-veicular/9-introducao&gt; acesso em 13/01/2012).</w:t>
      </w:r>
    </w:p>
    <w:p w:rsidR="00AA5523" w:rsidRPr="00CE3398" w:rsidRDefault="00AA5523" w:rsidP="00AA5523">
      <w:pPr>
        <w:pStyle w:val="NormalWeb"/>
        <w:spacing w:before="0" w:beforeAutospacing="0" w:after="120" w:afterAutospacing="0"/>
        <w:jc w:val="both"/>
        <w:rPr>
          <w:lang w:val="en-US"/>
        </w:rPr>
      </w:pPr>
      <w:r w:rsidRPr="00CE3398">
        <w:rPr>
          <w:lang w:val="en-US"/>
        </w:rPr>
        <w:t>COHEN, A. J et al The Global burden of disease to outdoor air pollution. J Toxical Environ Health A; 68:1301</w:t>
      </w:r>
      <w:r w:rsidRPr="00CE3398">
        <w:rPr>
          <w:rFonts w:ascii="Calibri" w:hAnsi="Calibri"/>
          <w:lang w:val="en-US"/>
        </w:rPr>
        <w:t>‐</w:t>
      </w:r>
      <w:r w:rsidRPr="00CE3398">
        <w:rPr>
          <w:lang w:val="en-US"/>
        </w:rPr>
        <w:t>7; 2005.</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DABLE, J W and SHEAHAN, T. The contribution of additives to the elimination of air pollution. Proceedings intitution of mechanical engineers. 1971. C128/71.</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FRANKLIN, T M, STAMBAUGH, R L and KUHN, R R. Simulated road test evaluation of the effect of gasoline additives on exhaust gas emissions. s.l. : SAE, 1972. SAE Paper 729042.</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GETHING, J A. Performance robbing aspects of intake valve and port deposits. s.l. : SAE, 1987. SAE Paper 872116.</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GIBBS, L M and RICHARDSON, C E. Carburator deposits and their control. s.l. : SAE, 1979. SAE Paper 790202.</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HALL, D W and GIBBS, L M. Carburetor deposits - are clean throttle bodies enough? s.l. : SAE, 1976. SAE Paper 760752.</w:t>
      </w:r>
    </w:p>
    <w:p w:rsidR="00AA5523" w:rsidRPr="00CE3398" w:rsidRDefault="00AA5523" w:rsidP="00AA5523">
      <w:pPr>
        <w:spacing w:after="120" w:line="240" w:lineRule="auto"/>
        <w:jc w:val="both"/>
        <w:rPr>
          <w:rFonts w:ascii="Times New Roman" w:hAnsi="Times New Roman"/>
          <w:sz w:val="24"/>
          <w:szCs w:val="24"/>
        </w:rPr>
      </w:pPr>
      <w:r w:rsidRPr="00CE3398">
        <w:rPr>
          <w:rFonts w:ascii="Times New Roman" w:hAnsi="Times New Roman"/>
          <w:sz w:val="24"/>
          <w:szCs w:val="24"/>
          <w:lang w:val="en-US"/>
        </w:rPr>
        <w:t xml:space="preserve">HOUSER, K and CROSBY, T. The Impact of Intake Valve Deposits on Exhaust Emissions. s.l. : SAE, 1992. </w:t>
      </w:r>
      <w:r w:rsidRPr="00CE3398">
        <w:rPr>
          <w:rFonts w:ascii="Times New Roman" w:hAnsi="Times New Roman"/>
          <w:sz w:val="24"/>
          <w:szCs w:val="24"/>
        </w:rPr>
        <w:t>SAE Paper 922259.</w:t>
      </w:r>
    </w:p>
    <w:p w:rsidR="00AA5523" w:rsidRPr="00CE3398" w:rsidRDefault="00AA5523" w:rsidP="00AA5523">
      <w:pPr>
        <w:pStyle w:val="NormalWeb"/>
        <w:spacing w:before="0" w:beforeAutospacing="0" w:after="120" w:afterAutospacing="0"/>
        <w:jc w:val="both"/>
      </w:pPr>
      <w:r w:rsidRPr="00CE3398">
        <w:t>IES BRAZIL Team. Integrated environmental strategies (IES), São Paulo, 2004. (Disponível na internet &lt;http://www.epa.gov/ies/brazildocs.htm &gt; acesso em 13/01/2012).</w:t>
      </w:r>
    </w:p>
    <w:p w:rsidR="00AA5523" w:rsidRPr="00CE3398" w:rsidRDefault="00AA5523" w:rsidP="00AA5523">
      <w:pPr>
        <w:spacing w:after="120" w:line="240" w:lineRule="auto"/>
        <w:jc w:val="both"/>
        <w:rPr>
          <w:rFonts w:ascii="Times New Roman" w:hAnsi="Times New Roman"/>
          <w:sz w:val="24"/>
          <w:szCs w:val="24"/>
        </w:rPr>
      </w:pPr>
      <w:r w:rsidRPr="00CE3398">
        <w:rPr>
          <w:rFonts w:ascii="Times New Roman" w:hAnsi="Times New Roman"/>
          <w:sz w:val="24"/>
          <w:szCs w:val="24"/>
        </w:rPr>
        <w:t>INSTITUTO SAÚDE E SUSTENTABILIDADE. Sumário de evidências – Saúde, sustentabilidade e cidadania – Um observatório de caso urbano tendo como cenário a região metropolitana de São Paulo, São Paulo, 2009 (Disponível no sítio eletrônico &lt;http://www.saudeesustentabilidade.org.br/html/nosso_trabalho/publicacoes.html&gt; acesso em 13/01/2012).</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JEWITT, C H, BOSTICK, G L and KERSEY, V L. Fuel injector, intake valve and carburetor detergency performance of gasoline additives. s.l. : SAE, 1987. SAE Paper 872114.</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KALGHATGI, Gautam T. Deposists in Gasoline Engines - A Literature Review. Tulsa : INTERNATIONAL FUELS AND LUBRICANTS MEETING AND EXPOSITION, 1990.</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KIPP, K L, et al. Ability of gasoline additives to clean engines and reduce exhaust emissions. s.l. : SAE, 1970. SAE Paper 700456.</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LEPPERHOFF, G, et al. Mechanism of deposit formation at inlet valves. 1987.</w:t>
      </w:r>
    </w:p>
    <w:p w:rsidR="00AA5523" w:rsidRPr="00CE3398" w:rsidRDefault="00AA5523" w:rsidP="00AA5523">
      <w:pPr>
        <w:pStyle w:val="NormalWeb"/>
        <w:spacing w:before="0" w:beforeAutospacing="0" w:after="120" w:afterAutospacing="0"/>
        <w:jc w:val="both"/>
        <w:rPr>
          <w:lang w:val="en-US"/>
        </w:rPr>
      </w:pPr>
      <w:r w:rsidRPr="00CE3398">
        <w:rPr>
          <w:lang w:val="en-US"/>
        </w:rPr>
        <w:t>LIN, Chin An et alii Association between air pollution and ischemic cardiovascular emergency room visits. Environ Research, 92: 57-63, 2003.</w:t>
      </w:r>
    </w:p>
    <w:p w:rsidR="00AA5523" w:rsidRPr="00CE3398" w:rsidRDefault="00AA5523" w:rsidP="00AA5523">
      <w:pPr>
        <w:pStyle w:val="NormalWeb"/>
        <w:spacing w:before="0" w:beforeAutospacing="0" w:after="120" w:afterAutospacing="0"/>
        <w:jc w:val="both"/>
      </w:pPr>
      <w:r w:rsidRPr="00CE3398">
        <w:rPr>
          <w:lang w:val="es-ES"/>
        </w:rPr>
        <w:t xml:space="preserve">LOPEZ, A.D. M. et al. </w:t>
      </w:r>
      <w:r w:rsidRPr="00CE3398">
        <w:rPr>
          <w:lang w:val="en-US"/>
        </w:rPr>
        <w:t xml:space="preserve">Global and Regional burden of disease and risk factors, 2001; systematic analysis of population health data. </w:t>
      </w:r>
      <w:r w:rsidRPr="00CE3398">
        <w:t>The Lancet ; 367:1747</w:t>
      </w:r>
      <w:r w:rsidRPr="00CE3398">
        <w:rPr>
          <w:rFonts w:ascii="Calibri" w:hAnsi="Calibri"/>
        </w:rPr>
        <w:t>‐</w:t>
      </w:r>
      <w:r w:rsidRPr="00CE3398">
        <w:t>57; 2006.</w:t>
      </w:r>
    </w:p>
    <w:p w:rsidR="00AA5523" w:rsidRPr="00CE3398" w:rsidRDefault="00AA5523" w:rsidP="00AA5523">
      <w:pPr>
        <w:pStyle w:val="NormalWeb"/>
        <w:spacing w:before="0" w:beforeAutospacing="0" w:after="120" w:afterAutospacing="0"/>
        <w:jc w:val="both"/>
        <w:rPr>
          <w:lang w:val="en-US"/>
        </w:rPr>
      </w:pPr>
      <w:r w:rsidRPr="00CE3398">
        <w:lastRenderedPageBreak/>
        <w:t xml:space="preserve">MARTINS, L. C. et alii Poluição atmosférica e atendimentos por pneumonia e gripe em São Paulo, Brasil. </w:t>
      </w:r>
      <w:r w:rsidRPr="00CE3398">
        <w:rPr>
          <w:lang w:val="en-US"/>
        </w:rPr>
        <w:t>Revista Saúde Pública, 36(1):88-94, 2002.</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MIXON, L W, ROZMANITH, A I and WOTRING, W T. Effect of fuel and lubricant additives on exhaust emissions. s.l. : SAE, 1971. SAE Paper 710295.</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NIEWHAUVE, B, GIERE, G and GONDERMANN, H. Requirements for modern gasoline additives and their testing. Journal Erdol und. Erdgas : Petrochemie, 1978/79.</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NISHIZAKI, T, et al. The effect of fuel composition and fuel additives on intake system detergency of Japanese automobile engine. s.l. : SAE, 1979. SAE Paper 79203.</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PEREIRA, Luis Alberto A. et alii. Association between air pollution and intrauterine mortality in São Paulo, Brazil. Environ Health Perspect, 106:325</w:t>
      </w:r>
      <w:r w:rsidRPr="00CE3398">
        <w:rPr>
          <w:sz w:val="24"/>
          <w:szCs w:val="24"/>
          <w:lang w:val="en-US"/>
        </w:rPr>
        <w:t>‐</w:t>
      </w:r>
      <w:r w:rsidRPr="00CE3398">
        <w:rPr>
          <w:rFonts w:ascii="Times New Roman" w:hAnsi="Times New Roman"/>
          <w:sz w:val="24"/>
          <w:szCs w:val="24"/>
          <w:lang w:val="en-US"/>
        </w:rPr>
        <w:t>329, 1998.</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Proceedings of the CRC workshop on intake valve deposits. Co-ordinating Research Council. San Francisco : s.n., 1989.</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RETZLOFF, J B, L, PLONSKER and SNEED, R B. Fuels detergency-effects on emissions. s.l. : SAE, 1972. SAE Paper 720841.</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ROGERS, D T and JONACH, F L. Mechanism of intake valve underside deposit formation. SAE National fuels and lubricants meeting. Tulsa : SAE, 1958. SAE Paper 106C.</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rPr>
        <w:t xml:space="preserve">SALDIVA, P. , VORMITTAG E. A saúde precária de uma velha senhora. </w:t>
      </w:r>
      <w:r w:rsidRPr="00CE3398">
        <w:rPr>
          <w:rFonts w:ascii="Times New Roman" w:hAnsi="Times New Roman"/>
          <w:sz w:val="24"/>
          <w:szCs w:val="24"/>
          <w:lang w:val="en-US"/>
        </w:rPr>
        <w:t>Scientific American BRASIL,abril 2010.</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SHEAHAN, T J, DORER, C J and MILLER, C O. Detergent-dispersant fuel performance and handling. s.l. : SAE, 1969. SAE Paper 690516.</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SIGWORTH, H W and PAYNE, J Q. The cause and correction of carburetor gumming. Tulsa : SAE, 1954. National fuels and lubricants meeting.</w:t>
      </w:r>
    </w:p>
    <w:p w:rsidR="00AA5523" w:rsidRPr="00CE3398" w:rsidRDefault="00AA5523" w:rsidP="00AA5523">
      <w:pPr>
        <w:spacing w:after="120" w:line="240" w:lineRule="auto"/>
        <w:jc w:val="both"/>
        <w:rPr>
          <w:rFonts w:ascii="Times New Roman" w:hAnsi="Times New Roman"/>
          <w:sz w:val="24"/>
          <w:szCs w:val="24"/>
        </w:rPr>
      </w:pPr>
      <w:r w:rsidRPr="00CE3398">
        <w:rPr>
          <w:rFonts w:ascii="Times New Roman" w:hAnsi="Times New Roman"/>
          <w:sz w:val="24"/>
          <w:szCs w:val="24"/>
          <w:lang w:val="en-US"/>
        </w:rPr>
        <w:t xml:space="preserve">TANIGUCHI, B Y, et al. Injector deposits - the tip of intake system deposit problems. s.l. : SAE, 1986. </w:t>
      </w:r>
      <w:r w:rsidRPr="00CE3398">
        <w:rPr>
          <w:rFonts w:ascii="Times New Roman" w:hAnsi="Times New Roman"/>
          <w:sz w:val="24"/>
          <w:szCs w:val="24"/>
        </w:rPr>
        <w:t>SAE Paper 861534.</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rPr>
        <w:t xml:space="preserve">Terra Networks Brasil S/A. Carro Online. Site da Carro Online. </w:t>
      </w:r>
      <w:r w:rsidRPr="00E66BEF">
        <w:rPr>
          <w:rFonts w:ascii="Times New Roman" w:hAnsi="Times New Roman"/>
          <w:sz w:val="24"/>
          <w:szCs w:val="24"/>
          <w:lang w:val="en-US"/>
        </w:rPr>
        <w:t xml:space="preserve">[Online] Terra. </w:t>
      </w:r>
      <w:r w:rsidRPr="00CE3398">
        <w:rPr>
          <w:rFonts w:ascii="Times New Roman" w:hAnsi="Times New Roman"/>
          <w:sz w:val="24"/>
          <w:szCs w:val="24"/>
          <w:lang w:val="en-US"/>
        </w:rPr>
        <w:t>[Cited: 10 02, 2012.] http://carroonline.terra.com.br/index.asp?codc=58.</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TOMITA, M, et al. Effect of gasoline quality on throttle response of engines during warm-up. s.l. : SAE, 1990. SAE Paper 900163.</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TUPA, R C and DORER, C J. Gasoline and diesel fuel additives for performance/di</w:t>
      </w:r>
      <w:r w:rsidR="006B4322" w:rsidRPr="00CE3398">
        <w:rPr>
          <w:rFonts w:ascii="Times New Roman" w:hAnsi="Times New Roman"/>
          <w:sz w:val="24"/>
          <w:szCs w:val="24"/>
          <w:lang w:val="en-US"/>
        </w:rPr>
        <w:t xml:space="preserve">stribution/quality - II. s.l. </w:t>
      </w:r>
      <w:r w:rsidRPr="00CE3398">
        <w:rPr>
          <w:rFonts w:ascii="Times New Roman" w:hAnsi="Times New Roman"/>
          <w:sz w:val="24"/>
          <w:szCs w:val="24"/>
          <w:lang w:val="en-US"/>
        </w:rPr>
        <w:t>: SAE, 1986. SAE Paper 861179.</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TUPA, R C and KOEHLER, D E. Intake valve deposits - effects of engines, fuels and additives. 1988.</w:t>
      </w:r>
    </w:p>
    <w:p w:rsidR="00AA5523" w:rsidRPr="00CE3398" w:rsidRDefault="00AA5523" w:rsidP="00AA5523">
      <w:pPr>
        <w:spacing w:after="120" w:line="240" w:lineRule="auto"/>
        <w:jc w:val="both"/>
        <w:rPr>
          <w:rFonts w:ascii="Times New Roman" w:hAnsi="Times New Roman"/>
          <w:sz w:val="24"/>
          <w:szCs w:val="24"/>
          <w:lang w:val="en-US"/>
        </w:rPr>
      </w:pPr>
      <w:r w:rsidRPr="004518B0">
        <w:rPr>
          <w:rFonts w:ascii="Times New Roman" w:hAnsi="Times New Roman"/>
          <w:sz w:val="24"/>
          <w:szCs w:val="24"/>
          <w:lang w:val="en-US"/>
        </w:rPr>
        <w:t xml:space="preserve">TUPA, R C. Port fuel injector deposits: causes/consequences/cures. s.l. : SAE, 1987. </w:t>
      </w:r>
      <w:r w:rsidRPr="00CE3398">
        <w:rPr>
          <w:rFonts w:ascii="Times New Roman" w:hAnsi="Times New Roman"/>
          <w:sz w:val="24"/>
          <w:szCs w:val="24"/>
          <w:lang w:val="en-US"/>
        </w:rPr>
        <w:t>SAE Paper 872113.</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TUPA, Robert C and KOEHLER, Donald E. Gasoline port fuel injectors - Keep clean/clean up with additives. s.l. : SAE, 1986. SAE Paper 861536.</w:t>
      </w:r>
    </w:p>
    <w:p w:rsidR="00AA5523" w:rsidRPr="00CE3398" w:rsidRDefault="00AA5523" w:rsidP="00AA5523">
      <w:pPr>
        <w:spacing w:after="120" w:line="240" w:lineRule="auto"/>
        <w:jc w:val="both"/>
        <w:rPr>
          <w:rFonts w:ascii="Times New Roman" w:hAnsi="Times New Roman"/>
          <w:sz w:val="24"/>
          <w:szCs w:val="24"/>
          <w:lang w:val="en-US"/>
        </w:rPr>
      </w:pPr>
      <w:r w:rsidRPr="00CE3398">
        <w:rPr>
          <w:rFonts w:ascii="Times New Roman" w:hAnsi="Times New Roman"/>
          <w:sz w:val="24"/>
          <w:szCs w:val="24"/>
          <w:lang w:val="en-US"/>
        </w:rPr>
        <w:t>U.S. Enviromental Protection Agency, Office of Air and Radiation. Regulatory Impact Analysis and Regulatory Flexibility Analysis for the Interim Detergent Registration Program and Expected Detergente Certification Program. agosto 14, 1995.</w:t>
      </w:r>
    </w:p>
    <w:p w:rsidR="00AA5523" w:rsidRPr="00CE3398" w:rsidRDefault="00AA5523" w:rsidP="00AA5523">
      <w:pPr>
        <w:spacing w:after="120" w:line="240" w:lineRule="auto"/>
        <w:jc w:val="both"/>
        <w:rPr>
          <w:rFonts w:ascii="Times New Roman" w:hAnsi="Times New Roman"/>
          <w:sz w:val="24"/>
          <w:szCs w:val="24"/>
        </w:rPr>
      </w:pPr>
      <w:r w:rsidRPr="00CE3398">
        <w:rPr>
          <w:rFonts w:ascii="Times New Roman" w:hAnsi="Times New Roman"/>
          <w:sz w:val="24"/>
          <w:szCs w:val="24"/>
          <w:lang w:val="en-US"/>
        </w:rPr>
        <w:t xml:space="preserve">UDELHOFEN, J M and ZAHALKA, T L. Gasoline additive requirements for today's smaller engines. s.l. : SAE, 1988. </w:t>
      </w:r>
      <w:r w:rsidRPr="00CE3398">
        <w:rPr>
          <w:rFonts w:ascii="Times New Roman" w:hAnsi="Times New Roman"/>
          <w:sz w:val="24"/>
          <w:szCs w:val="24"/>
        </w:rPr>
        <w:t>SAE Paper 881644.</w:t>
      </w:r>
    </w:p>
    <w:p w:rsidR="00103485" w:rsidRPr="00CE3398" w:rsidRDefault="0002519A" w:rsidP="009E699F">
      <w:pPr>
        <w:jc w:val="both"/>
        <w:rPr>
          <w:rFonts w:ascii="Times New Roman" w:hAnsi="Times New Roman"/>
          <w:b/>
          <w:bCs/>
          <w:sz w:val="24"/>
          <w:szCs w:val="24"/>
        </w:rPr>
      </w:pPr>
      <w:r w:rsidRPr="00CE3398">
        <w:rPr>
          <w:rFonts w:ascii="Times New Roman" w:hAnsi="Times New Roman"/>
          <w:sz w:val="24"/>
          <w:szCs w:val="24"/>
          <w:highlight w:val="yellow"/>
        </w:rPr>
        <w:br w:type="page"/>
      </w:r>
      <w:r w:rsidR="00BC459D" w:rsidRPr="00CE3398">
        <w:rPr>
          <w:rFonts w:ascii="Times New Roman" w:hAnsi="Times New Roman"/>
          <w:b/>
          <w:sz w:val="24"/>
          <w:szCs w:val="24"/>
        </w:rPr>
        <w:lastRenderedPageBreak/>
        <w:t>ANEXO II</w:t>
      </w:r>
      <w:r w:rsidR="009E699F">
        <w:rPr>
          <w:rFonts w:ascii="Times New Roman" w:hAnsi="Times New Roman"/>
          <w:b/>
          <w:sz w:val="24"/>
          <w:szCs w:val="24"/>
        </w:rPr>
        <w:t xml:space="preserve"> </w:t>
      </w:r>
      <w:r w:rsidR="00A42214">
        <w:rPr>
          <w:rFonts w:ascii="Times New Roman" w:hAnsi="Times New Roman"/>
          <w:b/>
          <w:sz w:val="24"/>
          <w:szCs w:val="24"/>
        </w:rPr>
        <w:t>-</w:t>
      </w:r>
      <w:r w:rsidR="009E699F">
        <w:rPr>
          <w:rFonts w:ascii="Times New Roman" w:hAnsi="Times New Roman"/>
          <w:b/>
          <w:sz w:val="24"/>
          <w:szCs w:val="24"/>
        </w:rPr>
        <w:t xml:space="preserve"> </w:t>
      </w:r>
      <w:r w:rsidR="00103485" w:rsidRPr="00CE3398">
        <w:rPr>
          <w:rFonts w:ascii="Times New Roman" w:hAnsi="Times New Roman"/>
          <w:b/>
          <w:bCs/>
          <w:sz w:val="24"/>
          <w:szCs w:val="24"/>
        </w:rPr>
        <w:t xml:space="preserve">NOTA TÉCNICA CPT </w:t>
      </w:r>
      <w:r w:rsidR="00BC459D" w:rsidRPr="00CE3398">
        <w:rPr>
          <w:rFonts w:ascii="Times New Roman" w:hAnsi="Times New Roman"/>
          <w:b/>
          <w:bCs/>
          <w:sz w:val="24"/>
          <w:szCs w:val="24"/>
        </w:rPr>
        <w:t>SOBRE ADITIVAÇÃO COMPULSÓRIA DA GASOLINA NO MUNDO</w:t>
      </w:r>
    </w:p>
    <w:p w:rsidR="00103485" w:rsidRPr="00CE3398" w:rsidRDefault="00103485" w:rsidP="005E2CA8">
      <w:pPr>
        <w:pStyle w:val="Ttulo4"/>
        <w:spacing w:before="0" w:after="0"/>
        <w:rPr>
          <w:rFonts w:ascii="Times New Roman" w:hAnsi="Times New Roman"/>
          <w:sz w:val="24"/>
          <w:szCs w:val="24"/>
        </w:rPr>
      </w:pPr>
      <w:r w:rsidRPr="00CE3398">
        <w:rPr>
          <w:rFonts w:ascii="Times New Roman" w:hAnsi="Times New Roman"/>
          <w:noProof/>
          <w:color w:val="FF0000"/>
          <w:sz w:val="24"/>
          <w:szCs w:val="24"/>
        </w:rPr>
        <w:drawing>
          <wp:anchor distT="0" distB="0" distL="114300" distR="114300" simplePos="0" relativeHeight="251658752" behindDoc="0" locked="0" layoutInCell="1" allowOverlap="1">
            <wp:simplePos x="0" y="0"/>
            <wp:positionH relativeFrom="column">
              <wp:align>left</wp:align>
            </wp:positionH>
            <wp:positionV relativeFrom="paragraph">
              <wp:align>top</wp:align>
            </wp:positionV>
            <wp:extent cx="565150" cy="939800"/>
            <wp:effectExtent l="19050" t="0" r="6350" b="0"/>
            <wp:wrapSquare wrapText="bothSides"/>
            <wp:docPr id="3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65150" cy="939800"/>
                    </a:xfrm>
                    <a:prstGeom prst="rect">
                      <a:avLst/>
                    </a:prstGeom>
                    <a:noFill/>
                    <a:ln w="9525">
                      <a:noFill/>
                      <a:miter lim="800000"/>
                      <a:headEnd/>
                      <a:tailEnd/>
                    </a:ln>
                  </pic:spPr>
                </pic:pic>
              </a:graphicData>
            </a:graphic>
          </wp:anchor>
        </w:drawing>
      </w:r>
      <w:r w:rsidRPr="00CE3398">
        <w:rPr>
          <w:rFonts w:ascii="Times New Roman" w:hAnsi="Times New Roman"/>
          <w:sz w:val="24"/>
          <w:szCs w:val="24"/>
        </w:rPr>
        <w:br w:type="textWrapping" w:clear="all"/>
      </w:r>
    </w:p>
    <w:p w:rsidR="00103485" w:rsidRPr="00CE3398" w:rsidRDefault="00103485" w:rsidP="00103485">
      <w:pPr>
        <w:autoSpaceDE w:val="0"/>
        <w:autoSpaceDN w:val="0"/>
        <w:adjustRightInd w:val="0"/>
        <w:jc w:val="both"/>
        <w:rPr>
          <w:rFonts w:ascii="Times New Roman" w:hAnsi="Times New Roman"/>
          <w:sz w:val="24"/>
          <w:szCs w:val="24"/>
        </w:rPr>
      </w:pPr>
      <w:r w:rsidRPr="00CE3398">
        <w:rPr>
          <w:rFonts w:ascii="Times New Roman" w:hAnsi="Times New Roman"/>
          <w:sz w:val="24"/>
          <w:szCs w:val="24"/>
        </w:rPr>
        <w:t>Nota técnica n.º 05/2013/101/CPT</w:t>
      </w:r>
    </w:p>
    <w:p w:rsidR="00103485" w:rsidRPr="00CE3398" w:rsidRDefault="00103485" w:rsidP="00103485">
      <w:pPr>
        <w:autoSpaceDE w:val="0"/>
        <w:autoSpaceDN w:val="0"/>
        <w:adjustRightInd w:val="0"/>
        <w:jc w:val="right"/>
        <w:rPr>
          <w:rFonts w:ascii="Times New Roman" w:hAnsi="Times New Roman"/>
          <w:sz w:val="24"/>
          <w:szCs w:val="24"/>
        </w:rPr>
      </w:pPr>
      <w:r w:rsidRPr="00CE3398">
        <w:rPr>
          <w:rFonts w:ascii="Times New Roman" w:hAnsi="Times New Roman"/>
          <w:sz w:val="24"/>
          <w:szCs w:val="24"/>
        </w:rPr>
        <w:t>Brasília, 31 de janeiro de 2013.</w:t>
      </w:r>
    </w:p>
    <w:p w:rsidR="00103485" w:rsidRPr="00CE3398" w:rsidRDefault="00103485" w:rsidP="00103485">
      <w:pPr>
        <w:spacing w:after="240"/>
        <w:jc w:val="both"/>
        <w:rPr>
          <w:rFonts w:ascii="Times New Roman" w:hAnsi="Times New Roman"/>
          <w:sz w:val="24"/>
          <w:szCs w:val="24"/>
        </w:rPr>
      </w:pPr>
      <w:r w:rsidRPr="00CE3398">
        <w:rPr>
          <w:rFonts w:ascii="Times New Roman" w:hAnsi="Times New Roman"/>
          <w:sz w:val="24"/>
          <w:szCs w:val="24"/>
        </w:rPr>
        <w:t>Assunto: Estudo sobre aditivação compulsória da gasolina no mundo.</w:t>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INTRODUÇÃO</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 Resolução ANP nº 38, de 9 de dezembro de 2009 </w:t>
      </w:r>
      <w:sdt>
        <w:sdtPr>
          <w:rPr>
            <w:rFonts w:eastAsia="Calibri"/>
            <w:szCs w:val="24"/>
            <w:lang w:eastAsia="en-US"/>
          </w:rPr>
          <w:id w:val="5564610"/>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Bra \l 1046 </w:instrText>
          </w:r>
          <w:r w:rsidR="0010373C" w:rsidRPr="00CE3398">
            <w:rPr>
              <w:rFonts w:eastAsia="Calibri"/>
              <w:szCs w:val="24"/>
              <w:lang w:eastAsia="en-US"/>
            </w:rPr>
            <w:fldChar w:fldCharType="separate"/>
          </w:r>
          <w:r w:rsidRPr="00CE3398">
            <w:rPr>
              <w:rFonts w:eastAsia="Calibri"/>
              <w:szCs w:val="24"/>
              <w:lang w:eastAsia="en-US"/>
            </w:rPr>
            <w:t>(1)</w:t>
          </w:r>
          <w:r w:rsidR="0010373C" w:rsidRPr="00CE3398">
            <w:rPr>
              <w:rFonts w:eastAsia="Calibri"/>
              <w:szCs w:val="24"/>
              <w:lang w:eastAsia="en-US"/>
            </w:rPr>
            <w:fldChar w:fldCharType="end"/>
          </w:r>
        </w:sdtContent>
      </w:sdt>
      <w:r w:rsidRPr="00CE3398">
        <w:rPr>
          <w:rFonts w:eastAsia="Calibri"/>
          <w:szCs w:val="24"/>
          <w:lang w:eastAsia="en-US"/>
        </w:rPr>
        <w:t>, estabelece que toda gasolina a ser comercializada a partir de 1º de janeiro de 2014 deverá conter aditivo detergente dispersante.</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Estimulado pelo Programa de Fortalecimento da Capacidade Institucional para a Gestão em Regulação – PRO-REG </w:t>
      </w:r>
      <w:sdt>
        <w:sdtPr>
          <w:rPr>
            <w:rFonts w:eastAsia="Calibri"/>
            <w:szCs w:val="24"/>
            <w:lang w:eastAsia="en-US"/>
          </w:rPr>
          <w:id w:val="5564611"/>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BRA \l 1046  </w:instrText>
          </w:r>
          <w:r w:rsidR="0010373C" w:rsidRPr="00CE3398">
            <w:rPr>
              <w:rFonts w:eastAsia="Calibri"/>
              <w:szCs w:val="24"/>
              <w:lang w:eastAsia="en-US"/>
            </w:rPr>
            <w:fldChar w:fldCharType="separate"/>
          </w:r>
          <w:r w:rsidRPr="00CE3398">
            <w:rPr>
              <w:rFonts w:eastAsia="Calibri"/>
              <w:szCs w:val="24"/>
              <w:lang w:eastAsia="en-US"/>
            </w:rPr>
            <w:t>(2)</w:t>
          </w:r>
          <w:r w:rsidR="0010373C" w:rsidRPr="00CE3398">
            <w:rPr>
              <w:rFonts w:eastAsia="Calibri"/>
              <w:szCs w:val="24"/>
              <w:lang w:eastAsia="en-US"/>
            </w:rPr>
            <w:fldChar w:fldCharType="end"/>
          </w:r>
        </w:sdtContent>
      </w:sdt>
      <w:r w:rsidRPr="00CE3398">
        <w:rPr>
          <w:rFonts w:eastAsia="Calibri"/>
          <w:szCs w:val="24"/>
          <w:lang w:eastAsia="en-US"/>
        </w:rPr>
        <w:t>, foi formado na ANP um grupo de trabalho (GT) com o objetivo de avaliar o impacto regulatório da aditivação compulsória da gasolina brasileira.</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 aditivação compulsória da gasolina não é fato inédito. Estados Unidos da América (EUA), México, Colômbia, Tailândia, China e Índia </w:t>
      </w:r>
      <w:sdt>
        <w:sdtPr>
          <w:rPr>
            <w:rFonts w:eastAsia="Calibri"/>
            <w:szCs w:val="24"/>
            <w:lang w:eastAsia="en-US"/>
          </w:rPr>
          <w:id w:val="5564614"/>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Wag11 \l 1046 </w:instrText>
          </w:r>
          <w:r w:rsidR="0010373C" w:rsidRPr="00CE3398">
            <w:rPr>
              <w:rFonts w:eastAsia="Calibri"/>
              <w:szCs w:val="24"/>
              <w:lang w:eastAsia="en-US"/>
            </w:rPr>
            <w:fldChar w:fldCharType="separate"/>
          </w:r>
          <w:r w:rsidRPr="00CE3398">
            <w:rPr>
              <w:rFonts w:eastAsia="Calibri"/>
              <w:szCs w:val="24"/>
              <w:lang w:eastAsia="en-US"/>
            </w:rPr>
            <w:t>(3)</w:t>
          </w:r>
          <w:r w:rsidR="0010373C" w:rsidRPr="00CE3398">
            <w:rPr>
              <w:rFonts w:eastAsia="Calibri"/>
              <w:szCs w:val="24"/>
              <w:lang w:eastAsia="en-US"/>
            </w:rPr>
            <w:fldChar w:fldCharType="end"/>
          </w:r>
        </w:sdtContent>
      </w:sdt>
      <w:r w:rsidRPr="00CE3398">
        <w:rPr>
          <w:rFonts w:eastAsia="Calibri"/>
          <w:szCs w:val="24"/>
          <w:lang w:eastAsia="en-US"/>
        </w:rPr>
        <w:t xml:space="preserve"> adotam tal prática, visando, sobretudo, a mitigação das emissões de poluentes de escapamento de veículos automotores.</w:t>
      </w:r>
    </w:p>
    <w:p w:rsidR="00103485" w:rsidRPr="00CE3398" w:rsidRDefault="00103485" w:rsidP="00103485">
      <w:pPr>
        <w:pStyle w:val="CorpoTExto"/>
        <w:rPr>
          <w:rFonts w:eastAsia="Calibri"/>
          <w:szCs w:val="24"/>
          <w:lang w:eastAsia="en-US"/>
        </w:rPr>
      </w:pPr>
      <w:r w:rsidRPr="00CE3398">
        <w:rPr>
          <w:rFonts w:eastAsia="Calibri"/>
          <w:szCs w:val="24"/>
          <w:lang w:eastAsia="en-US"/>
        </w:rPr>
        <w:t>Neste estudo foram levantadas as bases legais que instituem a aditivação compulsória em cada um dos seis países e suas particularidades.</w:t>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EUA</w:t>
      </w:r>
    </w:p>
    <w:p w:rsidR="00103485" w:rsidRPr="00CE3398" w:rsidRDefault="00103485" w:rsidP="00103485">
      <w:pPr>
        <w:pStyle w:val="CorpoTExto"/>
        <w:rPr>
          <w:rFonts w:eastAsia="Calibri"/>
          <w:szCs w:val="24"/>
          <w:lang w:eastAsia="en-US"/>
        </w:rPr>
      </w:pPr>
      <w:r w:rsidRPr="00CE3398">
        <w:rPr>
          <w:rFonts w:eastAsia="Calibri"/>
          <w:szCs w:val="24"/>
          <w:lang w:eastAsia="en-US"/>
        </w:rPr>
        <w:t>O ato normativo que estabelece a obrigatoriedade da adição de aditivo para o controle de depósitos à gasolina automotiva é a lei federal que institui o Clean Air Act – CAA. Inicialmente publicado em 1963, e posteriormente alterado em 1970 e 1990, o CAA tem por objetivo reduzir a poluição atmosférica nos EUA.</w:t>
      </w:r>
    </w:p>
    <w:p w:rsidR="00103485" w:rsidRDefault="00103485" w:rsidP="00103485">
      <w:pPr>
        <w:pStyle w:val="CorpoTExto"/>
        <w:rPr>
          <w:rFonts w:eastAsia="Calibri"/>
          <w:szCs w:val="24"/>
          <w:lang w:eastAsia="en-US"/>
        </w:rPr>
      </w:pPr>
      <w:r w:rsidRPr="00CE3398">
        <w:rPr>
          <w:rFonts w:eastAsia="Calibri"/>
          <w:szCs w:val="24"/>
          <w:lang w:eastAsia="en-US"/>
        </w:rPr>
        <w:t xml:space="preserve">Aprovadas no Congresso dos EUA em 1990, as emendas ao CAA tornaram proibida a comercialização de gasolina sem aditivo para controle de depósitos em motores </w:t>
      </w:r>
      <w:sdt>
        <w:sdtPr>
          <w:rPr>
            <w:rFonts w:eastAsia="Calibri"/>
            <w:szCs w:val="24"/>
            <w:lang w:eastAsia="en-US"/>
          </w:rPr>
          <w:id w:val="5564615"/>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EUA \l 1046  </w:instrText>
          </w:r>
          <w:r w:rsidR="0010373C" w:rsidRPr="00CE3398">
            <w:rPr>
              <w:rFonts w:eastAsia="Calibri"/>
              <w:szCs w:val="24"/>
              <w:lang w:eastAsia="en-US"/>
            </w:rPr>
            <w:fldChar w:fldCharType="separate"/>
          </w:r>
          <w:r w:rsidRPr="00CE3398">
            <w:rPr>
              <w:rFonts w:eastAsia="Calibri"/>
              <w:szCs w:val="24"/>
              <w:lang w:eastAsia="en-US"/>
            </w:rPr>
            <w:t>(4)</w:t>
          </w:r>
          <w:r w:rsidR="0010373C" w:rsidRPr="00CE3398">
            <w:rPr>
              <w:rFonts w:eastAsia="Calibri"/>
              <w:szCs w:val="24"/>
              <w:lang w:eastAsia="en-US"/>
            </w:rPr>
            <w:fldChar w:fldCharType="end"/>
          </w:r>
        </w:sdtContent>
      </w:sdt>
      <w:r w:rsidRPr="00CE3398">
        <w:rPr>
          <w:rFonts w:eastAsia="Calibri"/>
          <w:szCs w:val="24"/>
          <w:lang w:eastAsia="en-US"/>
        </w:rPr>
        <w:t xml:space="preserve">. Criou-se então o programa de aditivação total da gasolina nos EUA. O programa ficou a cargo da agência de proteção do meio ambiente daquele país, Environmental Protection Agency – EPA. O programa foi implementado em duas etapas: uma interina, de forma que o mercado pudesse se preparar a tempo, e outra final, com critérios mais rígidos de certificação e controle. Os requisitos e procedimentos finais para certificação de aditivos encontram-se no título 40, parte 80 do código norte-americano de legislação federal </w:t>
      </w:r>
      <w:sdt>
        <w:sdtPr>
          <w:rPr>
            <w:rFonts w:eastAsia="Calibri"/>
            <w:szCs w:val="24"/>
            <w:lang w:eastAsia="en-US"/>
          </w:rPr>
          <w:id w:val="5564616"/>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EUA1 \l 1046  </w:instrText>
          </w:r>
          <w:r w:rsidR="0010373C" w:rsidRPr="00CE3398">
            <w:rPr>
              <w:rFonts w:eastAsia="Calibri"/>
              <w:szCs w:val="24"/>
              <w:lang w:eastAsia="en-US"/>
            </w:rPr>
            <w:fldChar w:fldCharType="separate"/>
          </w:r>
          <w:r w:rsidRPr="00CE3398">
            <w:rPr>
              <w:rFonts w:eastAsia="Calibri"/>
              <w:szCs w:val="24"/>
              <w:lang w:eastAsia="en-US"/>
            </w:rPr>
            <w:t>(5)</w:t>
          </w:r>
          <w:r w:rsidR="0010373C" w:rsidRPr="00CE3398">
            <w:rPr>
              <w:rFonts w:eastAsia="Calibri"/>
              <w:szCs w:val="24"/>
              <w:lang w:eastAsia="en-US"/>
            </w:rPr>
            <w:fldChar w:fldCharType="end"/>
          </w:r>
        </w:sdtContent>
      </w:sdt>
      <w:r w:rsidRPr="00CE3398">
        <w:rPr>
          <w:rFonts w:eastAsia="Calibri"/>
          <w:szCs w:val="24"/>
          <w:lang w:eastAsia="en-US"/>
        </w:rPr>
        <w:t>.</w:t>
      </w:r>
    </w:p>
    <w:p w:rsidR="00E67AFA" w:rsidRDefault="00E67AFA" w:rsidP="00E67AFA">
      <w:pPr>
        <w:pStyle w:val="CorpoTExto"/>
        <w:ind w:firstLine="0"/>
        <w:rPr>
          <w:rFonts w:eastAsia="Calibri"/>
          <w:szCs w:val="24"/>
          <w:lang w:eastAsia="en-US"/>
        </w:rPr>
      </w:pPr>
    </w:p>
    <w:p w:rsidR="00E67AFA" w:rsidRDefault="00E67AFA" w:rsidP="00E67AFA">
      <w:pPr>
        <w:pStyle w:val="CorpoTExto"/>
        <w:ind w:firstLine="0"/>
        <w:rPr>
          <w:rFonts w:eastAsia="Calibri"/>
          <w:szCs w:val="24"/>
          <w:lang w:eastAsia="en-US"/>
        </w:rPr>
      </w:pPr>
    </w:p>
    <w:p w:rsidR="00E67AFA" w:rsidRDefault="00E67AFA" w:rsidP="00E67AFA">
      <w:pPr>
        <w:pStyle w:val="CorpoTExto"/>
        <w:ind w:firstLine="0"/>
        <w:rPr>
          <w:rFonts w:eastAsia="Calibri"/>
          <w:szCs w:val="24"/>
          <w:lang w:eastAsia="en-US"/>
        </w:rPr>
      </w:pPr>
    </w:p>
    <w:p w:rsidR="00103485" w:rsidRPr="00CE3398" w:rsidRDefault="00103485" w:rsidP="00103485">
      <w:pPr>
        <w:pStyle w:val="CorpoTExto"/>
        <w:rPr>
          <w:rFonts w:eastAsia="Calibri"/>
          <w:szCs w:val="24"/>
          <w:lang w:eastAsia="en-US"/>
        </w:rPr>
      </w:pPr>
      <w:r w:rsidRPr="00CE3398">
        <w:rPr>
          <w:rFonts w:eastAsia="Calibri"/>
          <w:szCs w:val="24"/>
          <w:lang w:eastAsia="en-US"/>
        </w:rPr>
        <w:lastRenderedPageBreak/>
        <w:t xml:space="preserve">Detalhes da legislação norte-americana encontram-se resumidos na </w:t>
      </w:r>
      <w:fldSimple w:instr=" REF _Ref344361423 \h  \* MERGEFORMAT ">
        <w:r w:rsidR="00C46797" w:rsidRPr="00C46797">
          <w:rPr>
            <w:rFonts w:eastAsia="Calibri"/>
            <w:szCs w:val="24"/>
            <w:lang w:eastAsia="en-US"/>
          </w:rPr>
          <w:t>Tabela 1</w:t>
        </w:r>
      </w:fldSimple>
      <w:r w:rsidRPr="00CE3398">
        <w:rPr>
          <w:rFonts w:eastAsia="Calibri"/>
          <w:szCs w:val="24"/>
          <w:lang w:eastAsia="en-US"/>
        </w:rPr>
        <w:t>:</w:t>
      </w:r>
    </w:p>
    <w:p w:rsidR="00103485" w:rsidRPr="00CE3398" w:rsidRDefault="00103485" w:rsidP="00103485">
      <w:pPr>
        <w:pStyle w:val="Legenda"/>
        <w:rPr>
          <w:rFonts w:ascii="Times New Roman" w:hAnsi="Times New Roman"/>
          <w:b w:val="0"/>
          <w:bCs w:val="0"/>
          <w:color w:val="auto"/>
          <w:sz w:val="24"/>
          <w:szCs w:val="24"/>
        </w:rPr>
      </w:pPr>
      <w:bookmarkStart w:id="0" w:name="_Ref344361423"/>
      <w:r w:rsidRPr="00CE3398">
        <w:rPr>
          <w:rFonts w:ascii="Times New Roman" w:hAnsi="Times New Roman"/>
          <w:b w:val="0"/>
          <w:bCs w:val="0"/>
          <w:color w:val="auto"/>
          <w:sz w:val="24"/>
          <w:szCs w:val="24"/>
        </w:rPr>
        <w:t xml:space="preserve">Tabela </w:t>
      </w:r>
      <w:r w:rsidR="0010373C" w:rsidRPr="00CE3398">
        <w:rPr>
          <w:rFonts w:ascii="Times New Roman" w:hAnsi="Times New Roman"/>
          <w:b w:val="0"/>
          <w:bCs w:val="0"/>
          <w:color w:val="auto"/>
          <w:sz w:val="24"/>
          <w:szCs w:val="24"/>
        </w:rPr>
        <w:fldChar w:fldCharType="begin"/>
      </w:r>
      <w:r w:rsidRPr="00CE3398">
        <w:rPr>
          <w:rFonts w:ascii="Times New Roman" w:hAnsi="Times New Roman"/>
          <w:b w:val="0"/>
          <w:bCs w:val="0"/>
          <w:color w:val="auto"/>
          <w:sz w:val="24"/>
          <w:szCs w:val="24"/>
        </w:rPr>
        <w:instrText xml:space="preserve"> SEQ Tabela \* ARABIC </w:instrText>
      </w:r>
      <w:r w:rsidR="0010373C" w:rsidRPr="00CE3398">
        <w:rPr>
          <w:rFonts w:ascii="Times New Roman" w:hAnsi="Times New Roman"/>
          <w:b w:val="0"/>
          <w:bCs w:val="0"/>
          <w:color w:val="auto"/>
          <w:sz w:val="24"/>
          <w:szCs w:val="24"/>
        </w:rPr>
        <w:fldChar w:fldCharType="separate"/>
      </w:r>
      <w:r w:rsidR="00C46797">
        <w:rPr>
          <w:rFonts w:ascii="Times New Roman" w:hAnsi="Times New Roman"/>
          <w:b w:val="0"/>
          <w:bCs w:val="0"/>
          <w:noProof/>
          <w:color w:val="auto"/>
          <w:sz w:val="24"/>
          <w:szCs w:val="24"/>
        </w:rPr>
        <w:t>1</w:t>
      </w:r>
      <w:r w:rsidR="0010373C" w:rsidRPr="00CE3398">
        <w:rPr>
          <w:rFonts w:ascii="Times New Roman" w:hAnsi="Times New Roman"/>
          <w:b w:val="0"/>
          <w:bCs w:val="0"/>
          <w:color w:val="auto"/>
          <w:sz w:val="24"/>
          <w:szCs w:val="24"/>
        </w:rPr>
        <w:fldChar w:fldCharType="end"/>
      </w:r>
      <w:bookmarkEnd w:id="0"/>
    </w:p>
    <w:p w:rsidR="00103485" w:rsidRPr="00CE3398" w:rsidRDefault="00103485" w:rsidP="00103485">
      <w:pPr>
        <w:pStyle w:val="LegendaTabTitulo"/>
        <w:rPr>
          <w:rFonts w:eastAsia="Calibri"/>
          <w:sz w:val="24"/>
          <w:szCs w:val="24"/>
          <w:lang w:eastAsia="en-US"/>
        </w:rPr>
      </w:pPr>
      <w:r w:rsidRPr="00CE3398">
        <w:rPr>
          <w:rFonts w:eastAsia="Calibri"/>
          <w:sz w:val="24"/>
          <w:szCs w:val="24"/>
          <w:lang w:eastAsia="en-US"/>
        </w:rPr>
        <w:t xml:space="preserve">Detalhes da legislação norte-americana para o programa de aditivação compulsória da gasolina </w:t>
      </w:r>
      <w:sdt>
        <w:sdtPr>
          <w:rPr>
            <w:rFonts w:eastAsia="Calibri"/>
            <w:sz w:val="24"/>
            <w:szCs w:val="24"/>
            <w:lang w:eastAsia="en-US"/>
          </w:rPr>
          <w:id w:val="178552901"/>
          <w:citation/>
        </w:sdtPr>
        <w:sdtContent>
          <w:r w:rsidR="0010373C" w:rsidRPr="00CE3398">
            <w:rPr>
              <w:rFonts w:eastAsia="Calibri"/>
              <w:sz w:val="24"/>
              <w:szCs w:val="24"/>
              <w:lang w:eastAsia="en-US"/>
            </w:rPr>
            <w:fldChar w:fldCharType="begin"/>
          </w:r>
          <w:r w:rsidRPr="00CE3398">
            <w:rPr>
              <w:rFonts w:eastAsia="Calibri"/>
              <w:sz w:val="24"/>
              <w:szCs w:val="24"/>
              <w:lang w:eastAsia="en-US"/>
            </w:rPr>
            <w:instrText xml:space="preserve"> CITATION EUA1 \l 1046 </w:instrText>
          </w:r>
          <w:r w:rsidR="0010373C" w:rsidRPr="00CE3398">
            <w:rPr>
              <w:rFonts w:eastAsia="Calibri"/>
              <w:sz w:val="24"/>
              <w:szCs w:val="24"/>
              <w:lang w:eastAsia="en-US"/>
            </w:rPr>
            <w:fldChar w:fldCharType="separate"/>
          </w:r>
          <w:r w:rsidRPr="00CE3398">
            <w:rPr>
              <w:rFonts w:eastAsia="Calibri"/>
              <w:sz w:val="24"/>
              <w:szCs w:val="24"/>
              <w:lang w:eastAsia="en-US"/>
            </w:rPr>
            <w:t>(5)</w:t>
          </w:r>
          <w:r w:rsidR="0010373C" w:rsidRPr="00CE3398">
            <w:rPr>
              <w:rFonts w:eastAsia="Calibri"/>
              <w:sz w:val="24"/>
              <w:szCs w:val="24"/>
              <w:lang w:eastAsia="en-US"/>
            </w:rPr>
            <w:fldChar w:fldCharType="end"/>
          </w:r>
        </w:sdtContent>
      </w:sdt>
      <w:r w:rsidRPr="00CE3398">
        <w:rPr>
          <w:rFonts w:eastAsia="Calibri"/>
          <w:sz w:val="24"/>
          <w:szCs w:val="24"/>
          <w:lang w:eastAsia="en-US"/>
        </w:rPr>
        <w:t>.</w:t>
      </w:r>
    </w:p>
    <w:tbl>
      <w:tblPr>
        <w:tblStyle w:val="Tabelacomgrad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935"/>
        <w:gridCol w:w="3477"/>
        <w:gridCol w:w="1482"/>
      </w:tblGrid>
      <w:tr w:rsidR="00103485" w:rsidRPr="00A42214" w:rsidTr="00E67AFA">
        <w:trPr>
          <w:jc w:val="center"/>
        </w:trPr>
        <w:tc>
          <w:tcPr>
            <w:tcW w:w="2494" w:type="pct"/>
            <w:tcMar>
              <w:top w:w="85" w:type="dxa"/>
              <w:left w:w="142" w:type="dxa"/>
            </w:tcMar>
          </w:tcPr>
          <w:p w:rsidR="00103485" w:rsidRPr="00A42214" w:rsidRDefault="00103485" w:rsidP="0087016A">
            <w:pPr>
              <w:rPr>
                <w:rFonts w:ascii="Times New Roman" w:hAnsi="Times New Roman"/>
                <w:sz w:val="20"/>
                <w:szCs w:val="20"/>
              </w:rPr>
            </w:pPr>
            <w:r w:rsidRPr="00A42214">
              <w:rPr>
                <w:rFonts w:ascii="Times New Roman" w:hAnsi="Times New Roman"/>
                <w:sz w:val="20"/>
                <w:szCs w:val="20"/>
              </w:rPr>
              <w:t>Período do programa interino de aditivação</w:t>
            </w:r>
          </w:p>
        </w:tc>
        <w:tc>
          <w:tcPr>
            <w:tcW w:w="1757" w:type="pct"/>
            <w:tcMar>
              <w:top w:w="85" w:type="dxa"/>
            </w:tcMar>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01/01/1995 a 30/06/1997</w:t>
            </w:r>
          </w:p>
        </w:tc>
        <w:tc>
          <w:tcPr>
            <w:tcW w:w="749" w:type="pct"/>
            <w:tcMar>
              <w:top w:w="85" w:type="dxa"/>
            </w:tcMar>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2494" w:type="pct"/>
            <w:tcMar>
              <w:left w:w="142" w:type="dxa"/>
            </w:tcMar>
          </w:tcPr>
          <w:p w:rsidR="00103485" w:rsidRPr="00A42214" w:rsidRDefault="00103485" w:rsidP="0087016A">
            <w:pPr>
              <w:rPr>
                <w:rFonts w:ascii="Times New Roman" w:hAnsi="Times New Roman"/>
                <w:sz w:val="20"/>
                <w:szCs w:val="20"/>
              </w:rPr>
            </w:pPr>
            <w:r w:rsidRPr="00A42214">
              <w:rPr>
                <w:rFonts w:ascii="Times New Roman" w:hAnsi="Times New Roman"/>
                <w:sz w:val="20"/>
                <w:szCs w:val="20"/>
              </w:rPr>
              <w:t>Período do programa final de aditivação</w:t>
            </w:r>
          </w:p>
        </w:tc>
        <w:tc>
          <w:tcPr>
            <w:tcW w:w="1757" w:type="pct"/>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01/07/1997 até os dias de hoje</w:t>
            </w:r>
          </w:p>
        </w:tc>
        <w:tc>
          <w:tcPr>
            <w:tcW w:w="749" w:type="pct"/>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2494" w:type="pct"/>
            <w:tcMar>
              <w:left w:w="142" w:type="dxa"/>
            </w:tcMar>
          </w:tcPr>
          <w:p w:rsidR="00103485" w:rsidRPr="00A42214" w:rsidRDefault="00103485" w:rsidP="0087016A">
            <w:pPr>
              <w:rPr>
                <w:rFonts w:ascii="Times New Roman" w:hAnsi="Times New Roman"/>
                <w:sz w:val="20"/>
                <w:szCs w:val="20"/>
              </w:rPr>
            </w:pPr>
            <w:r w:rsidRPr="00A42214">
              <w:rPr>
                <w:rFonts w:ascii="Times New Roman" w:hAnsi="Times New Roman"/>
                <w:sz w:val="20"/>
                <w:szCs w:val="20"/>
              </w:rPr>
              <w:t>Requisitos mínimos de detergência</w:t>
            </w:r>
          </w:p>
        </w:tc>
        <w:tc>
          <w:tcPr>
            <w:tcW w:w="1757" w:type="pct"/>
            <w:vAlign w:val="center"/>
          </w:tcPr>
          <w:p w:rsidR="00103485" w:rsidRPr="00A42214" w:rsidRDefault="00103485" w:rsidP="0087016A">
            <w:pPr>
              <w:ind w:left="170"/>
              <w:rPr>
                <w:rFonts w:ascii="Times New Roman" w:hAnsi="Times New Roman"/>
                <w:sz w:val="20"/>
                <w:szCs w:val="20"/>
              </w:rPr>
            </w:pPr>
          </w:p>
        </w:tc>
        <w:tc>
          <w:tcPr>
            <w:tcW w:w="749" w:type="pct"/>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2494" w:type="pct"/>
            <w:tcMar>
              <w:left w:w="142" w:type="dxa"/>
            </w:tcMar>
          </w:tcPr>
          <w:p w:rsidR="00103485" w:rsidRPr="00A42214" w:rsidRDefault="00103485" w:rsidP="0087016A">
            <w:pPr>
              <w:ind w:left="708"/>
              <w:rPr>
                <w:rFonts w:ascii="Times New Roman" w:hAnsi="Times New Roman"/>
                <w:sz w:val="20"/>
                <w:szCs w:val="20"/>
              </w:rPr>
            </w:pPr>
            <w:r w:rsidRPr="00A42214">
              <w:rPr>
                <w:rFonts w:ascii="Times New Roman" w:hAnsi="Times New Roman"/>
                <w:sz w:val="20"/>
                <w:szCs w:val="20"/>
              </w:rPr>
              <w:t>Depósitos em válvulas de admissão (IVD) – ASTM D5500-94</w:t>
            </w:r>
          </w:p>
        </w:tc>
        <w:tc>
          <w:tcPr>
            <w:tcW w:w="1757" w:type="pct"/>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Máximo de 100 mg/válvula, médio</w:t>
            </w:r>
          </w:p>
        </w:tc>
        <w:tc>
          <w:tcPr>
            <w:tcW w:w="749" w:type="pct"/>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2494" w:type="pct"/>
            <w:tcMar>
              <w:left w:w="142" w:type="dxa"/>
            </w:tcMar>
          </w:tcPr>
          <w:p w:rsidR="00103485" w:rsidRPr="00A42214" w:rsidRDefault="00103485" w:rsidP="0087016A">
            <w:pPr>
              <w:ind w:left="708"/>
              <w:rPr>
                <w:rFonts w:ascii="Times New Roman" w:hAnsi="Times New Roman"/>
                <w:sz w:val="20"/>
                <w:szCs w:val="20"/>
              </w:rPr>
            </w:pPr>
            <w:r w:rsidRPr="00A42214">
              <w:rPr>
                <w:rFonts w:ascii="Times New Roman" w:hAnsi="Times New Roman"/>
                <w:sz w:val="20"/>
                <w:szCs w:val="20"/>
              </w:rPr>
              <w:t>Depósitos em bicos injetores (PFID) – ASTM D5598-94</w:t>
            </w:r>
          </w:p>
        </w:tc>
        <w:tc>
          <w:tcPr>
            <w:tcW w:w="1757" w:type="pct"/>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Máximo de 5% de restrição de fluxo em qualquer injetor</w:t>
            </w:r>
          </w:p>
        </w:tc>
        <w:tc>
          <w:tcPr>
            <w:tcW w:w="749" w:type="pct"/>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2494" w:type="pct"/>
            <w:tcMar>
              <w:left w:w="142" w:type="dxa"/>
            </w:tcMar>
          </w:tcPr>
          <w:p w:rsidR="00103485" w:rsidRPr="00A42214" w:rsidRDefault="00103485" w:rsidP="0087016A">
            <w:pPr>
              <w:rPr>
                <w:rFonts w:ascii="Times New Roman" w:hAnsi="Times New Roman"/>
                <w:sz w:val="20"/>
                <w:szCs w:val="20"/>
              </w:rPr>
            </w:pPr>
            <w:r w:rsidRPr="00A42214">
              <w:rPr>
                <w:rFonts w:ascii="Times New Roman" w:hAnsi="Times New Roman"/>
                <w:sz w:val="20"/>
                <w:szCs w:val="20"/>
              </w:rPr>
              <w:t>Duas opções principais de certificação do aditivo</w:t>
            </w:r>
          </w:p>
          <w:p w:rsidR="00103485" w:rsidRPr="00A42214" w:rsidRDefault="00103485" w:rsidP="0087016A">
            <w:pPr>
              <w:ind w:left="708"/>
              <w:rPr>
                <w:rFonts w:ascii="Times New Roman" w:hAnsi="Times New Roman"/>
                <w:sz w:val="20"/>
                <w:szCs w:val="20"/>
              </w:rPr>
            </w:pPr>
            <w:r w:rsidRPr="00A42214">
              <w:rPr>
                <w:rFonts w:ascii="Times New Roman" w:hAnsi="Times New Roman"/>
                <w:sz w:val="20"/>
                <w:szCs w:val="20"/>
              </w:rPr>
              <w:t>Nacional</w:t>
            </w:r>
          </w:p>
          <w:p w:rsidR="00103485" w:rsidRPr="00A42214" w:rsidRDefault="00103485" w:rsidP="0087016A">
            <w:pPr>
              <w:ind w:left="1416"/>
              <w:rPr>
                <w:rFonts w:ascii="Times New Roman" w:hAnsi="Times New Roman"/>
                <w:sz w:val="20"/>
                <w:szCs w:val="20"/>
              </w:rPr>
            </w:pPr>
            <w:r w:rsidRPr="00A42214">
              <w:rPr>
                <w:rFonts w:ascii="Times New Roman" w:hAnsi="Times New Roman"/>
                <w:sz w:val="20"/>
                <w:szCs w:val="20"/>
              </w:rPr>
              <w:t>Gasolina Genérica</w:t>
            </w:r>
          </w:p>
          <w:p w:rsidR="00103485" w:rsidRPr="00A42214" w:rsidRDefault="00103485" w:rsidP="0087016A">
            <w:pPr>
              <w:ind w:left="1416"/>
              <w:rPr>
                <w:rFonts w:ascii="Times New Roman" w:hAnsi="Times New Roman"/>
                <w:sz w:val="20"/>
                <w:szCs w:val="20"/>
              </w:rPr>
            </w:pPr>
            <w:r w:rsidRPr="00A42214">
              <w:rPr>
                <w:rFonts w:ascii="Times New Roman" w:hAnsi="Times New Roman"/>
                <w:sz w:val="20"/>
                <w:szCs w:val="20"/>
              </w:rPr>
              <w:t>Gasolina Premium</w:t>
            </w:r>
          </w:p>
          <w:p w:rsidR="00103485" w:rsidRPr="00A42214" w:rsidRDefault="00103485" w:rsidP="0087016A">
            <w:pPr>
              <w:ind w:left="708"/>
              <w:rPr>
                <w:rFonts w:ascii="Times New Roman" w:hAnsi="Times New Roman"/>
                <w:sz w:val="20"/>
                <w:szCs w:val="20"/>
              </w:rPr>
            </w:pPr>
            <w:r w:rsidRPr="00A42214">
              <w:rPr>
                <w:rFonts w:ascii="Times New Roman" w:hAnsi="Times New Roman"/>
                <w:sz w:val="20"/>
                <w:szCs w:val="20"/>
              </w:rPr>
              <w:t>PADD (regiões específicas do país)</w:t>
            </w:r>
          </w:p>
          <w:p w:rsidR="00103485" w:rsidRPr="00A42214" w:rsidRDefault="00103485" w:rsidP="0087016A">
            <w:pPr>
              <w:ind w:left="1416"/>
              <w:rPr>
                <w:rFonts w:ascii="Times New Roman" w:hAnsi="Times New Roman"/>
                <w:sz w:val="20"/>
                <w:szCs w:val="20"/>
              </w:rPr>
            </w:pPr>
            <w:r w:rsidRPr="00A42214">
              <w:rPr>
                <w:rFonts w:ascii="Times New Roman" w:hAnsi="Times New Roman"/>
                <w:sz w:val="20"/>
                <w:szCs w:val="20"/>
              </w:rPr>
              <w:t>Gasolina Genérica</w:t>
            </w:r>
          </w:p>
          <w:p w:rsidR="00103485" w:rsidRPr="00A42214" w:rsidRDefault="00103485" w:rsidP="0087016A">
            <w:pPr>
              <w:ind w:left="1416"/>
              <w:rPr>
                <w:rFonts w:ascii="Times New Roman" w:hAnsi="Times New Roman"/>
                <w:sz w:val="20"/>
                <w:szCs w:val="20"/>
              </w:rPr>
            </w:pPr>
            <w:r w:rsidRPr="00A42214">
              <w:rPr>
                <w:rFonts w:ascii="Times New Roman" w:hAnsi="Times New Roman"/>
                <w:sz w:val="20"/>
                <w:szCs w:val="20"/>
              </w:rPr>
              <w:t>Gasolina Premium</w:t>
            </w:r>
          </w:p>
        </w:tc>
        <w:tc>
          <w:tcPr>
            <w:tcW w:w="1757" w:type="pct"/>
            <w:vAlign w:val="center"/>
          </w:tcPr>
          <w:p w:rsidR="00103485" w:rsidRPr="00A42214" w:rsidRDefault="00103485" w:rsidP="0087016A">
            <w:pPr>
              <w:ind w:left="170"/>
              <w:rPr>
                <w:rFonts w:ascii="Times New Roman" w:hAnsi="Times New Roman"/>
                <w:sz w:val="20"/>
                <w:szCs w:val="20"/>
              </w:rPr>
            </w:pPr>
          </w:p>
        </w:tc>
        <w:tc>
          <w:tcPr>
            <w:tcW w:w="749" w:type="pct"/>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2494" w:type="pct"/>
            <w:tcMar>
              <w:left w:w="142" w:type="dxa"/>
            </w:tcMar>
          </w:tcPr>
          <w:p w:rsidR="00103485" w:rsidRPr="00A42214" w:rsidRDefault="00103485" w:rsidP="0087016A">
            <w:pPr>
              <w:rPr>
                <w:rFonts w:ascii="Times New Roman" w:hAnsi="Times New Roman"/>
                <w:sz w:val="20"/>
                <w:szCs w:val="20"/>
              </w:rPr>
            </w:pPr>
            <w:r w:rsidRPr="00A42214">
              <w:rPr>
                <w:rFonts w:ascii="Times New Roman" w:hAnsi="Times New Roman"/>
                <w:sz w:val="20"/>
                <w:szCs w:val="20"/>
              </w:rPr>
              <w:t>Requisito mínimo de severidade do combustível de referência</w:t>
            </w:r>
          </w:p>
        </w:tc>
        <w:tc>
          <w:tcPr>
            <w:tcW w:w="1757" w:type="pct"/>
            <w:vAlign w:val="center"/>
          </w:tcPr>
          <w:p w:rsidR="00103485" w:rsidRPr="00A42214" w:rsidRDefault="00103485" w:rsidP="0087016A">
            <w:pPr>
              <w:ind w:left="170"/>
              <w:rPr>
                <w:rFonts w:ascii="Times New Roman" w:hAnsi="Times New Roman"/>
                <w:sz w:val="20"/>
                <w:szCs w:val="20"/>
              </w:rPr>
            </w:pPr>
          </w:p>
        </w:tc>
        <w:tc>
          <w:tcPr>
            <w:tcW w:w="749" w:type="pct"/>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2494" w:type="pct"/>
            <w:tcMar>
              <w:left w:w="142" w:type="dxa"/>
            </w:tcMar>
          </w:tcPr>
          <w:p w:rsidR="00103485" w:rsidRPr="00A42214" w:rsidRDefault="00103485" w:rsidP="0087016A">
            <w:pPr>
              <w:ind w:left="708"/>
              <w:rPr>
                <w:rFonts w:ascii="Times New Roman" w:hAnsi="Times New Roman"/>
                <w:sz w:val="20"/>
                <w:szCs w:val="20"/>
              </w:rPr>
            </w:pPr>
            <w:r w:rsidRPr="00A42214">
              <w:rPr>
                <w:rFonts w:ascii="Times New Roman" w:hAnsi="Times New Roman"/>
                <w:sz w:val="20"/>
                <w:szCs w:val="20"/>
              </w:rPr>
              <w:t>Depósitos em válvulas de admissão (IVD) – ASTM D5500-94</w:t>
            </w:r>
          </w:p>
        </w:tc>
        <w:tc>
          <w:tcPr>
            <w:tcW w:w="1757" w:type="pct"/>
            <w:vAlign w:val="center"/>
          </w:tcPr>
          <w:p w:rsidR="00103485" w:rsidRPr="00A42214" w:rsidRDefault="00103485" w:rsidP="0087016A">
            <w:pPr>
              <w:ind w:left="170"/>
              <w:rPr>
                <w:rFonts w:ascii="Times New Roman" w:hAnsi="Times New Roman"/>
                <w:sz w:val="20"/>
                <w:szCs w:val="20"/>
              </w:rPr>
            </w:pPr>
          </w:p>
        </w:tc>
        <w:tc>
          <w:tcPr>
            <w:tcW w:w="749" w:type="pct"/>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2494" w:type="pct"/>
            <w:tcMar>
              <w:left w:w="142" w:type="dxa"/>
              <w:bottom w:w="85" w:type="dxa"/>
            </w:tcMar>
          </w:tcPr>
          <w:p w:rsidR="00103485" w:rsidRPr="00A42214" w:rsidRDefault="00103485" w:rsidP="0087016A">
            <w:pPr>
              <w:ind w:left="1416"/>
              <w:rPr>
                <w:rFonts w:ascii="Times New Roman" w:hAnsi="Times New Roman"/>
                <w:sz w:val="20"/>
                <w:szCs w:val="20"/>
              </w:rPr>
            </w:pPr>
            <w:r w:rsidRPr="00A42214">
              <w:rPr>
                <w:rFonts w:ascii="Times New Roman" w:hAnsi="Times New Roman"/>
                <w:sz w:val="20"/>
                <w:szCs w:val="20"/>
              </w:rPr>
              <w:t>Nacional</w:t>
            </w:r>
          </w:p>
        </w:tc>
        <w:tc>
          <w:tcPr>
            <w:tcW w:w="1757" w:type="pct"/>
            <w:tcMar>
              <w:bottom w:w="85" w:type="dxa"/>
            </w:tcMar>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Mínimo de 290 mg/válvula, médio (gasolina genérica); 260 mg/válvula, médio (gasolina premium)</w:t>
            </w:r>
          </w:p>
        </w:tc>
        <w:tc>
          <w:tcPr>
            <w:tcW w:w="749" w:type="pct"/>
            <w:tcMar>
              <w:bottom w:w="85" w:type="dxa"/>
            </w:tcMar>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2494" w:type="pct"/>
            <w:tcMar>
              <w:left w:w="142" w:type="dxa"/>
              <w:bottom w:w="85" w:type="dxa"/>
            </w:tcMar>
          </w:tcPr>
          <w:p w:rsidR="00103485" w:rsidRPr="00A42214" w:rsidRDefault="00103485" w:rsidP="0087016A">
            <w:pPr>
              <w:ind w:left="1416"/>
              <w:rPr>
                <w:rFonts w:ascii="Times New Roman" w:hAnsi="Times New Roman"/>
                <w:sz w:val="20"/>
                <w:szCs w:val="20"/>
              </w:rPr>
            </w:pPr>
            <w:r w:rsidRPr="00A42214">
              <w:rPr>
                <w:rFonts w:ascii="Times New Roman" w:hAnsi="Times New Roman"/>
                <w:sz w:val="20"/>
                <w:szCs w:val="20"/>
              </w:rPr>
              <w:t>PADD</w:t>
            </w:r>
          </w:p>
        </w:tc>
        <w:tc>
          <w:tcPr>
            <w:tcW w:w="1757" w:type="pct"/>
            <w:tcMar>
              <w:bottom w:w="85" w:type="dxa"/>
            </w:tcMar>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Mínimo de 260 a 290 mg/válvula, médio (gasolina genérica); 235 a 260 mg/válvula, médio (gasolina premium)</w:t>
            </w:r>
          </w:p>
        </w:tc>
        <w:tc>
          <w:tcPr>
            <w:tcW w:w="749" w:type="pct"/>
            <w:tcMar>
              <w:bottom w:w="85" w:type="dxa"/>
            </w:tcMar>
            <w:vAlign w:val="center"/>
          </w:tcPr>
          <w:p w:rsidR="00103485" w:rsidRPr="00A42214" w:rsidRDefault="00103485" w:rsidP="0087016A">
            <w:pPr>
              <w:rPr>
                <w:rFonts w:ascii="Times New Roman" w:hAnsi="Times New Roman"/>
                <w:sz w:val="20"/>
                <w:szCs w:val="20"/>
              </w:rPr>
            </w:pPr>
          </w:p>
        </w:tc>
      </w:tr>
    </w:tbl>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Na visita de representantes da ANP à Lubrizol Corporation, em Wickliffe, Ohio, EUA, especialistas norte-americanos relataram a inércia da EPA em revisar a legislação pertinente ao programa de aditivação compulsória. Os testes exigidos e os combustíveis de referência, estipulados há mais de 15 anos, já não representam mais o cenário atual.</w:t>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lastRenderedPageBreak/>
        <w:t>MÉXICO</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São comercializados no México dois tipos de gasolina: Pemex Premium e Pemex Magna, cujas especificações incluem a adição de aditivo detergente dispersante. A aditivação da gasolina no México é realizada pela PEMEX Refinación, subsidiária da estatal Petróleos Mexicanos – PEMEX </w:t>
      </w:r>
      <w:sdt>
        <w:sdtPr>
          <w:rPr>
            <w:rFonts w:eastAsia="Calibri"/>
            <w:szCs w:val="24"/>
            <w:lang w:eastAsia="en-US"/>
          </w:rPr>
          <w:id w:val="5564618"/>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Ins \l 1046  \m PEM</w:instrText>
          </w:r>
          <w:r w:rsidR="0010373C" w:rsidRPr="00CE3398">
            <w:rPr>
              <w:rFonts w:eastAsia="Calibri"/>
              <w:szCs w:val="24"/>
              <w:lang w:eastAsia="en-US"/>
            </w:rPr>
            <w:fldChar w:fldCharType="separate"/>
          </w:r>
          <w:r w:rsidRPr="00CE3398">
            <w:rPr>
              <w:rFonts w:eastAsia="Calibri"/>
              <w:szCs w:val="24"/>
              <w:lang w:eastAsia="en-US"/>
            </w:rPr>
            <w:t>(6; 7)</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Atualmente utiliza-se o aditivo detergente dispersante denominado IMP-DG-15 para toda gasolina </w:t>
      </w:r>
      <w:sdt>
        <w:sdtPr>
          <w:rPr>
            <w:rFonts w:eastAsia="Calibri"/>
            <w:szCs w:val="24"/>
            <w:lang w:eastAsia="en-US"/>
          </w:rPr>
          <w:id w:val="5564619"/>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EST \l 1046  </w:instrText>
          </w:r>
          <w:r w:rsidR="0010373C" w:rsidRPr="00CE3398">
            <w:rPr>
              <w:rFonts w:eastAsia="Calibri"/>
              <w:szCs w:val="24"/>
              <w:lang w:eastAsia="en-US"/>
            </w:rPr>
            <w:fldChar w:fldCharType="separate"/>
          </w:r>
          <w:r w:rsidRPr="00CE3398">
            <w:rPr>
              <w:rFonts w:eastAsia="Calibri"/>
              <w:szCs w:val="24"/>
              <w:lang w:eastAsia="en-US"/>
            </w:rPr>
            <w:t>(8)</w:t>
          </w:r>
          <w:r w:rsidR="0010373C" w:rsidRPr="00CE3398">
            <w:rPr>
              <w:rFonts w:eastAsia="Calibri"/>
              <w:szCs w:val="24"/>
              <w:lang w:eastAsia="en-US"/>
            </w:rPr>
            <w:fldChar w:fldCharType="end"/>
          </w:r>
        </w:sdtContent>
      </w:sdt>
      <w:r w:rsidRPr="00CE3398">
        <w:rPr>
          <w:rFonts w:eastAsia="Calibri"/>
          <w:szCs w:val="24"/>
          <w:lang w:eastAsia="en-US"/>
        </w:rPr>
        <w:t xml:space="preserve">. O pacote é formulado, estocado e distribuído pelo Instituto Mexicano del Petróleo – IMP </w:t>
      </w:r>
      <w:sdt>
        <w:sdtPr>
          <w:rPr>
            <w:rFonts w:eastAsia="Calibri"/>
            <w:szCs w:val="24"/>
            <w:lang w:eastAsia="en-US"/>
          </w:rPr>
          <w:id w:val="5564620"/>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Ins \l 1046 </w:instrText>
          </w:r>
          <w:r w:rsidR="0010373C" w:rsidRPr="00CE3398">
            <w:rPr>
              <w:rFonts w:eastAsia="Calibri"/>
              <w:szCs w:val="24"/>
              <w:lang w:eastAsia="en-US"/>
            </w:rPr>
            <w:fldChar w:fldCharType="separate"/>
          </w:r>
          <w:r w:rsidRPr="00CE3398">
            <w:rPr>
              <w:rFonts w:eastAsia="Calibri"/>
              <w:szCs w:val="24"/>
              <w:lang w:eastAsia="en-US"/>
            </w:rPr>
            <w:t>(6)</w:t>
          </w:r>
          <w:r w:rsidR="0010373C" w:rsidRPr="00CE3398">
            <w:rPr>
              <w:rFonts w:eastAsia="Calibri"/>
              <w:szCs w:val="24"/>
              <w:lang w:eastAsia="en-US"/>
            </w:rPr>
            <w:fldChar w:fldCharType="end"/>
          </w:r>
        </w:sdtContent>
      </w:sdt>
      <w:r w:rsidRPr="00CE3398">
        <w:rPr>
          <w:rFonts w:eastAsia="Calibri"/>
          <w:szCs w:val="24"/>
          <w:lang w:eastAsia="en-US"/>
        </w:rPr>
        <w:t xml:space="preserve">. A adição do aditivo à gasolina é executada nas refinarias, terminais de armazenamento e distribuição ou durante o bombeamento do combustível nas linhas de dutos </w:t>
      </w:r>
      <w:sdt>
        <w:sdtPr>
          <w:rPr>
            <w:rFonts w:eastAsia="Calibri"/>
            <w:szCs w:val="24"/>
            <w:lang w:eastAsia="en-US"/>
          </w:rPr>
          <w:id w:val="5564621"/>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PEM \l 1046 </w:instrText>
          </w:r>
          <w:r w:rsidR="0010373C" w:rsidRPr="00CE3398">
            <w:rPr>
              <w:rFonts w:eastAsia="Calibri"/>
              <w:szCs w:val="24"/>
              <w:lang w:eastAsia="en-US"/>
            </w:rPr>
            <w:fldChar w:fldCharType="separate"/>
          </w:r>
          <w:r w:rsidRPr="00CE3398">
            <w:rPr>
              <w:rFonts w:eastAsia="Calibri"/>
              <w:szCs w:val="24"/>
              <w:lang w:eastAsia="en-US"/>
            </w:rPr>
            <w:t>(7)</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Na especificação atual da gasolina não consta o requisito mínimo de detergência. Consta apenas que o aditivo IMP-DG-15 efetivamente mantém os níveis de depósitos estabelecidos nas normas ASTM D5598-01 e ASTM D 5500-98 </w:t>
      </w:r>
      <w:sdt>
        <w:sdtPr>
          <w:rPr>
            <w:rFonts w:eastAsia="Calibri"/>
            <w:szCs w:val="24"/>
            <w:lang w:eastAsia="en-US"/>
          </w:rPr>
          <w:id w:val="5564622"/>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EST \l 1046  </w:instrText>
          </w:r>
          <w:r w:rsidR="0010373C" w:rsidRPr="00CE3398">
            <w:rPr>
              <w:rFonts w:eastAsia="Calibri"/>
              <w:szCs w:val="24"/>
              <w:lang w:eastAsia="en-US"/>
            </w:rPr>
            <w:fldChar w:fldCharType="separate"/>
          </w:r>
          <w:r w:rsidRPr="00CE3398">
            <w:rPr>
              <w:rFonts w:eastAsia="Calibri"/>
              <w:szCs w:val="24"/>
              <w:lang w:eastAsia="en-US"/>
            </w:rPr>
            <w:t>(8)</w:t>
          </w:r>
          <w:r w:rsidR="0010373C" w:rsidRPr="00CE3398">
            <w:rPr>
              <w:rFonts w:eastAsia="Calibri"/>
              <w:szCs w:val="24"/>
              <w:lang w:eastAsia="en-US"/>
            </w:rPr>
            <w:fldChar w:fldCharType="end"/>
          </w:r>
        </w:sdtContent>
      </w:sdt>
      <w:r w:rsidRPr="00CE3398">
        <w:rPr>
          <w:rFonts w:eastAsia="Calibri"/>
          <w:szCs w:val="24"/>
          <w:lang w:eastAsia="en-US"/>
        </w:rPr>
        <w:t xml:space="preserve">. A dosagem empregada do pacote IMP-DG-15 é de 165 mg/kg </w:t>
      </w:r>
      <w:sdt>
        <w:sdtPr>
          <w:rPr>
            <w:rFonts w:eastAsia="Calibri"/>
            <w:szCs w:val="24"/>
            <w:lang w:eastAsia="en-US"/>
          </w:rPr>
          <w:id w:val="5564624"/>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PEM1 \l 1046 </w:instrText>
          </w:r>
          <w:r w:rsidR="0010373C" w:rsidRPr="00CE3398">
            <w:rPr>
              <w:rFonts w:eastAsia="Calibri"/>
              <w:szCs w:val="24"/>
              <w:lang w:eastAsia="en-US"/>
            </w:rPr>
            <w:fldChar w:fldCharType="separate"/>
          </w:r>
          <w:r w:rsidRPr="00CE3398">
            <w:rPr>
              <w:rFonts w:eastAsia="Calibri"/>
              <w:szCs w:val="24"/>
              <w:lang w:eastAsia="en-US"/>
            </w:rPr>
            <w:t>(9)</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 especificação anterior, de 1994, já incluía a adição obrigatória do aditivo detergente dispersante IMP-DDCV-3, na dosagem de 0,280 kg/ton, à gasolina comercializada no México. A determinação da presença de aditivo no combustível era realizada por método colorimétrico </w:t>
      </w:r>
      <w:sdt>
        <w:sdtPr>
          <w:rPr>
            <w:rFonts w:eastAsia="Calibri"/>
            <w:szCs w:val="24"/>
            <w:lang w:eastAsia="en-US"/>
          </w:rPr>
          <w:id w:val="5564623"/>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EST1 \l 1046  </w:instrText>
          </w:r>
          <w:r w:rsidR="0010373C" w:rsidRPr="00CE3398">
            <w:rPr>
              <w:rFonts w:eastAsia="Calibri"/>
              <w:szCs w:val="24"/>
              <w:lang w:eastAsia="en-US"/>
            </w:rPr>
            <w:fldChar w:fldCharType="separate"/>
          </w:r>
          <w:r w:rsidRPr="00CE3398">
            <w:rPr>
              <w:rFonts w:eastAsia="Calibri"/>
              <w:szCs w:val="24"/>
              <w:lang w:eastAsia="en-US"/>
            </w:rPr>
            <w:t>(10)</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Ttulo1"/>
        <w:spacing w:after="480"/>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COLÔMBIA</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 resolução nº 3-1513 de 24 de agosto de 1992, editada pelo Ministério de Minas e Energia da Colômbia (MME-Colômbia), estabelece que a partir de 1º de janeiro de 1993 toda gasolina automotiva que se consuma no país deve conter aditivos detergentes dispersantes de acordo com um programa de aditivação previamente estabelecido </w:t>
      </w:r>
      <w:sdt>
        <w:sdtPr>
          <w:rPr>
            <w:rFonts w:eastAsia="Calibri"/>
            <w:szCs w:val="24"/>
            <w:lang w:eastAsia="en-US"/>
          </w:rPr>
          <w:id w:val="5564641"/>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COL \l 1046 </w:instrText>
          </w:r>
          <w:r w:rsidR="0010373C" w:rsidRPr="00CE3398">
            <w:rPr>
              <w:rFonts w:eastAsia="Calibri"/>
              <w:szCs w:val="24"/>
              <w:lang w:eastAsia="en-US"/>
            </w:rPr>
            <w:fldChar w:fldCharType="separate"/>
          </w:r>
          <w:r w:rsidRPr="00CE3398">
            <w:rPr>
              <w:rFonts w:eastAsia="Calibri"/>
              <w:szCs w:val="24"/>
              <w:lang w:eastAsia="en-US"/>
            </w:rPr>
            <w:t>(11)</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O programa de aditivação foi implementado por meio da resolução nº 3 2787, de 28 de dezembro de 1992, e reformulado pela resolução nº 81055, de 20 de setembro de 1999, editadas pelo MME-Colômbia </w:t>
      </w:r>
      <w:sdt>
        <w:sdtPr>
          <w:rPr>
            <w:rFonts w:eastAsia="Calibri"/>
            <w:szCs w:val="24"/>
            <w:lang w:eastAsia="en-US"/>
          </w:rPr>
          <w:id w:val="5564642"/>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COL \l 1046 </w:instrText>
          </w:r>
          <w:r w:rsidR="0010373C" w:rsidRPr="00CE3398">
            <w:rPr>
              <w:rFonts w:eastAsia="Calibri"/>
              <w:szCs w:val="24"/>
              <w:lang w:eastAsia="en-US"/>
            </w:rPr>
            <w:fldChar w:fldCharType="separate"/>
          </w:r>
          <w:r w:rsidRPr="00CE3398">
            <w:rPr>
              <w:rFonts w:eastAsia="Calibri"/>
              <w:szCs w:val="24"/>
              <w:lang w:eastAsia="en-US"/>
            </w:rPr>
            <w:t>(11)</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 xml:space="preserve">O aditivo detergente dispersante a ser adicionado à gasolina colombiana deve ser aprovado pelo MME-Colômbia. A legislação não cita expressamente os critérios mínimos de detergência, exigindo apenas que a propriedade de detergência seja comprovada submetendo-se o aditivo a testes reconhecidos internacionalmente, tais como a prova BMW – teste de 10,000 milhas para depósitos em válvulas de admissão ou similares que a substituam, em cada uma das gasolinas distribuídas no território colombiano. A partir dos relatórios de testes apresentados ao MME-Colômbia e à Empresa Colombiana de Petróleos – Ecopetrol, estipula-se a dosagem mínima a ser utilizada para aquele aditivo  </w:t>
      </w:r>
      <w:sdt>
        <w:sdtPr>
          <w:rPr>
            <w:rFonts w:eastAsia="Calibri"/>
            <w:szCs w:val="24"/>
            <w:lang w:eastAsia="en-US"/>
          </w:rPr>
          <w:id w:val="5564643"/>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COL \l 1046 </w:instrText>
          </w:r>
          <w:r w:rsidR="0010373C" w:rsidRPr="00CE3398">
            <w:rPr>
              <w:rFonts w:eastAsia="Calibri"/>
              <w:szCs w:val="24"/>
              <w:lang w:eastAsia="en-US"/>
            </w:rPr>
            <w:fldChar w:fldCharType="separate"/>
          </w:r>
          <w:r w:rsidRPr="00CE3398">
            <w:rPr>
              <w:rFonts w:eastAsia="Calibri"/>
              <w:szCs w:val="24"/>
              <w:lang w:eastAsia="en-US"/>
            </w:rPr>
            <w:t>(11)</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 xml:space="preserve">Um ponto que chama atenção no programa de aditivação da Colômbia é a existência de método para determinação de aditivos em gasolina. O método é de responsabilidade do Instituto Colombiano del Petróleo – ICP </w:t>
      </w:r>
      <w:sdt>
        <w:sdtPr>
          <w:rPr>
            <w:rFonts w:eastAsia="Calibri"/>
            <w:szCs w:val="24"/>
            <w:lang w:eastAsia="en-US"/>
          </w:rPr>
          <w:id w:val="5564644"/>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COL \l 1046 </w:instrText>
          </w:r>
          <w:r w:rsidR="0010373C" w:rsidRPr="00CE3398">
            <w:rPr>
              <w:rFonts w:eastAsia="Calibri"/>
              <w:szCs w:val="24"/>
              <w:lang w:eastAsia="en-US"/>
            </w:rPr>
            <w:fldChar w:fldCharType="separate"/>
          </w:r>
          <w:r w:rsidRPr="00CE3398">
            <w:rPr>
              <w:rFonts w:eastAsia="Calibri"/>
              <w:szCs w:val="24"/>
              <w:lang w:eastAsia="en-US"/>
            </w:rPr>
            <w:t>(11)</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 xml:space="preserve">O controle e fiscalização do programa de aditivação são de responsabilidade do MME-Colômbia, com assessoria da Ecopetrol. Caso seja detectada em amostra de fiscalização concentração menor que 95% daquela aprovada para um determinado aditivo, sanções que variam desde advertência por escrito até interdição do estabelecimento são aplicadas </w:t>
      </w:r>
      <w:sdt>
        <w:sdtPr>
          <w:rPr>
            <w:rFonts w:eastAsia="Calibri"/>
            <w:szCs w:val="24"/>
            <w:lang w:eastAsia="en-US"/>
          </w:rPr>
          <w:id w:val="5564645"/>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COL \l 1046 </w:instrText>
          </w:r>
          <w:r w:rsidR="0010373C" w:rsidRPr="00CE3398">
            <w:rPr>
              <w:rFonts w:eastAsia="Calibri"/>
              <w:szCs w:val="24"/>
              <w:lang w:eastAsia="en-US"/>
            </w:rPr>
            <w:fldChar w:fldCharType="separate"/>
          </w:r>
          <w:r w:rsidRPr="00CE3398">
            <w:rPr>
              <w:rFonts w:eastAsia="Calibri"/>
              <w:szCs w:val="24"/>
              <w:lang w:eastAsia="en-US"/>
            </w:rPr>
            <w:t>(11)</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Ttulo1"/>
        <w:spacing w:after="480"/>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lastRenderedPageBreak/>
        <w:t>TAILÂNDIA</w:t>
      </w:r>
    </w:p>
    <w:p w:rsidR="00103485" w:rsidRPr="00CE3398" w:rsidRDefault="00103485" w:rsidP="00103485">
      <w:pPr>
        <w:pStyle w:val="CorpoTExto"/>
        <w:rPr>
          <w:rFonts w:eastAsia="Calibri"/>
          <w:szCs w:val="24"/>
          <w:lang w:eastAsia="en-US"/>
        </w:rPr>
      </w:pPr>
      <w:r w:rsidRPr="00CE3398">
        <w:rPr>
          <w:rFonts w:eastAsia="Calibri"/>
          <w:szCs w:val="24"/>
          <w:lang w:eastAsia="en-US"/>
        </w:rPr>
        <w:t>O Ministério do Comércio da Tailândia é o órgão que impõe a aditivação compulsória da gasolina com aditivo detergente dispersante.</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Sakulpaisith et al. </w:t>
      </w:r>
      <w:sdt>
        <w:sdtPr>
          <w:rPr>
            <w:rFonts w:eastAsia="Calibri"/>
            <w:szCs w:val="24"/>
            <w:lang w:eastAsia="en-US"/>
          </w:rPr>
          <w:id w:val="201895127"/>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SAK \l 1046  </w:instrText>
          </w:r>
          <w:r w:rsidR="0010373C" w:rsidRPr="00CE3398">
            <w:rPr>
              <w:rFonts w:eastAsia="Calibri"/>
              <w:szCs w:val="24"/>
              <w:lang w:eastAsia="en-US"/>
            </w:rPr>
            <w:fldChar w:fldCharType="separate"/>
          </w:r>
          <w:r w:rsidRPr="00CE3398">
            <w:rPr>
              <w:rFonts w:eastAsia="Calibri"/>
              <w:szCs w:val="24"/>
              <w:lang w:eastAsia="en-US"/>
            </w:rPr>
            <w:t>(12)</w:t>
          </w:r>
          <w:r w:rsidR="0010373C" w:rsidRPr="00CE3398">
            <w:rPr>
              <w:rFonts w:eastAsia="Calibri"/>
              <w:szCs w:val="24"/>
              <w:lang w:eastAsia="en-US"/>
            </w:rPr>
            <w:fldChar w:fldCharType="end"/>
          </w:r>
        </w:sdtContent>
      </w:sdt>
      <w:r w:rsidRPr="00CE3398">
        <w:rPr>
          <w:rFonts w:eastAsia="Calibri"/>
          <w:szCs w:val="24"/>
          <w:lang w:eastAsia="en-US"/>
        </w:rPr>
        <w:t xml:space="preserve"> demonstram a eficácia de três pacotes comerciais de aditivos detergentes dispersantes utilizando gasolina tailandesa e veículos representativos da frota local. Os autores afirmam que não foi observada eficácia no controle de depósitos em bicos injetores. Entretanto, os ensaios realizados em bancada e em campo não são apropriados para a avaliação de depósitos em bicos injetores, já que não há variação cíclica de temperatura do bico injetor.</w:t>
      </w:r>
    </w:p>
    <w:p w:rsidR="00103485" w:rsidRPr="00CE3398" w:rsidRDefault="00103485" w:rsidP="00103485">
      <w:pPr>
        <w:pStyle w:val="CorpoTExto"/>
        <w:rPr>
          <w:rFonts w:eastAsia="Calibri"/>
          <w:szCs w:val="24"/>
          <w:lang w:eastAsia="en-US"/>
        </w:rPr>
      </w:pPr>
      <w:r w:rsidRPr="00CE3398">
        <w:rPr>
          <w:rFonts w:eastAsia="Calibri"/>
          <w:szCs w:val="24"/>
          <w:lang w:eastAsia="en-US"/>
        </w:rPr>
        <w:t>A inexistência de páginas na internet e de documentos na língua inglesa referentes ao programa tailandês de aditivação dificultam a pesquisa. Com o objetivo de obter maiores detalhes do programa, foi enviado um correio eletrônico ao ministério competente. Entretanto, até a data da conclusão desta nota técnica não houve resposta.</w:t>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CHINA</w:t>
      </w:r>
    </w:p>
    <w:p w:rsidR="00103485" w:rsidRPr="00CE3398" w:rsidRDefault="00103485" w:rsidP="00103485">
      <w:pPr>
        <w:pStyle w:val="CorpoTExto"/>
        <w:rPr>
          <w:rFonts w:eastAsia="Calibri"/>
          <w:szCs w:val="24"/>
          <w:lang w:eastAsia="en-US"/>
        </w:rPr>
      </w:pPr>
      <w:r w:rsidRPr="00CE3398">
        <w:rPr>
          <w:rFonts w:eastAsia="Calibri"/>
          <w:szCs w:val="24"/>
          <w:lang w:eastAsia="en-US"/>
        </w:rPr>
        <w:t>Assim como no caso da Tailândia, o entrave imposto pela língua chinesa inviabilizou o levantamento de um maior nível de detalhes.</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 aditivação compulsória da gasolina na China é estabelecida pelo Ministério de Proteção do Meio Ambiente – MEP. Os aditivos empregados no programa devem ser registrados no MEP e devem atender à norma GB 19592 </w:t>
      </w:r>
      <w:sdt>
        <w:sdtPr>
          <w:rPr>
            <w:rFonts w:eastAsia="Calibri"/>
            <w:szCs w:val="24"/>
            <w:lang w:eastAsia="en-US"/>
          </w:rPr>
          <w:id w:val="201895128"/>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STA \l 1046 </w:instrText>
          </w:r>
          <w:r w:rsidR="0010373C" w:rsidRPr="00CE3398">
            <w:rPr>
              <w:rFonts w:eastAsia="Calibri"/>
              <w:szCs w:val="24"/>
              <w:lang w:eastAsia="en-US"/>
            </w:rPr>
            <w:fldChar w:fldCharType="separate"/>
          </w:r>
          <w:r w:rsidRPr="00CE3398">
            <w:rPr>
              <w:rFonts w:eastAsia="Calibri"/>
              <w:szCs w:val="24"/>
              <w:lang w:eastAsia="en-US"/>
            </w:rPr>
            <w:t>(13)</w:t>
          </w:r>
          <w:r w:rsidR="0010373C" w:rsidRPr="00CE3398">
            <w:rPr>
              <w:rFonts w:eastAsia="Calibri"/>
              <w:szCs w:val="24"/>
              <w:lang w:eastAsia="en-US"/>
            </w:rPr>
            <w:fldChar w:fldCharType="end"/>
          </w:r>
        </w:sdtContent>
      </w:sdt>
      <w:r w:rsidRPr="00CE3398">
        <w:rPr>
          <w:rFonts w:eastAsia="Calibri"/>
          <w:szCs w:val="24"/>
          <w:lang w:eastAsia="en-US"/>
        </w:rPr>
        <w:t xml:space="preserve">, publicada pelo órgão normalizador oficial da China </w:t>
      </w:r>
      <w:sdt>
        <w:sdtPr>
          <w:rPr>
            <w:rFonts w:eastAsia="Calibri"/>
            <w:szCs w:val="24"/>
            <w:lang w:eastAsia="en-US"/>
          </w:rPr>
          <w:id w:val="201895129"/>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MIN \l 1046 </w:instrText>
          </w:r>
          <w:r w:rsidR="0010373C" w:rsidRPr="00CE3398">
            <w:rPr>
              <w:rFonts w:eastAsia="Calibri"/>
              <w:szCs w:val="24"/>
              <w:lang w:eastAsia="en-US"/>
            </w:rPr>
            <w:fldChar w:fldCharType="separate"/>
          </w:r>
          <w:r w:rsidRPr="00CE3398">
            <w:rPr>
              <w:rFonts w:eastAsia="Calibri"/>
              <w:szCs w:val="24"/>
              <w:lang w:eastAsia="en-US"/>
            </w:rPr>
            <w:t>(14)</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ÍNDIA</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 especificação da gasolina na Índia é editada pelo Bureau of Indian Standards – BIS, órgão normalizador oficial daquele país </w:t>
      </w:r>
      <w:sdt>
        <w:sdtPr>
          <w:rPr>
            <w:rFonts w:eastAsia="Calibri"/>
            <w:szCs w:val="24"/>
            <w:lang w:eastAsia="en-US"/>
          </w:rPr>
          <w:id w:val="178552896"/>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BUR \l 1046  </w:instrText>
          </w:r>
          <w:r w:rsidR="0010373C" w:rsidRPr="00CE3398">
            <w:rPr>
              <w:rFonts w:eastAsia="Calibri"/>
              <w:szCs w:val="24"/>
              <w:lang w:eastAsia="en-US"/>
            </w:rPr>
            <w:fldChar w:fldCharType="separate"/>
          </w:r>
          <w:r w:rsidRPr="00CE3398">
            <w:rPr>
              <w:rFonts w:eastAsia="Calibri"/>
              <w:szCs w:val="24"/>
              <w:lang w:eastAsia="en-US"/>
            </w:rPr>
            <w:t>(15)</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 especificação da gasolina varia de acordo com as fases das normas Bharat, programa indiano de controle de emissões veiculares. Atualmente, o programa encontra-se nas fases III e IV, correspondentes às fases EURO III e IV, respectivamente. A fase IV é obrigatória em 13 centros urbanos do país </w:t>
      </w:r>
      <w:sdt>
        <w:sdtPr>
          <w:rPr>
            <w:rFonts w:eastAsia="Calibri"/>
            <w:szCs w:val="24"/>
            <w:lang w:eastAsia="en-US"/>
          </w:rPr>
          <w:id w:val="178552897"/>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Bha \l 1046  </w:instrText>
          </w:r>
          <w:r w:rsidR="0010373C" w:rsidRPr="00CE3398">
            <w:rPr>
              <w:rFonts w:eastAsia="Calibri"/>
              <w:szCs w:val="24"/>
              <w:lang w:eastAsia="en-US"/>
            </w:rPr>
            <w:fldChar w:fldCharType="separate"/>
          </w:r>
          <w:r w:rsidRPr="00CE3398">
            <w:rPr>
              <w:rFonts w:eastAsia="Calibri"/>
              <w:szCs w:val="24"/>
              <w:lang w:eastAsia="en-US"/>
            </w:rPr>
            <w:t>(16)</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O uso de aditivo multifuncional para o controle de IVD/PFID é obrigatório. A especificação deixa a cargo do agente produtor/distribuidor escolher qual aditivo será adicionado à gasolina. Para tanto, estes agentes devem evidenciar que o aditivo empregado é eficaz no controle de IVD/PFID </w:t>
      </w:r>
      <w:sdt>
        <w:sdtPr>
          <w:rPr>
            <w:rFonts w:eastAsia="Calibri"/>
            <w:szCs w:val="24"/>
            <w:lang w:eastAsia="en-US"/>
          </w:rPr>
          <w:id w:val="178552899"/>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Bha \l 1046 </w:instrText>
          </w:r>
          <w:r w:rsidR="0010373C" w:rsidRPr="00CE3398">
            <w:rPr>
              <w:rFonts w:eastAsia="Calibri"/>
              <w:szCs w:val="24"/>
              <w:lang w:eastAsia="en-US"/>
            </w:rPr>
            <w:fldChar w:fldCharType="separate"/>
          </w:r>
          <w:r w:rsidRPr="00CE3398">
            <w:rPr>
              <w:rFonts w:eastAsia="Calibri"/>
              <w:szCs w:val="24"/>
              <w:lang w:eastAsia="en-US"/>
            </w:rPr>
            <w:t>(16)</w:t>
          </w:r>
          <w:r w:rsidR="0010373C" w:rsidRPr="00CE3398">
            <w:rPr>
              <w:rFonts w:eastAsia="Calibri"/>
              <w:szCs w:val="24"/>
              <w:lang w:eastAsia="en-US"/>
            </w:rPr>
            <w:fldChar w:fldCharType="end"/>
          </w:r>
        </w:sdtContent>
      </w:sdt>
      <w:r w:rsidRPr="00CE3398">
        <w:rPr>
          <w:rFonts w:eastAsia="Calibri"/>
          <w:szCs w:val="24"/>
          <w:lang w:eastAsia="en-US"/>
        </w:rPr>
        <w:t xml:space="preserve">. Os requisitos da especificação indiana são apresentados na </w:t>
      </w:r>
      <w:fldSimple w:instr=" REF _Ref345006894 \h  \* MERGEFORMAT ">
        <w:r w:rsidR="00C46797" w:rsidRPr="00C46797">
          <w:rPr>
            <w:rFonts w:eastAsia="Calibri"/>
            <w:szCs w:val="24"/>
            <w:lang w:eastAsia="en-US"/>
          </w:rPr>
          <w:t>Tabela 2</w:t>
        </w:r>
      </w:fldSimple>
      <w:r w:rsidRPr="00CE3398">
        <w:rPr>
          <w:rFonts w:eastAsia="Calibri"/>
          <w:szCs w:val="24"/>
          <w:lang w:eastAsia="en-US"/>
        </w:rPr>
        <w:t>.</w:t>
      </w:r>
    </w:p>
    <w:p w:rsidR="00103485" w:rsidRPr="00CE3398" w:rsidRDefault="00103485" w:rsidP="00103485">
      <w:pPr>
        <w:pStyle w:val="Legenda"/>
        <w:keepNext/>
        <w:rPr>
          <w:rFonts w:ascii="Times New Roman" w:hAnsi="Times New Roman"/>
          <w:b w:val="0"/>
          <w:bCs w:val="0"/>
          <w:color w:val="auto"/>
          <w:sz w:val="24"/>
          <w:szCs w:val="24"/>
        </w:rPr>
      </w:pPr>
      <w:bookmarkStart w:id="1" w:name="_Ref345006894"/>
      <w:r w:rsidRPr="00CE3398">
        <w:rPr>
          <w:rFonts w:ascii="Times New Roman" w:hAnsi="Times New Roman"/>
          <w:b w:val="0"/>
          <w:bCs w:val="0"/>
          <w:color w:val="auto"/>
          <w:sz w:val="24"/>
          <w:szCs w:val="24"/>
        </w:rPr>
        <w:t xml:space="preserve">Tabela </w:t>
      </w:r>
      <w:r w:rsidR="0010373C" w:rsidRPr="00CE3398">
        <w:rPr>
          <w:rFonts w:ascii="Times New Roman" w:hAnsi="Times New Roman"/>
          <w:b w:val="0"/>
          <w:bCs w:val="0"/>
          <w:color w:val="auto"/>
          <w:sz w:val="24"/>
          <w:szCs w:val="24"/>
        </w:rPr>
        <w:fldChar w:fldCharType="begin"/>
      </w:r>
      <w:r w:rsidRPr="00CE3398">
        <w:rPr>
          <w:rFonts w:ascii="Times New Roman" w:hAnsi="Times New Roman"/>
          <w:b w:val="0"/>
          <w:bCs w:val="0"/>
          <w:color w:val="auto"/>
          <w:sz w:val="24"/>
          <w:szCs w:val="24"/>
        </w:rPr>
        <w:instrText xml:space="preserve"> SEQ Tabela \* ARABIC </w:instrText>
      </w:r>
      <w:r w:rsidR="0010373C" w:rsidRPr="00CE3398">
        <w:rPr>
          <w:rFonts w:ascii="Times New Roman" w:hAnsi="Times New Roman"/>
          <w:b w:val="0"/>
          <w:bCs w:val="0"/>
          <w:color w:val="auto"/>
          <w:sz w:val="24"/>
          <w:szCs w:val="24"/>
        </w:rPr>
        <w:fldChar w:fldCharType="separate"/>
      </w:r>
      <w:r w:rsidR="00C46797">
        <w:rPr>
          <w:rFonts w:ascii="Times New Roman" w:hAnsi="Times New Roman"/>
          <w:b w:val="0"/>
          <w:bCs w:val="0"/>
          <w:noProof/>
          <w:color w:val="auto"/>
          <w:sz w:val="24"/>
          <w:szCs w:val="24"/>
        </w:rPr>
        <w:t>2</w:t>
      </w:r>
      <w:r w:rsidR="0010373C" w:rsidRPr="00CE3398">
        <w:rPr>
          <w:rFonts w:ascii="Times New Roman" w:hAnsi="Times New Roman"/>
          <w:b w:val="0"/>
          <w:bCs w:val="0"/>
          <w:color w:val="auto"/>
          <w:sz w:val="24"/>
          <w:szCs w:val="24"/>
        </w:rPr>
        <w:fldChar w:fldCharType="end"/>
      </w:r>
      <w:bookmarkEnd w:id="1"/>
    </w:p>
    <w:p w:rsidR="00103485" w:rsidRPr="00CE3398" w:rsidRDefault="00103485" w:rsidP="00103485">
      <w:pPr>
        <w:pStyle w:val="LegendaTabTitulo"/>
        <w:rPr>
          <w:rFonts w:eastAsia="Calibri"/>
          <w:sz w:val="24"/>
          <w:szCs w:val="24"/>
          <w:lang w:eastAsia="en-US"/>
        </w:rPr>
      </w:pPr>
      <w:r w:rsidRPr="00CE3398">
        <w:rPr>
          <w:rFonts w:eastAsia="Calibri"/>
          <w:sz w:val="24"/>
          <w:szCs w:val="24"/>
          <w:lang w:eastAsia="en-US"/>
        </w:rPr>
        <w:t xml:space="preserve">Detalhes da legislação indiana para o programa de aditivação compulsória da gasolina </w:t>
      </w:r>
      <w:sdt>
        <w:sdtPr>
          <w:rPr>
            <w:rFonts w:eastAsia="Calibri"/>
            <w:sz w:val="24"/>
            <w:szCs w:val="24"/>
            <w:lang w:eastAsia="en-US"/>
          </w:rPr>
          <w:id w:val="178552900"/>
          <w:citation/>
        </w:sdtPr>
        <w:sdtContent>
          <w:r w:rsidR="0010373C" w:rsidRPr="00CE3398">
            <w:rPr>
              <w:rFonts w:eastAsia="Calibri"/>
              <w:sz w:val="24"/>
              <w:szCs w:val="24"/>
              <w:lang w:eastAsia="en-US"/>
            </w:rPr>
            <w:fldChar w:fldCharType="begin"/>
          </w:r>
          <w:r w:rsidRPr="00CE3398">
            <w:rPr>
              <w:rFonts w:eastAsia="Calibri"/>
              <w:sz w:val="24"/>
              <w:szCs w:val="24"/>
              <w:lang w:eastAsia="en-US"/>
            </w:rPr>
            <w:instrText xml:space="preserve"> CITATION Bha \l 1046 </w:instrText>
          </w:r>
          <w:r w:rsidR="0010373C" w:rsidRPr="00CE3398">
            <w:rPr>
              <w:rFonts w:eastAsia="Calibri"/>
              <w:sz w:val="24"/>
              <w:szCs w:val="24"/>
              <w:lang w:eastAsia="en-US"/>
            </w:rPr>
            <w:fldChar w:fldCharType="separate"/>
          </w:r>
          <w:r w:rsidRPr="00CE3398">
            <w:rPr>
              <w:rFonts w:eastAsia="Calibri"/>
              <w:sz w:val="24"/>
              <w:szCs w:val="24"/>
              <w:lang w:eastAsia="en-US"/>
            </w:rPr>
            <w:t>(16)</w:t>
          </w:r>
          <w:r w:rsidR="0010373C" w:rsidRPr="00CE3398">
            <w:rPr>
              <w:rFonts w:eastAsia="Calibri"/>
              <w:sz w:val="24"/>
              <w:szCs w:val="24"/>
              <w:lang w:eastAsia="en-US"/>
            </w:rPr>
            <w:fldChar w:fldCharType="end"/>
          </w:r>
        </w:sdtContent>
      </w:sdt>
      <w:r w:rsidRPr="00CE3398">
        <w:rPr>
          <w:rFonts w:eastAsia="Calibri"/>
          <w:sz w:val="24"/>
          <w:szCs w:val="24"/>
          <w:lang w:eastAsia="en-US"/>
        </w:rPr>
        <w:t>.</w:t>
      </w:r>
    </w:p>
    <w:tbl>
      <w:tblPr>
        <w:tblStyle w:val="Tabelacomgrade"/>
        <w:tblW w:w="0" w:type="auto"/>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48"/>
        <w:gridCol w:w="3275"/>
        <w:gridCol w:w="1397"/>
      </w:tblGrid>
      <w:tr w:rsidR="00103485" w:rsidRPr="00A42214" w:rsidTr="00E67AFA">
        <w:trPr>
          <w:tblHeader/>
          <w:jc w:val="center"/>
        </w:trPr>
        <w:tc>
          <w:tcPr>
            <w:tcW w:w="4648" w:type="dxa"/>
            <w:tcMar>
              <w:left w:w="142" w:type="dxa"/>
            </w:tcMar>
          </w:tcPr>
          <w:p w:rsidR="00103485" w:rsidRPr="00A42214" w:rsidRDefault="00103485" w:rsidP="0087016A">
            <w:pPr>
              <w:rPr>
                <w:rFonts w:ascii="Times New Roman" w:hAnsi="Times New Roman"/>
                <w:sz w:val="20"/>
                <w:szCs w:val="20"/>
              </w:rPr>
            </w:pPr>
            <w:r w:rsidRPr="00A42214">
              <w:rPr>
                <w:rFonts w:ascii="Times New Roman" w:hAnsi="Times New Roman"/>
                <w:sz w:val="20"/>
                <w:szCs w:val="20"/>
              </w:rPr>
              <w:t>Requisitos mínimos de detergência</w:t>
            </w:r>
          </w:p>
        </w:tc>
        <w:tc>
          <w:tcPr>
            <w:tcW w:w="3275" w:type="dxa"/>
            <w:vAlign w:val="center"/>
          </w:tcPr>
          <w:p w:rsidR="00103485" w:rsidRPr="00A42214" w:rsidRDefault="00103485" w:rsidP="0087016A">
            <w:pPr>
              <w:ind w:left="170"/>
              <w:rPr>
                <w:rFonts w:ascii="Times New Roman" w:hAnsi="Times New Roman"/>
                <w:sz w:val="20"/>
                <w:szCs w:val="20"/>
              </w:rPr>
            </w:pPr>
          </w:p>
        </w:tc>
        <w:tc>
          <w:tcPr>
            <w:tcW w:w="1397" w:type="dxa"/>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4648" w:type="dxa"/>
            <w:tcMar>
              <w:left w:w="142" w:type="dxa"/>
            </w:tcMar>
          </w:tcPr>
          <w:p w:rsidR="00103485" w:rsidRPr="00A42214" w:rsidRDefault="00103485" w:rsidP="0087016A">
            <w:pPr>
              <w:ind w:left="708"/>
              <w:rPr>
                <w:rFonts w:ascii="Times New Roman" w:hAnsi="Times New Roman"/>
                <w:sz w:val="20"/>
                <w:szCs w:val="20"/>
              </w:rPr>
            </w:pPr>
            <w:r w:rsidRPr="00A42214">
              <w:rPr>
                <w:rFonts w:ascii="Times New Roman" w:hAnsi="Times New Roman"/>
                <w:sz w:val="20"/>
                <w:szCs w:val="20"/>
              </w:rPr>
              <w:t>Depósitos em válvulas de admissão (IVD)</w:t>
            </w:r>
          </w:p>
        </w:tc>
        <w:tc>
          <w:tcPr>
            <w:tcW w:w="3275" w:type="dxa"/>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Limite de aprovação. Média, mg/válvula</w:t>
            </w:r>
          </w:p>
        </w:tc>
        <w:tc>
          <w:tcPr>
            <w:tcW w:w="1397" w:type="dxa"/>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4648" w:type="dxa"/>
            <w:tcMar>
              <w:left w:w="142" w:type="dxa"/>
            </w:tcMar>
          </w:tcPr>
          <w:p w:rsidR="00103485" w:rsidRPr="00A42214" w:rsidRDefault="00103485" w:rsidP="0087016A">
            <w:pPr>
              <w:ind w:left="1418"/>
              <w:rPr>
                <w:rFonts w:ascii="Times New Roman" w:hAnsi="Times New Roman"/>
                <w:sz w:val="20"/>
                <w:szCs w:val="20"/>
              </w:rPr>
            </w:pPr>
            <w:r w:rsidRPr="00A42214">
              <w:rPr>
                <w:rFonts w:ascii="Times New Roman" w:hAnsi="Times New Roman"/>
                <w:sz w:val="20"/>
                <w:szCs w:val="20"/>
              </w:rPr>
              <w:t>BMW - ASTM D5500-97</w:t>
            </w:r>
          </w:p>
        </w:tc>
        <w:tc>
          <w:tcPr>
            <w:tcW w:w="3275" w:type="dxa"/>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100</w:t>
            </w:r>
          </w:p>
        </w:tc>
        <w:tc>
          <w:tcPr>
            <w:tcW w:w="1397" w:type="dxa"/>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4648" w:type="dxa"/>
            <w:tcMar>
              <w:left w:w="142" w:type="dxa"/>
            </w:tcMar>
          </w:tcPr>
          <w:p w:rsidR="00103485" w:rsidRPr="00A42214" w:rsidRDefault="00103485" w:rsidP="0087016A">
            <w:pPr>
              <w:ind w:left="1418"/>
              <w:rPr>
                <w:rFonts w:ascii="Times New Roman" w:hAnsi="Times New Roman"/>
                <w:sz w:val="20"/>
                <w:szCs w:val="20"/>
              </w:rPr>
            </w:pPr>
            <w:r w:rsidRPr="00A42214">
              <w:rPr>
                <w:rFonts w:ascii="Times New Roman" w:hAnsi="Times New Roman"/>
                <w:sz w:val="20"/>
                <w:szCs w:val="20"/>
              </w:rPr>
              <w:lastRenderedPageBreak/>
              <w:t>MB M102E - CEC F-05-A-93</w:t>
            </w:r>
          </w:p>
        </w:tc>
        <w:tc>
          <w:tcPr>
            <w:tcW w:w="3275" w:type="dxa"/>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50</w:t>
            </w:r>
          </w:p>
        </w:tc>
        <w:tc>
          <w:tcPr>
            <w:tcW w:w="1397" w:type="dxa"/>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4648" w:type="dxa"/>
            <w:tcMar>
              <w:left w:w="142" w:type="dxa"/>
            </w:tcMar>
          </w:tcPr>
          <w:p w:rsidR="00103485" w:rsidRPr="00A42214" w:rsidRDefault="00103485" w:rsidP="0087016A">
            <w:pPr>
              <w:ind w:left="1418"/>
              <w:rPr>
                <w:rFonts w:ascii="Times New Roman" w:hAnsi="Times New Roman"/>
                <w:sz w:val="20"/>
                <w:szCs w:val="20"/>
              </w:rPr>
            </w:pPr>
            <w:r w:rsidRPr="00A42214">
              <w:rPr>
                <w:rFonts w:ascii="Times New Roman" w:hAnsi="Times New Roman"/>
                <w:sz w:val="20"/>
                <w:szCs w:val="20"/>
              </w:rPr>
              <w:t>FORD 2.3L – ASTM D6201</w:t>
            </w:r>
          </w:p>
        </w:tc>
        <w:tc>
          <w:tcPr>
            <w:tcW w:w="3275" w:type="dxa"/>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90</w:t>
            </w:r>
          </w:p>
        </w:tc>
        <w:tc>
          <w:tcPr>
            <w:tcW w:w="1397" w:type="dxa"/>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4648" w:type="dxa"/>
            <w:tcMar>
              <w:left w:w="142" w:type="dxa"/>
            </w:tcMar>
          </w:tcPr>
          <w:p w:rsidR="00103485" w:rsidRPr="00A42214" w:rsidRDefault="00103485" w:rsidP="0087016A">
            <w:pPr>
              <w:ind w:left="1418"/>
              <w:rPr>
                <w:rFonts w:ascii="Times New Roman" w:hAnsi="Times New Roman"/>
                <w:sz w:val="20"/>
                <w:szCs w:val="20"/>
              </w:rPr>
            </w:pPr>
            <w:r w:rsidRPr="00A42214">
              <w:rPr>
                <w:rFonts w:ascii="Times New Roman" w:hAnsi="Times New Roman"/>
                <w:sz w:val="20"/>
                <w:szCs w:val="20"/>
              </w:rPr>
              <w:t>MB M111 – CEC F-20-A-98</w:t>
            </w:r>
          </w:p>
        </w:tc>
        <w:tc>
          <w:tcPr>
            <w:tcW w:w="3275" w:type="dxa"/>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50</w:t>
            </w:r>
          </w:p>
        </w:tc>
        <w:tc>
          <w:tcPr>
            <w:tcW w:w="1397" w:type="dxa"/>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4648" w:type="dxa"/>
            <w:tcMar>
              <w:left w:w="142" w:type="dxa"/>
            </w:tcMar>
          </w:tcPr>
          <w:p w:rsidR="00103485" w:rsidRPr="00A42214" w:rsidRDefault="00103485" w:rsidP="0087016A">
            <w:pPr>
              <w:ind w:left="709"/>
              <w:rPr>
                <w:rFonts w:ascii="Times New Roman" w:hAnsi="Times New Roman"/>
                <w:sz w:val="20"/>
                <w:szCs w:val="20"/>
              </w:rPr>
            </w:pPr>
            <w:r w:rsidRPr="00A42214">
              <w:rPr>
                <w:rFonts w:ascii="Times New Roman" w:hAnsi="Times New Roman"/>
                <w:sz w:val="20"/>
                <w:szCs w:val="20"/>
              </w:rPr>
              <w:t>Depósitos em bicos injetores (PFID)</w:t>
            </w:r>
          </w:p>
        </w:tc>
        <w:tc>
          <w:tcPr>
            <w:tcW w:w="3275" w:type="dxa"/>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Máximo de restrição de fluxo, %</w:t>
            </w:r>
          </w:p>
        </w:tc>
        <w:tc>
          <w:tcPr>
            <w:tcW w:w="1397" w:type="dxa"/>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4648" w:type="dxa"/>
            <w:tcMar>
              <w:left w:w="142" w:type="dxa"/>
            </w:tcMar>
          </w:tcPr>
          <w:p w:rsidR="00103485" w:rsidRPr="00A42214" w:rsidRDefault="00103485" w:rsidP="0087016A">
            <w:pPr>
              <w:ind w:left="1418"/>
              <w:rPr>
                <w:rFonts w:ascii="Times New Roman" w:hAnsi="Times New Roman"/>
                <w:sz w:val="20"/>
                <w:szCs w:val="20"/>
              </w:rPr>
            </w:pPr>
            <w:r w:rsidRPr="00A42214">
              <w:rPr>
                <w:rFonts w:ascii="Times New Roman" w:hAnsi="Times New Roman"/>
                <w:sz w:val="20"/>
                <w:szCs w:val="20"/>
              </w:rPr>
              <w:t>Chrysler – ASTM D5598-95</w:t>
            </w:r>
          </w:p>
        </w:tc>
        <w:tc>
          <w:tcPr>
            <w:tcW w:w="3275" w:type="dxa"/>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5</w:t>
            </w:r>
          </w:p>
        </w:tc>
        <w:tc>
          <w:tcPr>
            <w:tcW w:w="1397" w:type="dxa"/>
            <w:vAlign w:val="center"/>
          </w:tcPr>
          <w:p w:rsidR="00103485" w:rsidRPr="00A42214" w:rsidRDefault="00103485" w:rsidP="0087016A">
            <w:pPr>
              <w:rPr>
                <w:rFonts w:ascii="Times New Roman" w:hAnsi="Times New Roman"/>
                <w:sz w:val="20"/>
                <w:szCs w:val="20"/>
              </w:rPr>
            </w:pPr>
          </w:p>
        </w:tc>
      </w:tr>
      <w:tr w:rsidR="00103485" w:rsidRPr="00A42214" w:rsidTr="00E67AFA">
        <w:trPr>
          <w:jc w:val="center"/>
        </w:trPr>
        <w:tc>
          <w:tcPr>
            <w:tcW w:w="4648" w:type="dxa"/>
            <w:tcMar>
              <w:left w:w="142" w:type="dxa"/>
            </w:tcMar>
          </w:tcPr>
          <w:p w:rsidR="00103485" w:rsidRPr="00A42214" w:rsidRDefault="00103485" w:rsidP="0087016A">
            <w:pPr>
              <w:ind w:left="1418"/>
              <w:rPr>
                <w:rFonts w:ascii="Times New Roman" w:hAnsi="Times New Roman"/>
                <w:sz w:val="20"/>
                <w:szCs w:val="20"/>
              </w:rPr>
            </w:pPr>
            <w:r w:rsidRPr="00A42214">
              <w:rPr>
                <w:rFonts w:ascii="Times New Roman" w:hAnsi="Times New Roman"/>
                <w:sz w:val="20"/>
                <w:szCs w:val="20"/>
              </w:rPr>
              <w:t>Bancada – ASTM D6421</w:t>
            </w:r>
          </w:p>
        </w:tc>
        <w:tc>
          <w:tcPr>
            <w:tcW w:w="3275" w:type="dxa"/>
            <w:vAlign w:val="center"/>
          </w:tcPr>
          <w:p w:rsidR="00103485" w:rsidRPr="00A42214" w:rsidRDefault="00103485" w:rsidP="0087016A">
            <w:pPr>
              <w:ind w:left="170"/>
              <w:rPr>
                <w:rFonts w:ascii="Times New Roman" w:hAnsi="Times New Roman"/>
                <w:sz w:val="20"/>
                <w:szCs w:val="20"/>
              </w:rPr>
            </w:pPr>
            <w:r w:rsidRPr="00A42214">
              <w:rPr>
                <w:rFonts w:ascii="Times New Roman" w:hAnsi="Times New Roman"/>
                <w:sz w:val="20"/>
                <w:szCs w:val="20"/>
              </w:rPr>
              <w:t>10</w:t>
            </w:r>
          </w:p>
        </w:tc>
        <w:tc>
          <w:tcPr>
            <w:tcW w:w="1397" w:type="dxa"/>
            <w:vAlign w:val="center"/>
          </w:tcPr>
          <w:p w:rsidR="00103485" w:rsidRPr="00A42214" w:rsidRDefault="00103485" w:rsidP="0087016A">
            <w:pPr>
              <w:rPr>
                <w:rFonts w:ascii="Times New Roman" w:hAnsi="Times New Roman"/>
                <w:sz w:val="20"/>
                <w:szCs w:val="20"/>
              </w:rPr>
            </w:pPr>
          </w:p>
        </w:tc>
      </w:tr>
    </w:tbl>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 xml:space="preserve">Um ponto digno de menção que a especificação da gasolina indiana traz é que nela é citada explicitamente a legislação norte-americana. Aditivos certificados para atender ao programa de aditivação compulsória dos EUA, sob a opção nacional genérica, podem ser utilizados pelos refinadores/distribuidores de gasolina. A dosagem do aditivo deve ser igual ou maior à dosagem mínima certificada sob o programa de aditivação dos EUA </w:t>
      </w:r>
      <w:sdt>
        <w:sdtPr>
          <w:rPr>
            <w:rFonts w:eastAsia="Calibri"/>
            <w:szCs w:val="24"/>
            <w:lang w:eastAsia="en-US"/>
          </w:rPr>
          <w:id w:val="178552904"/>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Bha \l 1046 </w:instrText>
          </w:r>
          <w:r w:rsidR="0010373C" w:rsidRPr="00CE3398">
            <w:rPr>
              <w:rFonts w:eastAsia="Calibri"/>
              <w:szCs w:val="24"/>
              <w:lang w:eastAsia="en-US"/>
            </w:rPr>
            <w:fldChar w:fldCharType="separate"/>
          </w:r>
          <w:r w:rsidRPr="00CE3398">
            <w:rPr>
              <w:rFonts w:eastAsia="Calibri"/>
              <w:szCs w:val="24"/>
              <w:lang w:eastAsia="en-US"/>
            </w:rPr>
            <w:t>(16)</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 xml:space="preserve">Mesmo ocorrendo a aditivação de toda a gasolina, os distribuidores diferenciam seus produtos oferecendo maiores níveis de aditivação, pacotes de aditivos com mais benefícios e maior número de octano. As gasolinas diferenciadas possuem marcas próprias de cada distribuidor </w:t>
      </w:r>
      <w:sdt>
        <w:sdtPr>
          <w:rPr>
            <w:rFonts w:eastAsia="Calibri"/>
            <w:szCs w:val="24"/>
            <w:lang w:eastAsia="en-US"/>
          </w:rPr>
          <w:id w:val="178552902"/>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IND \l 1046  \m BHA \m HIN</w:instrText>
          </w:r>
          <w:r w:rsidR="0010373C" w:rsidRPr="00CE3398">
            <w:rPr>
              <w:rFonts w:eastAsia="Calibri"/>
              <w:szCs w:val="24"/>
              <w:lang w:eastAsia="en-US"/>
            </w:rPr>
            <w:fldChar w:fldCharType="separate"/>
          </w:r>
          <w:r w:rsidRPr="00CE3398">
            <w:rPr>
              <w:rFonts w:eastAsia="Calibri"/>
              <w:szCs w:val="24"/>
              <w:lang w:eastAsia="en-US"/>
            </w:rPr>
            <w:t>(17; 18; 19)</w:t>
          </w:r>
          <w:r w:rsidR="0010373C" w:rsidRPr="00CE3398">
            <w:rPr>
              <w:rFonts w:eastAsia="Calibri"/>
              <w:szCs w:val="24"/>
              <w:lang w:eastAsia="en-US"/>
            </w:rPr>
            <w:fldChar w:fldCharType="end"/>
          </w:r>
        </w:sdtContent>
      </w:sdt>
      <w:r w:rsidRPr="00CE3398">
        <w:rPr>
          <w:rFonts w:eastAsia="Calibri"/>
          <w:szCs w:val="24"/>
          <w:lang w:eastAsia="en-U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7"/>
        <w:gridCol w:w="4748"/>
      </w:tblGrid>
      <w:tr w:rsidR="00103485" w:rsidRPr="00CE3398" w:rsidTr="0087016A">
        <w:tc>
          <w:tcPr>
            <w:tcW w:w="4747" w:type="dxa"/>
          </w:tcPr>
          <w:p w:rsidR="00103485" w:rsidRPr="00CE3398" w:rsidRDefault="00103485" w:rsidP="0087016A">
            <w:pPr>
              <w:pStyle w:val="CorpoTExto"/>
              <w:spacing w:after="0"/>
              <w:ind w:firstLine="0"/>
              <w:rPr>
                <w:rFonts w:eastAsia="Calibri"/>
                <w:szCs w:val="24"/>
                <w:lang w:eastAsia="en-US"/>
              </w:rPr>
            </w:pPr>
            <w:r w:rsidRPr="00CE3398">
              <w:rPr>
                <w:rFonts w:eastAsia="Calibri"/>
                <w:szCs w:val="24"/>
                <w:lang w:eastAsia="en-US"/>
              </w:rPr>
              <w:t>Nota Técnica elaborada por:</w:t>
            </w:r>
          </w:p>
        </w:tc>
        <w:tc>
          <w:tcPr>
            <w:tcW w:w="4748" w:type="dxa"/>
          </w:tcPr>
          <w:p w:rsidR="00103485" w:rsidRPr="00CE3398" w:rsidRDefault="00103485" w:rsidP="0087016A">
            <w:pPr>
              <w:pStyle w:val="CorpoTExto"/>
              <w:spacing w:after="0"/>
              <w:ind w:firstLine="0"/>
              <w:rPr>
                <w:rFonts w:eastAsia="Calibri"/>
                <w:szCs w:val="24"/>
                <w:lang w:eastAsia="en-US"/>
              </w:rPr>
            </w:pPr>
            <w:r w:rsidRPr="00CE3398">
              <w:rPr>
                <w:rFonts w:eastAsia="Calibri"/>
                <w:szCs w:val="24"/>
                <w:lang w:eastAsia="en-US"/>
              </w:rPr>
              <w:t>De acordo:</w:t>
            </w:r>
          </w:p>
        </w:tc>
      </w:tr>
      <w:tr w:rsidR="00103485" w:rsidRPr="00CE3398" w:rsidTr="0087016A">
        <w:tc>
          <w:tcPr>
            <w:tcW w:w="4747" w:type="dxa"/>
          </w:tcPr>
          <w:p w:rsidR="00103485" w:rsidRPr="00CE3398" w:rsidRDefault="00103485" w:rsidP="0087016A">
            <w:pPr>
              <w:pStyle w:val="CorpoTExto"/>
              <w:spacing w:after="800"/>
              <w:ind w:firstLine="0"/>
              <w:rPr>
                <w:rFonts w:eastAsia="Calibri"/>
                <w:szCs w:val="24"/>
                <w:lang w:eastAsia="en-US"/>
              </w:rPr>
            </w:pPr>
          </w:p>
        </w:tc>
        <w:tc>
          <w:tcPr>
            <w:tcW w:w="4748" w:type="dxa"/>
          </w:tcPr>
          <w:p w:rsidR="00103485" w:rsidRPr="00CE3398" w:rsidRDefault="00103485" w:rsidP="0087016A">
            <w:pPr>
              <w:pStyle w:val="CorpoTExto"/>
              <w:spacing w:after="0"/>
              <w:ind w:firstLine="0"/>
              <w:rPr>
                <w:rFonts w:eastAsia="Calibri"/>
                <w:szCs w:val="24"/>
                <w:lang w:eastAsia="en-US"/>
              </w:rPr>
            </w:pPr>
          </w:p>
        </w:tc>
      </w:tr>
      <w:tr w:rsidR="00103485" w:rsidRPr="00CE3398" w:rsidTr="0087016A">
        <w:tc>
          <w:tcPr>
            <w:tcW w:w="4747" w:type="dxa"/>
          </w:tcPr>
          <w:p w:rsidR="00103485" w:rsidRPr="00CE3398" w:rsidRDefault="00103485" w:rsidP="0087016A">
            <w:pPr>
              <w:pStyle w:val="CorpoTExto"/>
              <w:spacing w:after="0"/>
              <w:ind w:firstLine="0"/>
              <w:rPr>
                <w:rFonts w:eastAsia="Calibri"/>
                <w:szCs w:val="24"/>
                <w:lang w:eastAsia="en-US"/>
              </w:rPr>
            </w:pPr>
            <w:r w:rsidRPr="00CE3398">
              <w:rPr>
                <w:rFonts w:eastAsia="Calibri"/>
                <w:szCs w:val="24"/>
                <w:lang w:eastAsia="en-US"/>
              </w:rPr>
              <w:t>Thiago Machado Karashima</w:t>
            </w:r>
          </w:p>
          <w:p w:rsidR="00103485" w:rsidRPr="00CE3398" w:rsidRDefault="00103485" w:rsidP="0087016A">
            <w:pPr>
              <w:pStyle w:val="CorpoTExto"/>
              <w:spacing w:after="0"/>
              <w:ind w:firstLine="0"/>
              <w:rPr>
                <w:rFonts w:eastAsia="Calibri"/>
                <w:szCs w:val="24"/>
                <w:lang w:eastAsia="en-US"/>
              </w:rPr>
            </w:pPr>
            <w:r w:rsidRPr="00CE3398">
              <w:rPr>
                <w:rFonts w:eastAsia="Calibri"/>
                <w:szCs w:val="24"/>
                <w:lang w:eastAsia="en-US"/>
              </w:rPr>
              <w:t>Especialista em Regulação – CPT</w:t>
            </w:r>
          </w:p>
        </w:tc>
        <w:tc>
          <w:tcPr>
            <w:tcW w:w="4748" w:type="dxa"/>
          </w:tcPr>
          <w:p w:rsidR="00103485" w:rsidRPr="00CE3398" w:rsidRDefault="00103485" w:rsidP="0087016A">
            <w:pPr>
              <w:pStyle w:val="CorpoTExto"/>
              <w:spacing w:after="0"/>
              <w:ind w:firstLine="0"/>
              <w:rPr>
                <w:rFonts w:eastAsia="Calibri"/>
                <w:szCs w:val="24"/>
                <w:lang w:eastAsia="en-US"/>
              </w:rPr>
            </w:pPr>
            <w:r w:rsidRPr="00CE3398">
              <w:rPr>
                <w:rFonts w:eastAsia="Calibri"/>
                <w:szCs w:val="24"/>
                <w:lang w:eastAsia="en-US"/>
              </w:rPr>
              <w:t>Vinícius Leandro Skrobot</w:t>
            </w:r>
          </w:p>
          <w:p w:rsidR="00103485" w:rsidRPr="00CE3398" w:rsidRDefault="00103485" w:rsidP="0087016A">
            <w:pPr>
              <w:pStyle w:val="CorpoTExto"/>
              <w:spacing w:after="0"/>
              <w:ind w:firstLine="0"/>
              <w:rPr>
                <w:rFonts w:eastAsia="Calibri"/>
                <w:szCs w:val="24"/>
                <w:lang w:eastAsia="en-US"/>
              </w:rPr>
            </w:pPr>
            <w:r w:rsidRPr="00CE3398">
              <w:rPr>
                <w:rFonts w:eastAsia="Calibri"/>
                <w:szCs w:val="24"/>
                <w:lang w:eastAsia="en-US"/>
              </w:rPr>
              <w:t>Coordenador do CPT</w:t>
            </w:r>
          </w:p>
        </w:tc>
      </w:tr>
    </w:tbl>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OBRAS CITADAS</w:t>
      </w:r>
    </w:p>
    <w:p w:rsidR="00103485" w:rsidRPr="00CE3398" w:rsidRDefault="0010373C" w:rsidP="00103485">
      <w:pPr>
        <w:pStyle w:val="Bibliografia"/>
        <w:rPr>
          <w:rFonts w:ascii="Times New Roman" w:hAnsi="Times New Roman"/>
          <w:sz w:val="24"/>
          <w:szCs w:val="24"/>
        </w:rPr>
      </w:pPr>
      <w:r w:rsidRPr="00CE3398">
        <w:rPr>
          <w:rFonts w:ascii="Times New Roman" w:hAnsi="Times New Roman"/>
          <w:sz w:val="24"/>
          <w:szCs w:val="24"/>
        </w:rPr>
        <w:fldChar w:fldCharType="begin"/>
      </w:r>
      <w:r w:rsidR="00103485" w:rsidRPr="00CE3398">
        <w:rPr>
          <w:rFonts w:ascii="Times New Roman" w:hAnsi="Times New Roman"/>
          <w:sz w:val="24"/>
          <w:szCs w:val="24"/>
        </w:rPr>
        <w:instrText xml:space="preserve"> BIBLIOGRAPHY  \l 1046 </w:instrText>
      </w:r>
      <w:r w:rsidRPr="00CE3398">
        <w:rPr>
          <w:rFonts w:ascii="Times New Roman" w:hAnsi="Times New Roman"/>
          <w:sz w:val="24"/>
          <w:szCs w:val="24"/>
        </w:rPr>
        <w:fldChar w:fldCharType="separate"/>
      </w:r>
      <w:r w:rsidR="00103485" w:rsidRPr="00CE3398">
        <w:rPr>
          <w:rFonts w:ascii="Times New Roman" w:hAnsi="Times New Roman"/>
          <w:sz w:val="24"/>
          <w:szCs w:val="24"/>
        </w:rPr>
        <w:t>1. BRASIL. Agência Nacional do Petróleo, Gás Natural e Biocombustíveis - ANP. Resolução nº 38, de 9 de dezembro de 2009. Diário Oficial da União. Brasília, DF, 11 de dez. de 2009. Seção 1, p. 90.</w:t>
      </w:r>
    </w:p>
    <w:p w:rsidR="00103485" w:rsidRPr="00CE3398" w:rsidRDefault="00103485" w:rsidP="00103485">
      <w:pPr>
        <w:pStyle w:val="Bibliografia"/>
        <w:rPr>
          <w:rFonts w:ascii="Times New Roman" w:hAnsi="Times New Roman"/>
          <w:sz w:val="24"/>
          <w:szCs w:val="24"/>
        </w:rPr>
      </w:pPr>
      <w:r w:rsidRPr="00CE3398">
        <w:rPr>
          <w:rFonts w:ascii="Times New Roman" w:hAnsi="Times New Roman"/>
          <w:sz w:val="24"/>
          <w:szCs w:val="24"/>
        </w:rPr>
        <w:t>2. BRASIL. Presidência da República. Decreto nº 6.062, de 16 de março de 2007. Diário Oficial da União. Brasília, DF, 19 de mar. de 2007. Seção 1, p. 9.</w:t>
      </w:r>
    </w:p>
    <w:p w:rsidR="00103485" w:rsidRPr="00CE3398" w:rsidRDefault="00103485" w:rsidP="00103485">
      <w:pPr>
        <w:pStyle w:val="Bibliografia"/>
        <w:rPr>
          <w:rFonts w:ascii="Times New Roman" w:hAnsi="Times New Roman"/>
          <w:sz w:val="24"/>
          <w:szCs w:val="24"/>
        </w:rPr>
      </w:pPr>
      <w:r w:rsidRPr="00CE3398">
        <w:rPr>
          <w:rFonts w:ascii="Times New Roman" w:hAnsi="Times New Roman"/>
          <w:sz w:val="24"/>
          <w:szCs w:val="24"/>
        </w:rPr>
        <w:t>3. SÁ, WAGNER. Aditivação total da gasolina no Brasil - benefícios. Rio de Janeiro : s.n., 26 de agosto de 2011. Apresentação digital para o grupo de trabalho formado na ANP para discussão de temas ligados à aditivação compulsória da gaoslina.</w:t>
      </w:r>
    </w:p>
    <w:p w:rsidR="00103485" w:rsidRPr="00CE3398" w:rsidRDefault="00BB64CC" w:rsidP="00103485">
      <w:pPr>
        <w:pStyle w:val="Bibliografia"/>
        <w:rPr>
          <w:rFonts w:ascii="Times New Roman" w:hAnsi="Times New Roman"/>
          <w:sz w:val="24"/>
          <w:szCs w:val="24"/>
        </w:rPr>
      </w:pPr>
      <w:r w:rsidRPr="00CE3398">
        <w:rPr>
          <w:rFonts w:ascii="Times New Roman" w:hAnsi="Times New Roman"/>
          <w:sz w:val="24"/>
          <w:szCs w:val="24"/>
          <w:lang w:val="en-US"/>
        </w:rPr>
        <w:t xml:space="preserve">4. EUA. Clean Air Act - CAA. U.S. Code, Title 42, Section 7545. </w:t>
      </w:r>
      <w:r w:rsidR="00103485" w:rsidRPr="00CE3398">
        <w:rPr>
          <w:rFonts w:ascii="Times New Roman" w:hAnsi="Times New Roman"/>
          <w:sz w:val="24"/>
          <w:szCs w:val="24"/>
        </w:rPr>
        <w:t>Disponível em: &lt;http://www.gpo.gov/fdsys/pkg/USCODE-2008-title42/pdf/USCODE-2008-title42-chap85.pdf&gt;. Acesso em: 26 dez. 2012.</w:t>
      </w:r>
    </w:p>
    <w:p w:rsidR="00103485" w:rsidRPr="00CE3398" w:rsidRDefault="00103485" w:rsidP="00103485">
      <w:pPr>
        <w:pStyle w:val="Bibliografia"/>
        <w:rPr>
          <w:rFonts w:ascii="Times New Roman" w:hAnsi="Times New Roman"/>
          <w:sz w:val="24"/>
          <w:szCs w:val="24"/>
        </w:rPr>
      </w:pPr>
      <w:r w:rsidRPr="00CE3398">
        <w:rPr>
          <w:rFonts w:ascii="Times New Roman" w:hAnsi="Times New Roman"/>
          <w:sz w:val="24"/>
          <w:szCs w:val="24"/>
        </w:rPr>
        <w:t xml:space="preserve">5. EUA. Environmental Protection Agency - EPA. Code of Federal Regulations, Title 40, Ch. I, Part 80. 1º jul. 2012. Disponível em: </w:t>
      </w:r>
      <w:r w:rsidRPr="00CE3398">
        <w:rPr>
          <w:rFonts w:ascii="Times New Roman" w:hAnsi="Times New Roman"/>
          <w:sz w:val="24"/>
          <w:szCs w:val="24"/>
        </w:rPr>
        <w:lastRenderedPageBreak/>
        <w:t>&lt;http://www.gpo.gov/fdsys/browse/collectionCfr.action?selectedYearFrom=-1&amp;go=Go&gt;. Acesso em: 27 dez. 2012.</w:t>
      </w:r>
    </w:p>
    <w:p w:rsidR="00103485" w:rsidRPr="00CE3398" w:rsidRDefault="00103485" w:rsidP="00103485">
      <w:pPr>
        <w:pStyle w:val="Bibliografia"/>
        <w:rPr>
          <w:rFonts w:ascii="Times New Roman" w:hAnsi="Times New Roman"/>
          <w:sz w:val="24"/>
          <w:szCs w:val="24"/>
        </w:rPr>
      </w:pPr>
      <w:r w:rsidRPr="00CE3398">
        <w:rPr>
          <w:rFonts w:ascii="Times New Roman" w:hAnsi="Times New Roman"/>
          <w:sz w:val="24"/>
          <w:szCs w:val="24"/>
        </w:rPr>
        <w:t>6. INSTITUTO MEXICANO DEL PETRÓLEO - IMP. Línea de negocio de Tratamientos químicos. Disponível em: &lt;http://www.imp.mx/productos/?imp=PROCESO&amp; esp=0206&amp; cs=7&gt;. Acesso em: 28 dez. 2012..</w:t>
      </w:r>
    </w:p>
    <w:p w:rsidR="00103485" w:rsidRPr="00CE3398" w:rsidRDefault="00103485" w:rsidP="00103485">
      <w:pPr>
        <w:pStyle w:val="Bibliografia"/>
        <w:rPr>
          <w:rFonts w:ascii="Times New Roman" w:hAnsi="Times New Roman"/>
          <w:sz w:val="24"/>
          <w:szCs w:val="24"/>
        </w:rPr>
      </w:pPr>
      <w:r w:rsidRPr="00CE3398">
        <w:rPr>
          <w:rFonts w:ascii="Times New Roman" w:hAnsi="Times New Roman"/>
          <w:sz w:val="24"/>
          <w:szCs w:val="24"/>
        </w:rPr>
        <w:t>7. PEMEX REFINACIÓN. Procedimiento Administrativo [...] Compras Interorganismos a PPQ de Aditivo Detergente para Gasolina IMP-DG-15 [...] Entregados a Refinerías, TAR's y Ductos. Disponível em: &lt;http://normateca.dca.pemex.com/nmtkInternet/&gt;. Acesso em: 28 dez. 2012.</w:t>
      </w:r>
    </w:p>
    <w:p w:rsidR="00103485" w:rsidRPr="00CE3398" w:rsidRDefault="00BB64CC" w:rsidP="00103485">
      <w:pPr>
        <w:pStyle w:val="Bibliografia"/>
        <w:rPr>
          <w:rFonts w:ascii="Times New Roman" w:hAnsi="Times New Roman"/>
          <w:sz w:val="24"/>
          <w:szCs w:val="24"/>
          <w:lang w:val="es-ES"/>
        </w:rPr>
      </w:pPr>
      <w:r w:rsidRPr="00CE3398">
        <w:rPr>
          <w:rFonts w:ascii="Times New Roman" w:hAnsi="Times New Roman"/>
          <w:sz w:val="24"/>
          <w:szCs w:val="24"/>
          <w:lang w:val="es-ES"/>
        </w:rPr>
        <w:t>8. MÉXICO. NOM-086-SEMARNAT-SENER-SCFI-2005, Especificaciones de los combustibles fósiles para la protección ambiental. Diário oficial de la Federación, 30 jan. 2006..</w:t>
      </w:r>
    </w:p>
    <w:p w:rsidR="00103485" w:rsidRPr="00CE3398" w:rsidRDefault="00BB64CC" w:rsidP="00103485">
      <w:pPr>
        <w:pStyle w:val="Bibliografia"/>
        <w:rPr>
          <w:rFonts w:ascii="Times New Roman" w:hAnsi="Times New Roman"/>
          <w:sz w:val="24"/>
          <w:szCs w:val="24"/>
          <w:lang w:val="es-ES"/>
        </w:rPr>
      </w:pPr>
      <w:r w:rsidRPr="00CE3398">
        <w:rPr>
          <w:rFonts w:ascii="Times New Roman" w:hAnsi="Times New Roman"/>
          <w:sz w:val="24"/>
          <w:szCs w:val="24"/>
          <w:lang w:val="es-ES"/>
        </w:rPr>
        <w:t xml:space="preserve">9. PEMEX REFINACIÓN. Manuales de operación de la franquicia pemex - Versión 2008-1. </w:t>
      </w:r>
      <w:r w:rsidR="00103485" w:rsidRPr="00CE3398">
        <w:rPr>
          <w:rFonts w:ascii="Times New Roman" w:hAnsi="Times New Roman"/>
          <w:sz w:val="24"/>
          <w:szCs w:val="24"/>
        </w:rPr>
        <w:t xml:space="preserve">Disponível em: &lt;http://www.ref.pemex.com/files/content/02franquicia/sagli002/sagli002_01.html&gt;. </w:t>
      </w:r>
      <w:r w:rsidRPr="00CE3398">
        <w:rPr>
          <w:rFonts w:ascii="Times New Roman" w:hAnsi="Times New Roman"/>
          <w:sz w:val="24"/>
          <w:szCs w:val="24"/>
          <w:lang w:val="es-ES"/>
        </w:rPr>
        <w:t>Acesso em: 28 dez. 2012..</w:t>
      </w:r>
    </w:p>
    <w:p w:rsidR="00103485" w:rsidRPr="00CE3398" w:rsidRDefault="00BB64CC" w:rsidP="00103485">
      <w:pPr>
        <w:pStyle w:val="Bibliografia"/>
        <w:rPr>
          <w:rFonts w:ascii="Times New Roman" w:hAnsi="Times New Roman"/>
          <w:sz w:val="24"/>
          <w:szCs w:val="24"/>
          <w:lang w:val="es-ES"/>
        </w:rPr>
      </w:pPr>
      <w:r w:rsidRPr="00CE3398">
        <w:rPr>
          <w:rFonts w:ascii="Times New Roman" w:hAnsi="Times New Roman"/>
          <w:sz w:val="24"/>
          <w:szCs w:val="24"/>
          <w:lang w:val="es-ES"/>
        </w:rPr>
        <w:t>10. MÉXICO. NOM-086-ECOL-1994, Contaminación atmosférica-Especificaciones sobre protección ambiental que deben reunir los combustibles fósiles líquidos y gaseosos que se usan en fuentes fijas y móviles. Diario Ofial de la Federación, 2 dez. 1994..</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s-ES"/>
        </w:rPr>
        <w:t xml:space="preserve">11. COLÔMBIA. Resolución nº 81055 de septiembre 20 de 1999. </w:t>
      </w:r>
      <w:r w:rsidR="00103485" w:rsidRPr="00CE3398">
        <w:rPr>
          <w:rFonts w:ascii="Times New Roman" w:hAnsi="Times New Roman"/>
          <w:sz w:val="24"/>
          <w:szCs w:val="24"/>
        </w:rPr>
        <w:t xml:space="preserve">Disponível em: &lt;https://www.mincomercio.gov.co/descargar.php?idFile=788&gt;. </w:t>
      </w:r>
      <w:r w:rsidRPr="00CE3398">
        <w:rPr>
          <w:rFonts w:ascii="Times New Roman" w:hAnsi="Times New Roman"/>
          <w:sz w:val="24"/>
          <w:szCs w:val="24"/>
          <w:lang w:val="en-US"/>
        </w:rPr>
        <w:t>Acesso em: 28 dez. 2012.</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12. SAKULPAISITH, N, WUTTIMONGKOLCHAI, A e SRETAININD, T. Vehicles fleet test to evaluate Thailand's commercial IVD detergent package's effects on PFI, IVD and CCD performance. International fall fuels and lubricants meeting and exposition. Baltimore, Maryland, EUA : s.n., 16 a 19 de Outubro de 2000. SAE Technical Paper 2000-01-2855.</w:t>
      </w:r>
    </w:p>
    <w:p w:rsidR="00103485" w:rsidRPr="00CE3398" w:rsidRDefault="00BB64CC" w:rsidP="00103485">
      <w:pPr>
        <w:pStyle w:val="Bibliografia"/>
        <w:rPr>
          <w:rFonts w:ascii="Times New Roman" w:hAnsi="Times New Roman"/>
          <w:sz w:val="24"/>
          <w:szCs w:val="24"/>
        </w:rPr>
      </w:pPr>
      <w:r w:rsidRPr="00CE3398">
        <w:rPr>
          <w:rFonts w:ascii="Times New Roman" w:hAnsi="Times New Roman"/>
          <w:sz w:val="24"/>
          <w:szCs w:val="24"/>
          <w:lang w:val="en-US"/>
        </w:rPr>
        <w:t xml:space="preserve">13. STANDARDIZATION ADMINISTRATION OF CHINA - SAC. GB 19592 - Detergent additive for vehicular gasoline. </w:t>
      </w:r>
      <w:r w:rsidR="00103485" w:rsidRPr="00CE3398">
        <w:rPr>
          <w:rFonts w:ascii="Times New Roman" w:hAnsi="Times New Roman"/>
          <w:sz w:val="24"/>
          <w:szCs w:val="24"/>
        </w:rPr>
        <w:t>Disponível para compra em: &lt;http://www.sac.gov.cn/sac_en/&gt;.</w:t>
      </w:r>
    </w:p>
    <w:p w:rsidR="00103485" w:rsidRPr="00CE3398" w:rsidRDefault="00BB64CC" w:rsidP="00103485">
      <w:pPr>
        <w:pStyle w:val="Bibliografia"/>
        <w:rPr>
          <w:rFonts w:ascii="Times New Roman" w:hAnsi="Times New Roman"/>
          <w:sz w:val="24"/>
          <w:szCs w:val="24"/>
        </w:rPr>
      </w:pPr>
      <w:r w:rsidRPr="00CE3398">
        <w:rPr>
          <w:rFonts w:ascii="Times New Roman" w:hAnsi="Times New Roman"/>
          <w:sz w:val="24"/>
          <w:szCs w:val="24"/>
          <w:lang w:val="en-US"/>
        </w:rPr>
        <w:t xml:space="preserve">14. MINISTRY OF ENVIRONMENTAL PROTECTION - MEP. Vehicle emission control in China. </w:t>
      </w:r>
      <w:r w:rsidR="00103485" w:rsidRPr="00CE3398">
        <w:rPr>
          <w:rFonts w:ascii="Times New Roman" w:hAnsi="Times New Roman"/>
          <w:sz w:val="24"/>
          <w:szCs w:val="24"/>
        </w:rPr>
        <w:t>Disponível em: &lt;http://www.unep.org/transport/pcfv/PDF/Session3-Asia-TanDagang-MEPChina.pdf&gt;. Acesso em: 30 de jan. 2013.</w:t>
      </w:r>
    </w:p>
    <w:p w:rsidR="00103485" w:rsidRPr="00CE3398" w:rsidRDefault="00103485" w:rsidP="00103485">
      <w:pPr>
        <w:pStyle w:val="Bibliografia"/>
        <w:rPr>
          <w:rFonts w:ascii="Times New Roman" w:hAnsi="Times New Roman"/>
          <w:sz w:val="24"/>
          <w:szCs w:val="24"/>
        </w:rPr>
      </w:pPr>
      <w:r w:rsidRPr="00CE3398">
        <w:rPr>
          <w:rFonts w:ascii="Times New Roman" w:hAnsi="Times New Roman"/>
          <w:sz w:val="24"/>
          <w:szCs w:val="24"/>
        </w:rPr>
        <w:t>15. BUREAU OF INDIAN STANDARDS - BIS. Página oficial na internet. Disponível em: &lt;http://www.bis.org.in/&gt;. Acesso em: 04 jan. 2013.</w:t>
      </w:r>
    </w:p>
    <w:p w:rsidR="00103485" w:rsidRPr="00CE3398" w:rsidRDefault="00BB64CC" w:rsidP="00103485">
      <w:pPr>
        <w:pStyle w:val="Bibliografia"/>
        <w:rPr>
          <w:rFonts w:ascii="Times New Roman" w:hAnsi="Times New Roman"/>
          <w:sz w:val="24"/>
          <w:szCs w:val="24"/>
        </w:rPr>
      </w:pPr>
      <w:r w:rsidRPr="00CE3398">
        <w:rPr>
          <w:rFonts w:ascii="Times New Roman" w:hAnsi="Times New Roman"/>
          <w:sz w:val="24"/>
          <w:szCs w:val="24"/>
          <w:lang w:val="en-US"/>
        </w:rPr>
        <w:t xml:space="preserve">16. BHARAT PETROLEUM CORPORATION. Motor gasoline. </w:t>
      </w:r>
      <w:r w:rsidR="00103485" w:rsidRPr="00CE3398">
        <w:rPr>
          <w:rFonts w:ascii="Times New Roman" w:hAnsi="Times New Roman"/>
          <w:sz w:val="24"/>
          <w:szCs w:val="24"/>
        </w:rPr>
        <w:t>Disponível em: &lt;http://www.speedfuels.com/Common/Uploads/ContentTemplate/56_Download_MOTOR_GASOLINE.pdf&gt;. Acesso em: 04 jan. 2013.</w:t>
      </w:r>
    </w:p>
    <w:p w:rsidR="00103485" w:rsidRPr="00CE3398" w:rsidRDefault="00103485" w:rsidP="00103485">
      <w:pPr>
        <w:pStyle w:val="Bibliografia"/>
        <w:rPr>
          <w:rFonts w:ascii="Times New Roman" w:hAnsi="Times New Roman"/>
          <w:sz w:val="24"/>
          <w:szCs w:val="24"/>
        </w:rPr>
      </w:pPr>
      <w:r w:rsidRPr="00CE3398">
        <w:rPr>
          <w:rFonts w:ascii="Times New Roman" w:hAnsi="Times New Roman"/>
          <w:sz w:val="24"/>
          <w:szCs w:val="24"/>
        </w:rPr>
        <w:t>17. INDIAN OIL CORPORATION. Products. Disponível em: &lt;https://iocl.com/products.aspx&gt;. Acesso em: 04 jan. 2013.</w:t>
      </w:r>
    </w:p>
    <w:p w:rsidR="00103485" w:rsidRPr="00CE3398" w:rsidRDefault="00BB64CC" w:rsidP="00103485">
      <w:pPr>
        <w:pStyle w:val="Bibliografia"/>
        <w:rPr>
          <w:rFonts w:ascii="Times New Roman" w:hAnsi="Times New Roman"/>
          <w:sz w:val="24"/>
          <w:szCs w:val="24"/>
        </w:rPr>
      </w:pPr>
      <w:r w:rsidRPr="00CE3398">
        <w:rPr>
          <w:rFonts w:ascii="Times New Roman" w:hAnsi="Times New Roman"/>
          <w:sz w:val="24"/>
          <w:szCs w:val="24"/>
          <w:lang w:val="en-US"/>
        </w:rPr>
        <w:lastRenderedPageBreak/>
        <w:t xml:space="preserve">18. BHARAT PETROLEUM CORPORATION. Fueling automotives. </w:t>
      </w:r>
      <w:r w:rsidR="00103485" w:rsidRPr="00CE3398">
        <w:rPr>
          <w:rFonts w:ascii="Times New Roman" w:hAnsi="Times New Roman"/>
          <w:sz w:val="24"/>
          <w:szCs w:val="24"/>
        </w:rPr>
        <w:t>Disponível em: &lt;http://www.bharatpetroleum.com/EnergisingBusiness/FuilingAutomotives.aspx?id=1&gt;. Acesso em: 04 jan. 2013.</w:t>
      </w:r>
    </w:p>
    <w:p w:rsidR="00103485" w:rsidRPr="00CE3398" w:rsidRDefault="00103485" w:rsidP="00103485">
      <w:pPr>
        <w:pStyle w:val="Bibliografia"/>
        <w:rPr>
          <w:rFonts w:ascii="Times New Roman" w:hAnsi="Times New Roman"/>
          <w:sz w:val="24"/>
          <w:szCs w:val="24"/>
        </w:rPr>
      </w:pPr>
      <w:r w:rsidRPr="00CE3398">
        <w:rPr>
          <w:rFonts w:ascii="Times New Roman" w:hAnsi="Times New Roman"/>
          <w:sz w:val="24"/>
          <w:szCs w:val="24"/>
        </w:rPr>
        <w:t>19. HINDUSTAN PETROLEUM CORPORATION. Products and services. Disponível em: &lt;http://www.hindustanpetroleum.com/En/UI/ProductsandServiceshomeLand.aspx&gt;. Acesso em: 04 jan. 2013..</w:t>
      </w:r>
    </w:p>
    <w:p w:rsidR="00103485" w:rsidRPr="00CE3398" w:rsidRDefault="0010373C" w:rsidP="00103485">
      <w:pPr>
        <w:pStyle w:val="Bibliografia"/>
        <w:rPr>
          <w:rFonts w:ascii="Times New Roman" w:hAnsi="Times New Roman"/>
          <w:sz w:val="24"/>
          <w:szCs w:val="24"/>
        </w:rPr>
      </w:pPr>
      <w:r w:rsidRPr="00CE3398">
        <w:rPr>
          <w:rFonts w:ascii="Times New Roman" w:hAnsi="Times New Roman"/>
          <w:sz w:val="24"/>
          <w:szCs w:val="24"/>
        </w:rPr>
        <w:fldChar w:fldCharType="end"/>
      </w:r>
    </w:p>
    <w:p w:rsidR="00BC459D" w:rsidRPr="00CE3398" w:rsidRDefault="0002519A" w:rsidP="00BC459D">
      <w:pPr>
        <w:rPr>
          <w:rFonts w:ascii="Times New Roman" w:hAnsi="Times New Roman"/>
          <w:sz w:val="24"/>
          <w:szCs w:val="24"/>
          <w:highlight w:val="yellow"/>
        </w:rPr>
      </w:pPr>
      <w:r w:rsidRPr="00CE3398">
        <w:rPr>
          <w:rFonts w:ascii="Times New Roman" w:hAnsi="Times New Roman"/>
          <w:sz w:val="24"/>
          <w:szCs w:val="24"/>
        </w:rPr>
        <w:br w:type="page"/>
      </w:r>
    </w:p>
    <w:p w:rsidR="0002519A" w:rsidRPr="00CE3398" w:rsidRDefault="00BC459D" w:rsidP="009E699F">
      <w:pPr>
        <w:spacing w:after="120"/>
        <w:jc w:val="both"/>
        <w:rPr>
          <w:rFonts w:ascii="Times New Roman" w:hAnsi="Times New Roman"/>
          <w:b/>
          <w:sz w:val="24"/>
          <w:szCs w:val="24"/>
        </w:rPr>
      </w:pPr>
      <w:r w:rsidRPr="00CE3398">
        <w:rPr>
          <w:rFonts w:ascii="Times New Roman" w:hAnsi="Times New Roman"/>
          <w:b/>
          <w:sz w:val="24"/>
          <w:szCs w:val="24"/>
        </w:rPr>
        <w:lastRenderedPageBreak/>
        <w:t>ANEXO III</w:t>
      </w:r>
      <w:r w:rsidR="00A42214">
        <w:rPr>
          <w:rFonts w:ascii="Times New Roman" w:hAnsi="Times New Roman"/>
          <w:b/>
          <w:sz w:val="24"/>
          <w:szCs w:val="24"/>
        </w:rPr>
        <w:t xml:space="preserve"> - </w:t>
      </w:r>
      <w:r w:rsidRPr="00CE3398">
        <w:rPr>
          <w:rFonts w:ascii="Times New Roman" w:hAnsi="Times New Roman"/>
          <w:b/>
          <w:sz w:val="24"/>
          <w:szCs w:val="24"/>
        </w:rPr>
        <w:t>QUESTIONÁRIO ENCAMINHADO PELA ANP AOS FORNECEDORES DE ADITIVOS</w:t>
      </w:r>
    </w:p>
    <w:tbl>
      <w:tblPr>
        <w:tblW w:w="5000" w:type="pct"/>
        <w:tblCellMar>
          <w:left w:w="70" w:type="dxa"/>
          <w:right w:w="70" w:type="dxa"/>
        </w:tblCellMar>
        <w:tblLook w:val="0000"/>
      </w:tblPr>
      <w:tblGrid>
        <w:gridCol w:w="9887"/>
      </w:tblGrid>
      <w:tr w:rsidR="0002519A" w:rsidRPr="00CE3398" w:rsidTr="00A42214">
        <w:trPr>
          <w:trHeight w:val="290"/>
        </w:trPr>
        <w:tc>
          <w:tcPr>
            <w:tcW w:w="5000" w:type="pct"/>
            <w:tcBorders>
              <w:top w:val="nil"/>
              <w:left w:val="nil"/>
              <w:bottom w:val="nil"/>
              <w:right w:val="nil"/>
            </w:tcBorders>
          </w:tcPr>
          <w:p w:rsidR="0002519A" w:rsidRPr="00CE3398" w:rsidRDefault="0002519A" w:rsidP="008863E7">
            <w:pPr>
              <w:autoSpaceDE w:val="0"/>
              <w:autoSpaceDN w:val="0"/>
              <w:adjustRightInd w:val="0"/>
              <w:spacing w:after="120" w:line="240" w:lineRule="auto"/>
              <w:rPr>
                <w:rFonts w:ascii="Times New Roman" w:hAnsi="Times New Roman"/>
                <w:b/>
                <w:bCs/>
                <w:color w:val="000000"/>
                <w:sz w:val="24"/>
                <w:szCs w:val="24"/>
              </w:rPr>
            </w:pPr>
          </w:p>
        </w:tc>
      </w:tr>
      <w:tr w:rsidR="0002519A" w:rsidRPr="00CE3398" w:rsidTr="00A42214">
        <w:trPr>
          <w:trHeight w:val="581"/>
        </w:trPr>
        <w:tc>
          <w:tcPr>
            <w:tcW w:w="5000" w:type="pct"/>
            <w:tcBorders>
              <w:top w:val="single" w:sz="6" w:space="0" w:color="auto"/>
              <w:left w:val="single" w:sz="6" w:space="0" w:color="auto"/>
              <w:bottom w:val="nil"/>
              <w:right w:val="single" w:sz="6" w:space="0" w:color="auto"/>
            </w:tcBorders>
          </w:tcPr>
          <w:p w:rsidR="0002519A" w:rsidRPr="00CE3398" w:rsidRDefault="0002519A" w:rsidP="00A42214">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1</w:t>
            </w:r>
            <w:r w:rsidR="00A42214">
              <w:rPr>
                <w:rFonts w:ascii="Times New Roman" w:hAnsi="Times New Roman"/>
                <w:color w:val="000000"/>
                <w:sz w:val="24"/>
                <w:szCs w:val="24"/>
              </w:rPr>
              <w:t>-</w:t>
            </w:r>
            <w:r w:rsidRPr="00CE3398">
              <w:rPr>
                <w:rFonts w:ascii="Times New Roman" w:hAnsi="Times New Roman"/>
                <w:color w:val="000000"/>
                <w:sz w:val="24"/>
                <w:szCs w:val="24"/>
              </w:rPr>
              <w:t>     Detalhe os investimentos (item e valor) que sua empresa pretende fazer para atender à demanda do mercado brasileiro a partir de 2014 em função do programa de aditivação total, considerando:</w:t>
            </w:r>
          </w:p>
        </w:tc>
      </w:tr>
      <w:tr w:rsidR="0002519A" w:rsidRPr="00CE3398" w:rsidTr="00A42214">
        <w:trPr>
          <w:trHeight w:val="150"/>
        </w:trPr>
        <w:tc>
          <w:tcPr>
            <w:tcW w:w="5000" w:type="pct"/>
            <w:tcBorders>
              <w:top w:val="nil"/>
              <w:left w:val="single" w:sz="6" w:space="0" w:color="auto"/>
              <w:bottom w:val="nil"/>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a)      Infraestrutura;</w:t>
            </w:r>
          </w:p>
        </w:tc>
      </w:tr>
      <w:tr w:rsidR="0002519A" w:rsidRPr="00CE3398" w:rsidTr="00A42214">
        <w:trPr>
          <w:trHeight w:val="196"/>
        </w:trPr>
        <w:tc>
          <w:tcPr>
            <w:tcW w:w="5000" w:type="pct"/>
            <w:tcBorders>
              <w:top w:val="nil"/>
              <w:left w:val="single" w:sz="6" w:space="0" w:color="auto"/>
              <w:bottom w:val="nil"/>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b)      Logística de transporte;</w:t>
            </w:r>
          </w:p>
        </w:tc>
      </w:tr>
      <w:tr w:rsidR="0002519A" w:rsidRPr="00CE3398" w:rsidTr="00A42214">
        <w:trPr>
          <w:trHeight w:val="228"/>
        </w:trPr>
        <w:tc>
          <w:tcPr>
            <w:tcW w:w="5000" w:type="pct"/>
            <w:tcBorders>
              <w:top w:val="nil"/>
              <w:left w:val="single" w:sz="6" w:space="0" w:color="auto"/>
              <w:bottom w:val="nil"/>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 xml:space="preserve">c)      Recursos humanos; e </w:t>
            </w:r>
          </w:p>
        </w:tc>
      </w:tr>
      <w:tr w:rsidR="0002519A" w:rsidRPr="00CE3398" w:rsidTr="00A42214">
        <w:trPr>
          <w:trHeight w:val="290"/>
        </w:trPr>
        <w:tc>
          <w:tcPr>
            <w:tcW w:w="5000" w:type="pct"/>
            <w:tcBorders>
              <w:top w:val="nil"/>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 xml:space="preserve">d)      Outros (especifique). </w:t>
            </w:r>
          </w:p>
        </w:tc>
      </w:tr>
      <w:tr w:rsidR="0002519A" w:rsidRPr="00CE3398" w:rsidTr="00A42214">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2-     Além dos investimentos listados no item 3, há custos associados ao cumprimento da Resolução ANP nº 38/2009 nos quais sua empresa terá que incorrer? Em caso positivo, quais? Qual o valor associado?</w:t>
            </w:r>
          </w:p>
        </w:tc>
      </w:tr>
      <w:tr w:rsidR="0002519A" w:rsidRPr="00CE3398" w:rsidTr="00A42214">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3-     Qual a estimativa de sua empresa para o preço de venda (R$/L) do aditivo para atendimento da Resolução ANP nº 38/2009? Essa estimativa varia por região do Brasil? Em caso positivo, diga em quanto.</w:t>
            </w:r>
          </w:p>
        </w:tc>
      </w:tr>
      <w:tr w:rsidR="0002519A" w:rsidRPr="00CE3398" w:rsidTr="00A42214">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4-     Sua empresa vislumbra ganhos de escala associados à implementação da Resolução ANP nº 38/2009? Quais (importação, transporte, armazenamento, outros)?</w:t>
            </w:r>
          </w:p>
        </w:tc>
      </w:tr>
      <w:tr w:rsidR="0002519A" w:rsidRPr="00CE3398" w:rsidTr="00A42214">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5-     Após a definição pela ANP do nível de desempenho exigido, qual seria o tempo estimado para desenvolvimento e realização dos testes para homologação de cada aditivo?</w:t>
            </w:r>
          </w:p>
        </w:tc>
      </w:tr>
      <w:tr w:rsidR="0002519A" w:rsidRPr="00CE3398" w:rsidTr="00A42214">
        <w:trPr>
          <w:trHeight w:val="1162"/>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6-      A Resolução ANP nº 38/2009 determina a comercialização de gasolina com aditivos detergentes dispersantes a partir de 2014. Sua empresa pode fornecer apenas o aditivo detergente dispersante (desassociado de um “pacote” contendo outros aditivos)? Em caso negativo, qual a justificativa técnica? Em caso positivo, sua empresa pretende ofertar para fins de atendimento a Resolução ANP n° 38/09 apenas o aditivo detergente dispersante?</w:t>
            </w:r>
          </w:p>
        </w:tc>
      </w:tr>
      <w:tr w:rsidR="0002519A" w:rsidRPr="00CE3398" w:rsidTr="00A42214">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7-     Quantos tipos de aditivos detergentes dispersantes sua empresa pretende homologar para atendimento da aditivação total da gasolina no Brasil em 2014?</w:t>
            </w:r>
          </w:p>
        </w:tc>
      </w:tr>
      <w:tr w:rsidR="0002519A" w:rsidRPr="00CE3398" w:rsidTr="00A42214">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8- Com relação aos ensaios referentes à etapa de desenvolvimento e homologação, quantos testes sua empresa estima serem necessários e qual o custo de cada teste?</w:t>
            </w:r>
          </w:p>
        </w:tc>
      </w:tr>
      <w:tr w:rsidR="0002519A" w:rsidRPr="00CE3398" w:rsidTr="00A42214">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9-     Na visão de sua empresa, qual seria a etapa da cadeia (no produtor ou no distribuidor) mais adequada para se proceder a aditivação da gasolina? Por quê?</w:t>
            </w:r>
          </w:p>
        </w:tc>
      </w:tr>
      <w:tr w:rsidR="0002519A" w:rsidRPr="00CE3398" w:rsidTr="00A42214">
        <w:trPr>
          <w:trHeight w:val="87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10-     Qual preço médio de venda (R$/L) de aditivo praticado por sua empresa em 2011 no Brasil? Solicitamos o envio de cópia das 10 (dez) primeiras e das 10 (dez) últimas notas fiscais de comercialização de aditivos para gasolina no ano de 2011? Encaminhá-las juntamente com as respostas deste questionário.</w:t>
            </w:r>
          </w:p>
        </w:tc>
      </w:tr>
      <w:tr w:rsidR="0002519A" w:rsidRPr="00CE3398" w:rsidTr="00A42214">
        <w:trPr>
          <w:trHeight w:val="668"/>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11-     Sua empresa tem conhecimento de algum estudo, artigo ou dado que associe o uso de aditivos detergentes dispersantes à redução no consumo de combustível e/ou nos custos de manutenção dos veículos? Em caso positivo, poderia enviá-lo(s) à ANP?</w:t>
            </w:r>
          </w:p>
        </w:tc>
      </w:tr>
      <w:tr w:rsidR="0002519A" w:rsidRPr="00CE3398" w:rsidTr="00A42214">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12-     Caso existam outras informações que entendam como relevantes no que tange ao cumprimento da Resolução ANP n° 38/2009, informe abaixo.</w:t>
            </w:r>
          </w:p>
        </w:tc>
      </w:tr>
      <w:tr w:rsidR="0002519A" w:rsidRPr="00CE3398" w:rsidTr="00A42214">
        <w:trPr>
          <w:trHeight w:val="943"/>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lastRenderedPageBreak/>
              <w:t xml:space="preserve">13-     Existe a possibilidade de incompatibilidade entre os diversos aditivos detergentes dispersantes disponibilizados no mercado? Em caso positivo, explicar. Considerar a mistura com aditivos de mesma geração e de geração distintas. Considerar também os aditivos da mesma empresa e de diferentes empresas. </w:t>
            </w:r>
          </w:p>
        </w:tc>
      </w:tr>
    </w:tbl>
    <w:p w:rsidR="0002519A" w:rsidRPr="00CE3398" w:rsidRDefault="0002519A" w:rsidP="0002519A">
      <w:pPr>
        <w:spacing w:after="120"/>
        <w:rPr>
          <w:rFonts w:ascii="Times New Roman" w:hAnsi="Times New Roman"/>
          <w:sz w:val="24"/>
          <w:szCs w:val="24"/>
        </w:rPr>
      </w:pPr>
    </w:p>
    <w:p w:rsidR="00247BDF" w:rsidRPr="00CE3398" w:rsidRDefault="0002519A" w:rsidP="009E699F">
      <w:pPr>
        <w:spacing w:after="120"/>
        <w:jc w:val="both"/>
        <w:rPr>
          <w:rFonts w:ascii="Times New Roman" w:hAnsi="Times New Roman"/>
          <w:b/>
          <w:sz w:val="24"/>
          <w:szCs w:val="24"/>
          <w:highlight w:val="yellow"/>
        </w:rPr>
      </w:pPr>
      <w:r w:rsidRPr="00CE3398">
        <w:rPr>
          <w:rFonts w:ascii="Times New Roman" w:hAnsi="Times New Roman"/>
          <w:sz w:val="24"/>
          <w:szCs w:val="24"/>
        </w:rPr>
        <w:br w:type="page"/>
      </w:r>
      <w:r w:rsidR="00BC459D" w:rsidRPr="00CE3398">
        <w:rPr>
          <w:rFonts w:ascii="Times New Roman" w:hAnsi="Times New Roman"/>
          <w:b/>
          <w:sz w:val="24"/>
          <w:szCs w:val="24"/>
        </w:rPr>
        <w:lastRenderedPageBreak/>
        <w:t>ANEXO IV - PRIMEIRA CONSULTA ENCAMINHADA PELA ANP AOS PRODUTORES DE GASOLINA A</w:t>
      </w:r>
    </w:p>
    <w:p w:rsidR="00247BDF" w:rsidRPr="00CE3398" w:rsidRDefault="0054139C" w:rsidP="0054139C">
      <w:pPr>
        <w:spacing w:after="120"/>
        <w:jc w:val="center"/>
        <w:rPr>
          <w:rFonts w:ascii="Times New Roman" w:hAnsi="Times New Roman"/>
          <w:sz w:val="24"/>
          <w:szCs w:val="24"/>
        </w:rPr>
      </w:pPr>
      <w:r w:rsidRPr="00CE3398">
        <w:rPr>
          <w:rFonts w:ascii="Times New Roman" w:hAnsi="Times New Roman"/>
          <w:sz w:val="24"/>
          <w:szCs w:val="24"/>
        </w:rPr>
        <w:t>(REFINARIAS)</w:t>
      </w:r>
    </w:p>
    <w:p w:rsidR="0054139C" w:rsidRPr="00CE3398" w:rsidRDefault="0054139C" w:rsidP="0054139C">
      <w:pPr>
        <w:spacing w:after="120"/>
        <w:jc w:val="both"/>
        <w:rPr>
          <w:rFonts w:ascii="Times New Roman" w:hAnsi="Times New Roman"/>
          <w:sz w:val="24"/>
          <w:szCs w:val="24"/>
        </w:rPr>
      </w:pPr>
      <w:r w:rsidRPr="00CE3398">
        <w:rPr>
          <w:rFonts w:ascii="Times New Roman" w:hAnsi="Times New Roman"/>
          <w:sz w:val="24"/>
          <w:szCs w:val="24"/>
        </w:rPr>
        <w:t>Obs.: As questões deste questionário consideram a hipótese de que a aditivação total da gasolina comercializada no país será de responsabilidade do produtor, do importador e do formulador.</w:t>
      </w:r>
    </w:p>
    <w:p w:rsidR="0054139C" w:rsidRPr="00CE3398" w:rsidRDefault="0054139C" w:rsidP="0054139C">
      <w:pPr>
        <w:spacing w:after="120"/>
        <w:jc w:val="both"/>
        <w:rPr>
          <w:rFonts w:ascii="Times New Roman" w:hAnsi="Times New Roman"/>
          <w:sz w:val="24"/>
          <w:szCs w:val="24"/>
        </w:rPr>
      </w:pP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Qual a projeção da sua empresa com relação ao fornecimento anual de gasolina A, discriminado por unidade produtora, para o mercado interno nos anos de 2012 a 2015.</w:t>
      </w:r>
    </w:p>
    <w:p w:rsidR="0054139C" w:rsidRPr="00CE3398" w:rsidRDefault="0054139C" w:rsidP="0054139C">
      <w:pPr>
        <w:numPr>
          <w:ilvl w:val="0"/>
          <w:numId w:val="27"/>
        </w:numPr>
        <w:spacing w:after="120"/>
        <w:ind w:left="0" w:firstLine="0"/>
        <w:jc w:val="both"/>
        <w:rPr>
          <w:rFonts w:ascii="Times New Roman" w:hAnsi="Times New Roman"/>
          <w:sz w:val="24"/>
          <w:szCs w:val="24"/>
          <w:lang w:val="en-US"/>
        </w:rPr>
      </w:pPr>
      <w:r w:rsidRPr="00CE3398">
        <w:rPr>
          <w:rFonts w:ascii="Times New Roman" w:hAnsi="Times New Roman"/>
          <w:sz w:val="24"/>
          <w:szCs w:val="24"/>
        </w:rPr>
        <w:t xml:space="preserve">Sob a ótica de sua empresa, qual o melhor local para a aditivação total da gasolina (no produtor de gasolina; antes da entrada na base do distribuidor (ponto B); na base do distribuidor; ou durante o carregamento dos caminhões-tanque)? </w:t>
      </w:r>
      <w:r w:rsidRPr="00CE3398">
        <w:rPr>
          <w:rFonts w:ascii="Times New Roman" w:hAnsi="Times New Roman"/>
          <w:sz w:val="24"/>
          <w:szCs w:val="24"/>
          <w:lang w:val="en-US"/>
        </w:rPr>
        <w:t>Justifique.</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Quais investimentos seriam necessários para que sua empresa atenda a obrigatoriedade de adição de aditivos detergentes dispersantes em toda a gasolina A comercializada? Especifique cada item de investimento, o respectivo valor associado e o tempo estimado para finalização dos mesmos.</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Ainda com relação à questão anterior, quais seriam os custos adicionais previstos pela sua empresa? Especifique cada item de custo, o respectivo valor associado e o tempo estimado para adequação dos mesmos.</w:t>
      </w:r>
    </w:p>
    <w:p w:rsidR="0054139C" w:rsidRPr="00CE3398" w:rsidRDefault="0054139C" w:rsidP="0054139C">
      <w:pPr>
        <w:numPr>
          <w:ilvl w:val="0"/>
          <w:numId w:val="27"/>
        </w:numPr>
        <w:spacing w:after="120"/>
        <w:ind w:left="0" w:firstLine="0"/>
        <w:jc w:val="both"/>
        <w:rPr>
          <w:rFonts w:ascii="Times New Roman" w:hAnsi="Times New Roman"/>
          <w:sz w:val="24"/>
          <w:szCs w:val="24"/>
          <w:lang w:val="en-US"/>
        </w:rPr>
      </w:pPr>
      <w:r w:rsidRPr="00CE3398">
        <w:rPr>
          <w:rFonts w:ascii="Times New Roman" w:hAnsi="Times New Roman"/>
          <w:sz w:val="24"/>
          <w:szCs w:val="24"/>
        </w:rPr>
        <w:t xml:space="preserve">Atualmente o produtor de combustíveis necessita adicionar corante vermelho ao óleo diesel em suas unidades produtoras, com intuito de atender regulamentação da ANP. As instalações e quantidades necessárias à aditivação total da gasolina A seriam análogas às adotadas para a adição de corante ao diesel? </w:t>
      </w:r>
      <w:r w:rsidRPr="00CE3398">
        <w:rPr>
          <w:rFonts w:ascii="Times New Roman" w:hAnsi="Times New Roman"/>
          <w:sz w:val="24"/>
          <w:szCs w:val="24"/>
          <w:lang w:val="en-US"/>
        </w:rPr>
        <w:t>Descreva.</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Descreva a logística de escoamento da gasolina A a partir de cada refinaria de sua empresa, incluindo a gasolina importada, destacando os diferentes modais, os respectivos volumes e pontos de transferência de titularidade da gasolina? Indique os pontos em que ocorreria a adição do aditivo em cada caso, bem como as respectivas dificuldades.</w:t>
      </w:r>
    </w:p>
    <w:p w:rsidR="0054139C" w:rsidRPr="00CE3398" w:rsidRDefault="0054139C" w:rsidP="0054139C">
      <w:pPr>
        <w:numPr>
          <w:ilvl w:val="0"/>
          <w:numId w:val="27"/>
        </w:numPr>
        <w:spacing w:after="120"/>
        <w:ind w:left="0" w:firstLine="0"/>
        <w:jc w:val="both"/>
        <w:rPr>
          <w:rFonts w:ascii="Times New Roman" w:hAnsi="Times New Roman"/>
          <w:sz w:val="24"/>
          <w:szCs w:val="24"/>
          <w:lang w:val="en-US"/>
        </w:rPr>
      </w:pPr>
      <w:r w:rsidRPr="00CE3398">
        <w:rPr>
          <w:rFonts w:ascii="Times New Roman" w:hAnsi="Times New Roman"/>
          <w:sz w:val="24"/>
          <w:szCs w:val="24"/>
        </w:rPr>
        <w:t xml:space="preserve">Sua empresa vislumbra possíveis problemas na especificação do produto final quando da adição do aditivo detergente dispersante no topo da cadeia de abastecimento? </w:t>
      </w:r>
      <w:r w:rsidRPr="00CE3398">
        <w:rPr>
          <w:rFonts w:ascii="Times New Roman" w:hAnsi="Times New Roman"/>
          <w:sz w:val="24"/>
          <w:szCs w:val="24"/>
          <w:lang w:val="en-US"/>
        </w:rPr>
        <w:t>Quais? Por quê?</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Além das questões referentes à qualidade da gasolina (questão anterior), sua empresa identifica alguma restrição na cadeia logística?</w:t>
      </w:r>
    </w:p>
    <w:p w:rsidR="0054139C" w:rsidRPr="00CE3398" w:rsidRDefault="0054139C" w:rsidP="0002519A">
      <w:pPr>
        <w:numPr>
          <w:ilvl w:val="0"/>
          <w:numId w:val="27"/>
        </w:numPr>
        <w:spacing w:after="120"/>
        <w:ind w:left="0" w:firstLine="0"/>
        <w:jc w:val="both"/>
        <w:rPr>
          <w:rFonts w:ascii="Times New Roman" w:hAnsi="Times New Roman"/>
          <w:sz w:val="24"/>
          <w:szCs w:val="24"/>
          <w:lang w:val="en-US"/>
        </w:rPr>
      </w:pPr>
      <w:r w:rsidRPr="00CE3398">
        <w:rPr>
          <w:rFonts w:ascii="Times New Roman" w:hAnsi="Times New Roman"/>
          <w:sz w:val="24"/>
          <w:szCs w:val="24"/>
        </w:rPr>
        <w:t xml:space="preserve">Há qualquer comentário adicional sobre o programa de aditivação total que gostaria de fazer? </w:t>
      </w:r>
      <w:r w:rsidRPr="00CE3398">
        <w:rPr>
          <w:rFonts w:ascii="Times New Roman" w:hAnsi="Times New Roman"/>
          <w:sz w:val="24"/>
          <w:szCs w:val="24"/>
          <w:lang w:val="en-US"/>
        </w:rPr>
        <w:t>Qual?</w:t>
      </w:r>
    </w:p>
    <w:p w:rsidR="0054139C" w:rsidRPr="00CE3398" w:rsidRDefault="0054139C" w:rsidP="0054139C">
      <w:pPr>
        <w:spacing w:after="120"/>
        <w:jc w:val="center"/>
        <w:rPr>
          <w:rFonts w:ascii="Times New Roman" w:hAnsi="Times New Roman"/>
          <w:sz w:val="24"/>
          <w:szCs w:val="24"/>
          <w:lang w:val="en-US"/>
        </w:rPr>
      </w:pPr>
      <w:r w:rsidRPr="00CE3398">
        <w:rPr>
          <w:rFonts w:ascii="Times New Roman" w:hAnsi="Times New Roman"/>
          <w:sz w:val="24"/>
          <w:szCs w:val="24"/>
          <w:lang w:val="en-US"/>
        </w:rPr>
        <w:t>(FORMULADORES)</w:t>
      </w:r>
    </w:p>
    <w:p w:rsidR="0054139C" w:rsidRPr="00CE3398" w:rsidRDefault="0054139C" w:rsidP="0054139C">
      <w:pPr>
        <w:spacing w:after="120"/>
        <w:jc w:val="both"/>
        <w:rPr>
          <w:rFonts w:ascii="Times New Roman" w:hAnsi="Times New Roman"/>
          <w:sz w:val="24"/>
          <w:szCs w:val="24"/>
        </w:rPr>
      </w:pPr>
      <w:r w:rsidRPr="00CE3398">
        <w:rPr>
          <w:rFonts w:ascii="Times New Roman" w:hAnsi="Times New Roman"/>
          <w:sz w:val="24"/>
          <w:szCs w:val="24"/>
        </w:rPr>
        <w:t>Obs.: As questões deste questionário consideram a hipótese de que a aditivação total da gasolina comercializada no país será de responsabilidade do produtor, do importador e do formulador.</w:t>
      </w:r>
    </w:p>
    <w:p w:rsidR="0054139C" w:rsidRPr="00CE3398" w:rsidRDefault="0054139C" w:rsidP="0054139C">
      <w:pPr>
        <w:spacing w:after="120"/>
        <w:jc w:val="both"/>
        <w:rPr>
          <w:rFonts w:ascii="Times New Roman" w:hAnsi="Times New Roman"/>
          <w:sz w:val="24"/>
          <w:szCs w:val="24"/>
        </w:rPr>
      </w:pP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Qual a projeção da sua empresa com relação ao fornecimento anual de gasolina A, discriminado por instalação, para o mercado interno nos anos de 2012 a 2015.</w:t>
      </w:r>
    </w:p>
    <w:p w:rsidR="0054139C" w:rsidRPr="00CE3398" w:rsidRDefault="0054139C" w:rsidP="0054139C">
      <w:pPr>
        <w:numPr>
          <w:ilvl w:val="0"/>
          <w:numId w:val="27"/>
        </w:numPr>
        <w:spacing w:after="120"/>
        <w:ind w:left="0" w:firstLine="0"/>
        <w:jc w:val="both"/>
        <w:rPr>
          <w:rFonts w:ascii="Times New Roman" w:hAnsi="Times New Roman"/>
          <w:sz w:val="24"/>
          <w:szCs w:val="24"/>
          <w:lang w:val="en-US"/>
        </w:rPr>
      </w:pPr>
      <w:r w:rsidRPr="00CE3398">
        <w:rPr>
          <w:rFonts w:ascii="Times New Roman" w:hAnsi="Times New Roman"/>
          <w:sz w:val="24"/>
          <w:szCs w:val="24"/>
        </w:rPr>
        <w:lastRenderedPageBreak/>
        <w:t xml:space="preserve">Sob a ótica da sua empresa, qual o melhor local para a aditivação total da gasolina (no produtor de gasolina; antes da entrada na base do distribuidor (ponto B); na base do distribuidor; ou durante o carregamento dos caminhões-tanque)? </w:t>
      </w:r>
      <w:r w:rsidRPr="00CE3398">
        <w:rPr>
          <w:rFonts w:ascii="Times New Roman" w:hAnsi="Times New Roman"/>
          <w:sz w:val="24"/>
          <w:szCs w:val="24"/>
          <w:lang w:val="en-US"/>
        </w:rPr>
        <w:t>Justifique.</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Quais investimentos seriam necessários para que sua empresa atenda a obrigatoriedade de adição de aditivos detergentes dispersantes em toda a gasolina A comercializada? Especifique cada item de investimento, o respectivo valor associado e o tempo estimado para finalização dos mesmos.</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Ainda com relação à questão anterior, quais seriam os custos adicionais previstos pela sua empresa? Especifique cada item de custo, o respectivo valor associado e o tempo estimado para adequação dos mesmos.</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Descreva a logística de escoamento da gasolina A a partir de cada instalação de sua empresa em que ocorre a formulação de gasolina A, destacando os diferentes modais, os respectivos volumes e pontos de transferência de titularidade da gasolina? Indique os pontos em que ocorreria a adição do aditivo em cada caso, bem como as respectivas dificuldades.</w:t>
      </w:r>
    </w:p>
    <w:p w:rsidR="0054139C" w:rsidRPr="00CE3398" w:rsidRDefault="0054139C" w:rsidP="0054139C">
      <w:pPr>
        <w:numPr>
          <w:ilvl w:val="0"/>
          <w:numId w:val="27"/>
        </w:numPr>
        <w:spacing w:after="120"/>
        <w:ind w:left="0" w:firstLine="0"/>
        <w:jc w:val="both"/>
        <w:rPr>
          <w:rFonts w:ascii="Times New Roman" w:hAnsi="Times New Roman"/>
          <w:sz w:val="24"/>
          <w:szCs w:val="24"/>
          <w:lang w:val="en-US"/>
        </w:rPr>
      </w:pPr>
      <w:r w:rsidRPr="00CE3398">
        <w:rPr>
          <w:rFonts w:ascii="Times New Roman" w:hAnsi="Times New Roman"/>
          <w:sz w:val="24"/>
          <w:szCs w:val="24"/>
        </w:rPr>
        <w:t xml:space="preserve">Sua empresa vislumbra possíveis problemas na especificação do produto final quando da adição do aditivo detergente dispersante no topo da cadeia de abastecimento? </w:t>
      </w:r>
      <w:r w:rsidRPr="00CE3398">
        <w:rPr>
          <w:rFonts w:ascii="Times New Roman" w:hAnsi="Times New Roman"/>
          <w:sz w:val="24"/>
          <w:szCs w:val="24"/>
          <w:lang w:val="en-US"/>
        </w:rPr>
        <w:t>Quais? Por quê?</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Além das questões referentes à qualidade da gasolina (questão anterior), sua empresa identifica alguma restrição na cadeia logística?</w:t>
      </w:r>
    </w:p>
    <w:p w:rsidR="0054139C" w:rsidRPr="00CE3398" w:rsidRDefault="0054139C" w:rsidP="0054139C">
      <w:pPr>
        <w:numPr>
          <w:ilvl w:val="0"/>
          <w:numId w:val="27"/>
        </w:numPr>
        <w:spacing w:after="120"/>
        <w:ind w:left="0" w:firstLine="0"/>
        <w:jc w:val="both"/>
        <w:rPr>
          <w:rFonts w:ascii="Times New Roman" w:hAnsi="Times New Roman"/>
          <w:sz w:val="24"/>
          <w:szCs w:val="24"/>
          <w:lang w:val="en-US"/>
        </w:rPr>
      </w:pPr>
      <w:r w:rsidRPr="00CE3398">
        <w:rPr>
          <w:rFonts w:ascii="Times New Roman" w:hAnsi="Times New Roman"/>
          <w:sz w:val="24"/>
          <w:szCs w:val="24"/>
        </w:rPr>
        <w:t xml:space="preserve">Há qualquer comentário adicional sobre o programa de aditivação total que gostaria de fazer? </w:t>
      </w:r>
      <w:r w:rsidRPr="00CE3398">
        <w:rPr>
          <w:rFonts w:ascii="Times New Roman" w:hAnsi="Times New Roman"/>
          <w:sz w:val="24"/>
          <w:szCs w:val="24"/>
          <w:lang w:val="en-US"/>
        </w:rPr>
        <w:t>Qual?</w:t>
      </w:r>
    </w:p>
    <w:p w:rsidR="0054139C" w:rsidRPr="00CE3398" w:rsidRDefault="00E67AFA" w:rsidP="0054139C">
      <w:pPr>
        <w:spacing w:after="120"/>
        <w:jc w:val="center"/>
        <w:rPr>
          <w:rFonts w:ascii="Times New Roman" w:hAnsi="Times New Roman"/>
          <w:sz w:val="24"/>
          <w:szCs w:val="24"/>
          <w:lang w:val="en-US"/>
        </w:rPr>
      </w:pPr>
      <w:r w:rsidRPr="00CE3398">
        <w:rPr>
          <w:rFonts w:ascii="Times New Roman" w:hAnsi="Times New Roman"/>
          <w:sz w:val="24"/>
          <w:szCs w:val="24"/>
          <w:lang w:val="en-US"/>
        </w:rPr>
        <w:t xml:space="preserve"> </w:t>
      </w:r>
      <w:r w:rsidR="0054139C" w:rsidRPr="00CE3398">
        <w:rPr>
          <w:rFonts w:ascii="Times New Roman" w:hAnsi="Times New Roman"/>
          <w:sz w:val="24"/>
          <w:szCs w:val="24"/>
          <w:lang w:val="en-US"/>
        </w:rPr>
        <w:t>(CENTRAIS PETROQUÍMICAS)</w:t>
      </w:r>
    </w:p>
    <w:p w:rsidR="0054139C" w:rsidRPr="00CE3398" w:rsidRDefault="0054139C" w:rsidP="0054139C">
      <w:pPr>
        <w:spacing w:after="120"/>
        <w:jc w:val="both"/>
        <w:rPr>
          <w:rFonts w:ascii="Times New Roman" w:hAnsi="Times New Roman"/>
          <w:sz w:val="24"/>
          <w:szCs w:val="24"/>
        </w:rPr>
      </w:pPr>
      <w:r w:rsidRPr="00CE3398">
        <w:rPr>
          <w:rFonts w:ascii="Times New Roman" w:hAnsi="Times New Roman"/>
          <w:sz w:val="24"/>
          <w:szCs w:val="24"/>
        </w:rPr>
        <w:t>Obs.: As questões deste questionário consideram a hipótese de que a aditivação total da gasolina comercializada no país será de responsabilidade do produtor, do importador e do formulador.</w:t>
      </w:r>
    </w:p>
    <w:p w:rsidR="0054139C" w:rsidRPr="00CE3398" w:rsidRDefault="0054139C" w:rsidP="0054139C">
      <w:pPr>
        <w:spacing w:after="120"/>
        <w:jc w:val="both"/>
        <w:rPr>
          <w:rFonts w:ascii="Times New Roman" w:hAnsi="Times New Roman"/>
          <w:sz w:val="24"/>
          <w:szCs w:val="24"/>
        </w:rPr>
      </w:pP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Qual a projeção da sua empresa com relação ao fornecimento anual de gasolina A, discriminado por unidade produtora, para o mercado interno nos anos de 2012 a 2015.</w:t>
      </w:r>
    </w:p>
    <w:p w:rsidR="0054139C" w:rsidRPr="00CE3398" w:rsidRDefault="0054139C" w:rsidP="0054139C">
      <w:pPr>
        <w:numPr>
          <w:ilvl w:val="0"/>
          <w:numId w:val="27"/>
        </w:numPr>
        <w:spacing w:after="120"/>
        <w:ind w:left="0" w:firstLine="0"/>
        <w:jc w:val="both"/>
        <w:rPr>
          <w:rFonts w:ascii="Times New Roman" w:hAnsi="Times New Roman"/>
          <w:sz w:val="24"/>
          <w:szCs w:val="24"/>
          <w:lang w:val="en-US"/>
        </w:rPr>
      </w:pPr>
      <w:r w:rsidRPr="00CE3398">
        <w:rPr>
          <w:rFonts w:ascii="Times New Roman" w:hAnsi="Times New Roman"/>
          <w:sz w:val="24"/>
          <w:szCs w:val="24"/>
        </w:rPr>
        <w:t xml:space="preserve">Sob a ótica da sua empresa, qual o melhor local para a aditivação total da gasolina (no produtor de gasolina; antes da entrada na base do distribuidor (ponto B); na base do distribuidor; ou durante o carregamento dos caminhões-tanque)? </w:t>
      </w:r>
      <w:r w:rsidRPr="00CE3398">
        <w:rPr>
          <w:rFonts w:ascii="Times New Roman" w:hAnsi="Times New Roman"/>
          <w:sz w:val="24"/>
          <w:szCs w:val="24"/>
          <w:lang w:val="en-US"/>
        </w:rPr>
        <w:t>Justifique.</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Quais investimentos seriam necessários para que sua empresa atenda a obrigatoriedade de adição de aditivos detergentes dispersantes em toda a gasolina A comercializada? Especifique cada item de investimento, o respectivo valor associado e o tempo estimado para finalização dos mesmos.</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Ainda com relação à questão anterior, quais seriam os custos adicionais previstos pela sua empresa? Especifique cada item de custo, o respectivo valor associado e o tempo estimado para adequação dos mesmos.</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Descreva a logística de escoamento da gasolina A a partir de cada unidade produtora de sua empresa, destacando os diferentes modais, os respectivos volumes e pontos de transferência de titularidade da gasolina? Indique os pontos em que ocorreria a adição do aditivo em cada caso, bem como as respectivas dificuldades.</w:t>
      </w:r>
    </w:p>
    <w:p w:rsidR="0054139C" w:rsidRPr="00CE3398" w:rsidRDefault="0054139C" w:rsidP="0054139C">
      <w:pPr>
        <w:numPr>
          <w:ilvl w:val="0"/>
          <w:numId w:val="27"/>
        </w:numPr>
        <w:spacing w:after="120"/>
        <w:ind w:left="0" w:firstLine="0"/>
        <w:jc w:val="both"/>
        <w:rPr>
          <w:rFonts w:ascii="Times New Roman" w:hAnsi="Times New Roman"/>
          <w:sz w:val="24"/>
          <w:szCs w:val="24"/>
          <w:lang w:val="en-US"/>
        </w:rPr>
      </w:pPr>
      <w:r w:rsidRPr="00CE3398">
        <w:rPr>
          <w:rFonts w:ascii="Times New Roman" w:hAnsi="Times New Roman"/>
          <w:sz w:val="24"/>
          <w:szCs w:val="24"/>
        </w:rPr>
        <w:lastRenderedPageBreak/>
        <w:t xml:space="preserve">Sua empresa vislumbra possíveis problemas na especificação do produto final quando da adição do aditivo detergente dispersante no topo da cadeia de abastecimento? </w:t>
      </w:r>
      <w:r w:rsidRPr="00CE3398">
        <w:rPr>
          <w:rFonts w:ascii="Times New Roman" w:hAnsi="Times New Roman"/>
          <w:sz w:val="24"/>
          <w:szCs w:val="24"/>
          <w:lang w:val="en-US"/>
        </w:rPr>
        <w:t>Quais? Por quê?</w:t>
      </w:r>
    </w:p>
    <w:p w:rsidR="0054139C" w:rsidRPr="00CE3398" w:rsidRDefault="0054139C" w:rsidP="0054139C">
      <w:pPr>
        <w:numPr>
          <w:ilvl w:val="0"/>
          <w:numId w:val="27"/>
        </w:numPr>
        <w:spacing w:after="120"/>
        <w:ind w:left="0" w:firstLine="0"/>
        <w:jc w:val="both"/>
        <w:rPr>
          <w:rFonts w:ascii="Times New Roman" w:hAnsi="Times New Roman"/>
          <w:sz w:val="24"/>
          <w:szCs w:val="24"/>
        </w:rPr>
      </w:pPr>
      <w:r w:rsidRPr="00CE3398">
        <w:rPr>
          <w:rFonts w:ascii="Times New Roman" w:hAnsi="Times New Roman"/>
          <w:sz w:val="24"/>
          <w:szCs w:val="24"/>
        </w:rPr>
        <w:t>Além das questões referentes à qualidade da gasolina (questão anterior), sua empresa identifica alguma restrição na cadeia logística?</w:t>
      </w:r>
    </w:p>
    <w:p w:rsidR="00E67AFA" w:rsidRPr="000826A3" w:rsidRDefault="0054139C">
      <w:pPr>
        <w:spacing w:after="0" w:line="240" w:lineRule="auto"/>
        <w:rPr>
          <w:rFonts w:ascii="Times New Roman" w:hAnsi="Times New Roman"/>
          <w:sz w:val="24"/>
          <w:szCs w:val="24"/>
        </w:rPr>
      </w:pPr>
      <w:r w:rsidRPr="00CE3398">
        <w:rPr>
          <w:rFonts w:ascii="Times New Roman" w:hAnsi="Times New Roman"/>
          <w:sz w:val="24"/>
          <w:szCs w:val="24"/>
        </w:rPr>
        <w:t xml:space="preserve">Há qualquer comentário adicional sobre o programa de aditivação total que gostaria de fazer? </w:t>
      </w:r>
      <w:r w:rsidRPr="000826A3">
        <w:rPr>
          <w:rFonts w:ascii="Times New Roman" w:hAnsi="Times New Roman"/>
          <w:sz w:val="24"/>
          <w:szCs w:val="24"/>
        </w:rPr>
        <w:t>Qual?</w:t>
      </w:r>
      <w:r w:rsidR="00E67AFA" w:rsidRPr="000826A3">
        <w:rPr>
          <w:rFonts w:ascii="Times New Roman" w:hAnsi="Times New Roman"/>
          <w:sz w:val="24"/>
          <w:szCs w:val="24"/>
        </w:rPr>
        <w:br w:type="page"/>
      </w:r>
    </w:p>
    <w:p w:rsidR="0002519A" w:rsidRPr="00CE3398" w:rsidRDefault="00BC459D" w:rsidP="009E699F">
      <w:pPr>
        <w:spacing w:after="120"/>
        <w:jc w:val="both"/>
        <w:rPr>
          <w:rFonts w:ascii="Times New Roman" w:hAnsi="Times New Roman"/>
          <w:b/>
          <w:sz w:val="24"/>
          <w:szCs w:val="24"/>
        </w:rPr>
      </w:pPr>
      <w:proofErr w:type="gramStart"/>
      <w:r w:rsidRPr="00CE3398">
        <w:rPr>
          <w:rFonts w:ascii="Times New Roman" w:hAnsi="Times New Roman"/>
          <w:b/>
          <w:sz w:val="24"/>
          <w:szCs w:val="24"/>
        </w:rPr>
        <w:lastRenderedPageBreak/>
        <w:t>ANEXO V - SEGUNDA</w:t>
      </w:r>
      <w:proofErr w:type="gramEnd"/>
      <w:r w:rsidRPr="00CE3398">
        <w:rPr>
          <w:rFonts w:ascii="Times New Roman" w:hAnsi="Times New Roman"/>
          <w:b/>
          <w:sz w:val="24"/>
          <w:szCs w:val="24"/>
        </w:rPr>
        <w:t xml:space="preserve"> CONSULTA ENCAMINHADA PELA ANP AOS PRODUTORES DE GASOLINA A</w:t>
      </w:r>
      <w:r w:rsidR="009A769F" w:rsidRPr="00CE3398">
        <w:rPr>
          <w:rFonts w:ascii="Times New Roman" w:hAnsi="Times New Roman"/>
          <w:b/>
          <w:sz w:val="24"/>
          <w:szCs w:val="24"/>
        </w:rPr>
        <w:t xml:space="preserve"> E DISTRIBUIDORES</w:t>
      </w:r>
    </w:p>
    <w:p w:rsidR="0002519A" w:rsidRPr="00CE3398" w:rsidRDefault="0002519A" w:rsidP="0002519A">
      <w:pPr>
        <w:pStyle w:val="Cabealho"/>
        <w:spacing w:after="120"/>
        <w:jc w:val="center"/>
        <w:rPr>
          <w:rFonts w:ascii="Times New Roman" w:hAnsi="Times New Roman"/>
          <w:sz w:val="24"/>
          <w:szCs w:val="24"/>
        </w:rPr>
      </w:pPr>
      <w:r w:rsidRPr="00CE3398">
        <w:rPr>
          <w:rFonts w:ascii="Times New Roman" w:hAnsi="Times New Roman"/>
          <w:sz w:val="24"/>
          <w:szCs w:val="24"/>
        </w:rPr>
        <w:t>Tabela de estimativas de custos</w:t>
      </w:r>
    </w:p>
    <w:tbl>
      <w:tblPr>
        <w:tblW w:w="5000" w:type="pct"/>
        <w:jc w:val="center"/>
        <w:tblCellMar>
          <w:left w:w="70" w:type="dxa"/>
          <w:right w:w="70" w:type="dxa"/>
        </w:tblCellMar>
        <w:tblLook w:val="04A0"/>
      </w:tblPr>
      <w:tblGrid>
        <w:gridCol w:w="285"/>
        <w:gridCol w:w="6439"/>
        <w:gridCol w:w="540"/>
        <w:gridCol w:w="540"/>
        <w:gridCol w:w="653"/>
        <w:gridCol w:w="1430"/>
      </w:tblGrid>
      <w:tr w:rsidR="0002519A" w:rsidRPr="005E2CA8" w:rsidTr="005E2CA8">
        <w:trPr>
          <w:trHeight w:val="315"/>
          <w:jc w:val="center"/>
        </w:trPr>
        <w:tc>
          <w:tcPr>
            <w:tcW w:w="144" w:type="pct"/>
            <w:tcBorders>
              <w:top w:val="single" w:sz="4" w:space="0" w:color="auto"/>
              <w:left w:val="single" w:sz="4" w:space="0" w:color="auto"/>
              <w:bottom w:val="single" w:sz="8" w:space="0" w:color="auto"/>
              <w:right w:val="nil"/>
            </w:tcBorders>
            <w:shd w:val="clear" w:color="000000" w:fill="F2F2F2"/>
          </w:tcPr>
          <w:p w:rsidR="0002519A" w:rsidRPr="005E2CA8" w:rsidRDefault="0002519A" w:rsidP="008863E7">
            <w:pPr>
              <w:spacing w:after="120"/>
              <w:jc w:val="center"/>
              <w:rPr>
                <w:rFonts w:ascii="Times New Roman" w:hAnsi="Times New Roman"/>
                <w:b/>
                <w:bCs/>
                <w:color w:val="000000"/>
                <w:sz w:val="20"/>
                <w:szCs w:val="20"/>
              </w:rPr>
            </w:pPr>
          </w:p>
        </w:tc>
        <w:tc>
          <w:tcPr>
            <w:tcW w:w="3257" w:type="pct"/>
            <w:tcBorders>
              <w:top w:val="single" w:sz="4" w:space="0" w:color="auto"/>
              <w:left w:val="nil"/>
              <w:bottom w:val="single" w:sz="8" w:space="0" w:color="auto"/>
              <w:right w:val="nil"/>
            </w:tcBorders>
            <w:shd w:val="clear" w:color="000000" w:fill="F2F2F2"/>
            <w:noWrap/>
            <w:vAlign w:val="center"/>
            <w:hideMark/>
          </w:tcPr>
          <w:p w:rsidR="0002519A" w:rsidRPr="005E2CA8" w:rsidRDefault="0002519A" w:rsidP="008863E7">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Categorias de custo</w:t>
            </w:r>
          </w:p>
        </w:tc>
        <w:tc>
          <w:tcPr>
            <w:tcW w:w="273" w:type="pct"/>
            <w:tcBorders>
              <w:top w:val="single" w:sz="4" w:space="0" w:color="auto"/>
              <w:left w:val="nil"/>
              <w:bottom w:val="single" w:sz="4" w:space="0" w:color="auto"/>
              <w:right w:val="nil"/>
            </w:tcBorders>
            <w:shd w:val="clear" w:color="000000" w:fill="F2F2F2"/>
            <w:noWrap/>
            <w:vAlign w:val="center"/>
            <w:hideMark/>
          </w:tcPr>
          <w:p w:rsidR="0002519A" w:rsidRPr="005E2CA8" w:rsidRDefault="0002519A" w:rsidP="008863E7">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2013</w:t>
            </w:r>
          </w:p>
        </w:tc>
        <w:tc>
          <w:tcPr>
            <w:tcW w:w="273" w:type="pct"/>
            <w:tcBorders>
              <w:top w:val="single" w:sz="4" w:space="0" w:color="auto"/>
              <w:left w:val="nil"/>
              <w:bottom w:val="single" w:sz="4" w:space="0" w:color="auto"/>
              <w:right w:val="nil"/>
            </w:tcBorders>
            <w:shd w:val="clear" w:color="000000" w:fill="F2F2F2"/>
            <w:noWrap/>
            <w:vAlign w:val="center"/>
            <w:hideMark/>
          </w:tcPr>
          <w:p w:rsidR="0002519A" w:rsidRPr="005E2CA8" w:rsidRDefault="0002519A" w:rsidP="008863E7">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2014</w:t>
            </w:r>
          </w:p>
        </w:tc>
        <w:tc>
          <w:tcPr>
            <w:tcW w:w="330" w:type="pct"/>
            <w:tcBorders>
              <w:top w:val="single" w:sz="4" w:space="0" w:color="auto"/>
              <w:left w:val="nil"/>
              <w:bottom w:val="single" w:sz="4" w:space="0" w:color="auto"/>
              <w:right w:val="nil"/>
            </w:tcBorders>
            <w:shd w:val="clear" w:color="000000" w:fill="F2F2F2"/>
            <w:noWrap/>
            <w:vAlign w:val="center"/>
            <w:hideMark/>
          </w:tcPr>
          <w:p w:rsidR="0002519A" w:rsidRPr="005E2CA8" w:rsidRDefault="0002519A" w:rsidP="008863E7">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2015</w:t>
            </w:r>
          </w:p>
        </w:tc>
        <w:tc>
          <w:tcPr>
            <w:tcW w:w="723" w:type="pct"/>
            <w:tcBorders>
              <w:top w:val="single" w:sz="4" w:space="0" w:color="auto"/>
              <w:left w:val="nil"/>
              <w:bottom w:val="single" w:sz="4" w:space="0" w:color="auto"/>
              <w:right w:val="single" w:sz="4" w:space="0" w:color="auto"/>
            </w:tcBorders>
            <w:shd w:val="clear" w:color="000000" w:fill="F2F2F2"/>
            <w:noWrap/>
            <w:vAlign w:val="center"/>
            <w:hideMark/>
          </w:tcPr>
          <w:p w:rsidR="0002519A" w:rsidRPr="005E2CA8" w:rsidRDefault="0002519A" w:rsidP="008863E7">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2016 em diante</w:t>
            </w:r>
          </w:p>
        </w:tc>
      </w:tr>
      <w:tr w:rsidR="0002519A" w:rsidRPr="005E2CA8" w:rsidTr="005E2CA8">
        <w:trPr>
          <w:trHeight w:val="491"/>
          <w:jc w:val="center"/>
        </w:trPr>
        <w:tc>
          <w:tcPr>
            <w:tcW w:w="144" w:type="pct"/>
            <w:tcBorders>
              <w:top w:val="single" w:sz="8" w:space="0" w:color="auto"/>
              <w:left w:val="single" w:sz="4" w:space="0" w:color="auto"/>
              <w:bottom w:val="single" w:sz="4" w:space="0" w:color="auto"/>
              <w:right w:val="single" w:sz="4" w:space="0" w:color="auto"/>
            </w:tcBorders>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A</w:t>
            </w:r>
          </w:p>
        </w:tc>
        <w:tc>
          <w:tcPr>
            <w:tcW w:w="3257" w:type="pct"/>
            <w:tcBorders>
              <w:top w:val="nil"/>
              <w:left w:val="single" w:sz="4" w:space="0" w:color="auto"/>
              <w:bottom w:val="single" w:sz="4" w:space="0" w:color="auto"/>
              <w:right w:val="nil"/>
            </w:tcBorders>
            <w:shd w:val="clear" w:color="auto" w:fill="auto"/>
            <w:vAlign w:val="center"/>
            <w:hideMark/>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 xml:space="preserve">Investimentos na adequação da Infraestrutura - obras civis, equipamentos, </w:t>
            </w:r>
            <w:r w:rsidR="00BC459D" w:rsidRPr="005E2CA8">
              <w:rPr>
                <w:rFonts w:ascii="Times New Roman" w:hAnsi="Times New Roman"/>
                <w:i/>
                <w:color w:val="000000"/>
                <w:sz w:val="20"/>
                <w:szCs w:val="20"/>
              </w:rPr>
              <w:t>softwares</w:t>
            </w:r>
            <w:r w:rsidRPr="005E2CA8">
              <w:rPr>
                <w:rFonts w:ascii="Times New Roman" w:hAnsi="Times New Roman"/>
                <w:color w:val="000000"/>
                <w:sz w:val="20"/>
                <w:szCs w:val="20"/>
              </w:rPr>
              <w:t xml:space="preserve"> e automação (inclusive despesas com projetos)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center"/>
              <w:rPr>
                <w:rFonts w:ascii="Times New Roman" w:hAnsi="Times New Roman"/>
                <w:color w:val="000000"/>
                <w:sz w:val="20"/>
                <w:szCs w:val="20"/>
              </w:rPr>
            </w:pPr>
          </w:p>
        </w:tc>
        <w:tc>
          <w:tcPr>
            <w:tcW w:w="723" w:type="pct"/>
            <w:tcBorders>
              <w:top w:val="single" w:sz="4" w:space="0" w:color="auto"/>
              <w:left w:val="single" w:sz="4" w:space="0" w:color="auto"/>
              <w:bottom w:val="single" w:sz="4" w:space="0" w:color="auto"/>
              <w:right w:val="single" w:sz="4" w:space="0" w:color="auto"/>
            </w:tcBorders>
            <w:shd w:val="clear" w:color="auto" w:fill="F2F2F2"/>
            <w:vAlign w:val="center"/>
          </w:tcPr>
          <w:p w:rsidR="0002519A" w:rsidRPr="005E2CA8" w:rsidRDefault="0002519A" w:rsidP="008863E7">
            <w:pPr>
              <w:spacing w:after="120"/>
              <w:jc w:val="center"/>
              <w:rPr>
                <w:rFonts w:ascii="Times New Roman" w:hAnsi="Times New Roman"/>
                <w:color w:val="000000"/>
                <w:sz w:val="20"/>
                <w:szCs w:val="20"/>
              </w:rPr>
            </w:pPr>
            <w:r w:rsidRPr="005E2CA8">
              <w:rPr>
                <w:rFonts w:ascii="Times New Roman" w:hAnsi="Times New Roman"/>
                <w:color w:val="000000"/>
                <w:sz w:val="20"/>
                <w:szCs w:val="20"/>
              </w:rPr>
              <w:t>Não se aplica</w:t>
            </w:r>
          </w:p>
        </w:tc>
      </w:tr>
      <w:tr w:rsidR="0002519A" w:rsidRPr="005E2CA8" w:rsidTr="005E2CA8">
        <w:trPr>
          <w:trHeight w:val="564"/>
          <w:jc w:val="center"/>
        </w:trPr>
        <w:tc>
          <w:tcPr>
            <w:tcW w:w="144" w:type="pct"/>
            <w:tcBorders>
              <w:top w:val="single" w:sz="4" w:space="0" w:color="auto"/>
              <w:left w:val="single" w:sz="4" w:space="0" w:color="auto"/>
              <w:bottom w:val="single" w:sz="4" w:space="0" w:color="auto"/>
              <w:right w:val="single" w:sz="4" w:space="0" w:color="auto"/>
            </w:tcBorders>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B</w:t>
            </w:r>
          </w:p>
        </w:tc>
        <w:tc>
          <w:tcPr>
            <w:tcW w:w="3257" w:type="pct"/>
            <w:tcBorders>
              <w:top w:val="nil"/>
              <w:left w:val="single" w:sz="4" w:space="0" w:color="auto"/>
              <w:bottom w:val="single" w:sz="4" w:space="0" w:color="auto"/>
              <w:right w:val="nil"/>
            </w:tcBorders>
            <w:shd w:val="clear" w:color="auto" w:fill="auto"/>
            <w:vAlign w:val="center"/>
            <w:hideMark/>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Despesas com licenças de operação, registros e demais custos administrativos temporários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center"/>
              <w:rPr>
                <w:rFonts w:ascii="Times New Roman" w:hAnsi="Times New Roman"/>
                <w:color w:val="000000"/>
                <w:sz w:val="20"/>
                <w:szCs w:val="20"/>
              </w:rPr>
            </w:pPr>
          </w:p>
        </w:tc>
        <w:tc>
          <w:tcPr>
            <w:tcW w:w="723" w:type="pct"/>
            <w:tcBorders>
              <w:top w:val="single" w:sz="4" w:space="0" w:color="auto"/>
              <w:left w:val="single" w:sz="4" w:space="0" w:color="auto"/>
              <w:bottom w:val="single" w:sz="4" w:space="0" w:color="auto"/>
              <w:right w:val="single" w:sz="4" w:space="0" w:color="auto"/>
            </w:tcBorders>
            <w:shd w:val="clear" w:color="auto" w:fill="F2F2F2"/>
            <w:vAlign w:val="center"/>
          </w:tcPr>
          <w:p w:rsidR="0002519A" w:rsidRPr="005E2CA8" w:rsidRDefault="0002519A" w:rsidP="008863E7">
            <w:pPr>
              <w:spacing w:after="120"/>
              <w:jc w:val="center"/>
              <w:rPr>
                <w:rFonts w:ascii="Times New Roman" w:hAnsi="Times New Roman"/>
                <w:color w:val="000000"/>
                <w:sz w:val="20"/>
                <w:szCs w:val="20"/>
              </w:rPr>
            </w:pPr>
            <w:r w:rsidRPr="005E2CA8">
              <w:rPr>
                <w:rFonts w:ascii="Times New Roman" w:hAnsi="Times New Roman"/>
                <w:color w:val="000000"/>
                <w:sz w:val="20"/>
                <w:szCs w:val="20"/>
              </w:rPr>
              <w:t>Não se aplica</w:t>
            </w:r>
          </w:p>
        </w:tc>
      </w:tr>
      <w:tr w:rsidR="0002519A" w:rsidRPr="005E2CA8" w:rsidTr="005E2CA8">
        <w:trPr>
          <w:trHeight w:val="300"/>
          <w:jc w:val="center"/>
        </w:trPr>
        <w:tc>
          <w:tcPr>
            <w:tcW w:w="144" w:type="pct"/>
            <w:tcBorders>
              <w:top w:val="single" w:sz="4" w:space="0" w:color="auto"/>
              <w:left w:val="single" w:sz="4" w:space="0" w:color="auto"/>
              <w:bottom w:val="single" w:sz="4" w:space="0" w:color="auto"/>
              <w:right w:val="single" w:sz="4" w:space="0" w:color="auto"/>
            </w:tcBorders>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C</w:t>
            </w:r>
          </w:p>
        </w:tc>
        <w:tc>
          <w:tcPr>
            <w:tcW w:w="3257" w:type="pct"/>
            <w:tcBorders>
              <w:top w:val="nil"/>
              <w:left w:val="single" w:sz="4" w:space="0" w:color="auto"/>
              <w:bottom w:val="single" w:sz="4" w:space="0" w:color="auto"/>
              <w:right w:val="nil"/>
            </w:tcBorders>
            <w:shd w:val="clear" w:color="auto" w:fill="auto"/>
            <w:vAlign w:val="center"/>
            <w:hideMark/>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Compra do aditivo</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center"/>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center"/>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r>
      <w:tr w:rsidR="0002519A" w:rsidRPr="005E2CA8" w:rsidTr="005E2CA8">
        <w:trPr>
          <w:trHeight w:val="571"/>
          <w:jc w:val="center"/>
        </w:trPr>
        <w:tc>
          <w:tcPr>
            <w:tcW w:w="144" w:type="pct"/>
            <w:tcBorders>
              <w:top w:val="single" w:sz="4" w:space="0" w:color="auto"/>
              <w:left w:val="single" w:sz="4" w:space="0" w:color="auto"/>
              <w:bottom w:val="single" w:sz="4" w:space="0" w:color="auto"/>
              <w:right w:val="single" w:sz="4" w:space="0" w:color="auto"/>
            </w:tcBorders>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D</w:t>
            </w:r>
          </w:p>
        </w:tc>
        <w:tc>
          <w:tcPr>
            <w:tcW w:w="3257" w:type="pct"/>
            <w:tcBorders>
              <w:top w:val="nil"/>
              <w:left w:val="single" w:sz="4" w:space="0" w:color="auto"/>
              <w:bottom w:val="single" w:sz="4" w:space="0" w:color="auto"/>
              <w:right w:val="nil"/>
            </w:tcBorders>
            <w:shd w:val="clear" w:color="auto" w:fill="auto"/>
            <w:vAlign w:val="center"/>
            <w:hideMark/>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Pessoal (salários e encargos anuais de novas contratações da área de operações, administrativo, etc.)</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r>
      <w:tr w:rsidR="0002519A" w:rsidRPr="005E2CA8" w:rsidTr="005E2CA8">
        <w:trPr>
          <w:trHeight w:val="359"/>
          <w:jc w:val="center"/>
        </w:trPr>
        <w:tc>
          <w:tcPr>
            <w:tcW w:w="144" w:type="pct"/>
            <w:tcBorders>
              <w:top w:val="single" w:sz="4" w:space="0" w:color="auto"/>
              <w:left w:val="single" w:sz="4" w:space="0" w:color="auto"/>
              <w:bottom w:val="single" w:sz="4" w:space="0" w:color="auto"/>
              <w:right w:val="single" w:sz="4" w:space="0" w:color="auto"/>
            </w:tcBorders>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E</w:t>
            </w:r>
          </w:p>
        </w:tc>
        <w:tc>
          <w:tcPr>
            <w:tcW w:w="3257" w:type="pct"/>
            <w:tcBorders>
              <w:top w:val="nil"/>
              <w:left w:val="single" w:sz="4" w:space="0" w:color="auto"/>
              <w:bottom w:val="single" w:sz="4" w:space="0" w:color="auto"/>
              <w:right w:val="nil"/>
            </w:tcBorders>
            <w:shd w:val="clear" w:color="auto" w:fill="auto"/>
            <w:vAlign w:val="center"/>
            <w:hideMark/>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Demais gastos com transporte, armazenamento, manutenção e operação</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r>
      <w:tr w:rsidR="0002519A" w:rsidRPr="005E2CA8" w:rsidTr="005E2CA8">
        <w:trPr>
          <w:trHeight w:val="300"/>
          <w:jc w:val="center"/>
        </w:trPr>
        <w:tc>
          <w:tcPr>
            <w:tcW w:w="144" w:type="pct"/>
            <w:tcBorders>
              <w:top w:val="single" w:sz="4" w:space="0" w:color="auto"/>
              <w:left w:val="single" w:sz="4" w:space="0" w:color="auto"/>
              <w:bottom w:val="single" w:sz="4" w:space="0" w:color="auto"/>
              <w:right w:val="single" w:sz="4" w:space="0" w:color="auto"/>
            </w:tcBorders>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F</w:t>
            </w:r>
          </w:p>
        </w:tc>
        <w:tc>
          <w:tcPr>
            <w:tcW w:w="3257" w:type="pct"/>
            <w:tcBorders>
              <w:top w:val="nil"/>
              <w:left w:val="single" w:sz="4" w:space="0" w:color="auto"/>
              <w:bottom w:val="single" w:sz="4" w:space="0" w:color="auto"/>
              <w:right w:val="nil"/>
            </w:tcBorders>
            <w:shd w:val="clear" w:color="auto" w:fill="auto"/>
            <w:vAlign w:val="center"/>
            <w:hideMark/>
          </w:tcPr>
          <w:p w:rsidR="0002519A" w:rsidRPr="005E2CA8" w:rsidRDefault="0002519A" w:rsidP="008863E7">
            <w:pPr>
              <w:spacing w:after="120"/>
              <w:jc w:val="both"/>
              <w:rPr>
                <w:rFonts w:ascii="Times New Roman" w:hAnsi="Times New Roman"/>
                <w:color w:val="000000"/>
                <w:sz w:val="20"/>
                <w:szCs w:val="20"/>
              </w:rPr>
            </w:pPr>
            <w:r w:rsidRPr="005E2CA8">
              <w:rPr>
                <w:rFonts w:ascii="Times New Roman" w:hAnsi="Times New Roman"/>
                <w:color w:val="000000"/>
                <w:sz w:val="20"/>
                <w:szCs w:val="20"/>
              </w:rPr>
              <w:t>Outros (especificar)</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19A" w:rsidRPr="005E2CA8" w:rsidRDefault="0002519A" w:rsidP="008863E7">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r>
      <w:tr w:rsidR="0002519A" w:rsidRPr="005E2CA8" w:rsidTr="005E2CA8">
        <w:trPr>
          <w:trHeight w:val="300"/>
          <w:jc w:val="center"/>
        </w:trPr>
        <w:tc>
          <w:tcPr>
            <w:tcW w:w="3401" w:type="pct"/>
            <w:gridSpan w:val="2"/>
            <w:tcBorders>
              <w:top w:val="nil"/>
              <w:left w:val="single" w:sz="4" w:space="0" w:color="auto"/>
              <w:bottom w:val="single" w:sz="4" w:space="0" w:color="auto"/>
              <w:right w:val="nil"/>
            </w:tcBorders>
            <w:shd w:val="clear" w:color="000000" w:fill="F2F2F2"/>
            <w:vAlign w:val="center"/>
          </w:tcPr>
          <w:p w:rsidR="0002519A" w:rsidRPr="005E2CA8" w:rsidRDefault="0002519A" w:rsidP="008863E7">
            <w:pPr>
              <w:spacing w:after="120"/>
              <w:rPr>
                <w:rFonts w:ascii="Times New Roman" w:hAnsi="Times New Roman"/>
                <w:b/>
                <w:bCs/>
                <w:color w:val="000000"/>
                <w:sz w:val="20"/>
                <w:szCs w:val="20"/>
              </w:rPr>
            </w:pPr>
            <w:r w:rsidRPr="005E2CA8">
              <w:rPr>
                <w:rFonts w:ascii="Times New Roman" w:hAnsi="Times New Roman"/>
                <w:b/>
                <w:bCs/>
                <w:color w:val="000000"/>
                <w:sz w:val="20"/>
                <w:szCs w:val="20"/>
              </w:rPr>
              <w:t>Total</w:t>
            </w:r>
          </w:p>
        </w:tc>
        <w:tc>
          <w:tcPr>
            <w:tcW w:w="27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2519A" w:rsidRPr="005E2CA8" w:rsidRDefault="0002519A" w:rsidP="008863E7">
            <w:pPr>
              <w:spacing w:after="120"/>
              <w:rPr>
                <w:rFonts w:ascii="Times New Roman" w:hAnsi="Times New Roman"/>
                <w:b/>
                <w:bCs/>
                <w:color w:val="000000"/>
                <w:sz w:val="20"/>
                <w:szCs w:val="20"/>
              </w:rPr>
            </w:pPr>
            <w:r w:rsidRPr="005E2CA8">
              <w:rPr>
                <w:rFonts w:ascii="Times New Roman" w:hAnsi="Times New Roman"/>
                <w:b/>
                <w:bCs/>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2519A" w:rsidRPr="005E2CA8" w:rsidRDefault="0002519A" w:rsidP="008863E7">
            <w:pPr>
              <w:spacing w:after="120"/>
              <w:rPr>
                <w:rFonts w:ascii="Times New Roman" w:hAnsi="Times New Roman"/>
                <w:b/>
                <w:bCs/>
                <w:color w:val="000000"/>
                <w:sz w:val="20"/>
                <w:szCs w:val="20"/>
              </w:rPr>
            </w:pPr>
            <w:r w:rsidRPr="005E2CA8">
              <w:rPr>
                <w:rFonts w:ascii="Times New Roman" w:hAnsi="Times New Roman"/>
                <w:b/>
                <w:bCs/>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2519A" w:rsidRPr="005E2CA8" w:rsidRDefault="0002519A" w:rsidP="008863E7">
            <w:pPr>
              <w:spacing w:after="120"/>
              <w:rPr>
                <w:rFonts w:ascii="Times New Roman" w:hAnsi="Times New Roman"/>
                <w:b/>
                <w:bCs/>
                <w:color w:val="000000"/>
                <w:sz w:val="20"/>
                <w:szCs w:val="20"/>
              </w:rPr>
            </w:pPr>
            <w:r w:rsidRPr="005E2CA8">
              <w:rPr>
                <w:rFonts w:ascii="Times New Roman" w:hAnsi="Times New Roman"/>
                <w:b/>
                <w:bCs/>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2519A" w:rsidRPr="005E2CA8" w:rsidRDefault="0002519A" w:rsidP="008863E7">
            <w:pPr>
              <w:spacing w:after="120"/>
              <w:rPr>
                <w:rFonts w:ascii="Times New Roman" w:hAnsi="Times New Roman"/>
                <w:b/>
                <w:bCs/>
                <w:color w:val="000000"/>
                <w:sz w:val="20"/>
                <w:szCs w:val="20"/>
              </w:rPr>
            </w:pPr>
            <w:r w:rsidRPr="005E2CA8">
              <w:rPr>
                <w:rFonts w:ascii="Times New Roman" w:hAnsi="Times New Roman"/>
                <w:b/>
                <w:bCs/>
                <w:color w:val="000000"/>
                <w:sz w:val="20"/>
                <w:szCs w:val="20"/>
              </w:rPr>
              <w:t> </w:t>
            </w:r>
          </w:p>
        </w:tc>
      </w:tr>
    </w:tbl>
    <w:p w:rsidR="0002519A" w:rsidRPr="005E2CA8" w:rsidRDefault="0002519A" w:rsidP="0002519A">
      <w:pPr>
        <w:pStyle w:val="Cabealho"/>
        <w:spacing w:after="120"/>
        <w:rPr>
          <w:rFonts w:ascii="Times New Roman" w:hAnsi="Times New Roman"/>
          <w:sz w:val="20"/>
          <w:szCs w:val="20"/>
        </w:rPr>
      </w:pPr>
      <w:r w:rsidRPr="005E2CA8">
        <w:rPr>
          <w:rFonts w:ascii="Times New Roman" w:hAnsi="Times New Roman"/>
          <w:sz w:val="20"/>
          <w:szCs w:val="20"/>
        </w:rPr>
        <w:t>Observações:</w:t>
      </w:r>
    </w:p>
    <w:p w:rsidR="00BC459D" w:rsidRPr="005E2CA8" w:rsidRDefault="0002519A" w:rsidP="00BC459D">
      <w:pPr>
        <w:pStyle w:val="Cabealho"/>
        <w:numPr>
          <w:ilvl w:val="0"/>
          <w:numId w:val="22"/>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O presente pedido de informação considera o cenário no qual o produtor de gasolina A é o responsável pela adição do aditivo à gasolina.</w:t>
      </w:r>
    </w:p>
    <w:p w:rsidR="00BC459D" w:rsidRPr="005E2CA8" w:rsidRDefault="0002519A" w:rsidP="00BC459D">
      <w:pPr>
        <w:pStyle w:val="Cabealho"/>
        <w:numPr>
          <w:ilvl w:val="0"/>
          <w:numId w:val="22"/>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Os valores referem-se aos custos nacionais da empresa/conglomerado, incluindo todas as plantas produtivas, unidades regionais e/ou empresas subsidiárias/controladas.</w:t>
      </w:r>
    </w:p>
    <w:p w:rsidR="00BC459D" w:rsidRPr="005E2CA8" w:rsidRDefault="0002519A" w:rsidP="00BC459D">
      <w:pPr>
        <w:pStyle w:val="Cabealho"/>
        <w:numPr>
          <w:ilvl w:val="0"/>
          <w:numId w:val="22"/>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Informar somente as estimativas correspondentes à diferença entre os gastos totais que a empresa teria com o atendimento integral à Resolução e os gastos totais que empresa teria se a Resolução não existisse.</w:t>
      </w:r>
    </w:p>
    <w:p w:rsidR="00BC459D" w:rsidRPr="005E2CA8" w:rsidRDefault="0002519A" w:rsidP="00BC459D">
      <w:pPr>
        <w:pStyle w:val="Cabealho"/>
        <w:numPr>
          <w:ilvl w:val="0"/>
          <w:numId w:val="22"/>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Desconsiderar eventuais custos com publicidade, comunicação e marketing.</w:t>
      </w:r>
    </w:p>
    <w:p w:rsidR="00BC459D" w:rsidRPr="005E2CA8" w:rsidRDefault="0002519A" w:rsidP="00BC459D">
      <w:pPr>
        <w:pStyle w:val="Cabealho"/>
        <w:numPr>
          <w:ilvl w:val="0"/>
          <w:numId w:val="22"/>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Pede-se que os valores sejam informados em unidades de real (R$ 1,00).</w:t>
      </w:r>
    </w:p>
    <w:p w:rsidR="00BC459D" w:rsidRPr="005E2CA8" w:rsidRDefault="0002519A" w:rsidP="00BC459D">
      <w:pPr>
        <w:pStyle w:val="Cabealho"/>
        <w:numPr>
          <w:ilvl w:val="0"/>
          <w:numId w:val="22"/>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As categorias A e B representam custos temporários, correspondentes aos investimentos para adaptação à nova resolução, e por isso não poderiam ocorrer a partir de 2016.</w:t>
      </w:r>
    </w:p>
    <w:p w:rsidR="0054139C" w:rsidRPr="00CE3398" w:rsidRDefault="0054139C" w:rsidP="0054139C">
      <w:pPr>
        <w:pStyle w:val="Cabealho"/>
        <w:spacing w:after="120"/>
        <w:jc w:val="center"/>
        <w:rPr>
          <w:rFonts w:ascii="Times New Roman" w:hAnsi="Times New Roman"/>
          <w:sz w:val="24"/>
          <w:szCs w:val="24"/>
        </w:rPr>
      </w:pPr>
      <w:r w:rsidRPr="00CE3398">
        <w:rPr>
          <w:rFonts w:ascii="Times New Roman" w:hAnsi="Times New Roman"/>
          <w:sz w:val="24"/>
          <w:szCs w:val="24"/>
        </w:rPr>
        <w:t>Tabela de estimativas de custos</w:t>
      </w:r>
    </w:p>
    <w:tbl>
      <w:tblPr>
        <w:tblW w:w="5000" w:type="pct"/>
        <w:jc w:val="center"/>
        <w:tblCellMar>
          <w:left w:w="70" w:type="dxa"/>
          <w:right w:w="70" w:type="dxa"/>
        </w:tblCellMar>
        <w:tblLook w:val="04A0"/>
      </w:tblPr>
      <w:tblGrid>
        <w:gridCol w:w="285"/>
        <w:gridCol w:w="6439"/>
        <w:gridCol w:w="540"/>
        <w:gridCol w:w="540"/>
        <w:gridCol w:w="653"/>
        <w:gridCol w:w="1430"/>
      </w:tblGrid>
      <w:tr w:rsidR="0054139C" w:rsidRPr="005E2CA8" w:rsidTr="00E67AFA">
        <w:trPr>
          <w:trHeight w:val="315"/>
          <w:jc w:val="center"/>
        </w:trPr>
        <w:tc>
          <w:tcPr>
            <w:tcW w:w="144" w:type="pct"/>
            <w:tcBorders>
              <w:top w:val="single" w:sz="4" w:space="0" w:color="auto"/>
              <w:left w:val="single" w:sz="4" w:space="0" w:color="auto"/>
              <w:bottom w:val="single" w:sz="8" w:space="0" w:color="auto"/>
              <w:right w:val="nil"/>
            </w:tcBorders>
            <w:shd w:val="clear" w:color="000000" w:fill="F2F2F2"/>
          </w:tcPr>
          <w:p w:rsidR="0054139C" w:rsidRPr="005E2CA8" w:rsidRDefault="0054139C" w:rsidP="004D6E6C">
            <w:pPr>
              <w:spacing w:after="120"/>
              <w:jc w:val="center"/>
              <w:rPr>
                <w:rFonts w:ascii="Times New Roman" w:hAnsi="Times New Roman"/>
                <w:b/>
                <w:bCs/>
                <w:color w:val="000000"/>
                <w:sz w:val="20"/>
                <w:szCs w:val="20"/>
              </w:rPr>
            </w:pPr>
          </w:p>
        </w:tc>
        <w:tc>
          <w:tcPr>
            <w:tcW w:w="3257" w:type="pct"/>
            <w:tcBorders>
              <w:top w:val="single" w:sz="4" w:space="0" w:color="auto"/>
              <w:left w:val="nil"/>
              <w:bottom w:val="single" w:sz="8" w:space="0" w:color="auto"/>
              <w:right w:val="nil"/>
            </w:tcBorders>
            <w:shd w:val="clear" w:color="000000" w:fill="F2F2F2"/>
            <w:noWrap/>
            <w:vAlign w:val="center"/>
            <w:hideMark/>
          </w:tcPr>
          <w:p w:rsidR="0054139C" w:rsidRPr="005E2CA8" w:rsidRDefault="0054139C" w:rsidP="004D6E6C">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Categorias de custo</w:t>
            </w:r>
          </w:p>
        </w:tc>
        <w:tc>
          <w:tcPr>
            <w:tcW w:w="273" w:type="pct"/>
            <w:tcBorders>
              <w:top w:val="single" w:sz="4" w:space="0" w:color="auto"/>
              <w:left w:val="nil"/>
              <w:bottom w:val="single" w:sz="4" w:space="0" w:color="auto"/>
              <w:right w:val="nil"/>
            </w:tcBorders>
            <w:shd w:val="clear" w:color="000000" w:fill="F2F2F2"/>
            <w:noWrap/>
            <w:vAlign w:val="center"/>
            <w:hideMark/>
          </w:tcPr>
          <w:p w:rsidR="0054139C" w:rsidRPr="005E2CA8" w:rsidRDefault="0054139C" w:rsidP="004D6E6C">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2013</w:t>
            </w:r>
          </w:p>
        </w:tc>
        <w:tc>
          <w:tcPr>
            <w:tcW w:w="273" w:type="pct"/>
            <w:tcBorders>
              <w:top w:val="single" w:sz="4" w:space="0" w:color="auto"/>
              <w:left w:val="nil"/>
              <w:bottom w:val="single" w:sz="4" w:space="0" w:color="auto"/>
              <w:right w:val="nil"/>
            </w:tcBorders>
            <w:shd w:val="clear" w:color="000000" w:fill="F2F2F2"/>
            <w:noWrap/>
            <w:vAlign w:val="center"/>
            <w:hideMark/>
          </w:tcPr>
          <w:p w:rsidR="0054139C" w:rsidRPr="005E2CA8" w:rsidRDefault="0054139C" w:rsidP="004D6E6C">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2014</w:t>
            </w:r>
          </w:p>
        </w:tc>
        <w:tc>
          <w:tcPr>
            <w:tcW w:w="330" w:type="pct"/>
            <w:tcBorders>
              <w:top w:val="single" w:sz="4" w:space="0" w:color="auto"/>
              <w:left w:val="nil"/>
              <w:bottom w:val="single" w:sz="4" w:space="0" w:color="auto"/>
              <w:right w:val="nil"/>
            </w:tcBorders>
            <w:shd w:val="clear" w:color="000000" w:fill="F2F2F2"/>
            <w:noWrap/>
            <w:vAlign w:val="center"/>
            <w:hideMark/>
          </w:tcPr>
          <w:p w:rsidR="0054139C" w:rsidRPr="005E2CA8" w:rsidRDefault="0054139C" w:rsidP="004D6E6C">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2015</w:t>
            </w:r>
          </w:p>
        </w:tc>
        <w:tc>
          <w:tcPr>
            <w:tcW w:w="723" w:type="pct"/>
            <w:tcBorders>
              <w:top w:val="single" w:sz="4" w:space="0" w:color="auto"/>
              <w:left w:val="nil"/>
              <w:bottom w:val="single" w:sz="4" w:space="0" w:color="auto"/>
              <w:right w:val="single" w:sz="4" w:space="0" w:color="auto"/>
            </w:tcBorders>
            <w:shd w:val="clear" w:color="000000" w:fill="F2F2F2"/>
            <w:noWrap/>
            <w:vAlign w:val="center"/>
            <w:hideMark/>
          </w:tcPr>
          <w:p w:rsidR="0054139C" w:rsidRPr="005E2CA8" w:rsidRDefault="0054139C" w:rsidP="004D6E6C">
            <w:pPr>
              <w:spacing w:after="120"/>
              <w:jc w:val="center"/>
              <w:rPr>
                <w:rFonts w:ascii="Times New Roman" w:hAnsi="Times New Roman"/>
                <w:b/>
                <w:bCs/>
                <w:color w:val="000000"/>
                <w:sz w:val="20"/>
                <w:szCs w:val="20"/>
              </w:rPr>
            </w:pPr>
            <w:r w:rsidRPr="005E2CA8">
              <w:rPr>
                <w:rFonts w:ascii="Times New Roman" w:hAnsi="Times New Roman"/>
                <w:b/>
                <w:bCs/>
                <w:color w:val="000000"/>
                <w:sz w:val="20"/>
                <w:szCs w:val="20"/>
              </w:rPr>
              <w:t>2016 em diante</w:t>
            </w:r>
          </w:p>
        </w:tc>
      </w:tr>
      <w:tr w:rsidR="0054139C" w:rsidRPr="005E2CA8" w:rsidTr="00E67AFA">
        <w:trPr>
          <w:trHeight w:val="491"/>
          <w:jc w:val="center"/>
        </w:trPr>
        <w:tc>
          <w:tcPr>
            <w:tcW w:w="144" w:type="pct"/>
            <w:tcBorders>
              <w:top w:val="single" w:sz="8" w:space="0" w:color="auto"/>
              <w:left w:val="single" w:sz="4" w:space="0" w:color="auto"/>
              <w:bottom w:val="single" w:sz="4" w:space="0" w:color="auto"/>
              <w:right w:val="single" w:sz="4" w:space="0" w:color="auto"/>
            </w:tcBorders>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A</w:t>
            </w:r>
          </w:p>
        </w:tc>
        <w:tc>
          <w:tcPr>
            <w:tcW w:w="3257" w:type="pct"/>
            <w:tcBorders>
              <w:top w:val="nil"/>
              <w:left w:val="single" w:sz="4" w:space="0" w:color="auto"/>
              <w:bottom w:val="single" w:sz="4" w:space="0" w:color="auto"/>
              <w:right w:val="nil"/>
            </w:tcBorders>
            <w:shd w:val="clear" w:color="auto" w:fill="auto"/>
            <w:vAlign w:val="center"/>
            <w:hideMark/>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 xml:space="preserve">Investimentos na adequação da Infraestrutura - obras civis, equipamentos, </w:t>
            </w:r>
            <w:r w:rsidRPr="005E2CA8">
              <w:rPr>
                <w:rFonts w:ascii="Times New Roman" w:hAnsi="Times New Roman"/>
                <w:i/>
                <w:color w:val="000000"/>
                <w:sz w:val="20"/>
                <w:szCs w:val="20"/>
              </w:rPr>
              <w:t>softwares</w:t>
            </w:r>
            <w:r w:rsidRPr="005E2CA8">
              <w:rPr>
                <w:rFonts w:ascii="Times New Roman" w:hAnsi="Times New Roman"/>
                <w:color w:val="000000"/>
                <w:sz w:val="20"/>
                <w:szCs w:val="20"/>
              </w:rPr>
              <w:t xml:space="preserve"> e automação (inclusive despesas com projetos)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center"/>
              <w:rPr>
                <w:rFonts w:ascii="Times New Roman" w:hAnsi="Times New Roman"/>
                <w:color w:val="000000"/>
                <w:sz w:val="20"/>
                <w:szCs w:val="20"/>
              </w:rPr>
            </w:pPr>
          </w:p>
        </w:tc>
        <w:tc>
          <w:tcPr>
            <w:tcW w:w="723" w:type="pct"/>
            <w:tcBorders>
              <w:top w:val="single" w:sz="4" w:space="0" w:color="auto"/>
              <w:left w:val="single" w:sz="4" w:space="0" w:color="auto"/>
              <w:bottom w:val="single" w:sz="4" w:space="0" w:color="auto"/>
              <w:right w:val="single" w:sz="4" w:space="0" w:color="auto"/>
            </w:tcBorders>
            <w:shd w:val="clear" w:color="auto" w:fill="F2F2F2"/>
            <w:vAlign w:val="center"/>
          </w:tcPr>
          <w:p w:rsidR="0054139C" w:rsidRPr="005E2CA8" w:rsidRDefault="0054139C" w:rsidP="004D6E6C">
            <w:pPr>
              <w:spacing w:after="120"/>
              <w:jc w:val="center"/>
              <w:rPr>
                <w:rFonts w:ascii="Times New Roman" w:hAnsi="Times New Roman"/>
                <w:color w:val="000000"/>
                <w:sz w:val="20"/>
                <w:szCs w:val="20"/>
              </w:rPr>
            </w:pPr>
            <w:r w:rsidRPr="005E2CA8">
              <w:rPr>
                <w:rFonts w:ascii="Times New Roman" w:hAnsi="Times New Roman"/>
                <w:color w:val="000000"/>
                <w:sz w:val="20"/>
                <w:szCs w:val="20"/>
              </w:rPr>
              <w:t>Não se aplica</w:t>
            </w:r>
          </w:p>
        </w:tc>
      </w:tr>
      <w:tr w:rsidR="0054139C" w:rsidRPr="005E2CA8" w:rsidTr="00E67AFA">
        <w:trPr>
          <w:trHeight w:val="564"/>
          <w:jc w:val="center"/>
        </w:trPr>
        <w:tc>
          <w:tcPr>
            <w:tcW w:w="144" w:type="pct"/>
            <w:tcBorders>
              <w:top w:val="single" w:sz="4" w:space="0" w:color="auto"/>
              <w:left w:val="single" w:sz="4" w:space="0" w:color="auto"/>
              <w:bottom w:val="single" w:sz="4" w:space="0" w:color="auto"/>
              <w:right w:val="single" w:sz="4" w:space="0" w:color="auto"/>
            </w:tcBorders>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B</w:t>
            </w:r>
          </w:p>
        </w:tc>
        <w:tc>
          <w:tcPr>
            <w:tcW w:w="3257" w:type="pct"/>
            <w:tcBorders>
              <w:top w:val="nil"/>
              <w:left w:val="single" w:sz="4" w:space="0" w:color="auto"/>
              <w:bottom w:val="single" w:sz="4" w:space="0" w:color="auto"/>
              <w:right w:val="nil"/>
            </w:tcBorders>
            <w:shd w:val="clear" w:color="auto" w:fill="auto"/>
            <w:vAlign w:val="center"/>
            <w:hideMark/>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Despesas com licenças de operação, registros e demais custos administrativos temporários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center"/>
              <w:rPr>
                <w:rFonts w:ascii="Times New Roman" w:hAnsi="Times New Roman"/>
                <w:color w:val="000000"/>
                <w:sz w:val="20"/>
                <w:szCs w:val="20"/>
              </w:rPr>
            </w:pPr>
          </w:p>
        </w:tc>
        <w:tc>
          <w:tcPr>
            <w:tcW w:w="723" w:type="pct"/>
            <w:tcBorders>
              <w:top w:val="single" w:sz="4" w:space="0" w:color="auto"/>
              <w:left w:val="single" w:sz="4" w:space="0" w:color="auto"/>
              <w:bottom w:val="single" w:sz="4" w:space="0" w:color="auto"/>
              <w:right w:val="single" w:sz="4" w:space="0" w:color="auto"/>
            </w:tcBorders>
            <w:shd w:val="clear" w:color="auto" w:fill="F2F2F2"/>
            <w:vAlign w:val="center"/>
          </w:tcPr>
          <w:p w:rsidR="0054139C" w:rsidRPr="005E2CA8" w:rsidRDefault="0054139C" w:rsidP="004D6E6C">
            <w:pPr>
              <w:spacing w:after="120"/>
              <w:jc w:val="center"/>
              <w:rPr>
                <w:rFonts w:ascii="Times New Roman" w:hAnsi="Times New Roman"/>
                <w:color w:val="000000"/>
                <w:sz w:val="20"/>
                <w:szCs w:val="20"/>
              </w:rPr>
            </w:pPr>
            <w:r w:rsidRPr="005E2CA8">
              <w:rPr>
                <w:rFonts w:ascii="Times New Roman" w:hAnsi="Times New Roman"/>
                <w:color w:val="000000"/>
                <w:sz w:val="20"/>
                <w:szCs w:val="20"/>
              </w:rPr>
              <w:t>Não se aplica</w:t>
            </w:r>
          </w:p>
        </w:tc>
      </w:tr>
      <w:tr w:rsidR="0054139C" w:rsidRPr="005E2CA8" w:rsidTr="00E67AFA">
        <w:trPr>
          <w:trHeight w:val="300"/>
          <w:jc w:val="center"/>
        </w:trPr>
        <w:tc>
          <w:tcPr>
            <w:tcW w:w="144" w:type="pct"/>
            <w:tcBorders>
              <w:top w:val="single" w:sz="4" w:space="0" w:color="auto"/>
              <w:left w:val="single" w:sz="4" w:space="0" w:color="auto"/>
              <w:bottom w:val="single" w:sz="4" w:space="0" w:color="auto"/>
              <w:right w:val="single" w:sz="4" w:space="0" w:color="auto"/>
            </w:tcBorders>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C</w:t>
            </w:r>
          </w:p>
        </w:tc>
        <w:tc>
          <w:tcPr>
            <w:tcW w:w="3257" w:type="pct"/>
            <w:tcBorders>
              <w:top w:val="nil"/>
              <w:left w:val="single" w:sz="4" w:space="0" w:color="auto"/>
              <w:bottom w:val="single" w:sz="4" w:space="0" w:color="auto"/>
              <w:right w:val="nil"/>
            </w:tcBorders>
            <w:shd w:val="clear" w:color="auto" w:fill="auto"/>
            <w:vAlign w:val="center"/>
            <w:hideMark/>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Compra do aditivo</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center"/>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center"/>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r>
      <w:tr w:rsidR="0054139C" w:rsidRPr="005E2CA8" w:rsidTr="00E67AFA">
        <w:trPr>
          <w:trHeight w:val="571"/>
          <w:jc w:val="center"/>
        </w:trPr>
        <w:tc>
          <w:tcPr>
            <w:tcW w:w="144" w:type="pct"/>
            <w:tcBorders>
              <w:top w:val="single" w:sz="4" w:space="0" w:color="auto"/>
              <w:left w:val="single" w:sz="4" w:space="0" w:color="auto"/>
              <w:bottom w:val="single" w:sz="4" w:space="0" w:color="auto"/>
              <w:right w:val="single" w:sz="4" w:space="0" w:color="auto"/>
            </w:tcBorders>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D</w:t>
            </w:r>
          </w:p>
        </w:tc>
        <w:tc>
          <w:tcPr>
            <w:tcW w:w="3257" w:type="pct"/>
            <w:tcBorders>
              <w:top w:val="nil"/>
              <w:left w:val="single" w:sz="4" w:space="0" w:color="auto"/>
              <w:bottom w:val="single" w:sz="4" w:space="0" w:color="auto"/>
              <w:right w:val="nil"/>
            </w:tcBorders>
            <w:shd w:val="clear" w:color="auto" w:fill="auto"/>
            <w:vAlign w:val="center"/>
            <w:hideMark/>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Pessoal (salários e encargos anuais de novas contratações da área de operações, administrativo, etc.)</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r>
      <w:tr w:rsidR="0054139C" w:rsidRPr="005E2CA8" w:rsidTr="00E67AFA">
        <w:trPr>
          <w:trHeight w:val="359"/>
          <w:jc w:val="center"/>
        </w:trPr>
        <w:tc>
          <w:tcPr>
            <w:tcW w:w="144" w:type="pct"/>
            <w:tcBorders>
              <w:top w:val="single" w:sz="4" w:space="0" w:color="auto"/>
              <w:left w:val="single" w:sz="4" w:space="0" w:color="auto"/>
              <w:bottom w:val="single" w:sz="4" w:space="0" w:color="auto"/>
              <w:right w:val="single" w:sz="4" w:space="0" w:color="auto"/>
            </w:tcBorders>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E</w:t>
            </w:r>
          </w:p>
        </w:tc>
        <w:tc>
          <w:tcPr>
            <w:tcW w:w="3257" w:type="pct"/>
            <w:tcBorders>
              <w:top w:val="nil"/>
              <w:left w:val="single" w:sz="4" w:space="0" w:color="auto"/>
              <w:bottom w:val="single" w:sz="4" w:space="0" w:color="auto"/>
              <w:right w:val="nil"/>
            </w:tcBorders>
            <w:shd w:val="clear" w:color="auto" w:fill="auto"/>
            <w:vAlign w:val="center"/>
            <w:hideMark/>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Demais gastos com transporte, armazenamento, manutenção e operação</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r>
      <w:tr w:rsidR="0054139C" w:rsidRPr="005E2CA8" w:rsidTr="00E67AFA">
        <w:trPr>
          <w:trHeight w:val="300"/>
          <w:jc w:val="center"/>
        </w:trPr>
        <w:tc>
          <w:tcPr>
            <w:tcW w:w="144" w:type="pct"/>
            <w:tcBorders>
              <w:top w:val="single" w:sz="4" w:space="0" w:color="auto"/>
              <w:left w:val="single" w:sz="4" w:space="0" w:color="auto"/>
              <w:bottom w:val="single" w:sz="4" w:space="0" w:color="auto"/>
              <w:right w:val="single" w:sz="4" w:space="0" w:color="auto"/>
            </w:tcBorders>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F</w:t>
            </w:r>
          </w:p>
        </w:tc>
        <w:tc>
          <w:tcPr>
            <w:tcW w:w="3257" w:type="pct"/>
            <w:tcBorders>
              <w:top w:val="nil"/>
              <w:left w:val="single" w:sz="4" w:space="0" w:color="auto"/>
              <w:bottom w:val="single" w:sz="4" w:space="0" w:color="auto"/>
              <w:right w:val="nil"/>
            </w:tcBorders>
            <w:shd w:val="clear" w:color="auto" w:fill="auto"/>
            <w:vAlign w:val="center"/>
            <w:hideMark/>
          </w:tcPr>
          <w:p w:rsidR="0054139C" w:rsidRPr="005E2CA8" w:rsidRDefault="0054139C" w:rsidP="004D6E6C">
            <w:pPr>
              <w:spacing w:after="120"/>
              <w:jc w:val="both"/>
              <w:rPr>
                <w:rFonts w:ascii="Times New Roman" w:hAnsi="Times New Roman"/>
                <w:color w:val="000000"/>
                <w:sz w:val="20"/>
                <w:szCs w:val="20"/>
              </w:rPr>
            </w:pPr>
            <w:r w:rsidRPr="005E2CA8">
              <w:rPr>
                <w:rFonts w:ascii="Times New Roman" w:hAnsi="Times New Roman"/>
                <w:color w:val="000000"/>
                <w:sz w:val="20"/>
                <w:szCs w:val="20"/>
              </w:rPr>
              <w:t>Outros (especificar)</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39C" w:rsidRPr="005E2CA8" w:rsidRDefault="0054139C" w:rsidP="004D6E6C">
            <w:pPr>
              <w:spacing w:after="120"/>
              <w:jc w:val="right"/>
              <w:rPr>
                <w:rFonts w:ascii="Times New Roman" w:hAnsi="Times New Roman"/>
                <w:color w:val="000000"/>
                <w:sz w:val="20"/>
                <w:szCs w:val="20"/>
              </w:rPr>
            </w:pPr>
            <w:r w:rsidRPr="005E2CA8">
              <w:rPr>
                <w:rFonts w:ascii="Times New Roman" w:hAnsi="Times New Roman"/>
                <w:color w:val="000000"/>
                <w:sz w:val="20"/>
                <w:szCs w:val="20"/>
              </w:rPr>
              <w:t> </w:t>
            </w:r>
          </w:p>
        </w:tc>
      </w:tr>
      <w:tr w:rsidR="0054139C" w:rsidRPr="005E2CA8" w:rsidTr="00E67AFA">
        <w:trPr>
          <w:trHeight w:val="300"/>
          <w:jc w:val="center"/>
        </w:trPr>
        <w:tc>
          <w:tcPr>
            <w:tcW w:w="3401" w:type="pct"/>
            <w:gridSpan w:val="2"/>
            <w:tcBorders>
              <w:top w:val="nil"/>
              <w:left w:val="single" w:sz="4" w:space="0" w:color="auto"/>
              <w:bottom w:val="single" w:sz="4" w:space="0" w:color="auto"/>
              <w:right w:val="nil"/>
            </w:tcBorders>
            <w:shd w:val="clear" w:color="000000" w:fill="F2F2F2"/>
            <w:vAlign w:val="center"/>
          </w:tcPr>
          <w:p w:rsidR="0054139C" w:rsidRPr="005E2CA8" w:rsidRDefault="0054139C" w:rsidP="004D6E6C">
            <w:pPr>
              <w:spacing w:after="120"/>
              <w:rPr>
                <w:rFonts w:ascii="Times New Roman" w:hAnsi="Times New Roman"/>
                <w:b/>
                <w:bCs/>
                <w:color w:val="000000"/>
                <w:sz w:val="20"/>
                <w:szCs w:val="20"/>
              </w:rPr>
            </w:pPr>
            <w:r w:rsidRPr="005E2CA8">
              <w:rPr>
                <w:rFonts w:ascii="Times New Roman" w:hAnsi="Times New Roman"/>
                <w:b/>
                <w:bCs/>
                <w:color w:val="000000"/>
                <w:sz w:val="20"/>
                <w:szCs w:val="20"/>
              </w:rPr>
              <w:t>Total</w:t>
            </w:r>
          </w:p>
        </w:tc>
        <w:tc>
          <w:tcPr>
            <w:tcW w:w="27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4139C" w:rsidRPr="005E2CA8" w:rsidRDefault="0054139C" w:rsidP="004D6E6C">
            <w:pPr>
              <w:spacing w:after="120"/>
              <w:rPr>
                <w:rFonts w:ascii="Times New Roman" w:hAnsi="Times New Roman"/>
                <w:b/>
                <w:bCs/>
                <w:color w:val="000000"/>
                <w:sz w:val="20"/>
                <w:szCs w:val="20"/>
              </w:rPr>
            </w:pPr>
            <w:r w:rsidRPr="005E2CA8">
              <w:rPr>
                <w:rFonts w:ascii="Times New Roman" w:hAnsi="Times New Roman"/>
                <w:b/>
                <w:bCs/>
                <w:color w:val="000000"/>
                <w:sz w:val="20"/>
                <w:szCs w:val="20"/>
              </w:rPr>
              <w:t> </w:t>
            </w:r>
          </w:p>
        </w:tc>
        <w:tc>
          <w:tcPr>
            <w:tcW w:w="27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4139C" w:rsidRPr="005E2CA8" w:rsidRDefault="0054139C" w:rsidP="004D6E6C">
            <w:pPr>
              <w:spacing w:after="120"/>
              <w:rPr>
                <w:rFonts w:ascii="Times New Roman" w:hAnsi="Times New Roman"/>
                <w:b/>
                <w:bCs/>
                <w:color w:val="000000"/>
                <w:sz w:val="20"/>
                <w:szCs w:val="20"/>
              </w:rPr>
            </w:pPr>
            <w:r w:rsidRPr="005E2CA8">
              <w:rPr>
                <w:rFonts w:ascii="Times New Roman" w:hAnsi="Times New Roman"/>
                <w:b/>
                <w:bCs/>
                <w:color w:val="000000"/>
                <w:sz w:val="20"/>
                <w:szCs w:val="20"/>
              </w:rPr>
              <w:t> </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4139C" w:rsidRPr="005E2CA8" w:rsidRDefault="0054139C" w:rsidP="004D6E6C">
            <w:pPr>
              <w:spacing w:after="120"/>
              <w:rPr>
                <w:rFonts w:ascii="Times New Roman" w:hAnsi="Times New Roman"/>
                <w:b/>
                <w:bCs/>
                <w:color w:val="000000"/>
                <w:sz w:val="20"/>
                <w:szCs w:val="20"/>
              </w:rPr>
            </w:pPr>
            <w:r w:rsidRPr="005E2CA8">
              <w:rPr>
                <w:rFonts w:ascii="Times New Roman" w:hAnsi="Times New Roman"/>
                <w:b/>
                <w:bCs/>
                <w:color w:val="000000"/>
                <w:sz w:val="20"/>
                <w:szCs w:val="20"/>
              </w:rPr>
              <w:t> </w:t>
            </w:r>
          </w:p>
        </w:tc>
        <w:tc>
          <w:tcPr>
            <w:tcW w:w="72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4139C" w:rsidRPr="005E2CA8" w:rsidRDefault="0054139C" w:rsidP="004D6E6C">
            <w:pPr>
              <w:spacing w:after="120"/>
              <w:rPr>
                <w:rFonts w:ascii="Times New Roman" w:hAnsi="Times New Roman"/>
                <w:b/>
                <w:bCs/>
                <w:color w:val="000000"/>
                <w:sz w:val="20"/>
                <w:szCs w:val="20"/>
              </w:rPr>
            </w:pPr>
            <w:r w:rsidRPr="005E2CA8">
              <w:rPr>
                <w:rFonts w:ascii="Times New Roman" w:hAnsi="Times New Roman"/>
                <w:b/>
                <w:bCs/>
                <w:color w:val="000000"/>
                <w:sz w:val="20"/>
                <w:szCs w:val="20"/>
              </w:rPr>
              <w:t> </w:t>
            </w:r>
          </w:p>
        </w:tc>
      </w:tr>
    </w:tbl>
    <w:p w:rsidR="0054139C" w:rsidRPr="00CE3398" w:rsidRDefault="0054139C" w:rsidP="0054139C">
      <w:pPr>
        <w:pStyle w:val="Cabealho"/>
        <w:spacing w:after="120"/>
        <w:rPr>
          <w:rFonts w:ascii="Times New Roman" w:hAnsi="Times New Roman"/>
          <w:sz w:val="24"/>
          <w:szCs w:val="24"/>
        </w:rPr>
      </w:pPr>
    </w:p>
    <w:p w:rsidR="0054139C" w:rsidRPr="005E2CA8" w:rsidRDefault="0054139C" w:rsidP="0054139C">
      <w:pPr>
        <w:pStyle w:val="Cabealho"/>
        <w:spacing w:after="120"/>
        <w:rPr>
          <w:rFonts w:ascii="Times New Roman" w:hAnsi="Times New Roman"/>
          <w:sz w:val="20"/>
          <w:szCs w:val="20"/>
        </w:rPr>
      </w:pPr>
      <w:r w:rsidRPr="005E2CA8">
        <w:rPr>
          <w:rFonts w:ascii="Times New Roman" w:hAnsi="Times New Roman"/>
          <w:sz w:val="20"/>
          <w:szCs w:val="20"/>
        </w:rPr>
        <w:t>Observações:</w:t>
      </w:r>
    </w:p>
    <w:p w:rsidR="0054139C" w:rsidRPr="005E2CA8" w:rsidRDefault="0054139C" w:rsidP="0054139C">
      <w:pPr>
        <w:pStyle w:val="Cabealho"/>
        <w:numPr>
          <w:ilvl w:val="0"/>
          <w:numId w:val="25"/>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lastRenderedPageBreak/>
        <w:t>O presente pedido de informação considera o cenário no qual o distribuidor é o responsável pela adição do aditivo à gasolina.</w:t>
      </w:r>
    </w:p>
    <w:p w:rsidR="0054139C" w:rsidRPr="005E2CA8" w:rsidRDefault="0054139C" w:rsidP="0054139C">
      <w:pPr>
        <w:pStyle w:val="Cabealho"/>
        <w:numPr>
          <w:ilvl w:val="0"/>
          <w:numId w:val="25"/>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Os valores referem-se aos custos nacionais da empresa/conglomerado, incluindo todos os parques produtivos, unidades regionais e/ou empresas subsidiárias/controladas.</w:t>
      </w:r>
    </w:p>
    <w:p w:rsidR="0054139C" w:rsidRPr="005E2CA8" w:rsidRDefault="0054139C" w:rsidP="0054139C">
      <w:pPr>
        <w:pStyle w:val="Cabealho"/>
        <w:numPr>
          <w:ilvl w:val="0"/>
          <w:numId w:val="25"/>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Informar somente as estimativas correspondentes à diferença entre os gastos totais que a empresa teria com o atendimento integral à Resolução e os gastos totais que empresa teria se a Resolução não existisse.</w:t>
      </w:r>
    </w:p>
    <w:p w:rsidR="0054139C" w:rsidRPr="005E2CA8" w:rsidRDefault="0054139C" w:rsidP="0054139C">
      <w:pPr>
        <w:pStyle w:val="Cabealho"/>
        <w:numPr>
          <w:ilvl w:val="0"/>
          <w:numId w:val="25"/>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Desconsiderar eventuais custos com publicidade, comunicação e marketing.</w:t>
      </w:r>
    </w:p>
    <w:p w:rsidR="0054139C" w:rsidRPr="005E2CA8" w:rsidRDefault="0054139C" w:rsidP="0054139C">
      <w:pPr>
        <w:pStyle w:val="Cabealho"/>
        <w:numPr>
          <w:ilvl w:val="0"/>
          <w:numId w:val="25"/>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Pede-se que os valores sejam informados em unidades de real (R$ 1,00).</w:t>
      </w:r>
    </w:p>
    <w:p w:rsidR="0054139C" w:rsidRPr="005E2CA8" w:rsidRDefault="0054139C" w:rsidP="0054139C">
      <w:pPr>
        <w:pStyle w:val="Cabealho"/>
        <w:numPr>
          <w:ilvl w:val="0"/>
          <w:numId w:val="25"/>
        </w:numPr>
        <w:tabs>
          <w:tab w:val="clear" w:pos="4252"/>
          <w:tab w:val="clear" w:pos="8504"/>
        </w:tabs>
        <w:spacing w:after="120"/>
        <w:ind w:left="426" w:hanging="426"/>
        <w:jc w:val="both"/>
        <w:rPr>
          <w:rFonts w:ascii="Times New Roman" w:hAnsi="Times New Roman"/>
          <w:sz w:val="20"/>
          <w:szCs w:val="20"/>
        </w:rPr>
      </w:pPr>
      <w:r w:rsidRPr="005E2CA8">
        <w:rPr>
          <w:rFonts w:ascii="Times New Roman" w:hAnsi="Times New Roman"/>
          <w:sz w:val="20"/>
          <w:szCs w:val="20"/>
        </w:rPr>
        <w:t>As categorias A e B representam custos temporários, correspondentes aos investimentos para adaptação à nova resolução, e por isso não poderiam ocorrer a partir de 2016.</w:t>
      </w:r>
    </w:p>
    <w:p w:rsidR="0054139C" w:rsidRPr="00CE3398" w:rsidRDefault="0054139C" w:rsidP="0054139C">
      <w:pPr>
        <w:pStyle w:val="Cabealho"/>
        <w:tabs>
          <w:tab w:val="clear" w:pos="4252"/>
          <w:tab w:val="clear" w:pos="8504"/>
        </w:tabs>
        <w:spacing w:after="120"/>
        <w:jc w:val="both"/>
        <w:rPr>
          <w:rFonts w:ascii="Times New Roman" w:hAnsi="Times New Roman"/>
          <w:sz w:val="24"/>
          <w:szCs w:val="24"/>
        </w:rPr>
      </w:pPr>
    </w:p>
    <w:p w:rsidR="00BC459D" w:rsidRPr="00CE3398" w:rsidRDefault="00BC459D" w:rsidP="00BC459D">
      <w:pPr>
        <w:pStyle w:val="Cabealho"/>
        <w:tabs>
          <w:tab w:val="clear" w:pos="4252"/>
          <w:tab w:val="clear" w:pos="8504"/>
        </w:tabs>
        <w:spacing w:after="120"/>
        <w:jc w:val="both"/>
        <w:rPr>
          <w:rFonts w:ascii="Times New Roman" w:hAnsi="Times New Roman"/>
          <w:sz w:val="24"/>
          <w:szCs w:val="24"/>
        </w:rPr>
      </w:pPr>
    </w:p>
    <w:p w:rsidR="0002519A" w:rsidRPr="00CE3398" w:rsidRDefault="00494262" w:rsidP="009E699F">
      <w:pPr>
        <w:spacing w:after="0" w:line="240" w:lineRule="auto"/>
        <w:jc w:val="both"/>
        <w:rPr>
          <w:rFonts w:ascii="Times New Roman" w:hAnsi="Times New Roman"/>
          <w:b/>
          <w:sz w:val="24"/>
          <w:szCs w:val="24"/>
        </w:rPr>
      </w:pPr>
      <w:r w:rsidRPr="00CE3398">
        <w:rPr>
          <w:rFonts w:ascii="Times New Roman" w:hAnsi="Times New Roman"/>
          <w:sz w:val="24"/>
          <w:szCs w:val="24"/>
          <w:highlight w:val="yellow"/>
        </w:rPr>
        <w:br w:type="page"/>
      </w:r>
      <w:r w:rsidR="00BC459D" w:rsidRPr="00CE3398">
        <w:rPr>
          <w:rFonts w:ascii="Times New Roman" w:hAnsi="Times New Roman"/>
          <w:b/>
          <w:sz w:val="24"/>
          <w:szCs w:val="24"/>
        </w:rPr>
        <w:lastRenderedPageBreak/>
        <w:t xml:space="preserve">ANEXO VI – QUESTIONÁRIO ENCAMINHADO PELA ANP AOS DISTRIBUIDORES DE COMBUSTÍVEIS </w:t>
      </w:r>
    </w:p>
    <w:tbl>
      <w:tblPr>
        <w:tblW w:w="5000" w:type="pct"/>
        <w:tblCellMar>
          <w:left w:w="70" w:type="dxa"/>
          <w:right w:w="70" w:type="dxa"/>
        </w:tblCellMar>
        <w:tblLook w:val="0000"/>
      </w:tblPr>
      <w:tblGrid>
        <w:gridCol w:w="9887"/>
      </w:tblGrid>
      <w:tr w:rsidR="0002519A" w:rsidRPr="00CE3398" w:rsidTr="00E67AFA">
        <w:trPr>
          <w:trHeight w:val="290"/>
        </w:trPr>
        <w:tc>
          <w:tcPr>
            <w:tcW w:w="5000" w:type="pct"/>
            <w:tcBorders>
              <w:top w:val="nil"/>
              <w:left w:val="nil"/>
              <w:bottom w:val="nil"/>
              <w:right w:val="nil"/>
            </w:tcBorders>
          </w:tcPr>
          <w:p w:rsidR="0002519A" w:rsidRPr="00CE3398" w:rsidRDefault="0002519A" w:rsidP="008863E7">
            <w:pPr>
              <w:autoSpaceDE w:val="0"/>
              <w:autoSpaceDN w:val="0"/>
              <w:adjustRightInd w:val="0"/>
              <w:spacing w:after="120" w:line="240" w:lineRule="auto"/>
              <w:rPr>
                <w:rFonts w:ascii="Times New Roman" w:hAnsi="Times New Roman"/>
                <w:b/>
                <w:bCs/>
                <w:color w:val="000000"/>
                <w:sz w:val="24"/>
                <w:szCs w:val="24"/>
              </w:rPr>
            </w:pPr>
          </w:p>
        </w:tc>
      </w:tr>
      <w:tr w:rsidR="0002519A" w:rsidRPr="00CE3398" w:rsidTr="00E67AFA">
        <w:trPr>
          <w:trHeight w:val="87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1-  Sob a ótica da sua empresa, qual o melhor local para a aditivação total da gasolina (no produtor de gasolina; antes da entrada na base do distribuidor (ponto B); na base do distribuidor; ou durante o carregamento dos caminhões-tanque)? Justifique.</w:t>
            </w:r>
          </w:p>
        </w:tc>
      </w:tr>
      <w:tr w:rsidR="0002519A" w:rsidRPr="00CE3398" w:rsidTr="00E67AFA">
        <w:trPr>
          <w:trHeight w:val="594"/>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2-  Na hipótese de a aditivação total da gasolina ocorrer na etapa de distribuição, quais investimentos seriam necessários em suas bases de distribuição para atender a nova regulamentação e qual o valor desses investimentos?</w:t>
            </w:r>
          </w:p>
        </w:tc>
      </w:tr>
      <w:tr w:rsidR="0002519A" w:rsidRPr="00CE3398" w:rsidTr="00E67AFA">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 xml:space="preserve">3-  Ainda na hipótese do item 2, quais outros custos, além dos investimentos já apontados, sua empresa terá que incorrer a fim de atender à nova regulamentação? </w:t>
            </w:r>
          </w:p>
        </w:tc>
      </w:tr>
      <w:tr w:rsidR="0002519A" w:rsidRPr="00CE3398" w:rsidTr="00E67AFA">
        <w:trPr>
          <w:trHeight w:val="87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 xml:space="preserve">4-   Na hipótese de a aditivação total da gasolina ocorrer na etapa de produção, serão necessários investimentos em suas bases de distribuição para atender à nova regulamentação? Em caso positivo, quais investimentos e seus respectivos valores?  </w:t>
            </w:r>
          </w:p>
        </w:tc>
      </w:tr>
      <w:tr w:rsidR="0002519A" w:rsidRPr="00CE3398" w:rsidTr="00E67AFA">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5-  Ainda na hipótese do item 4, quais outros custos, além dos investimentos já apontados, a sua empresa terá que incorrer a fim de atender à nova regulamentação?</w:t>
            </w:r>
          </w:p>
        </w:tc>
      </w:tr>
      <w:tr w:rsidR="0002519A" w:rsidRPr="00CE3398" w:rsidTr="00E67AFA">
        <w:trPr>
          <w:trHeight w:val="1162"/>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 xml:space="preserve">6-  O volume total de gasolina aditivada comercializado no Brasil em 2011 correspondeu a cerca de 25 % do volume total de gasolina comercializado neste período.  Qual foi o percentual de gasolina aditivada comercializada por sua empresa no período? Como é realizada a operação de aditivação da gasolina em suas bases de distribuição e quais equipamentos são utilizados? </w:t>
            </w:r>
          </w:p>
        </w:tc>
      </w:tr>
      <w:tr w:rsidR="0002519A" w:rsidRPr="00CE3398" w:rsidTr="00E67AFA">
        <w:trPr>
          <w:trHeight w:val="838"/>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 xml:space="preserve">7-  Na hipótese da aditivação ocorrer nos distribuidores a partir de 2014, qual o melhor local de aditivação sob a perspectiva de sua empresa: antes da entrada na base do distribuidor (ponto B), no tanque de armazenamento ou no momento do carregamento do caminhão-tanque? Favor justificar a opção escolhida. </w:t>
            </w:r>
          </w:p>
        </w:tc>
      </w:tr>
      <w:tr w:rsidR="0002519A" w:rsidRPr="00CE3398" w:rsidTr="00E67AFA">
        <w:trPr>
          <w:trHeight w:val="836"/>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8-  Existem relatos de emulsificação da gasolina aditivada? Em caso positivo, favor detalhar as ocorrências (se possível, informar local e data). Existe algum registro ou pesquisa que indique a relação entre a existência de água na gasolina e a eficiência do aditivo utilizado? Caso positivo, favor detalhar.</w:t>
            </w:r>
          </w:p>
        </w:tc>
      </w:tr>
      <w:tr w:rsidR="0002519A" w:rsidRPr="00CE3398" w:rsidTr="00E67AFA">
        <w:trPr>
          <w:trHeight w:val="87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9-  No caso de a aditivação total ocorrer na distribuição, qual o prazo estimado para adequação das suas bases à nova obrigação? Favor considerar questões que envolvem a obtenção de licenças, realização de investimentos, adequação das instalações e outros.</w:t>
            </w:r>
          </w:p>
        </w:tc>
      </w:tr>
      <w:tr w:rsidR="0002519A" w:rsidRPr="00CE3398" w:rsidTr="00E67AFA">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10-  No caso da aditivação total ocorrer na distribuição, a sua empresa pretende aditivar em suas instalações ou adquirir a gasolina já aditivada de outro distribuidor?</w:t>
            </w:r>
          </w:p>
        </w:tc>
      </w:tr>
      <w:tr w:rsidR="0002519A" w:rsidRPr="00CE3398" w:rsidTr="00E67AFA">
        <w:trPr>
          <w:trHeight w:val="581"/>
        </w:trPr>
        <w:tc>
          <w:tcPr>
            <w:tcW w:w="5000" w:type="pct"/>
            <w:tcBorders>
              <w:top w:val="single" w:sz="6" w:space="0" w:color="auto"/>
              <w:left w:val="single" w:sz="6" w:space="0" w:color="auto"/>
              <w:bottom w:val="single" w:sz="6" w:space="0" w:color="auto"/>
              <w:right w:val="single" w:sz="6" w:space="0" w:color="auto"/>
            </w:tcBorders>
          </w:tcPr>
          <w:p w:rsidR="0002519A" w:rsidRPr="00CE3398" w:rsidRDefault="0002519A" w:rsidP="008863E7">
            <w:pPr>
              <w:autoSpaceDE w:val="0"/>
              <w:autoSpaceDN w:val="0"/>
              <w:adjustRightInd w:val="0"/>
              <w:spacing w:after="120" w:line="240" w:lineRule="auto"/>
              <w:rPr>
                <w:rFonts w:ascii="Times New Roman" w:hAnsi="Times New Roman"/>
                <w:color w:val="000000"/>
                <w:sz w:val="24"/>
                <w:szCs w:val="24"/>
              </w:rPr>
            </w:pPr>
            <w:r w:rsidRPr="00CE3398">
              <w:rPr>
                <w:rFonts w:ascii="Times New Roman" w:hAnsi="Times New Roman"/>
                <w:color w:val="000000"/>
                <w:sz w:val="24"/>
                <w:szCs w:val="24"/>
              </w:rPr>
              <w:t>11-  Há qualquer comentário adicional sobre o programa de aditivação total que gostaria de fazer? Caso positivo, favor registrar.</w:t>
            </w:r>
          </w:p>
        </w:tc>
      </w:tr>
    </w:tbl>
    <w:p w:rsidR="0002519A" w:rsidRPr="00CE3398" w:rsidRDefault="0002519A" w:rsidP="0002519A">
      <w:pPr>
        <w:spacing w:after="120"/>
        <w:rPr>
          <w:rFonts w:ascii="Times New Roman" w:hAnsi="Times New Roman"/>
          <w:sz w:val="24"/>
          <w:szCs w:val="24"/>
        </w:rPr>
      </w:pPr>
    </w:p>
    <w:p w:rsidR="0002519A" w:rsidRPr="00CE3398" w:rsidRDefault="0002519A" w:rsidP="0002519A">
      <w:pPr>
        <w:spacing w:after="120"/>
        <w:rPr>
          <w:rFonts w:ascii="Times New Roman" w:hAnsi="Times New Roman"/>
          <w:sz w:val="24"/>
          <w:szCs w:val="24"/>
        </w:rPr>
      </w:pPr>
      <w:r w:rsidRPr="00CE3398">
        <w:rPr>
          <w:rFonts w:ascii="Times New Roman" w:hAnsi="Times New Roman"/>
          <w:sz w:val="24"/>
          <w:szCs w:val="24"/>
        </w:rPr>
        <w:br w:type="page"/>
      </w:r>
    </w:p>
    <w:p w:rsidR="008B5F52" w:rsidRPr="00CE3398" w:rsidRDefault="00AA21D4" w:rsidP="003C41E3">
      <w:pPr>
        <w:pStyle w:val="Ttulo4"/>
        <w:spacing w:before="100" w:beforeAutospacing="1" w:after="100" w:afterAutospacing="1" w:line="360" w:lineRule="auto"/>
        <w:rPr>
          <w:rFonts w:ascii="Times New Roman" w:hAnsi="Times New Roman"/>
          <w:sz w:val="24"/>
          <w:szCs w:val="24"/>
        </w:rPr>
      </w:pPr>
      <w:r w:rsidRPr="00CE3398">
        <w:rPr>
          <w:rFonts w:ascii="Times New Roman" w:hAnsi="Times New Roman"/>
          <w:sz w:val="24"/>
          <w:szCs w:val="24"/>
        </w:rPr>
        <w:lastRenderedPageBreak/>
        <w:t>ANE</w:t>
      </w:r>
      <w:r w:rsidR="00A7575E" w:rsidRPr="00CE3398">
        <w:rPr>
          <w:rFonts w:ascii="Times New Roman" w:hAnsi="Times New Roman"/>
          <w:sz w:val="24"/>
          <w:szCs w:val="24"/>
        </w:rPr>
        <w:t xml:space="preserve">XO VII – </w:t>
      </w:r>
      <w:r w:rsidR="00103485" w:rsidRPr="00CE3398">
        <w:rPr>
          <w:rFonts w:ascii="Times New Roman" w:hAnsi="Times New Roman"/>
          <w:sz w:val="24"/>
          <w:szCs w:val="24"/>
        </w:rPr>
        <w:t xml:space="preserve">NOTAS TÉCNICAS </w:t>
      </w:r>
      <w:r w:rsidR="00A7575E" w:rsidRPr="00CE3398">
        <w:rPr>
          <w:rFonts w:ascii="Times New Roman" w:hAnsi="Times New Roman"/>
          <w:sz w:val="24"/>
          <w:szCs w:val="24"/>
        </w:rPr>
        <w:t xml:space="preserve">CPT </w:t>
      </w:r>
      <w:r w:rsidR="00103485" w:rsidRPr="00CE3398">
        <w:rPr>
          <w:rFonts w:ascii="Times New Roman" w:hAnsi="Times New Roman"/>
          <w:sz w:val="24"/>
          <w:szCs w:val="24"/>
        </w:rPr>
        <w:t xml:space="preserve">SOBRE </w:t>
      </w:r>
      <w:r w:rsidR="00A7575E" w:rsidRPr="00CE3398">
        <w:rPr>
          <w:rFonts w:ascii="Times New Roman" w:hAnsi="Times New Roman"/>
          <w:sz w:val="24"/>
          <w:szCs w:val="24"/>
        </w:rPr>
        <w:t>EMULSIFICAÇÃO</w:t>
      </w:r>
    </w:p>
    <w:p w:rsidR="00103485" w:rsidRPr="00CE3398" w:rsidRDefault="00103485" w:rsidP="00103485">
      <w:pPr>
        <w:pStyle w:val="Ttulo4"/>
        <w:spacing w:before="100" w:beforeAutospacing="1" w:after="100" w:afterAutospacing="1" w:line="360" w:lineRule="auto"/>
        <w:rPr>
          <w:rFonts w:ascii="Times New Roman" w:hAnsi="Times New Roman"/>
          <w:sz w:val="24"/>
          <w:szCs w:val="24"/>
        </w:rPr>
      </w:pPr>
      <w:r w:rsidRPr="00CE3398">
        <w:rPr>
          <w:rFonts w:ascii="Times New Roman" w:hAnsi="Times New Roman"/>
          <w:noProof/>
          <w:color w:val="FF0000"/>
          <w:sz w:val="24"/>
          <w:szCs w:val="24"/>
        </w:rPr>
        <w:drawing>
          <wp:inline distT="0" distB="0" distL="0" distR="0">
            <wp:extent cx="784860" cy="1302385"/>
            <wp:effectExtent l="19050" t="0" r="0"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784860" cy="1302385"/>
                    </a:xfrm>
                    <a:prstGeom prst="rect">
                      <a:avLst/>
                    </a:prstGeom>
                    <a:noFill/>
                    <a:ln w="9525">
                      <a:noFill/>
                      <a:miter lim="800000"/>
                      <a:headEnd/>
                      <a:tailEnd/>
                    </a:ln>
                  </pic:spPr>
                </pic:pic>
              </a:graphicData>
            </a:graphic>
          </wp:inline>
        </w:drawing>
      </w:r>
    </w:p>
    <w:p w:rsidR="00103485" w:rsidRPr="00CE3398" w:rsidRDefault="00103485" w:rsidP="00103485">
      <w:pPr>
        <w:autoSpaceDE w:val="0"/>
        <w:autoSpaceDN w:val="0"/>
        <w:adjustRightInd w:val="0"/>
        <w:jc w:val="both"/>
        <w:rPr>
          <w:rFonts w:ascii="Times New Roman" w:hAnsi="Times New Roman"/>
          <w:sz w:val="24"/>
          <w:szCs w:val="24"/>
        </w:rPr>
      </w:pPr>
      <w:r w:rsidRPr="00CE3398">
        <w:rPr>
          <w:rFonts w:ascii="Times New Roman" w:hAnsi="Times New Roman"/>
          <w:sz w:val="24"/>
          <w:szCs w:val="24"/>
        </w:rPr>
        <w:t>Nota técnica n.º 98/2012/101/CPT</w:t>
      </w:r>
    </w:p>
    <w:p w:rsidR="00103485" w:rsidRPr="00CE3398" w:rsidRDefault="00103485" w:rsidP="00103485">
      <w:pPr>
        <w:tabs>
          <w:tab w:val="left" w:pos="3070"/>
          <w:tab w:val="right" w:pos="9355"/>
        </w:tabs>
        <w:autoSpaceDE w:val="0"/>
        <w:autoSpaceDN w:val="0"/>
        <w:adjustRightInd w:val="0"/>
        <w:rPr>
          <w:rFonts w:ascii="Times New Roman" w:hAnsi="Times New Roman"/>
          <w:sz w:val="24"/>
          <w:szCs w:val="24"/>
        </w:rPr>
      </w:pPr>
      <w:r w:rsidRPr="00CE3398">
        <w:rPr>
          <w:rFonts w:ascii="Times New Roman" w:hAnsi="Times New Roman"/>
          <w:sz w:val="24"/>
          <w:szCs w:val="24"/>
        </w:rPr>
        <w:tab/>
      </w:r>
      <w:r w:rsidRPr="00CE3398">
        <w:rPr>
          <w:rFonts w:ascii="Times New Roman" w:hAnsi="Times New Roman"/>
          <w:sz w:val="24"/>
          <w:szCs w:val="24"/>
        </w:rPr>
        <w:tab/>
        <w:t>Brasília, 28 de novembro de 2012.</w:t>
      </w:r>
    </w:p>
    <w:p w:rsidR="00103485" w:rsidRPr="00CE3398" w:rsidRDefault="00103485" w:rsidP="00103485">
      <w:pPr>
        <w:spacing w:after="240"/>
        <w:jc w:val="both"/>
        <w:rPr>
          <w:rFonts w:ascii="Times New Roman" w:hAnsi="Times New Roman"/>
          <w:sz w:val="24"/>
          <w:szCs w:val="24"/>
        </w:rPr>
      </w:pPr>
      <w:r w:rsidRPr="00CE3398">
        <w:rPr>
          <w:rFonts w:ascii="Times New Roman" w:hAnsi="Times New Roman"/>
          <w:sz w:val="24"/>
          <w:szCs w:val="24"/>
        </w:rPr>
        <w:t>Assunto: Estudo da formação de emulsão em gasolina devido à presença de aditivo detergente dispersante.</w:t>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INTRODUÇÃO</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Estudos científicos </w:t>
      </w:r>
      <w:sdt>
        <w:sdtPr>
          <w:rPr>
            <w:rFonts w:eastAsia="Calibri"/>
            <w:szCs w:val="24"/>
            <w:lang w:eastAsia="en-US"/>
          </w:rPr>
          <w:id w:val="122217626"/>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ABR86 \m BEN86 \m BIT87 \m FRA72 \m GET87 \m GIB79 \m HAL76 \m HOU \m KIP70 \m NIS79 \l 1046  </w:instrText>
          </w:r>
          <w:r w:rsidR="0010373C" w:rsidRPr="00CE3398">
            <w:rPr>
              <w:rFonts w:eastAsia="Calibri"/>
              <w:szCs w:val="24"/>
              <w:lang w:eastAsia="en-US"/>
            </w:rPr>
            <w:fldChar w:fldCharType="separate"/>
          </w:r>
          <w:r w:rsidRPr="00CE3398">
            <w:rPr>
              <w:rFonts w:eastAsia="Calibri"/>
              <w:szCs w:val="24"/>
              <w:lang w:eastAsia="en-US"/>
            </w:rPr>
            <w:t>(1; 2; 3; 4; 5; 6; 7; 8; 9; 10)</w:t>
          </w:r>
          <w:r w:rsidR="0010373C" w:rsidRPr="00CE3398">
            <w:rPr>
              <w:rFonts w:eastAsia="Calibri"/>
              <w:szCs w:val="24"/>
              <w:lang w:eastAsia="en-US"/>
            </w:rPr>
            <w:fldChar w:fldCharType="end"/>
          </w:r>
        </w:sdtContent>
      </w:sdt>
      <w:r w:rsidRPr="00CE3398">
        <w:rPr>
          <w:rFonts w:eastAsia="Calibri"/>
          <w:szCs w:val="24"/>
          <w:lang w:eastAsia="en-US"/>
        </w:rPr>
        <w:t xml:space="preserve"> comprovam que, ao longo da vida útil de um veículo automotor rodoviário, ocorre a formação e o acúmulo de depósitos em pontos críticos dos motores a combustão interna. Demonstram ainda o impacto negativo dos depósitos no desempenho e nas emissões de escapamento dos veículos </w:t>
      </w:r>
      <w:sdt>
        <w:sdtPr>
          <w:rPr>
            <w:rFonts w:eastAsia="Calibri"/>
            <w:szCs w:val="24"/>
            <w:lang w:eastAsia="en-US"/>
          </w:rPr>
          <w:id w:val="21586536"/>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RET72 \l 1046  \m TUP86 \m TAN86 \m ROG58 \m UDE88</w:instrText>
          </w:r>
          <w:r w:rsidR="0010373C" w:rsidRPr="00CE3398">
            <w:rPr>
              <w:rFonts w:eastAsia="Calibri"/>
              <w:szCs w:val="24"/>
              <w:lang w:eastAsia="en-US"/>
            </w:rPr>
            <w:fldChar w:fldCharType="separate"/>
          </w:r>
          <w:r w:rsidRPr="00CE3398">
            <w:rPr>
              <w:rFonts w:eastAsia="Calibri"/>
              <w:szCs w:val="24"/>
              <w:lang w:eastAsia="en-US"/>
            </w:rPr>
            <w:t>(11; 12; 13; 14; 15)</w:t>
          </w:r>
          <w:r w:rsidR="0010373C" w:rsidRPr="00CE3398">
            <w:rPr>
              <w:rFonts w:eastAsia="Calibri"/>
              <w:szCs w:val="24"/>
              <w:lang w:eastAsia="en-US"/>
            </w:rPr>
            <w:fldChar w:fldCharType="end"/>
          </w:r>
        </w:sdtContent>
      </w:sdt>
      <w:r w:rsidRPr="00CE3398">
        <w:rPr>
          <w:rFonts w:eastAsia="Calibri"/>
          <w:szCs w:val="24"/>
          <w:lang w:eastAsia="en-US"/>
        </w:rPr>
        <w:t>.</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Com vistas à mitigação das emissões veiculares, e impulsionada pela fase L-6 do PROCONVE, foi publicada a Resolução nº 38, de 9 de dezembro de 2009 </w:t>
      </w:r>
      <w:sdt>
        <w:sdtPr>
          <w:rPr>
            <w:rFonts w:eastAsia="Calibri"/>
            <w:szCs w:val="24"/>
            <w:lang w:eastAsia="en-US"/>
          </w:rPr>
          <w:id w:val="122217643"/>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Bra \l 1046 </w:instrText>
          </w:r>
          <w:r w:rsidR="0010373C" w:rsidRPr="00CE3398">
            <w:rPr>
              <w:rFonts w:eastAsia="Calibri"/>
              <w:szCs w:val="24"/>
              <w:lang w:eastAsia="en-US"/>
            </w:rPr>
            <w:fldChar w:fldCharType="separate"/>
          </w:r>
          <w:r w:rsidRPr="00CE3398">
            <w:rPr>
              <w:rFonts w:eastAsia="Calibri"/>
              <w:szCs w:val="24"/>
              <w:lang w:eastAsia="en-US"/>
            </w:rPr>
            <w:t>(16)</w:t>
          </w:r>
          <w:r w:rsidR="0010373C" w:rsidRPr="00CE3398">
            <w:rPr>
              <w:rFonts w:eastAsia="Calibri"/>
              <w:szCs w:val="24"/>
              <w:lang w:eastAsia="en-US"/>
            </w:rPr>
            <w:fldChar w:fldCharType="end"/>
          </w:r>
        </w:sdtContent>
      </w:sdt>
      <w:r w:rsidRPr="00CE3398">
        <w:rPr>
          <w:rFonts w:eastAsia="Calibri"/>
          <w:szCs w:val="24"/>
          <w:lang w:eastAsia="en-US"/>
        </w:rPr>
        <w:t>, que estabelece que toda gasolina a ser comercializada a partir de 1º de janeiro de 2014 deverá conter aditivo detergente dispersante.</w:t>
      </w:r>
    </w:p>
    <w:p w:rsidR="00103485" w:rsidRPr="00CE3398" w:rsidRDefault="00103485" w:rsidP="00103485">
      <w:pPr>
        <w:pStyle w:val="CorpoTExto"/>
        <w:rPr>
          <w:rFonts w:eastAsia="Calibri"/>
          <w:szCs w:val="24"/>
          <w:lang w:eastAsia="en-US"/>
        </w:rPr>
      </w:pPr>
      <w:r w:rsidRPr="00CE3398">
        <w:rPr>
          <w:rFonts w:eastAsia="Calibri"/>
          <w:szCs w:val="24"/>
          <w:lang w:eastAsia="en-US"/>
        </w:rPr>
        <w:t>Neste sentido, foi formado na ANP um grupo de trabalho (GT) com o objetivo de avaliar o impacto regulatório da aditivação compulsória da gasolina brasileira.</w:t>
      </w:r>
    </w:p>
    <w:p w:rsidR="00103485" w:rsidRPr="00CE3398" w:rsidRDefault="00103485" w:rsidP="00103485">
      <w:pPr>
        <w:pStyle w:val="CorpoTExto"/>
        <w:rPr>
          <w:rFonts w:eastAsia="Calibri"/>
          <w:szCs w:val="24"/>
          <w:lang w:eastAsia="en-US"/>
        </w:rPr>
      </w:pPr>
      <w:r w:rsidRPr="00CE3398">
        <w:rPr>
          <w:rFonts w:eastAsia="Calibri"/>
          <w:szCs w:val="24"/>
          <w:lang w:eastAsia="en-US"/>
        </w:rPr>
        <w:t>Nos desenvolvimentos dos trabalhos do GT, foi mencionado um problema ocorrido no México, relacionado com a formação de emulsão de água em gasolina, propiciada pela presença do aditivo detergente dispersante. Levantada a possibilidade de o problema ocorrer no Brasil, o GT demandou ao CPT que fosse feito um estudo do comportamento da gasolina brasileira ante a presença de pacotes de aditivos detergentes dispersantes, no que tange a formação de emulsões na presença de água.</w:t>
      </w:r>
    </w:p>
    <w:p w:rsidR="00103485" w:rsidRDefault="00103485" w:rsidP="00E67AFA">
      <w:pPr>
        <w:pStyle w:val="CorpoTExto"/>
        <w:spacing w:after="0"/>
        <w:rPr>
          <w:rFonts w:eastAsia="Calibri"/>
          <w:szCs w:val="24"/>
          <w:lang w:eastAsia="en-US"/>
        </w:rPr>
      </w:pPr>
      <w:r w:rsidRPr="00CE3398">
        <w:rPr>
          <w:rFonts w:eastAsia="Calibri"/>
          <w:szCs w:val="24"/>
          <w:lang w:eastAsia="en-US"/>
        </w:rPr>
        <w:t xml:space="preserve">Os principais compostos químicos utilizados como detergentes dispersantes são basicamente moléculas que possuem uma cabeça polar acoplada a uma cauda apolar, por meio de uma ligação apropriada. A presença das duas regiões de polaridades opostas confere a estes compostos a característica anfifílica, o que os torna potenciais formadores de emulsões </w:t>
      </w:r>
      <w:sdt>
        <w:sdtPr>
          <w:rPr>
            <w:rFonts w:eastAsia="Calibri"/>
            <w:szCs w:val="24"/>
            <w:lang w:eastAsia="en-US"/>
          </w:rPr>
          <w:id w:val="21586547"/>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BIT87 \l 1046  \m TUP86</w:instrText>
          </w:r>
          <w:r w:rsidR="0010373C" w:rsidRPr="00CE3398">
            <w:rPr>
              <w:rFonts w:eastAsia="Calibri"/>
              <w:szCs w:val="24"/>
              <w:lang w:eastAsia="en-US"/>
            </w:rPr>
            <w:fldChar w:fldCharType="separate"/>
          </w:r>
          <w:r w:rsidRPr="00CE3398">
            <w:rPr>
              <w:rFonts w:eastAsia="Calibri"/>
              <w:szCs w:val="24"/>
              <w:lang w:eastAsia="en-US"/>
            </w:rPr>
            <w:t>(3; 12)</w:t>
          </w:r>
          <w:r w:rsidR="0010373C" w:rsidRPr="00CE3398">
            <w:rPr>
              <w:rFonts w:eastAsia="Calibri"/>
              <w:szCs w:val="24"/>
              <w:lang w:eastAsia="en-US"/>
            </w:rPr>
            <w:fldChar w:fldCharType="end"/>
          </w:r>
        </w:sdtContent>
      </w:sdt>
      <w:r w:rsidRPr="00CE3398">
        <w:rPr>
          <w:rFonts w:eastAsia="Calibri"/>
          <w:szCs w:val="24"/>
          <w:lang w:eastAsia="en-US"/>
        </w:rPr>
        <w:t>.</w:t>
      </w:r>
    </w:p>
    <w:p w:rsidR="00E67AFA" w:rsidRDefault="00E67AFA">
      <w:pPr>
        <w:spacing w:after="0" w:line="240" w:lineRule="auto"/>
        <w:rPr>
          <w:rFonts w:ascii="Times New Roman" w:hAnsi="Times New Roman"/>
          <w:sz w:val="24"/>
          <w:szCs w:val="24"/>
        </w:rPr>
      </w:pPr>
      <w:r>
        <w:rPr>
          <w:szCs w:val="24"/>
        </w:rPr>
        <w:br w:type="page"/>
      </w:r>
    </w:p>
    <w:p w:rsidR="00E67AFA" w:rsidRPr="00CE3398" w:rsidRDefault="00E67AFA" w:rsidP="00E67AFA">
      <w:pPr>
        <w:pStyle w:val="CorpoTExto"/>
        <w:spacing w:after="0"/>
        <w:rPr>
          <w:rFonts w:eastAsia="Calibri"/>
          <w:szCs w:val="24"/>
          <w:lang w:eastAsia="en-US"/>
        </w:rPr>
      </w:pPr>
    </w:p>
    <w:p w:rsidR="00103485" w:rsidRDefault="00103485" w:rsidP="00E67AFA">
      <w:pPr>
        <w:pStyle w:val="CorpoTExto"/>
        <w:ind w:firstLine="0"/>
        <w:rPr>
          <w:rFonts w:eastAsia="Calibri"/>
        </w:rPr>
      </w:pPr>
      <w:r w:rsidRPr="00CE3398">
        <w:rPr>
          <w:rFonts w:eastAsia="Calibri"/>
        </w:rPr>
        <w:t>METODOLOGIA</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As análises realizadas neste estudo foram baseadas na norma ASTM D7451 – 08a </w:t>
      </w:r>
      <w:sdt>
        <w:sdtPr>
          <w:rPr>
            <w:rFonts w:eastAsia="Calibri"/>
            <w:szCs w:val="24"/>
            <w:lang w:eastAsia="en-US"/>
          </w:rPr>
          <w:id w:val="21586532"/>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AST09 \l 1046  </w:instrText>
          </w:r>
          <w:r w:rsidR="0010373C" w:rsidRPr="00CE3398">
            <w:rPr>
              <w:rFonts w:eastAsia="Calibri"/>
              <w:szCs w:val="24"/>
              <w:lang w:eastAsia="en-US"/>
            </w:rPr>
            <w:fldChar w:fldCharType="separate"/>
          </w:r>
          <w:r w:rsidRPr="00CE3398">
            <w:rPr>
              <w:rFonts w:eastAsia="Calibri"/>
              <w:szCs w:val="24"/>
              <w:lang w:eastAsia="en-US"/>
            </w:rPr>
            <w:t>(17)</w:t>
          </w:r>
          <w:r w:rsidR="0010373C" w:rsidRPr="00CE3398">
            <w:rPr>
              <w:rFonts w:eastAsia="Calibri"/>
              <w:szCs w:val="24"/>
              <w:lang w:eastAsia="en-US"/>
            </w:rPr>
            <w:fldChar w:fldCharType="end"/>
          </w:r>
        </w:sdtContent>
      </w:sdt>
      <w:r w:rsidRPr="00CE3398">
        <w:rPr>
          <w:rFonts w:eastAsia="Calibri"/>
          <w:szCs w:val="24"/>
          <w:lang w:eastAsia="en-US"/>
        </w:rPr>
        <w:t>, com adaptações</w:t>
      </w:r>
      <w:r w:rsidRPr="00CE3398">
        <w:rPr>
          <w:rFonts w:eastAsia="Calibri"/>
          <w:szCs w:val="24"/>
          <w:lang w:eastAsia="en-US"/>
        </w:rPr>
        <w:footnoteReference w:id="11"/>
      </w:r>
      <w:r w:rsidRPr="00CE3398">
        <w:rPr>
          <w:rFonts w:eastAsia="Calibri"/>
          <w:szCs w:val="24"/>
          <w:lang w:eastAsia="en-US"/>
        </w:rPr>
        <w:t>.</w:t>
      </w:r>
    </w:p>
    <w:p w:rsidR="00103485" w:rsidRPr="00CE3398" w:rsidRDefault="00103485" w:rsidP="00103485">
      <w:pPr>
        <w:pStyle w:val="CorpoTExto"/>
        <w:rPr>
          <w:rFonts w:eastAsia="Calibri"/>
          <w:szCs w:val="24"/>
          <w:lang w:eastAsia="en-US"/>
        </w:rPr>
      </w:pPr>
      <w:r w:rsidRPr="00CE3398">
        <w:rPr>
          <w:rFonts w:eastAsia="Calibri"/>
          <w:szCs w:val="24"/>
          <w:lang w:eastAsia="en-US"/>
        </w:rPr>
        <w:t>A norma ASTM D7451 aplica-se a combustíveis com ponto final de ebulição abaixo de 390°C. O objetivo do ensaio é avaliar se misturas de água e combustível se separam facilmente, ao invés de formarem emulsões induzidas pela presença de compostos surfactantes, tais como aditivos detergentes dispersantes.</w:t>
      </w:r>
    </w:p>
    <w:p w:rsidR="00103485" w:rsidRPr="00CE3398" w:rsidRDefault="00103485" w:rsidP="00103485">
      <w:pPr>
        <w:pStyle w:val="CorpoTExto"/>
        <w:rPr>
          <w:rFonts w:eastAsia="Calibri"/>
          <w:szCs w:val="24"/>
          <w:lang w:eastAsia="en-US"/>
        </w:rPr>
      </w:pPr>
      <w:r w:rsidRPr="00CE3398">
        <w:rPr>
          <w:rFonts w:eastAsia="Calibri"/>
          <w:szCs w:val="24"/>
          <w:lang w:eastAsia="en-US"/>
        </w:rPr>
        <w:t>Foram selecionados três pacotes de aditivos detergentes dispersantes de fabricantes distintos. Os pacotes de aditivos são registrados na ANP e disponíveis para compra no mercado brasileiro. Para cada pacote de aditivo, foram preparadas duas amostras aditivadas em dois níveis de dosagem. Um nível baixo, de 100 µL/L, e um nível alto, de 5 000 µL/L. O nível baixo representa a dosagem mínima média recomendada pelos produtores dos pacotes de aditivo. Nesta dosagem, o benefício mínimo de manter limpo válvulas e bicos injetores é garantido por testes específicos em motores e veículos. O nível alto representa uma superdosagem acidental.</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As amostras foram identificadas conforme </w:t>
      </w:r>
      <w:fldSimple w:instr=" REF _Ref341432361 \h  \* MERGEFORMAT ">
        <w:r w:rsidR="00C46797" w:rsidRPr="00C46797">
          <w:rPr>
            <w:rFonts w:eastAsia="Calibri"/>
            <w:szCs w:val="24"/>
            <w:lang w:eastAsia="en-US"/>
          </w:rPr>
          <w:t>Tabela 3</w:t>
        </w:r>
      </w:fldSimple>
      <w:r w:rsidRPr="00CE3398">
        <w:rPr>
          <w:rFonts w:eastAsia="Calibri"/>
          <w:szCs w:val="24"/>
          <w:lang w:eastAsia="en-US"/>
        </w:rPr>
        <w:t>:</w:t>
      </w:r>
    </w:p>
    <w:p w:rsidR="00103485" w:rsidRPr="00CE3398" w:rsidRDefault="00103485" w:rsidP="00103485">
      <w:pPr>
        <w:pStyle w:val="Legenda"/>
        <w:rPr>
          <w:rFonts w:ascii="Times New Roman" w:hAnsi="Times New Roman"/>
          <w:b w:val="0"/>
          <w:bCs w:val="0"/>
          <w:color w:val="auto"/>
          <w:sz w:val="24"/>
          <w:szCs w:val="24"/>
        </w:rPr>
      </w:pPr>
      <w:bookmarkStart w:id="2" w:name="_Ref341432361"/>
      <w:r w:rsidRPr="00CE3398">
        <w:rPr>
          <w:rFonts w:ascii="Times New Roman" w:hAnsi="Times New Roman"/>
          <w:b w:val="0"/>
          <w:bCs w:val="0"/>
          <w:color w:val="auto"/>
          <w:sz w:val="24"/>
          <w:szCs w:val="24"/>
        </w:rPr>
        <w:t xml:space="preserve">Tabela </w:t>
      </w:r>
      <w:r w:rsidR="0010373C" w:rsidRPr="00CE3398">
        <w:rPr>
          <w:rFonts w:ascii="Times New Roman" w:hAnsi="Times New Roman"/>
          <w:b w:val="0"/>
          <w:bCs w:val="0"/>
          <w:color w:val="auto"/>
          <w:sz w:val="24"/>
          <w:szCs w:val="24"/>
        </w:rPr>
        <w:fldChar w:fldCharType="begin"/>
      </w:r>
      <w:r w:rsidRPr="00CE3398">
        <w:rPr>
          <w:rFonts w:ascii="Times New Roman" w:hAnsi="Times New Roman"/>
          <w:b w:val="0"/>
          <w:bCs w:val="0"/>
          <w:color w:val="auto"/>
          <w:sz w:val="24"/>
          <w:szCs w:val="24"/>
        </w:rPr>
        <w:instrText xml:space="preserve"> SEQ Tabela \* ARABIC </w:instrText>
      </w:r>
      <w:r w:rsidR="0010373C" w:rsidRPr="00CE3398">
        <w:rPr>
          <w:rFonts w:ascii="Times New Roman" w:hAnsi="Times New Roman"/>
          <w:b w:val="0"/>
          <w:bCs w:val="0"/>
          <w:color w:val="auto"/>
          <w:sz w:val="24"/>
          <w:szCs w:val="24"/>
        </w:rPr>
        <w:fldChar w:fldCharType="separate"/>
      </w:r>
      <w:r w:rsidR="00C46797">
        <w:rPr>
          <w:rFonts w:ascii="Times New Roman" w:hAnsi="Times New Roman"/>
          <w:b w:val="0"/>
          <w:bCs w:val="0"/>
          <w:noProof/>
          <w:color w:val="auto"/>
          <w:sz w:val="24"/>
          <w:szCs w:val="24"/>
        </w:rPr>
        <w:t>3</w:t>
      </w:r>
      <w:r w:rsidR="0010373C" w:rsidRPr="00CE3398">
        <w:rPr>
          <w:rFonts w:ascii="Times New Roman" w:hAnsi="Times New Roman"/>
          <w:b w:val="0"/>
          <w:bCs w:val="0"/>
          <w:color w:val="auto"/>
          <w:sz w:val="24"/>
          <w:szCs w:val="24"/>
        </w:rPr>
        <w:fldChar w:fldCharType="end"/>
      </w:r>
      <w:bookmarkEnd w:id="2"/>
    </w:p>
    <w:p w:rsidR="00103485" w:rsidRPr="00CE3398" w:rsidRDefault="00103485" w:rsidP="00103485">
      <w:pPr>
        <w:pStyle w:val="LegendaTabTitulo"/>
        <w:rPr>
          <w:rFonts w:eastAsia="Calibri"/>
          <w:sz w:val="24"/>
          <w:szCs w:val="24"/>
          <w:lang w:eastAsia="en-US"/>
        </w:rPr>
      </w:pPr>
      <w:r w:rsidRPr="00CE3398">
        <w:rPr>
          <w:rFonts w:eastAsia="Calibri"/>
          <w:sz w:val="24"/>
          <w:szCs w:val="24"/>
          <w:lang w:eastAsia="en-US"/>
        </w:rPr>
        <w:t>Identificação e composição das amostras.</w:t>
      </w:r>
    </w:p>
    <w:tbl>
      <w:tblPr>
        <w:tblStyle w:val="Tabelacomgrad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538"/>
        <w:gridCol w:w="1938"/>
        <w:gridCol w:w="1276"/>
        <w:gridCol w:w="1736"/>
        <w:gridCol w:w="1839"/>
      </w:tblGrid>
      <w:tr w:rsidR="00103485" w:rsidRPr="00CE3398" w:rsidTr="00E67AFA">
        <w:trPr>
          <w:jc w:val="center"/>
        </w:trPr>
        <w:tc>
          <w:tcPr>
            <w:tcW w:w="2538" w:type="dxa"/>
            <w:tcMar>
              <w:top w:w="85" w:type="dxa"/>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Identificação da amostra</w:t>
            </w:r>
          </w:p>
        </w:tc>
        <w:tc>
          <w:tcPr>
            <w:tcW w:w="1938"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Identificação do aditivo</w:t>
            </w:r>
          </w:p>
        </w:tc>
        <w:tc>
          <w:tcPr>
            <w:tcW w:w="1276"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Dosagem [µL/L]</w:t>
            </w:r>
          </w:p>
        </w:tc>
        <w:tc>
          <w:tcPr>
            <w:tcW w:w="1736"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Identificação do combustível</w:t>
            </w:r>
          </w:p>
        </w:tc>
        <w:tc>
          <w:tcPr>
            <w:tcW w:w="1839"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 xml:space="preserve">Teor de etanol </w:t>
            </w:r>
          </w:p>
          <w:p w:rsidR="00103485" w:rsidRPr="00CE3398" w:rsidRDefault="00103485" w:rsidP="0087016A">
            <w:pPr>
              <w:rPr>
                <w:rFonts w:ascii="Times New Roman" w:hAnsi="Times New Roman"/>
                <w:sz w:val="24"/>
                <w:szCs w:val="24"/>
              </w:rPr>
            </w:pPr>
            <w:r w:rsidRPr="00CE3398">
              <w:rPr>
                <w:rFonts w:ascii="Times New Roman" w:hAnsi="Times New Roman"/>
                <w:sz w:val="24"/>
                <w:szCs w:val="24"/>
              </w:rPr>
              <w:t>[% v/v]</w:t>
            </w:r>
          </w:p>
        </w:tc>
      </w:tr>
      <w:tr w:rsidR="00103485" w:rsidRPr="00CE3398" w:rsidTr="00E67AFA">
        <w:trPr>
          <w:trHeight w:val="266"/>
          <w:jc w:val="center"/>
        </w:trPr>
        <w:tc>
          <w:tcPr>
            <w:tcW w:w="2538" w:type="dxa"/>
            <w:tcMar>
              <w:top w:w="85" w:type="dxa"/>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TKS00_0_GCC56</w:t>
            </w:r>
          </w:p>
        </w:tc>
        <w:tc>
          <w:tcPr>
            <w:tcW w:w="1938" w:type="dxa"/>
            <w:tcMar>
              <w:top w:w="85" w:type="dxa"/>
            </w:tcMar>
          </w:tcPr>
          <w:p w:rsidR="00103485" w:rsidRPr="00CE3398" w:rsidRDefault="00103485" w:rsidP="0087016A">
            <w:pPr>
              <w:rPr>
                <w:rFonts w:ascii="Times New Roman" w:hAnsi="Times New Roman"/>
                <w:sz w:val="24"/>
                <w:szCs w:val="24"/>
              </w:rPr>
            </w:pPr>
          </w:p>
        </w:tc>
        <w:tc>
          <w:tcPr>
            <w:tcW w:w="1276" w:type="dxa"/>
            <w:tcMar>
              <w:top w:w="85" w:type="dxa"/>
            </w:tcMar>
          </w:tcPr>
          <w:p w:rsidR="00103485" w:rsidRPr="00CE3398" w:rsidRDefault="00103485" w:rsidP="0087016A">
            <w:pPr>
              <w:rPr>
                <w:rFonts w:ascii="Times New Roman" w:hAnsi="Times New Roman"/>
                <w:sz w:val="24"/>
                <w:szCs w:val="24"/>
              </w:rPr>
            </w:pPr>
          </w:p>
        </w:tc>
        <w:tc>
          <w:tcPr>
            <w:tcW w:w="1736" w:type="dxa"/>
            <w:tcMar>
              <w:top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GCC56</w:t>
            </w:r>
          </w:p>
        </w:tc>
        <w:tc>
          <w:tcPr>
            <w:tcW w:w="1839" w:type="dxa"/>
            <w:tcMar>
              <w:top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TKS34_1_GCC56</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GCC56</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TKS34_5_GCC56</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5 000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GCC56</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TKS75_1_GCC56</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GCC56</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TKS75_5_GCC56</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5 000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GCC56</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TKS12_1_GCC56</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GCC56</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20</w:t>
            </w:r>
          </w:p>
        </w:tc>
      </w:tr>
      <w:tr w:rsidR="00103485" w:rsidRPr="00CE3398" w:rsidTr="00E67AFA">
        <w:trPr>
          <w:trHeight w:val="266"/>
          <w:jc w:val="center"/>
        </w:trPr>
        <w:tc>
          <w:tcPr>
            <w:tcW w:w="2538" w:type="dxa"/>
            <w:tcMar>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TKS12_5_GCC56</w:t>
            </w:r>
          </w:p>
        </w:tc>
        <w:tc>
          <w:tcPr>
            <w:tcW w:w="1938" w:type="dxa"/>
            <w:tcMar>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w:t>
            </w:r>
          </w:p>
        </w:tc>
        <w:tc>
          <w:tcPr>
            <w:tcW w:w="1276" w:type="dxa"/>
            <w:tcMar>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5 000</w:t>
            </w:r>
          </w:p>
        </w:tc>
        <w:tc>
          <w:tcPr>
            <w:tcW w:w="1736" w:type="dxa"/>
            <w:tcMar>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GCC56</w:t>
            </w:r>
          </w:p>
        </w:tc>
        <w:tc>
          <w:tcPr>
            <w:tcW w:w="1839" w:type="dxa"/>
            <w:tcMar>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20</w:t>
            </w:r>
          </w:p>
        </w:tc>
      </w:tr>
    </w:tbl>
    <w:p w:rsidR="00103485" w:rsidRPr="00CE3398" w:rsidRDefault="00103485" w:rsidP="00103485">
      <w:pPr>
        <w:rPr>
          <w:rFonts w:ascii="Times New Roman" w:hAnsi="Times New Roman"/>
          <w:sz w:val="24"/>
          <w:szCs w:val="24"/>
        </w:rPr>
      </w:pPr>
      <w:r w:rsidRPr="00CE3398">
        <w:rPr>
          <w:rFonts w:ascii="Times New Roman" w:hAnsi="Times New Roman"/>
          <w:sz w:val="24"/>
          <w:szCs w:val="24"/>
        </w:rPr>
        <w:br w:type="page"/>
      </w:r>
    </w:p>
    <w:p w:rsidR="00103485" w:rsidRPr="00CE3398" w:rsidRDefault="00103485" w:rsidP="00103485">
      <w:pPr>
        <w:pStyle w:val="Ttulo1"/>
        <w:spacing w:after="480"/>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lastRenderedPageBreak/>
        <w:t>RESULTADOS</w:t>
      </w:r>
    </w:p>
    <w:p w:rsidR="00103485" w:rsidRPr="00CE3398" w:rsidRDefault="00103485" w:rsidP="00103485">
      <w:pPr>
        <w:pStyle w:val="CorpoTExto"/>
        <w:rPr>
          <w:rFonts w:eastAsia="Calibri"/>
          <w:szCs w:val="24"/>
          <w:lang w:eastAsia="en-US"/>
        </w:rPr>
      </w:pPr>
      <w:r w:rsidRPr="00CE3398">
        <w:rPr>
          <w:rFonts w:eastAsia="Calibri"/>
          <w:szCs w:val="24"/>
          <w:lang w:eastAsia="en-US"/>
        </w:rPr>
        <w:t>Inicialmente foi realizada a análise da amostra sem aditivo. Em seguida, foram analisadas as amostras aditivadas. Os resultados das amostras com aditivo foram então comparados com o resultado da amostra sem aditivo.</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Os resultados das análises encontram-se resumidos na </w:t>
      </w:r>
      <w:fldSimple w:instr=" REF _Ref341434527 \h  \* MERGEFORMAT ">
        <w:r w:rsidR="00C46797" w:rsidRPr="00C46797">
          <w:rPr>
            <w:rFonts w:eastAsia="Calibri"/>
            <w:szCs w:val="24"/>
            <w:lang w:eastAsia="en-US"/>
          </w:rPr>
          <w:t>Tabela 4</w:t>
        </w:r>
      </w:fldSimple>
      <w:r w:rsidRPr="00CE3398">
        <w:rPr>
          <w:rFonts w:eastAsia="Calibri"/>
          <w:szCs w:val="24"/>
          <w:lang w:eastAsia="en-US"/>
        </w:rPr>
        <w:t xml:space="preserve"> abaixo:</w:t>
      </w:r>
    </w:p>
    <w:p w:rsidR="00103485" w:rsidRPr="00CE3398" w:rsidRDefault="00103485" w:rsidP="00103485">
      <w:pPr>
        <w:pStyle w:val="Legenda"/>
        <w:rPr>
          <w:rFonts w:ascii="Times New Roman" w:hAnsi="Times New Roman"/>
          <w:b w:val="0"/>
          <w:bCs w:val="0"/>
          <w:color w:val="auto"/>
          <w:sz w:val="24"/>
          <w:szCs w:val="24"/>
        </w:rPr>
      </w:pPr>
      <w:bookmarkStart w:id="3" w:name="_Ref341434527"/>
      <w:r w:rsidRPr="00CE3398">
        <w:rPr>
          <w:rFonts w:ascii="Times New Roman" w:hAnsi="Times New Roman"/>
          <w:b w:val="0"/>
          <w:bCs w:val="0"/>
          <w:color w:val="auto"/>
          <w:sz w:val="24"/>
          <w:szCs w:val="24"/>
        </w:rPr>
        <w:t xml:space="preserve">Tabela </w:t>
      </w:r>
      <w:r w:rsidR="0010373C" w:rsidRPr="00CE3398">
        <w:rPr>
          <w:rFonts w:ascii="Times New Roman" w:hAnsi="Times New Roman"/>
          <w:b w:val="0"/>
          <w:bCs w:val="0"/>
          <w:color w:val="auto"/>
          <w:sz w:val="24"/>
          <w:szCs w:val="24"/>
        </w:rPr>
        <w:fldChar w:fldCharType="begin"/>
      </w:r>
      <w:r w:rsidRPr="00CE3398">
        <w:rPr>
          <w:rFonts w:ascii="Times New Roman" w:hAnsi="Times New Roman"/>
          <w:b w:val="0"/>
          <w:bCs w:val="0"/>
          <w:color w:val="auto"/>
          <w:sz w:val="24"/>
          <w:szCs w:val="24"/>
        </w:rPr>
        <w:instrText xml:space="preserve"> SEQ Tabela \* ARABIC </w:instrText>
      </w:r>
      <w:r w:rsidR="0010373C" w:rsidRPr="00CE3398">
        <w:rPr>
          <w:rFonts w:ascii="Times New Roman" w:hAnsi="Times New Roman"/>
          <w:b w:val="0"/>
          <w:bCs w:val="0"/>
          <w:color w:val="auto"/>
          <w:sz w:val="24"/>
          <w:szCs w:val="24"/>
        </w:rPr>
        <w:fldChar w:fldCharType="separate"/>
      </w:r>
      <w:r w:rsidR="00C46797">
        <w:rPr>
          <w:rFonts w:ascii="Times New Roman" w:hAnsi="Times New Roman"/>
          <w:b w:val="0"/>
          <w:bCs w:val="0"/>
          <w:noProof/>
          <w:color w:val="auto"/>
          <w:sz w:val="24"/>
          <w:szCs w:val="24"/>
        </w:rPr>
        <w:t>4</w:t>
      </w:r>
      <w:r w:rsidR="0010373C" w:rsidRPr="00CE3398">
        <w:rPr>
          <w:rFonts w:ascii="Times New Roman" w:hAnsi="Times New Roman"/>
          <w:b w:val="0"/>
          <w:bCs w:val="0"/>
          <w:color w:val="auto"/>
          <w:sz w:val="24"/>
          <w:szCs w:val="24"/>
        </w:rPr>
        <w:fldChar w:fldCharType="end"/>
      </w:r>
      <w:bookmarkEnd w:id="3"/>
    </w:p>
    <w:p w:rsidR="00103485" w:rsidRPr="00CE3398" w:rsidRDefault="00103485" w:rsidP="00103485">
      <w:pPr>
        <w:pStyle w:val="LegendaTabTitulo"/>
        <w:rPr>
          <w:rFonts w:eastAsia="Calibri"/>
          <w:sz w:val="24"/>
          <w:szCs w:val="24"/>
          <w:lang w:eastAsia="en-US"/>
        </w:rPr>
      </w:pPr>
      <w:r w:rsidRPr="00CE3398">
        <w:rPr>
          <w:rFonts w:eastAsia="Calibri"/>
          <w:sz w:val="24"/>
          <w:szCs w:val="24"/>
          <w:lang w:eastAsia="en-US"/>
        </w:rPr>
        <w:t>Resultados das análises.</w:t>
      </w:r>
    </w:p>
    <w:tbl>
      <w:tblPr>
        <w:tblStyle w:val="Tabelacomgrad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50"/>
        <w:gridCol w:w="2282"/>
        <w:gridCol w:w="2282"/>
        <w:gridCol w:w="2280"/>
      </w:tblGrid>
      <w:tr w:rsidR="00103485" w:rsidRPr="00CE3398" w:rsidTr="00E67AFA">
        <w:trPr>
          <w:jc w:val="center"/>
        </w:trPr>
        <w:tc>
          <w:tcPr>
            <w:tcW w:w="1542" w:type="pct"/>
            <w:tcMar>
              <w:top w:w="85" w:type="dxa"/>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Identificação da amostra</w:t>
            </w:r>
          </w:p>
        </w:tc>
        <w:tc>
          <w:tcPr>
            <w:tcW w:w="1153" w:type="pct"/>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Avaliação da claridade do combustível</w:t>
            </w:r>
          </w:p>
        </w:tc>
        <w:tc>
          <w:tcPr>
            <w:tcW w:w="1153" w:type="pct"/>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Avaliação do grau de separação água/combustível</w:t>
            </w:r>
          </w:p>
        </w:tc>
        <w:tc>
          <w:tcPr>
            <w:tcW w:w="1153" w:type="pct"/>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Avaliação da condição da interface</w:t>
            </w:r>
          </w:p>
        </w:tc>
      </w:tr>
      <w:tr w:rsidR="00103485" w:rsidRPr="00CE3398" w:rsidTr="00E67AFA">
        <w:trPr>
          <w:jc w:val="center"/>
        </w:trPr>
        <w:tc>
          <w:tcPr>
            <w:tcW w:w="1542" w:type="pct"/>
            <w:tcMar>
              <w:top w:w="85" w:type="dxa"/>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TKS00_0_GCC56</w:t>
            </w:r>
          </w:p>
        </w:tc>
        <w:tc>
          <w:tcPr>
            <w:tcW w:w="1153" w:type="pct"/>
            <w:tcMar>
              <w:top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1153" w:type="pct"/>
            <w:tcMar>
              <w:top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1153" w:type="pct"/>
            <w:tcMar>
              <w:top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1542" w:type="pct"/>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TKS34_1_GCC56</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1542" w:type="pct"/>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TKS34_5_GCC56</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5</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1542" w:type="pct"/>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TKS75_1_GCC56</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1542" w:type="pct"/>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TKS75_5_GCC56</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6</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1542" w:type="pct"/>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TKS12_1_GCC56</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1153" w:type="pct"/>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1542" w:type="pct"/>
            <w:tcMar>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TKS12_5_GCC56</w:t>
            </w:r>
          </w:p>
        </w:tc>
        <w:tc>
          <w:tcPr>
            <w:tcW w:w="1153" w:type="pct"/>
            <w:tcMar>
              <w:bottom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1153" w:type="pct"/>
            <w:tcMar>
              <w:bottom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1153" w:type="pct"/>
            <w:tcMar>
              <w:bottom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bl>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Os registros fotográficos das análises encontram-se condensados no anexo desta nota técnica.</w:t>
      </w:r>
    </w:p>
    <w:p w:rsidR="00103485" w:rsidRPr="00CE3398" w:rsidRDefault="00103485" w:rsidP="00103485">
      <w:pPr>
        <w:pStyle w:val="Ttulo1"/>
        <w:spacing w:after="480"/>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CONCLUSÕES</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Como se pode observar na </w:t>
      </w:r>
      <w:fldSimple w:instr=" REF _Ref341434527 \h  \* MERGEFORMAT ">
        <w:r w:rsidR="00C46797" w:rsidRPr="00C46797">
          <w:rPr>
            <w:rFonts w:eastAsia="Calibri"/>
            <w:szCs w:val="24"/>
            <w:lang w:eastAsia="en-US"/>
          </w:rPr>
          <w:t>Tabela 4</w:t>
        </w:r>
      </w:fldSimple>
      <w:r w:rsidRPr="00CE3398">
        <w:rPr>
          <w:rFonts w:eastAsia="Calibri"/>
          <w:szCs w:val="24"/>
          <w:lang w:eastAsia="en-US"/>
        </w:rPr>
        <w:t xml:space="preserve"> e nas imagens em anexo, para nenhuma das amostras estudadas foi verificada anomalia na interface, em concentrações de 100 µL/L.</w:t>
      </w:r>
    </w:p>
    <w:p w:rsidR="00103485" w:rsidRPr="00CE3398" w:rsidRDefault="00103485" w:rsidP="00103485">
      <w:pPr>
        <w:pStyle w:val="CorpoTExto"/>
        <w:rPr>
          <w:rFonts w:eastAsia="Calibri"/>
          <w:szCs w:val="24"/>
          <w:lang w:eastAsia="en-US"/>
        </w:rPr>
      </w:pPr>
      <w:r w:rsidRPr="00CE3398">
        <w:rPr>
          <w:rFonts w:eastAsia="Calibri"/>
          <w:szCs w:val="24"/>
          <w:lang w:eastAsia="en-US"/>
        </w:rPr>
        <w:t>Com relação ao grau de separação, pode-se observar a formação de emulsão esbranquiçada em todas as amostras. Esta emulsão é de grau semelhante ao observado na amostra controle (i.e. gasolina sem aditivo).</w:t>
      </w:r>
    </w:p>
    <w:p w:rsidR="00103485" w:rsidRPr="00CE3398" w:rsidRDefault="00103485" w:rsidP="00103485">
      <w:pPr>
        <w:pStyle w:val="CorpoTExto"/>
        <w:rPr>
          <w:rFonts w:eastAsia="Calibri"/>
          <w:szCs w:val="24"/>
          <w:lang w:eastAsia="en-US"/>
        </w:rPr>
      </w:pPr>
      <w:r w:rsidRPr="00CE3398">
        <w:rPr>
          <w:rFonts w:eastAsia="Calibri"/>
          <w:szCs w:val="24"/>
          <w:lang w:eastAsia="en-US"/>
        </w:rPr>
        <w:t>As amostras TKS34_5_GCC56 e TKS75_5_GCC56 apresentaram alto grau de emulsificação, dada a concentração de 5 000 µL/L de aditivo. As classificações de claridade na escala haze em 5 e 6, respectivamente, comprovam este fato.</w:t>
      </w:r>
    </w:p>
    <w:p w:rsidR="00103485" w:rsidRPr="00CE3398" w:rsidRDefault="00103485" w:rsidP="00103485">
      <w:pPr>
        <w:pStyle w:val="CorpoTExto"/>
        <w:rPr>
          <w:rFonts w:eastAsia="Calibri"/>
          <w:szCs w:val="24"/>
          <w:lang w:eastAsia="en-US"/>
        </w:rPr>
      </w:pPr>
      <w:r w:rsidRPr="00CE3398">
        <w:rPr>
          <w:rFonts w:eastAsia="Calibri"/>
          <w:szCs w:val="24"/>
          <w:lang w:eastAsia="en-US"/>
        </w:rPr>
        <w:t>A amostra TKS12_5_GCC56 apresentou turbidez limitada ao meio da escala (classificação 3) e o pacote TKS12 foi considerado o menos emulsificante.</w:t>
      </w:r>
    </w:p>
    <w:p w:rsidR="00103485" w:rsidRPr="00CE3398" w:rsidRDefault="00103485" w:rsidP="00103485">
      <w:pPr>
        <w:pStyle w:val="CorpoTExto"/>
        <w:rPr>
          <w:rFonts w:eastAsia="Calibri"/>
          <w:szCs w:val="24"/>
          <w:lang w:eastAsia="en-US"/>
        </w:rPr>
      </w:pPr>
      <w:r w:rsidRPr="00CE3398">
        <w:rPr>
          <w:rFonts w:eastAsia="Calibri"/>
          <w:szCs w:val="24"/>
          <w:lang w:eastAsia="en-US"/>
        </w:rPr>
        <w:lastRenderedPageBreak/>
        <w:t>Todas as amostras apresentaram formação de emulsão e/ou bolhas nas camadas aquosas o que as classifica como grau 3 quanto à separação água/combustível.</w:t>
      </w:r>
    </w:p>
    <w:p w:rsidR="00103485" w:rsidRPr="00CE3398" w:rsidRDefault="00103485" w:rsidP="00103485">
      <w:pPr>
        <w:pStyle w:val="CorpoTExto"/>
        <w:rPr>
          <w:rFonts w:eastAsia="Calibri"/>
          <w:szCs w:val="24"/>
          <w:lang w:eastAsia="en-US"/>
        </w:rPr>
      </w:pPr>
      <w:r w:rsidRPr="00CE3398">
        <w:rPr>
          <w:rFonts w:eastAsia="Calibri"/>
          <w:szCs w:val="24"/>
          <w:lang w:eastAsia="en-US"/>
        </w:rPr>
        <w:t>O volume da camada aquosa não foi medido uma vez que o tubo utilizado não possui escala na região de interface. Essa informação poderia fornecer conclusões sobre a dissolução de água na camada orgânica sem formação de turbidez.</w:t>
      </w:r>
    </w:p>
    <w:p w:rsidR="00103485" w:rsidRPr="00CE3398" w:rsidRDefault="00103485" w:rsidP="00103485">
      <w:pPr>
        <w:pStyle w:val="CorpoTExto"/>
        <w:rPr>
          <w:rFonts w:eastAsia="Calibri"/>
          <w:szCs w:val="24"/>
          <w:lang w:eastAsia="en-US"/>
        </w:rPr>
      </w:pPr>
      <w:r w:rsidRPr="00CE3398">
        <w:rPr>
          <w:rFonts w:eastAsia="Calibri"/>
          <w:szCs w:val="24"/>
          <w:lang w:eastAsia="en-US"/>
        </w:rPr>
        <w:t>Desta forma, para os pacotes de aditivos estudados, pode-se concluir que no teor de aditivação de 100 µL/L em gasolina tipo C não há alteração visível no aspecto do combustível e nas características de emulsificação na presença de água.</w:t>
      </w:r>
    </w:p>
    <w:p w:rsidR="00103485" w:rsidRPr="00CE3398" w:rsidRDefault="00103485" w:rsidP="00103485">
      <w:pPr>
        <w:pStyle w:val="CorpoTExto"/>
        <w:rPr>
          <w:rFonts w:eastAsia="Calibri"/>
          <w:szCs w:val="24"/>
          <w:lang w:eastAsia="en-US"/>
        </w:rPr>
      </w:pPr>
      <w:r w:rsidRPr="00CE3398">
        <w:rPr>
          <w:rFonts w:eastAsia="Calibri"/>
          <w:szCs w:val="24"/>
          <w:lang w:eastAsia="en-US"/>
        </w:rPr>
        <w:t>Como estudos futuros, propõem-se: execução das análises conforme a norma ASTM D7451, ipsis litteris; análises nas concentrações de aditivos de 200 µL/L a 1 000 µL/L; avaliação de outros pacotes de aditivos em uma matriz diversificada de gasolinas brasileiras.</w:t>
      </w:r>
    </w:p>
    <w:p w:rsidR="00103485" w:rsidRPr="00CE3398" w:rsidRDefault="00103485" w:rsidP="00103485">
      <w:pPr>
        <w:pStyle w:val="CorpoTExto"/>
        <w:spacing w:before="840"/>
        <w:ind w:firstLine="0"/>
        <w:rPr>
          <w:rFonts w:eastAsia="Calibri"/>
          <w:szCs w:val="24"/>
          <w:lang w:eastAsia="en-US"/>
        </w:rPr>
      </w:pPr>
      <w:r w:rsidRPr="00CE3398">
        <w:rPr>
          <w:rFonts w:eastAsia="Calibri"/>
          <w:szCs w:val="24"/>
          <w:lang w:eastAsia="en-US"/>
        </w:rPr>
        <w:t>Nota Técnica elaborada por:</w:t>
      </w:r>
    </w:p>
    <w:p w:rsidR="00103485" w:rsidRPr="00CE3398" w:rsidRDefault="00103485" w:rsidP="00103485">
      <w:pPr>
        <w:pStyle w:val="CorpoTExto"/>
        <w:spacing w:before="840" w:after="0"/>
        <w:ind w:firstLine="0"/>
        <w:rPr>
          <w:rFonts w:eastAsia="Calibri"/>
          <w:szCs w:val="24"/>
          <w:lang w:eastAsia="en-US"/>
        </w:rPr>
      </w:pPr>
      <w:r w:rsidRPr="00CE3398">
        <w:rPr>
          <w:rFonts w:eastAsia="Calibri"/>
          <w:szCs w:val="24"/>
          <w:lang w:eastAsia="en-US"/>
        </w:rPr>
        <w:t>Thiago Machado Karashima</w:t>
      </w:r>
    </w:p>
    <w:p w:rsidR="00103485" w:rsidRPr="00CE3398" w:rsidRDefault="00103485" w:rsidP="00103485">
      <w:pPr>
        <w:pStyle w:val="CorpoTExto"/>
        <w:ind w:firstLine="0"/>
        <w:rPr>
          <w:rFonts w:eastAsia="Calibri"/>
          <w:szCs w:val="24"/>
          <w:lang w:eastAsia="en-US"/>
        </w:rPr>
      </w:pPr>
      <w:r w:rsidRPr="00CE3398">
        <w:rPr>
          <w:rFonts w:eastAsia="Calibri"/>
          <w:szCs w:val="24"/>
          <w:lang w:eastAsia="en-US"/>
        </w:rPr>
        <w:t>Especialista em Regulação – CPT</w:t>
      </w:r>
    </w:p>
    <w:p w:rsidR="00103485" w:rsidRPr="00CE3398" w:rsidRDefault="00103485" w:rsidP="00103485">
      <w:pPr>
        <w:pStyle w:val="CorpoTExto"/>
        <w:spacing w:before="840" w:after="0"/>
        <w:ind w:firstLine="0"/>
        <w:rPr>
          <w:rFonts w:eastAsia="Calibri"/>
          <w:szCs w:val="24"/>
          <w:lang w:eastAsia="en-US"/>
        </w:rPr>
      </w:pPr>
      <w:r w:rsidRPr="00CE3398">
        <w:rPr>
          <w:rFonts w:eastAsia="Calibri"/>
          <w:szCs w:val="24"/>
          <w:lang w:eastAsia="en-US"/>
        </w:rPr>
        <w:t>Alex Rodrigues Brito de Medeiros</w:t>
      </w:r>
    </w:p>
    <w:p w:rsidR="00103485" w:rsidRPr="00CE3398" w:rsidRDefault="00103485" w:rsidP="00103485">
      <w:pPr>
        <w:pStyle w:val="CorpoTExto"/>
        <w:ind w:firstLine="0"/>
        <w:rPr>
          <w:rFonts w:eastAsia="Calibri"/>
          <w:szCs w:val="24"/>
          <w:lang w:eastAsia="en-US"/>
        </w:rPr>
      </w:pPr>
      <w:r w:rsidRPr="00CE3398">
        <w:rPr>
          <w:rFonts w:eastAsia="Calibri"/>
          <w:szCs w:val="24"/>
          <w:lang w:eastAsia="en-US"/>
        </w:rPr>
        <w:t>Especialista em Regulação – CPT</w:t>
      </w:r>
    </w:p>
    <w:p w:rsidR="00103485" w:rsidRPr="00CE3398" w:rsidRDefault="00103485" w:rsidP="00103485">
      <w:pPr>
        <w:pStyle w:val="CorpoTExto"/>
        <w:ind w:firstLine="0"/>
        <w:rPr>
          <w:rFonts w:eastAsia="Calibri"/>
          <w:szCs w:val="24"/>
          <w:lang w:eastAsia="en-US"/>
        </w:rPr>
      </w:pPr>
      <w:r w:rsidRPr="00CE3398">
        <w:rPr>
          <w:rFonts w:eastAsia="Calibri"/>
          <w:szCs w:val="24"/>
          <w:lang w:eastAsia="en-US"/>
        </w:rPr>
        <w:t>De acordo:</w:t>
      </w:r>
    </w:p>
    <w:p w:rsidR="00103485" w:rsidRPr="00CE3398" w:rsidRDefault="00103485" w:rsidP="00103485">
      <w:pPr>
        <w:pStyle w:val="CorpoTExto"/>
        <w:spacing w:before="840" w:after="0"/>
        <w:ind w:firstLine="0"/>
        <w:rPr>
          <w:rFonts w:eastAsia="Calibri"/>
          <w:szCs w:val="24"/>
          <w:lang w:eastAsia="en-US"/>
        </w:rPr>
      </w:pPr>
      <w:r w:rsidRPr="00CE3398">
        <w:rPr>
          <w:rFonts w:eastAsia="Calibri"/>
          <w:szCs w:val="24"/>
          <w:lang w:eastAsia="en-US"/>
        </w:rPr>
        <w:t>Vinícius Leandro Skrobot</w:t>
      </w:r>
    </w:p>
    <w:p w:rsidR="00103485" w:rsidRPr="00CE3398" w:rsidRDefault="00103485" w:rsidP="00103485">
      <w:pPr>
        <w:pStyle w:val="CorpoTExto"/>
        <w:ind w:firstLine="0"/>
        <w:rPr>
          <w:rFonts w:eastAsia="Calibri"/>
          <w:szCs w:val="24"/>
          <w:lang w:eastAsia="en-US"/>
        </w:rPr>
      </w:pPr>
      <w:r w:rsidRPr="00CE3398">
        <w:rPr>
          <w:rFonts w:eastAsia="Calibri"/>
          <w:szCs w:val="24"/>
          <w:lang w:eastAsia="en-US"/>
        </w:rPr>
        <w:t>Coordenador do CPT</w:t>
      </w:r>
    </w:p>
    <w:p w:rsidR="00103485" w:rsidRPr="00CE3398" w:rsidRDefault="00BB64CC" w:rsidP="00103485">
      <w:pPr>
        <w:pStyle w:val="Ttulo1"/>
        <w:rPr>
          <w:rFonts w:ascii="Times New Roman" w:hAnsi="Times New Roman" w:cs="Times New Roman"/>
          <w:b w:val="0"/>
          <w:color w:val="auto"/>
          <w:sz w:val="24"/>
          <w:szCs w:val="24"/>
          <w:lang w:val="en-US"/>
        </w:rPr>
      </w:pPr>
      <w:r w:rsidRPr="00CE3398">
        <w:rPr>
          <w:rFonts w:ascii="Times New Roman" w:hAnsi="Times New Roman" w:cs="Times New Roman"/>
          <w:b w:val="0"/>
          <w:color w:val="auto"/>
          <w:sz w:val="24"/>
          <w:szCs w:val="24"/>
          <w:lang w:val="en-US"/>
        </w:rPr>
        <w:t>OBRAS CITADAS</w:t>
      </w:r>
    </w:p>
    <w:p w:rsidR="00103485" w:rsidRPr="00CE3398" w:rsidRDefault="0010373C" w:rsidP="00103485">
      <w:pPr>
        <w:pStyle w:val="Bibliografia"/>
        <w:rPr>
          <w:rFonts w:ascii="Times New Roman" w:hAnsi="Times New Roman"/>
          <w:sz w:val="24"/>
          <w:szCs w:val="24"/>
          <w:lang w:val="en-US"/>
        </w:rPr>
      </w:pPr>
      <w:r w:rsidRPr="00CE3398">
        <w:rPr>
          <w:rFonts w:ascii="Times New Roman" w:hAnsi="Times New Roman"/>
          <w:sz w:val="24"/>
          <w:szCs w:val="24"/>
        </w:rPr>
        <w:fldChar w:fldCharType="begin"/>
      </w:r>
      <w:r w:rsidR="00BB64CC" w:rsidRPr="00CE3398">
        <w:rPr>
          <w:rFonts w:ascii="Times New Roman" w:hAnsi="Times New Roman"/>
          <w:sz w:val="24"/>
          <w:szCs w:val="24"/>
          <w:lang w:val="en-US"/>
        </w:rPr>
        <w:instrText xml:space="preserve"> BIBLIOGRAPHY  \l 1046 </w:instrText>
      </w:r>
      <w:r w:rsidRPr="00CE3398">
        <w:rPr>
          <w:rFonts w:ascii="Times New Roman" w:hAnsi="Times New Roman"/>
          <w:sz w:val="24"/>
          <w:szCs w:val="24"/>
        </w:rPr>
        <w:fldChar w:fldCharType="separate"/>
      </w:r>
      <w:r w:rsidR="00BB64CC" w:rsidRPr="00CE3398">
        <w:rPr>
          <w:rFonts w:ascii="Times New Roman" w:hAnsi="Times New Roman"/>
          <w:sz w:val="24"/>
          <w:szCs w:val="24"/>
          <w:lang w:val="en-US"/>
        </w:rPr>
        <w:t>1. ABRAMO, G P, HOROWITZ, A M e TREWELLA, J C. Port fuel injector cleanliness studies. International fuels and lubricants meeting and exposition. Philadelphia : SAE, 1986. SAE Paper 861535.</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2. BENSON, J D and YACCARINO, P. Fuel and additive effects on multiport fuel injector deposits. s.l. : SAE, 1986. SAE Paper 861533.</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3. BITTING, W, et al. Intake valve deposit - fuel detergency requirements revisited. s.l. : SAE, 1987. SAE Paper 872117.</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4. FRANKLIN, T M, STAMBAUGH, R L e KUHN, R R. Simulated road test evaluation of the effect of gasoline additives on exhaust gas emissions. s.l. : SAE, 1972. SAE Paper 729042.</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lastRenderedPageBreak/>
        <w:t>5. GETHING, J A. Performance robbing aspects of intake valve and port deposits. s.l. : SAE, 1987. SAE Paper 872116.</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6. GIBBS, L M and RICHARDSON, C E. Carburator deposits and their control. s.l. : SAE, 1979. SAE Paper 790202.</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7. HALL, D W and GIBBS, L M. Carburetor deposits - are clean throttle bodies enough? s.l. : SAE, 1976. SAE Paper 760752.</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 xml:space="preserve">8. HOUSER, K e CROSBY, T. The impact of intake valve deposits on exhaust emissions. s.l. : </w:t>
      </w:r>
      <w:r w:rsidR="003C2F75" w:rsidRPr="00CE3398">
        <w:rPr>
          <w:rFonts w:ascii="Times New Roman" w:hAnsi="Times New Roman"/>
          <w:sz w:val="24"/>
          <w:szCs w:val="24"/>
          <w:lang w:val="en-US"/>
        </w:rPr>
        <w:t xml:space="preserve">SAE, 1992. </w:t>
      </w:r>
      <w:r w:rsidRPr="00CE3398">
        <w:rPr>
          <w:rFonts w:ascii="Times New Roman" w:hAnsi="Times New Roman"/>
          <w:sz w:val="24"/>
          <w:szCs w:val="24"/>
          <w:lang w:val="en-US"/>
        </w:rPr>
        <w:t xml:space="preserve">SAE Paper </w:t>
      </w:r>
      <w:r w:rsidR="003C2F75" w:rsidRPr="00CE3398">
        <w:rPr>
          <w:rFonts w:ascii="Times New Roman" w:hAnsi="Times New Roman"/>
          <w:sz w:val="24"/>
          <w:szCs w:val="24"/>
          <w:lang w:val="en-US"/>
        </w:rPr>
        <w:t>922259</w:t>
      </w:r>
      <w:r w:rsidRPr="00CE3398">
        <w:rPr>
          <w:rFonts w:ascii="Times New Roman" w:hAnsi="Times New Roman"/>
          <w:sz w:val="24"/>
          <w:szCs w:val="24"/>
          <w:lang w:val="en-US"/>
        </w:rPr>
        <w:t>.</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9. KIPP, K L, et al. Ability of gasoline additives to clean engines and reduce exhaust emissions. s.l. : SAE, 1970. SAE Paper 700456.</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10. NISHIZAKI, T, et al. The effect of fuel composition and fuel additives on intake system detergency of Japanese automobile engine. s.l. : SAE, 1979. SAE Paper 79203.</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11. RETZLOFF, J B, L, PLONSKER e SNEED, R B. Fuels detergency-effects on emissions. s.l. : SAE, 1972. SAE Paper 720841.</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12. TUPA, Robert C e KOEHLER, Donald E. Gasoline port fuel injectors - Keep clean/clean up with additives. s.l. : SAE, 1986. SAE Paper 861536.</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13. TANIGUCHI, B Y, et al. Injector deposits - the tip of intake system deposit problems. s.l. : SAE, 1986. SAE Paper 861534.</w:t>
      </w:r>
    </w:p>
    <w:p w:rsidR="00103485" w:rsidRPr="00CE3398" w:rsidRDefault="00BB64CC" w:rsidP="00103485">
      <w:pPr>
        <w:pStyle w:val="Bibliografia"/>
        <w:rPr>
          <w:rFonts w:ascii="Times New Roman" w:hAnsi="Times New Roman"/>
          <w:sz w:val="24"/>
          <w:szCs w:val="24"/>
          <w:lang w:val="en-US"/>
        </w:rPr>
      </w:pPr>
      <w:r w:rsidRPr="00CE3398">
        <w:rPr>
          <w:rFonts w:ascii="Times New Roman" w:hAnsi="Times New Roman"/>
          <w:sz w:val="24"/>
          <w:szCs w:val="24"/>
          <w:lang w:val="en-US"/>
        </w:rPr>
        <w:t>14. ROGERS, D T and JONACH, F L. Mechanism of intake valve underside deposit formation. SAE National fuels and lubricants meeting. Tulsa : SAE, 1958. SAE Paper 106C.</w:t>
      </w:r>
    </w:p>
    <w:p w:rsidR="00103485" w:rsidRPr="00CE3398" w:rsidRDefault="00BB64CC" w:rsidP="00103485">
      <w:pPr>
        <w:pStyle w:val="Bibliografia"/>
        <w:rPr>
          <w:rFonts w:ascii="Times New Roman" w:hAnsi="Times New Roman"/>
          <w:sz w:val="24"/>
          <w:szCs w:val="24"/>
        </w:rPr>
      </w:pPr>
      <w:r w:rsidRPr="00CE3398">
        <w:rPr>
          <w:rFonts w:ascii="Times New Roman" w:hAnsi="Times New Roman"/>
          <w:sz w:val="24"/>
          <w:szCs w:val="24"/>
          <w:lang w:val="en-US"/>
        </w:rPr>
        <w:t xml:space="preserve">15. UDELHOFEN, J M and ZAHALKA, T L. Gasoline additive requirements for today's smaller engines. s.l. : SAE, 1988. </w:t>
      </w:r>
      <w:r w:rsidR="00103485" w:rsidRPr="00CE3398">
        <w:rPr>
          <w:rFonts w:ascii="Times New Roman" w:hAnsi="Times New Roman"/>
          <w:sz w:val="24"/>
          <w:szCs w:val="24"/>
        </w:rPr>
        <w:t>SAE Paper 881644.</w:t>
      </w:r>
    </w:p>
    <w:p w:rsidR="00103485" w:rsidRPr="00CE3398" w:rsidRDefault="00103485" w:rsidP="00103485">
      <w:pPr>
        <w:pStyle w:val="Bibliografia"/>
        <w:rPr>
          <w:rFonts w:ascii="Times New Roman" w:hAnsi="Times New Roman"/>
          <w:sz w:val="24"/>
          <w:szCs w:val="24"/>
          <w:lang w:val="en-US"/>
        </w:rPr>
      </w:pPr>
      <w:r w:rsidRPr="00CE3398">
        <w:rPr>
          <w:rFonts w:ascii="Times New Roman" w:hAnsi="Times New Roman"/>
          <w:sz w:val="24"/>
          <w:szCs w:val="24"/>
        </w:rPr>
        <w:t xml:space="preserve">16. BRASIL. Agência Nacional do Petróleo, Gás Natural e Biocombustíveis - ANP. Resolução nº 38, de 9 de dezembro de 2009. Diário Oficial da União. </w:t>
      </w:r>
      <w:r w:rsidR="00BB64CC" w:rsidRPr="00CE3398">
        <w:rPr>
          <w:rFonts w:ascii="Times New Roman" w:hAnsi="Times New Roman"/>
          <w:sz w:val="24"/>
          <w:szCs w:val="24"/>
          <w:lang w:val="en-US"/>
        </w:rPr>
        <w:t>Brasília, DF, 11 de dez. de 2009. Seção 1, p. 90.</w:t>
      </w:r>
    </w:p>
    <w:p w:rsidR="00103485" w:rsidRPr="00CE3398" w:rsidRDefault="00BB64CC" w:rsidP="00103485">
      <w:pPr>
        <w:pStyle w:val="Bibliografia"/>
        <w:rPr>
          <w:rFonts w:ascii="Times New Roman" w:hAnsi="Times New Roman"/>
          <w:sz w:val="24"/>
          <w:szCs w:val="24"/>
        </w:rPr>
      </w:pPr>
      <w:r w:rsidRPr="00CE3398">
        <w:rPr>
          <w:rFonts w:ascii="Times New Roman" w:hAnsi="Times New Roman"/>
          <w:sz w:val="24"/>
          <w:szCs w:val="24"/>
          <w:lang w:val="en-US"/>
        </w:rPr>
        <w:t xml:space="preserve">17. ASTM INTERNATIONAL. ASTM Standard D7451, standard test ethod for water separation properties of light and middle distillate. </w:t>
      </w:r>
      <w:r w:rsidR="00103485" w:rsidRPr="00CE3398">
        <w:rPr>
          <w:rFonts w:ascii="Times New Roman" w:hAnsi="Times New Roman"/>
          <w:sz w:val="24"/>
          <w:szCs w:val="24"/>
        </w:rPr>
        <w:t>West Conshohocken, PA : ASTM International, Janeiro de 2009. DOI: 10.1520/D7451-08A.</w:t>
      </w:r>
    </w:p>
    <w:p w:rsidR="00103485" w:rsidRPr="00CE3398" w:rsidRDefault="0010373C" w:rsidP="00103485">
      <w:pPr>
        <w:pStyle w:val="Bibliografia"/>
        <w:rPr>
          <w:rFonts w:ascii="Times New Roman" w:hAnsi="Times New Roman"/>
          <w:sz w:val="24"/>
          <w:szCs w:val="24"/>
        </w:rPr>
        <w:sectPr w:rsidR="00103485" w:rsidRPr="00CE3398" w:rsidSect="00A42214">
          <w:headerReference w:type="default" r:id="rId18"/>
          <w:pgSz w:w="11907" w:h="16840" w:code="9"/>
          <w:pgMar w:top="1440" w:right="1080" w:bottom="1440" w:left="1080" w:header="680" w:footer="1012" w:gutter="0"/>
          <w:cols w:space="720"/>
          <w:titlePg/>
          <w:docGrid w:linePitch="299"/>
        </w:sectPr>
      </w:pPr>
      <w:r w:rsidRPr="00CE3398">
        <w:rPr>
          <w:rFonts w:ascii="Times New Roman" w:hAnsi="Times New Roman"/>
          <w:sz w:val="24"/>
          <w:szCs w:val="24"/>
        </w:rPr>
        <w:fldChar w:fldCharType="end"/>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lastRenderedPageBreak/>
        <w:t>ANEXO</w:t>
      </w:r>
      <w:r w:rsidR="005A34CF">
        <w:rPr>
          <w:rFonts w:ascii="Times New Roman" w:eastAsia="Calibri" w:hAnsi="Times New Roman" w:cs="Times New Roman"/>
          <w:b w:val="0"/>
          <w:bCs w:val="0"/>
          <w:color w:val="auto"/>
          <w:sz w:val="24"/>
          <w:szCs w:val="24"/>
        </w:rPr>
        <w:t>S</w:t>
      </w:r>
    </w:p>
    <w:p w:rsidR="00103485" w:rsidRDefault="00103485" w:rsidP="008117E1">
      <w:pPr>
        <w:spacing w:after="0" w:line="360" w:lineRule="auto"/>
        <w:rPr>
          <w:rFonts w:ascii="Times New Roman" w:hAnsi="Times New Roman"/>
          <w:sz w:val="24"/>
          <w:szCs w:val="24"/>
        </w:rPr>
      </w:pPr>
      <w:r w:rsidRPr="00CE3398">
        <w:rPr>
          <w:rFonts w:ascii="Times New Roman" w:hAnsi="Times New Roman"/>
          <w:noProof/>
          <w:sz w:val="24"/>
          <w:szCs w:val="24"/>
          <w:lang w:eastAsia="pt-BR"/>
        </w:rPr>
        <w:drawing>
          <wp:inline distT="0" distB="0" distL="0" distR="0">
            <wp:extent cx="1440000" cy="3778250"/>
            <wp:effectExtent l="19050" t="0" r="7800" b="0"/>
            <wp:docPr id="1" name="Imagem 4" descr="TKS00_0_GCC56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00_0_GCC56 (4).jpg"/>
                    <pic:cNvPicPr preferRelativeResize="0"/>
                  </pic:nvPicPr>
                  <pic:blipFill>
                    <a:blip r:embed="rId19" cstate="print"/>
                    <a:stretch>
                      <a:fillRect/>
                    </a:stretch>
                  </pic:blipFill>
                  <pic:spPr>
                    <a:xfrm>
                      <a:off x="0" y="0"/>
                      <a:ext cx="1440000" cy="377825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6" name="Imagem 5" descr="TKS00_0_GCC56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00_0_GCC56 (5).jpg"/>
                    <pic:cNvPicPr preferRelativeResize="0"/>
                  </pic:nvPicPr>
                  <pic:blipFill>
                    <a:blip r:embed="rId20" cstate="print"/>
                    <a:stretch>
                      <a:fillRect/>
                    </a:stretch>
                  </pic:blipFill>
                  <pic:spPr>
                    <a:xfrm>
                      <a:off x="0" y="0"/>
                      <a:ext cx="1440000" cy="377825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180" cy="3780000"/>
            <wp:effectExtent l="19050" t="0" r="7620" b="0"/>
            <wp:docPr id="9" name="Imagem 8" descr="TKS12_1_GCC56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12_1_GCC56 (5).jpg"/>
                    <pic:cNvPicPr preferRelativeResize="0"/>
                  </pic:nvPicPr>
                  <pic:blipFill>
                    <a:blip r:embed="rId21" cstate="print"/>
                    <a:srcRect l="9180" r="9180"/>
                    <a:stretch>
                      <a:fillRect/>
                    </a:stretch>
                  </pic:blipFill>
                  <pic:spPr>
                    <a:xfrm>
                      <a:off x="0" y="0"/>
                      <a:ext cx="1440180"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180" cy="3780000"/>
            <wp:effectExtent l="19050" t="0" r="7620" b="0"/>
            <wp:docPr id="10" name="Imagem 9" descr="TKS12_1_GCC56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12_1_GCC56 (6).jpg"/>
                    <pic:cNvPicPr preferRelativeResize="0"/>
                  </pic:nvPicPr>
                  <pic:blipFill>
                    <a:blip r:embed="rId22" cstate="print"/>
                    <a:stretch>
                      <a:fillRect/>
                    </a:stretch>
                  </pic:blipFill>
                  <pic:spPr>
                    <a:xfrm>
                      <a:off x="0" y="0"/>
                      <a:ext cx="1440180"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180" cy="3780000"/>
            <wp:effectExtent l="19050" t="0" r="7620" b="0"/>
            <wp:docPr id="11" name="Imagem 10" descr="TKS00_0_GCC56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00_0_GCC56 (4).jpg"/>
                    <pic:cNvPicPr preferRelativeResize="0"/>
                  </pic:nvPicPr>
                  <pic:blipFill>
                    <a:blip r:embed="rId19" cstate="print"/>
                    <a:stretch>
                      <a:fillRect/>
                    </a:stretch>
                  </pic:blipFill>
                  <pic:spPr>
                    <a:xfrm>
                      <a:off x="0" y="0"/>
                      <a:ext cx="1440180"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180" cy="3780000"/>
            <wp:effectExtent l="19050" t="0" r="7620" b="0"/>
            <wp:docPr id="12" name="Imagem 11" descr="TKS00_0_GCC56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00_0_GCC56 (5).jpg"/>
                    <pic:cNvPicPr preferRelativeResize="0"/>
                  </pic:nvPicPr>
                  <pic:blipFill>
                    <a:blip r:embed="rId20" cstate="print"/>
                    <a:stretch>
                      <a:fillRect/>
                    </a:stretch>
                  </pic:blipFill>
                  <pic:spPr>
                    <a:xfrm>
                      <a:off x="0" y="0"/>
                      <a:ext cx="1440180"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13" name="Imagem 12" descr="TKS12_5_GCC56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12_5_GCC56 (3).jpg"/>
                    <pic:cNvPicPr preferRelativeResize="0"/>
                  </pic:nvPicPr>
                  <pic:blipFill>
                    <a:blip r:embed="rId23" cstate="print"/>
                    <a:stretch>
                      <a:fillRect/>
                    </a:stretch>
                  </pic:blipFill>
                  <pic:spPr>
                    <a:xfrm>
                      <a:off x="0" y="0"/>
                      <a:ext cx="1440000" cy="377825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14" name="Imagem 13" descr="TKS12_5_GCC56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12_5_GCC56 (4).jpg"/>
                    <pic:cNvPicPr preferRelativeResize="0"/>
                  </pic:nvPicPr>
                  <pic:blipFill>
                    <a:blip r:embed="rId24" cstate="print"/>
                    <a:stretch>
                      <a:fillRect/>
                    </a:stretch>
                  </pic:blipFill>
                  <pic:spPr>
                    <a:xfrm>
                      <a:off x="0" y="0"/>
                      <a:ext cx="1440000" cy="3778250"/>
                    </a:xfrm>
                    <a:prstGeom prst="rect">
                      <a:avLst/>
                    </a:prstGeom>
                  </pic:spPr>
                </pic:pic>
              </a:graphicData>
            </a:graphic>
          </wp:inline>
        </w:drawing>
      </w:r>
    </w:p>
    <w:p w:rsidR="005A34CF" w:rsidRDefault="005A34CF" w:rsidP="008117E1">
      <w:pPr>
        <w:spacing w:after="0" w:line="360" w:lineRule="auto"/>
        <w:rPr>
          <w:rFonts w:ascii="Times New Roman" w:hAnsi="Times New Roman"/>
          <w:sz w:val="24"/>
          <w:szCs w:val="24"/>
        </w:rPr>
      </w:pPr>
    </w:p>
    <w:p w:rsidR="005A34CF" w:rsidRDefault="005A34CF" w:rsidP="008117E1">
      <w:pPr>
        <w:spacing w:after="0" w:line="360" w:lineRule="auto"/>
        <w:rPr>
          <w:rFonts w:ascii="Times New Roman" w:hAnsi="Times New Roman"/>
          <w:sz w:val="24"/>
          <w:szCs w:val="24"/>
        </w:rPr>
      </w:pPr>
    </w:p>
    <w:p w:rsidR="005A34CF" w:rsidRDefault="005A34CF" w:rsidP="008117E1">
      <w:pPr>
        <w:spacing w:after="0" w:line="360" w:lineRule="auto"/>
        <w:rPr>
          <w:rFonts w:ascii="Times New Roman" w:hAnsi="Times New Roman"/>
          <w:sz w:val="24"/>
          <w:szCs w:val="24"/>
        </w:rPr>
      </w:pPr>
    </w:p>
    <w:p w:rsidR="005A34CF" w:rsidRDefault="005A34CF" w:rsidP="008117E1">
      <w:pPr>
        <w:spacing w:after="0" w:line="360" w:lineRule="auto"/>
        <w:rPr>
          <w:rFonts w:ascii="Times New Roman" w:hAnsi="Times New Roman"/>
          <w:sz w:val="24"/>
          <w:szCs w:val="24"/>
        </w:rPr>
      </w:pPr>
    </w:p>
    <w:p w:rsidR="005A34CF" w:rsidRPr="00CE3398" w:rsidRDefault="005A34CF" w:rsidP="008117E1">
      <w:pPr>
        <w:spacing w:after="0" w:line="360" w:lineRule="auto"/>
        <w:rPr>
          <w:rFonts w:ascii="Times New Roman" w:hAnsi="Times New Roman"/>
          <w:sz w:val="24"/>
          <w:szCs w:val="24"/>
        </w:rPr>
      </w:pPr>
    </w:p>
    <w:p w:rsidR="00103485" w:rsidRPr="00CE3398" w:rsidRDefault="00103485" w:rsidP="008117E1">
      <w:pPr>
        <w:spacing w:after="0"/>
        <w:rPr>
          <w:rFonts w:ascii="Times New Roman" w:hAnsi="Times New Roman"/>
          <w:sz w:val="24"/>
          <w:szCs w:val="24"/>
        </w:rPr>
      </w:pPr>
      <w:r w:rsidRPr="00CE3398">
        <w:rPr>
          <w:rFonts w:ascii="Times New Roman" w:hAnsi="Times New Roman"/>
          <w:noProof/>
          <w:sz w:val="24"/>
          <w:szCs w:val="24"/>
          <w:lang w:eastAsia="pt-BR"/>
        </w:rPr>
        <w:drawing>
          <wp:inline distT="0" distB="0" distL="0" distR="0">
            <wp:extent cx="1440000" cy="3778250"/>
            <wp:effectExtent l="19050" t="0" r="7800" b="0"/>
            <wp:docPr id="15" name="Imagem 14" descr="TKS00_0_GCC56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00_0_GCC56 (4).jpg"/>
                    <pic:cNvPicPr preferRelativeResize="0"/>
                  </pic:nvPicPr>
                  <pic:blipFill>
                    <a:blip r:embed="rId19" cstate="print"/>
                    <a:stretch>
                      <a:fillRect/>
                    </a:stretch>
                  </pic:blipFill>
                  <pic:spPr>
                    <a:xfrm>
                      <a:off x="0" y="0"/>
                      <a:ext cx="1440000" cy="377825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17" name="Imagem 16" descr="TKS00_0_GCC56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00_0_GCC56 (5).jpg"/>
                    <pic:cNvPicPr preferRelativeResize="0"/>
                  </pic:nvPicPr>
                  <pic:blipFill>
                    <a:blip r:embed="rId20" cstate="print"/>
                    <a:stretch>
                      <a:fillRect/>
                    </a:stretch>
                  </pic:blipFill>
                  <pic:spPr>
                    <a:xfrm>
                      <a:off x="0" y="0"/>
                      <a:ext cx="1440000" cy="377825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180" cy="3780000"/>
            <wp:effectExtent l="19050" t="0" r="7620" b="0"/>
            <wp:docPr id="18" name="Imagem 17" descr="TKS34_1_GCC56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34_1_GCC56 (1).jpg"/>
                    <pic:cNvPicPr preferRelativeResize="0"/>
                  </pic:nvPicPr>
                  <pic:blipFill>
                    <a:blip r:embed="rId25" cstate="print"/>
                    <a:stretch>
                      <a:fillRect/>
                    </a:stretch>
                  </pic:blipFill>
                  <pic:spPr>
                    <a:xfrm>
                      <a:off x="0" y="0"/>
                      <a:ext cx="1440180"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19" name="Imagem 18" descr="TKS34_1_GCC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34_1_GCC56.jpg"/>
                    <pic:cNvPicPr preferRelativeResize="0"/>
                  </pic:nvPicPr>
                  <pic:blipFill>
                    <a:blip r:embed="rId26" cstate="print"/>
                    <a:srcRect b="2016"/>
                    <a:stretch>
                      <a:fillRect/>
                    </a:stretch>
                  </pic:blipFill>
                  <pic:spPr>
                    <a:xfrm>
                      <a:off x="0" y="0"/>
                      <a:ext cx="1440000" cy="377825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180" cy="3780000"/>
            <wp:effectExtent l="19050" t="0" r="7620" b="0"/>
            <wp:docPr id="20" name="Imagem 19" descr="TKS00_0_GCC56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00_0_GCC56 (4).jpg"/>
                    <pic:cNvPicPr preferRelativeResize="0"/>
                  </pic:nvPicPr>
                  <pic:blipFill>
                    <a:blip r:embed="rId19" cstate="print"/>
                    <a:stretch>
                      <a:fillRect/>
                    </a:stretch>
                  </pic:blipFill>
                  <pic:spPr>
                    <a:xfrm>
                      <a:off x="0" y="0"/>
                      <a:ext cx="1440180"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21" name="Imagem 20" descr="TKS00_0_GCC56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00_0_GCC56 (5).jpg"/>
                    <pic:cNvPicPr preferRelativeResize="0"/>
                  </pic:nvPicPr>
                  <pic:blipFill>
                    <a:blip r:embed="rId20" cstate="print"/>
                    <a:stretch>
                      <a:fillRect/>
                    </a:stretch>
                  </pic:blipFill>
                  <pic:spPr>
                    <a:xfrm>
                      <a:off x="0" y="0"/>
                      <a:ext cx="1440000" cy="377825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22" name="Imagem 21" descr="TKS34_5_GCC56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34_5_GCC56 (1).jpg"/>
                    <pic:cNvPicPr preferRelativeResize="0"/>
                  </pic:nvPicPr>
                  <pic:blipFill>
                    <a:blip r:embed="rId27" cstate="print"/>
                    <a:stretch>
                      <a:fillRect/>
                    </a:stretch>
                  </pic:blipFill>
                  <pic:spPr>
                    <a:xfrm>
                      <a:off x="0" y="0"/>
                      <a:ext cx="1440000" cy="377825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23" name="Imagem 22" descr="TKS34_5_GCC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34_5_GCC56.jpg"/>
                    <pic:cNvPicPr preferRelativeResize="0"/>
                  </pic:nvPicPr>
                  <pic:blipFill>
                    <a:blip r:embed="rId28" cstate="print"/>
                    <a:stretch>
                      <a:fillRect/>
                    </a:stretch>
                  </pic:blipFill>
                  <pic:spPr>
                    <a:xfrm>
                      <a:off x="0" y="0"/>
                      <a:ext cx="1440000" cy="3778250"/>
                    </a:xfrm>
                    <a:prstGeom prst="rect">
                      <a:avLst/>
                    </a:prstGeom>
                  </pic:spPr>
                </pic:pic>
              </a:graphicData>
            </a:graphic>
          </wp:inline>
        </w:drawing>
      </w:r>
    </w:p>
    <w:p w:rsidR="00103485" w:rsidRPr="00CE3398" w:rsidRDefault="00103485" w:rsidP="00103485">
      <w:pPr>
        <w:rPr>
          <w:rFonts w:ascii="Times New Roman" w:hAnsi="Times New Roman"/>
          <w:sz w:val="24"/>
          <w:szCs w:val="24"/>
        </w:rPr>
      </w:pPr>
      <w:r w:rsidRPr="00CE3398">
        <w:rPr>
          <w:rFonts w:ascii="Times New Roman" w:hAnsi="Times New Roman"/>
          <w:sz w:val="24"/>
          <w:szCs w:val="24"/>
        </w:rPr>
        <w:br w:type="page"/>
      </w:r>
    </w:p>
    <w:p w:rsidR="00103485" w:rsidRPr="00CE3398" w:rsidRDefault="00103485" w:rsidP="00103485">
      <w:pPr>
        <w:rPr>
          <w:rFonts w:ascii="Times New Roman" w:hAnsi="Times New Roman"/>
          <w:sz w:val="24"/>
          <w:szCs w:val="24"/>
        </w:rPr>
      </w:pPr>
      <w:r w:rsidRPr="00CE3398">
        <w:rPr>
          <w:rFonts w:ascii="Times New Roman" w:hAnsi="Times New Roman"/>
          <w:noProof/>
          <w:sz w:val="24"/>
          <w:szCs w:val="24"/>
          <w:lang w:eastAsia="pt-BR"/>
        </w:rPr>
        <w:lastRenderedPageBreak/>
        <w:drawing>
          <wp:inline distT="0" distB="0" distL="0" distR="0">
            <wp:extent cx="1440000" cy="3791150"/>
            <wp:effectExtent l="19050" t="0" r="7800" b="0"/>
            <wp:docPr id="24" name="Imagem 23" descr="TKS00_0_GCC5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S00_0_GCC56 (4).jpg"/>
                    <pic:cNvPicPr/>
                  </pic:nvPicPr>
                  <pic:blipFill>
                    <a:blip r:embed="rId19" cstate="print"/>
                    <a:stretch>
                      <a:fillRect/>
                    </a:stretch>
                  </pic:blipFill>
                  <pic:spPr>
                    <a:xfrm>
                      <a:off x="0" y="0"/>
                      <a:ext cx="1440000" cy="379115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34706" cy="3780000"/>
            <wp:effectExtent l="19050" t="0" r="0" b="0"/>
            <wp:docPr id="25" name="Imagem 24" descr="TKS00_0_GCC5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S00_0_GCC56 (5).jpg"/>
                    <pic:cNvPicPr/>
                  </pic:nvPicPr>
                  <pic:blipFill>
                    <a:blip r:embed="rId20" cstate="print"/>
                    <a:stretch>
                      <a:fillRect/>
                    </a:stretch>
                  </pic:blipFill>
                  <pic:spPr>
                    <a:xfrm>
                      <a:off x="0" y="0"/>
                      <a:ext cx="1434706"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341634" cy="3780000"/>
            <wp:effectExtent l="19050" t="0" r="0" b="0"/>
            <wp:docPr id="26" name="Imagem 25" descr="TKS75_1_GCC5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S75_1_GCC56 (4).jpg"/>
                    <pic:cNvPicPr/>
                  </pic:nvPicPr>
                  <pic:blipFill>
                    <a:blip r:embed="rId29" cstate="print"/>
                    <a:stretch>
                      <a:fillRect/>
                    </a:stretch>
                  </pic:blipFill>
                  <pic:spPr>
                    <a:xfrm>
                      <a:off x="0" y="0"/>
                      <a:ext cx="1341634"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339538" cy="3780000"/>
            <wp:effectExtent l="19050" t="0" r="0" b="0"/>
            <wp:docPr id="27" name="Imagem 26" descr="TKS75_1_GCC5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S75_1_GCC56 (5).jpg"/>
                    <pic:cNvPicPr/>
                  </pic:nvPicPr>
                  <pic:blipFill>
                    <a:blip r:embed="rId30" cstate="print"/>
                    <a:stretch>
                      <a:fillRect/>
                    </a:stretch>
                  </pic:blipFill>
                  <pic:spPr>
                    <a:xfrm>
                      <a:off x="0" y="0"/>
                      <a:ext cx="1339538" cy="3780000"/>
                    </a:xfrm>
                    <a:prstGeom prst="rect">
                      <a:avLst/>
                    </a:prstGeom>
                  </pic:spPr>
                </pic:pic>
              </a:graphicData>
            </a:graphic>
          </wp:inline>
        </w:drawing>
      </w:r>
    </w:p>
    <w:p w:rsidR="00103485" w:rsidRPr="00CE3398" w:rsidRDefault="00103485" w:rsidP="00103485">
      <w:pPr>
        <w:rPr>
          <w:rFonts w:ascii="Times New Roman" w:hAnsi="Times New Roman"/>
          <w:sz w:val="24"/>
          <w:szCs w:val="24"/>
        </w:rPr>
      </w:pPr>
      <w:r w:rsidRPr="00CE3398">
        <w:rPr>
          <w:rFonts w:ascii="Times New Roman" w:hAnsi="Times New Roman"/>
          <w:noProof/>
          <w:sz w:val="24"/>
          <w:szCs w:val="24"/>
          <w:lang w:eastAsia="pt-BR"/>
        </w:rPr>
        <w:drawing>
          <wp:inline distT="0" distB="0" distL="0" distR="0">
            <wp:extent cx="1434706" cy="3780000"/>
            <wp:effectExtent l="19050" t="0" r="0" b="0"/>
            <wp:docPr id="28" name="Imagem 27" descr="TKS00_0_GCC5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S00_0_GCC56 (4).jpg"/>
                    <pic:cNvPicPr/>
                  </pic:nvPicPr>
                  <pic:blipFill>
                    <a:blip r:embed="rId19" cstate="print"/>
                    <a:stretch>
                      <a:fillRect/>
                    </a:stretch>
                  </pic:blipFill>
                  <pic:spPr>
                    <a:xfrm>
                      <a:off x="0" y="0"/>
                      <a:ext cx="1434706"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36020" cy="3780000"/>
            <wp:effectExtent l="19050" t="0" r="0" b="0"/>
            <wp:docPr id="29" name="Imagem 28" descr="TKS00_0_GCC5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S00_0_GCC56 (5).jpg"/>
                    <pic:cNvPicPr/>
                  </pic:nvPicPr>
                  <pic:blipFill>
                    <a:blip r:embed="rId20" cstate="print"/>
                    <a:stretch>
                      <a:fillRect/>
                    </a:stretch>
                  </pic:blipFill>
                  <pic:spPr>
                    <a:xfrm>
                      <a:off x="0" y="0"/>
                      <a:ext cx="1436020" cy="3780000"/>
                    </a:xfrm>
                    <a:prstGeom prst="rect">
                      <a:avLst/>
                    </a:prstGeom>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30" name="Imagem 29" descr="TKS75_5_GCC56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KS75_5_GCC56 (4).jpg"/>
                    <pic:cNvPicPr preferRelativeResize="0"/>
                  </pic:nvPicPr>
                  <pic:blipFill>
                    <a:blip r:embed="rId31" cstate="print"/>
                    <a:stretch>
                      <a:fillRect/>
                    </a:stretch>
                  </pic:blipFill>
                  <pic:spPr>
                    <a:xfrm>
                      <a:off x="0" y="0"/>
                      <a:ext cx="1440000" cy="3778250"/>
                    </a:xfrm>
                    <a:prstGeom prst="rect">
                      <a:avLst/>
                    </a:prstGeom>
                  </pic:spPr>
                </pic:pic>
              </a:graphicData>
            </a:graphic>
          </wp:inline>
        </w:drawing>
      </w:r>
    </w:p>
    <w:p w:rsidR="00494262" w:rsidRPr="00CE3398" w:rsidRDefault="00494262">
      <w:pPr>
        <w:spacing w:after="0" w:line="240" w:lineRule="auto"/>
        <w:rPr>
          <w:rFonts w:ascii="Times New Roman" w:hAnsi="Times New Roman"/>
          <w:sz w:val="24"/>
          <w:szCs w:val="24"/>
        </w:rPr>
      </w:pPr>
      <w:r w:rsidRPr="00CE3398">
        <w:rPr>
          <w:rFonts w:ascii="Times New Roman" w:hAnsi="Times New Roman"/>
          <w:sz w:val="24"/>
          <w:szCs w:val="24"/>
        </w:rPr>
        <w:br w:type="page"/>
      </w:r>
    </w:p>
    <w:p w:rsidR="00103485" w:rsidRPr="00CE3398" w:rsidRDefault="00103485" w:rsidP="00103485">
      <w:pPr>
        <w:pStyle w:val="Ttulo4"/>
        <w:spacing w:before="100" w:beforeAutospacing="1" w:after="100" w:afterAutospacing="1" w:line="360" w:lineRule="auto"/>
        <w:rPr>
          <w:rFonts w:ascii="Times New Roman" w:hAnsi="Times New Roman"/>
          <w:sz w:val="24"/>
          <w:szCs w:val="24"/>
        </w:rPr>
      </w:pPr>
      <w:r w:rsidRPr="00CE3398">
        <w:rPr>
          <w:rFonts w:ascii="Times New Roman" w:hAnsi="Times New Roman"/>
          <w:noProof/>
          <w:color w:val="FF0000"/>
          <w:sz w:val="24"/>
          <w:szCs w:val="24"/>
        </w:rPr>
        <w:lastRenderedPageBreak/>
        <w:drawing>
          <wp:inline distT="0" distB="0" distL="0" distR="0">
            <wp:extent cx="784860" cy="1302385"/>
            <wp:effectExtent l="19050" t="0" r="0"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784860" cy="1302385"/>
                    </a:xfrm>
                    <a:prstGeom prst="rect">
                      <a:avLst/>
                    </a:prstGeom>
                    <a:noFill/>
                    <a:ln w="9525">
                      <a:noFill/>
                      <a:miter lim="800000"/>
                      <a:headEnd/>
                      <a:tailEnd/>
                    </a:ln>
                  </pic:spPr>
                </pic:pic>
              </a:graphicData>
            </a:graphic>
          </wp:inline>
        </w:drawing>
      </w:r>
    </w:p>
    <w:p w:rsidR="00103485" w:rsidRPr="00CE3398" w:rsidRDefault="00103485" w:rsidP="00103485">
      <w:pPr>
        <w:autoSpaceDE w:val="0"/>
        <w:autoSpaceDN w:val="0"/>
        <w:adjustRightInd w:val="0"/>
        <w:jc w:val="both"/>
        <w:rPr>
          <w:rFonts w:ascii="Times New Roman" w:hAnsi="Times New Roman"/>
          <w:sz w:val="24"/>
          <w:szCs w:val="24"/>
          <w:u w:val="single"/>
        </w:rPr>
      </w:pPr>
      <w:r w:rsidRPr="00CE3398">
        <w:rPr>
          <w:rFonts w:ascii="Times New Roman" w:hAnsi="Times New Roman"/>
          <w:sz w:val="24"/>
          <w:szCs w:val="24"/>
        </w:rPr>
        <w:t>Nota técnica n.º 16/2013/101/CPT</w:t>
      </w:r>
    </w:p>
    <w:p w:rsidR="00103485" w:rsidRPr="00CE3398" w:rsidRDefault="00103485" w:rsidP="00103485">
      <w:pPr>
        <w:autoSpaceDE w:val="0"/>
        <w:autoSpaceDN w:val="0"/>
        <w:adjustRightInd w:val="0"/>
        <w:jc w:val="right"/>
        <w:rPr>
          <w:rFonts w:ascii="Times New Roman" w:hAnsi="Times New Roman"/>
          <w:sz w:val="24"/>
          <w:szCs w:val="24"/>
        </w:rPr>
      </w:pPr>
      <w:r w:rsidRPr="00CE3398">
        <w:rPr>
          <w:rFonts w:ascii="Times New Roman" w:hAnsi="Times New Roman"/>
          <w:sz w:val="24"/>
          <w:szCs w:val="24"/>
        </w:rPr>
        <w:t>Brasília, 15 de fevereiro de 2013.</w:t>
      </w:r>
    </w:p>
    <w:p w:rsidR="00103485" w:rsidRPr="00CE3398" w:rsidRDefault="00103485" w:rsidP="00103485">
      <w:pPr>
        <w:spacing w:after="240"/>
        <w:jc w:val="both"/>
        <w:rPr>
          <w:rFonts w:ascii="Times New Roman" w:hAnsi="Times New Roman"/>
          <w:sz w:val="24"/>
          <w:szCs w:val="24"/>
        </w:rPr>
      </w:pPr>
      <w:r w:rsidRPr="00CE3398">
        <w:rPr>
          <w:rFonts w:ascii="Times New Roman" w:hAnsi="Times New Roman"/>
          <w:sz w:val="24"/>
          <w:szCs w:val="24"/>
        </w:rPr>
        <w:t>Assunto: Estudo da tendência à formação de emulsão em gasolina A, induzida pela presença de aditivo detergente dispersante. Nota Técnica nº 98/2012/101/CPT (00600.016500/2012-46).</w:t>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INTRODUÇÃO</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Este estudo vem complementar a Nota Técnica nº 98/2012/101/CPT, atendendo à demanda do grupo de trabalho para avaliação do impacto regulatório da aditivação compulsória da gasolina </w:t>
      </w:r>
      <w:sdt>
        <w:sdtPr>
          <w:rPr>
            <w:rFonts w:eastAsia="Calibri"/>
            <w:szCs w:val="24"/>
            <w:lang w:eastAsia="en-US"/>
          </w:rPr>
          <w:id w:val="83893923"/>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Bra \l 1046 </w:instrText>
          </w:r>
          <w:r w:rsidR="0010373C" w:rsidRPr="00CE3398">
            <w:rPr>
              <w:rFonts w:eastAsia="Calibri"/>
              <w:szCs w:val="24"/>
              <w:lang w:eastAsia="en-US"/>
            </w:rPr>
            <w:fldChar w:fldCharType="separate"/>
          </w:r>
          <w:r w:rsidRPr="00CE3398">
            <w:rPr>
              <w:rFonts w:eastAsia="Calibri"/>
              <w:szCs w:val="24"/>
              <w:lang w:eastAsia="en-US"/>
            </w:rPr>
            <w:t>(1)</w:t>
          </w:r>
          <w:r w:rsidR="0010373C" w:rsidRPr="00CE3398">
            <w:rPr>
              <w:rFonts w:eastAsia="Calibri"/>
              <w:szCs w:val="24"/>
              <w:lang w:eastAsia="en-US"/>
            </w:rPr>
            <w:fldChar w:fldCharType="end"/>
          </w:r>
        </w:sdtContent>
      </w:sdt>
      <w:r w:rsidRPr="00CE3398">
        <w:rPr>
          <w:rFonts w:eastAsia="Calibri"/>
          <w:szCs w:val="24"/>
          <w:lang w:eastAsia="en-US"/>
        </w:rPr>
        <w:t>. Os ensaios foram executados em gasolina tipo A, isto é, livre de etanol anidro combustível.</w:t>
      </w:r>
    </w:p>
    <w:p w:rsidR="00103485" w:rsidRPr="00CE3398" w:rsidRDefault="00103485" w:rsidP="00103485">
      <w:pPr>
        <w:pStyle w:val="CorpoTExto"/>
        <w:rPr>
          <w:rFonts w:eastAsia="Calibri"/>
          <w:szCs w:val="24"/>
          <w:lang w:eastAsia="en-US"/>
        </w:rPr>
      </w:pPr>
      <w:r w:rsidRPr="00CE3398">
        <w:rPr>
          <w:rFonts w:eastAsia="Calibri"/>
          <w:szCs w:val="24"/>
          <w:lang w:eastAsia="en-US"/>
        </w:rPr>
        <w:t>O objetivo deste estudo é avaliar a tendência à formação de emulsão em gasolina tipo A, em decorrência da presença de aditivo detergente dispersante. O resultado servirá de subsídio para a definição do ponto de mistura do aditivo à gasolina.</w:t>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METODOLOGIA</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As análises realizadas foram baseadas na norma ASTM D7451 – 08a </w:t>
      </w:r>
      <w:sdt>
        <w:sdtPr>
          <w:rPr>
            <w:rFonts w:eastAsia="Calibri"/>
            <w:szCs w:val="24"/>
            <w:lang w:eastAsia="en-US"/>
          </w:rPr>
          <w:id w:val="450982462"/>
          <w:citation/>
        </w:sdtPr>
        <w:sdtContent>
          <w:r w:rsidR="0010373C" w:rsidRPr="00CE3398">
            <w:rPr>
              <w:rFonts w:eastAsia="Calibri"/>
              <w:szCs w:val="24"/>
              <w:lang w:eastAsia="en-US"/>
            </w:rPr>
            <w:fldChar w:fldCharType="begin"/>
          </w:r>
          <w:r w:rsidRPr="00CE3398">
            <w:rPr>
              <w:rFonts w:eastAsia="Calibri"/>
              <w:szCs w:val="24"/>
              <w:lang w:eastAsia="en-US"/>
            </w:rPr>
            <w:instrText xml:space="preserve"> CITATION EspaçoReservado1 \l 1046  </w:instrText>
          </w:r>
          <w:r w:rsidR="0010373C" w:rsidRPr="00CE3398">
            <w:rPr>
              <w:rFonts w:eastAsia="Calibri"/>
              <w:szCs w:val="24"/>
              <w:lang w:eastAsia="en-US"/>
            </w:rPr>
            <w:fldChar w:fldCharType="separate"/>
          </w:r>
          <w:r w:rsidRPr="00CE3398">
            <w:rPr>
              <w:rFonts w:eastAsia="Calibri"/>
              <w:szCs w:val="24"/>
              <w:lang w:eastAsia="en-US"/>
            </w:rPr>
            <w:t>(ASTM INTERNATIONAL, 2009)</w:t>
          </w:r>
          <w:r w:rsidR="0010373C" w:rsidRPr="00CE3398">
            <w:rPr>
              <w:rFonts w:eastAsia="Calibri"/>
              <w:szCs w:val="24"/>
              <w:lang w:eastAsia="en-US"/>
            </w:rPr>
            <w:fldChar w:fldCharType="end"/>
          </w:r>
        </w:sdtContent>
      </w:sdt>
      <w:r w:rsidRPr="00CE3398">
        <w:rPr>
          <w:rFonts w:eastAsia="Calibri"/>
          <w:szCs w:val="24"/>
          <w:lang w:eastAsia="en-US"/>
        </w:rPr>
        <w:t>, com adaptações</w:t>
      </w:r>
      <w:r w:rsidRPr="00CE3398">
        <w:rPr>
          <w:rFonts w:eastAsia="Calibri"/>
          <w:szCs w:val="24"/>
          <w:lang w:eastAsia="en-US"/>
        </w:rPr>
        <w:footnoteReference w:id="12"/>
      </w:r>
      <w:r w:rsidRPr="00CE3398">
        <w:rPr>
          <w:rFonts w:eastAsia="Calibri"/>
          <w:szCs w:val="24"/>
          <w:lang w:eastAsia="en-US"/>
        </w:rPr>
        <w:t>.</w:t>
      </w:r>
    </w:p>
    <w:p w:rsidR="00103485" w:rsidRPr="00CE3398" w:rsidRDefault="00103485" w:rsidP="00103485">
      <w:pPr>
        <w:pStyle w:val="CorpoTExto"/>
        <w:rPr>
          <w:rFonts w:eastAsia="Calibri"/>
          <w:szCs w:val="24"/>
          <w:lang w:eastAsia="en-US"/>
        </w:rPr>
      </w:pPr>
      <w:r w:rsidRPr="00CE3398">
        <w:rPr>
          <w:rFonts w:eastAsia="Calibri"/>
          <w:szCs w:val="24"/>
          <w:lang w:eastAsia="en-US"/>
        </w:rPr>
        <w:t>A norma ASTM D7451 aplica-se a combustíveis com ponto final de ebulição abaixo de 390°C. O objetivo do ensaio é avaliar se misturas de água e combustível se separam facilmente, ao invés de formarem emulsões induzidas pela presença de compostos surfactantes, como é o caso dos aditivos detergentes dispersantes.</w:t>
      </w:r>
    </w:p>
    <w:p w:rsidR="00103485" w:rsidRPr="00CE3398" w:rsidRDefault="00103485" w:rsidP="00103485">
      <w:pPr>
        <w:pStyle w:val="CorpoTExto"/>
        <w:rPr>
          <w:rFonts w:eastAsia="Calibri"/>
          <w:szCs w:val="24"/>
          <w:lang w:eastAsia="en-US"/>
        </w:rPr>
      </w:pPr>
      <w:r w:rsidRPr="00CE3398">
        <w:rPr>
          <w:rFonts w:eastAsia="Calibri"/>
          <w:szCs w:val="24"/>
          <w:lang w:eastAsia="en-US"/>
        </w:rPr>
        <w:t>Foram avaliados os mesmos pacotes de aditivos utilizados no estudo da Nota Técnica nº 98/2012/101/CPT, os quais possuem componentes ativos de classes distintas. As dosagens de aditivação foram também idênticas. Um nível baixo, de 100 µL/L, e um nível alto, de 5 000 µL/L. O nível baixo representa a dosagem mínima média recomendada pelos produtores dos pacotes de aditivos. Nessa dosagem, o benefício mínimo de manter limpo (keep clean) válvulas e bicos injetores é garantido por testes específicos em motores e veículos. O nível alto representa uma superdosagem acidental.</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A gasolina tipo A foi cedida por uma distribuidora de combustíveis líquidos, localizada em Brasília, DF. </w:t>
      </w:r>
    </w:p>
    <w:p w:rsidR="00103485" w:rsidRPr="00CE3398" w:rsidRDefault="00103485" w:rsidP="00103485">
      <w:pPr>
        <w:pStyle w:val="CorpoTExto"/>
        <w:rPr>
          <w:rFonts w:eastAsia="Calibri"/>
          <w:szCs w:val="24"/>
          <w:lang w:eastAsia="en-US"/>
        </w:rPr>
      </w:pPr>
      <w:r w:rsidRPr="00CE3398">
        <w:rPr>
          <w:rFonts w:eastAsia="Calibri"/>
          <w:szCs w:val="24"/>
          <w:lang w:eastAsia="en-US"/>
        </w:rPr>
        <w:lastRenderedPageBreak/>
        <w:t xml:space="preserve">As amostras foram identificadas conforme </w:t>
      </w:r>
      <w:fldSimple w:instr=" REF _Ref341432361 \h  \* MERGEFORMAT ">
        <w:r w:rsidR="00C46797" w:rsidRPr="00C46797">
          <w:rPr>
            <w:rFonts w:eastAsia="Calibri"/>
            <w:szCs w:val="24"/>
            <w:lang w:eastAsia="en-US"/>
          </w:rPr>
          <w:t>Tabela 3</w:t>
        </w:r>
      </w:fldSimple>
      <w:r w:rsidRPr="00CE3398">
        <w:rPr>
          <w:rFonts w:eastAsia="Calibri"/>
          <w:szCs w:val="24"/>
          <w:lang w:eastAsia="en-US"/>
        </w:rPr>
        <w:t>.</w:t>
      </w:r>
    </w:p>
    <w:p w:rsidR="00103485" w:rsidRPr="00CE3398" w:rsidRDefault="00103485" w:rsidP="00103485">
      <w:pPr>
        <w:pStyle w:val="Legenda"/>
        <w:rPr>
          <w:rFonts w:ascii="Times New Roman" w:hAnsi="Times New Roman"/>
          <w:b w:val="0"/>
          <w:bCs w:val="0"/>
          <w:color w:val="auto"/>
          <w:sz w:val="24"/>
          <w:szCs w:val="24"/>
        </w:rPr>
      </w:pPr>
      <w:r w:rsidRPr="00CE3398">
        <w:rPr>
          <w:rFonts w:ascii="Times New Roman" w:hAnsi="Times New Roman"/>
          <w:b w:val="0"/>
          <w:bCs w:val="0"/>
          <w:color w:val="auto"/>
          <w:sz w:val="24"/>
          <w:szCs w:val="24"/>
        </w:rPr>
        <w:t xml:space="preserve">Tabela </w:t>
      </w:r>
      <w:r w:rsidR="0010373C" w:rsidRPr="00CE3398">
        <w:rPr>
          <w:rFonts w:ascii="Times New Roman" w:hAnsi="Times New Roman"/>
          <w:b w:val="0"/>
          <w:bCs w:val="0"/>
          <w:color w:val="auto"/>
          <w:sz w:val="24"/>
          <w:szCs w:val="24"/>
        </w:rPr>
        <w:fldChar w:fldCharType="begin"/>
      </w:r>
      <w:r w:rsidRPr="00CE3398">
        <w:rPr>
          <w:rFonts w:ascii="Times New Roman" w:hAnsi="Times New Roman"/>
          <w:b w:val="0"/>
          <w:bCs w:val="0"/>
          <w:color w:val="auto"/>
          <w:sz w:val="24"/>
          <w:szCs w:val="24"/>
        </w:rPr>
        <w:instrText xml:space="preserve"> SEQ Tabela \* ARABIC </w:instrText>
      </w:r>
      <w:r w:rsidR="0010373C" w:rsidRPr="00CE3398">
        <w:rPr>
          <w:rFonts w:ascii="Times New Roman" w:hAnsi="Times New Roman"/>
          <w:b w:val="0"/>
          <w:bCs w:val="0"/>
          <w:color w:val="auto"/>
          <w:sz w:val="24"/>
          <w:szCs w:val="24"/>
        </w:rPr>
        <w:fldChar w:fldCharType="separate"/>
      </w:r>
      <w:r w:rsidR="00C46797">
        <w:rPr>
          <w:rFonts w:ascii="Times New Roman" w:hAnsi="Times New Roman"/>
          <w:b w:val="0"/>
          <w:bCs w:val="0"/>
          <w:noProof/>
          <w:color w:val="auto"/>
          <w:sz w:val="24"/>
          <w:szCs w:val="24"/>
        </w:rPr>
        <w:t>5</w:t>
      </w:r>
      <w:r w:rsidR="0010373C" w:rsidRPr="00CE3398">
        <w:rPr>
          <w:rFonts w:ascii="Times New Roman" w:hAnsi="Times New Roman"/>
          <w:b w:val="0"/>
          <w:bCs w:val="0"/>
          <w:color w:val="auto"/>
          <w:sz w:val="24"/>
          <w:szCs w:val="24"/>
        </w:rPr>
        <w:fldChar w:fldCharType="end"/>
      </w:r>
    </w:p>
    <w:p w:rsidR="00103485" w:rsidRPr="00CE3398" w:rsidRDefault="00103485" w:rsidP="00103485">
      <w:pPr>
        <w:pStyle w:val="LegendaTabTitulo"/>
        <w:rPr>
          <w:rFonts w:eastAsia="Calibri"/>
          <w:sz w:val="24"/>
          <w:szCs w:val="24"/>
          <w:lang w:eastAsia="en-US"/>
        </w:rPr>
      </w:pPr>
      <w:r w:rsidRPr="00CE3398">
        <w:rPr>
          <w:rFonts w:eastAsia="Calibri"/>
          <w:sz w:val="24"/>
          <w:szCs w:val="24"/>
          <w:lang w:eastAsia="en-US"/>
        </w:rPr>
        <w:t>Identificação e composição das amostras.</w:t>
      </w:r>
    </w:p>
    <w:tbl>
      <w:tblPr>
        <w:tblStyle w:val="Tabelacomgrad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538"/>
        <w:gridCol w:w="1938"/>
        <w:gridCol w:w="1276"/>
        <w:gridCol w:w="1736"/>
        <w:gridCol w:w="1839"/>
      </w:tblGrid>
      <w:tr w:rsidR="00103485" w:rsidRPr="00CE3398" w:rsidTr="00E67AFA">
        <w:trPr>
          <w:jc w:val="center"/>
        </w:trPr>
        <w:tc>
          <w:tcPr>
            <w:tcW w:w="2538" w:type="dxa"/>
            <w:tcMar>
              <w:top w:w="85" w:type="dxa"/>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Identificação da amostra</w:t>
            </w:r>
          </w:p>
        </w:tc>
        <w:tc>
          <w:tcPr>
            <w:tcW w:w="1938"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Identificação do aditivo</w:t>
            </w:r>
          </w:p>
        </w:tc>
        <w:tc>
          <w:tcPr>
            <w:tcW w:w="1276"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Dosagem [µL/L]</w:t>
            </w:r>
          </w:p>
        </w:tc>
        <w:tc>
          <w:tcPr>
            <w:tcW w:w="1736"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Identificação do combustível</w:t>
            </w:r>
          </w:p>
        </w:tc>
        <w:tc>
          <w:tcPr>
            <w:tcW w:w="1839"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 xml:space="preserve">Teor de etanol </w:t>
            </w:r>
          </w:p>
          <w:p w:rsidR="00103485" w:rsidRPr="00CE3398" w:rsidRDefault="00103485" w:rsidP="0087016A">
            <w:pPr>
              <w:rPr>
                <w:rFonts w:ascii="Times New Roman" w:hAnsi="Times New Roman"/>
                <w:sz w:val="24"/>
                <w:szCs w:val="24"/>
              </w:rPr>
            </w:pPr>
            <w:r w:rsidRPr="00CE3398">
              <w:rPr>
                <w:rFonts w:ascii="Times New Roman" w:hAnsi="Times New Roman"/>
                <w:sz w:val="24"/>
                <w:szCs w:val="24"/>
              </w:rPr>
              <w:t>[% v/v]</w:t>
            </w:r>
          </w:p>
        </w:tc>
      </w:tr>
      <w:tr w:rsidR="00103485" w:rsidRPr="00CE3398" w:rsidTr="00E67AFA">
        <w:trPr>
          <w:trHeight w:val="266"/>
          <w:jc w:val="center"/>
        </w:trPr>
        <w:tc>
          <w:tcPr>
            <w:tcW w:w="2538" w:type="dxa"/>
            <w:tcMar>
              <w:top w:w="85" w:type="dxa"/>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TKS00_0_GCA27</w:t>
            </w:r>
          </w:p>
        </w:tc>
        <w:tc>
          <w:tcPr>
            <w:tcW w:w="1938" w:type="dxa"/>
            <w:tcMar>
              <w:top w:w="85" w:type="dxa"/>
            </w:tcMar>
          </w:tcPr>
          <w:p w:rsidR="00103485" w:rsidRPr="00CE3398" w:rsidRDefault="00103485" w:rsidP="0087016A">
            <w:pPr>
              <w:rPr>
                <w:rFonts w:ascii="Times New Roman" w:hAnsi="Times New Roman"/>
                <w:sz w:val="24"/>
                <w:szCs w:val="24"/>
              </w:rPr>
            </w:pPr>
          </w:p>
        </w:tc>
        <w:tc>
          <w:tcPr>
            <w:tcW w:w="1276" w:type="dxa"/>
            <w:tcMar>
              <w:top w:w="85" w:type="dxa"/>
            </w:tcMar>
          </w:tcPr>
          <w:p w:rsidR="00103485" w:rsidRPr="00CE3398" w:rsidRDefault="00103485" w:rsidP="0087016A">
            <w:pPr>
              <w:rPr>
                <w:rFonts w:ascii="Times New Roman" w:hAnsi="Times New Roman"/>
                <w:sz w:val="24"/>
                <w:szCs w:val="24"/>
              </w:rPr>
            </w:pPr>
          </w:p>
        </w:tc>
        <w:tc>
          <w:tcPr>
            <w:tcW w:w="1736" w:type="dxa"/>
            <w:tcMar>
              <w:top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GCA27</w:t>
            </w:r>
          </w:p>
        </w:tc>
        <w:tc>
          <w:tcPr>
            <w:tcW w:w="1839" w:type="dxa"/>
            <w:tcMar>
              <w:top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TKS34_1_GCA27</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GCA27</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TKS34_5_GCA27</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5 000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GCA27</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TKS75_1_GCA27</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GCA27</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TKS75_5_GCA27</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5 000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GCA27</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0</w:t>
            </w:r>
          </w:p>
        </w:tc>
      </w:tr>
      <w:tr w:rsidR="00103485" w:rsidRPr="00CE3398" w:rsidTr="00E67AFA">
        <w:trPr>
          <w:trHeight w:val="266"/>
          <w:jc w:val="center"/>
        </w:trPr>
        <w:tc>
          <w:tcPr>
            <w:tcW w:w="253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TKS12_1_GCA27</w:t>
            </w:r>
          </w:p>
        </w:tc>
        <w:tc>
          <w:tcPr>
            <w:tcW w:w="1938"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w:t>
            </w:r>
          </w:p>
        </w:tc>
        <w:tc>
          <w:tcPr>
            <w:tcW w:w="127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100</w:t>
            </w:r>
          </w:p>
        </w:tc>
        <w:tc>
          <w:tcPr>
            <w:tcW w:w="1736"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GCA27</w:t>
            </w:r>
          </w:p>
        </w:tc>
        <w:tc>
          <w:tcPr>
            <w:tcW w:w="1839" w:type="dxa"/>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0</w:t>
            </w:r>
          </w:p>
        </w:tc>
      </w:tr>
      <w:tr w:rsidR="00103485" w:rsidRPr="00CE3398" w:rsidTr="00E67AFA">
        <w:trPr>
          <w:trHeight w:val="266"/>
          <w:jc w:val="center"/>
        </w:trPr>
        <w:tc>
          <w:tcPr>
            <w:tcW w:w="2538" w:type="dxa"/>
            <w:tcMar>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TKS12_5_GCA27</w:t>
            </w:r>
          </w:p>
        </w:tc>
        <w:tc>
          <w:tcPr>
            <w:tcW w:w="1938" w:type="dxa"/>
            <w:tcMar>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w:t>
            </w:r>
          </w:p>
        </w:tc>
        <w:tc>
          <w:tcPr>
            <w:tcW w:w="1276" w:type="dxa"/>
            <w:tcMar>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5 000</w:t>
            </w:r>
          </w:p>
        </w:tc>
        <w:tc>
          <w:tcPr>
            <w:tcW w:w="1736" w:type="dxa"/>
            <w:tcMar>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GCA27</w:t>
            </w:r>
          </w:p>
        </w:tc>
        <w:tc>
          <w:tcPr>
            <w:tcW w:w="1839" w:type="dxa"/>
            <w:tcMar>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0</w:t>
            </w:r>
          </w:p>
        </w:tc>
      </w:tr>
    </w:tbl>
    <w:p w:rsidR="00103485" w:rsidRPr="00CE3398" w:rsidRDefault="00103485" w:rsidP="00103485">
      <w:pPr>
        <w:rPr>
          <w:rFonts w:ascii="Times New Roman" w:hAnsi="Times New Roman"/>
          <w:sz w:val="24"/>
          <w:szCs w:val="24"/>
        </w:rPr>
      </w:pPr>
    </w:p>
    <w:p w:rsidR="00103485" w:rsidRPr="00CE3398" w:rsidRDefault="00103485" w:rsidP="00103485">
      <w:pPr>
        <w:pStyle w:val="CorpoTExto"/>
        <w:rPr>
          <w:rFonts w:eastAsia="Calibri"/>
          <w:szCs w:val="24"/>
          <w:lang w:eastAsia="en-US"/>
        </w:rPr>
      </w:pPr>
      <w:r w:rsidRPr="00CE3398">
        <w:rPr>
          <w:rFonts w:eastAsia="Calibri"/>
          <w:szCs w:val="24"/>
          <w:lang w:eastAsia="en-US"/>
        </w:rPr>
        <w:t>O ensaio consiste basicamente em: 1) em um tubo cônico, adicionar 20 mL de água deionizada a um volume de 80 mL de amostra; 2) agitar o tubo por 2 minutos e deixá-lo em repouso por 5 minutos; 3) avaliar visualmente a amostra quanto à claridade do combustível, ao grau de separação e à condição da interface.</w:t>
      </w:r>
    </w:p>
    <w:p w:rsidR="00103485" w:rsidRPr="00CE3398" w:rsidRDefault="00103485" w:rsidP="00103485">
      <w:pPr>
        <w:pStyle w:val="Ttulo1"/>
        <w:spacing w:after="480"/>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RESULTADOS</w:t>
      </w:r>
    </w:p>
    <w:p w:rsidR="00103485" w:rsidRPr="00CE3398" w:rsidRDefault="00103485" w:rsidP="00103485">
      <w:pPr>
        <w:pStyle w:val="CorpoTExto"/>
        <w:rPr>
          <w:rFonts w:eastAsia="Calibri"/>
          <w:szCs w:val="24"/>
          <w:lang w:eastAsia="en-US"/>
        </w:rPr>
      </w:pPr>
      <w:r w:rsidRPr="00CE3398">
        <w:rPr>
          <w:rFonts w:eastAsia="Calibri"/>
          <w:szCs w:val="24"/>
          <w:lang w:eastAsia="en-US"/>
        </w:rPr>
        <w:t>Inicialmente foi realizada a análise da amostra sem aditivo. Em seguida, foram analisadas as amostras aditivadas.</w:t>
      </w:r>
    </w:p>
    <w:p w:rsidR="00103485" w:rsidRPr="00CE3398" w:rsidRDefault="00103485" w:rsidP="00103485">
      <w:pPr>
        <w:pStyle w:val="CorpoTExto"/>
        <w:rPr>
          <w:rFonts w:eastAsia="Calibri"/>
          <w:szCs w:val="24"/>
          <w:lang w:eastAsia="en-US"/>
        </w:rPr>
      </w:pPr>
      <w:r w:rsidRPr="00CE3398">
        <w:rPr>
          <w:rFonts w:eastAsia="Calibri"/>
          <w:szCs w:val="24"/>
          <w:lang w:eastAsia="en-US"/>
        </w:rPr>
        <w:t xml:space="preserve">Os resultados das análises encontram-se resumidos na </w:t>
      </w:r>
      <w:fldSimple w:instr=" REF _Ref341434527 \h  \* MERGEFORMAT ">
        <w:r w:rsidR="00C46797" w:rsidRPr="00C46797">
          <w:rPr>
            <w:rFonts w:eastAsia="Calibri"/>
            <w:szCs w:val="24"/>
            <w:lang w:eastAsia="en-US"/>
          </w:rPr>
          <w:t>Tabela 4</w:t>
        </w:r>
      </w:fldSimple>
      <w:r w:rsidRPr="00CE3398">
        <w:rPr>
          <w:rFonts w:eastAsia="Calibri"/>
          <w:szCs w:val="24"/>
          <w:lang w:eastAsia="en-US"/>
        </w:rPr>
        <w:t>.</w:t>
      </w:r>
    </w:p>
    <w:p w:rsidR="00103485" w:rsidRPr="00CE3398" w:rsidRDefault="00103485" w:rsidP="00103485">
      <w:pPr>
        <w:pStyle w:val="Legenda"/>
        <w:rPr>
          <w:rFonts w:ascii="Times New Roman" w:hAnsi="Times New Roman"/>
          <w:b w:val="0"/>
          <w:bCs w:val="0"/>
          <w:color w:val="auto"/>
          <w:sz w:val="24"/>
          <w:szCs w:val="24"/>
        </w:rPr>
      </w:pPr>
      <w:r w:rsidRPr="00CE3398">
        <w:rPr>
          <w:rFonts w:ascii="Times New Roman" w:hAnsi="Times New Roman"/>
          <w:b w:val="0"/>
          <w:bCs w:val="0"/>
          <w:color w:val="auto"/>
          <w:sz w:val="24"/>
          <w:szCs w:val="24"/>
        </w:rPr>
        <w:t xml:space="preserve">Tabela </w:t>
      </w:r>
      <w:r w:rsidR="0010373C" w:rsidRPr="00CE3398">
        <w:rPr>
          <w:rFonts w:ascii="Times New Roman" w:hAnsi="Times New Roman"/>
          <w:b w:val="0"/>
          <w:bCs w:val="0"/>
          <w:color w:val="auto"/>
          <w:sz w:val="24"/>
          <w:szCs w:val="24"/>
        </w:rPr>
        <w:fldChar w:fldCharType="begin"/>
      </w:r>
      <w:r w:rsidRPr="00CE3398">
        <w:rPr>
          <w:rFonts w:ascii="Times New Roman" w:hAnsi="Times New Roman"/>
          <w:b w:val="0"/>
          <w:bCs w:val="0"/>
          <w:color w:val="auto"/>
          <w:sz w:val="24"/>
          <w:szCs w:val="24"/>
        </w:rPr>
        <w:instrText xml:space="preserve"> SEQ Tabela \* ARABIC </w:instrText>
      </w:r>
      <w:r w:rsidR="0010373C" w:rsidRPr="00CE3398">
        <w:rPr>
          <w:rFonts w:ascii="Times New Roman" w:hAnsi="Times New Roman"/>
          <w:b w:val="0"/>
          <w:bCs w:val="0"/>
          <w:color w:val="auto"/>
          <w:sz w:val="24"/>
          <w:szCs w:val="24"/>
        </w:rPr>
        <w:fldChar w:fldCharType="separate"/>
      </w:r>
      <w:r w:rsidR="00C46797">
        <w:rPr>
          <w:rFonts w:ascii="Times New Roman" w:hAnsi="Times New Roman"/>
          <w:b w:val="0"/>
          <w:bCs w:val="0"/>
          <w:noProof/>
          <w:color w:val="auto"/>
          <w:sz w:val="24"/>
          <w:szCs w:val="24"/>
        </w:rPr>
        <w:t>6</w:t>
      </w:r>
      <w:r w:rsidR="0010373C" w:rsidRPr="00CE3398">
        <w:rPr>
          <w:rFonts w:ascii="Times New Roman" w:hAnsi="Times New Roman"/>
          <w:b w:val="0"/>
          <w:bCs w:val="0"/>
          <w:color w:val="auto"/>
          <w:sz w:val="24"/>
          <w:szCs w:val="24"/>
        </w:rPr>
        <w:fldChar w:fldCharType="end"/>
      </w:r>
    </w:p>
    <w:p w:rsidR="00103485" w:rsidRPr="00CE3398" w:rsidRDefault="00103485" w:rsidP="00103485">
      <w:pPr>
        <w:pStyle w:val="LegendaTabTitulo"/>
        <w:rPr>
          <w:rFonts w:eastAsia="Calibri"/>
          <w:sz w:val="24"/>
          <w:szCs w:val="24"/>
          <w:lang w:eastAsia="en-US"/>
        </w:rPr>
      </w:pPr>
      <w:r w:rsidRPr="00CE3398">
        <w:rPr>
          <w:rFonts w:eastAsia="Calibri"/>
          <w:sz w:val="24"/>
          <w:szCs w:val="24"/>
          <w:lang w:eastAsia="en-US"/>
        </w:rPr>
        <w:t>Resultados das análises.</w:t>
      </w:r>
    </w:p>
    <w:tbl>
      <w:tblPr>
        <w:tblStyle w:val="Tabelacomgrade"/>
        <w:tblW w:w="0" w:type="auto"/>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57"/>
        <w:gridCol w:w="2119"/>
        <w:gridCol w:w="2119"/>
        <w:gridCol w:w="2119"/>
      </w:tblGrid>
      <w:tr w:rsidR="00103485" w:rsidRPr="00CE3398" w:rsidTr="00E67AFA">
        <w:trPr>
          <w:tblHeader/>
          <w:jc w:val="center"/>
        </w:trPr>
        <w:tc>
          <w:tcPr>
            <w:tcW w:w="2957" w:type="dxa"/>
            <w:tcMar>
              <w:top w:w="85" w:type="dxa"/>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Identificação da amostra</w:t>
            </w:r>
          </w:p>
        </w:tc>
        <w:tc>
          <w:tcPr>
            <w:tcW w:w="2119"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Avaliação da claridade do combustível</w:t>
            </w:r>
          </w:p>
        </w:tc>
        <w:tc>
          <w:tcPr>
            <w:tcW w:w="2119"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Avaliação do grau de separação água/combustível</w:t>
            </w:r>
          </w:p>
        </w:tc>
        <w:tc>
          <w:tcPr>
            <w:tcW w:w="2119"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Avaliação da condição da interface</w:t>
            </w:r>
          </w:p>
        </w:tc>
      </w:tr>
      <w:tr w:rsidR="00103485" w:rsidRPr="00CE3398" w:rsidTr="00E67AFA">
        <w:trPr>
          <w:jc w:val="center"/>
        </w:trPr>
        <w:tc>
          <w:tcPr>
            <w:tcW w:w="2957" w:type="dxa"/>
            <w:tcMar>
              <w:top w:w="85" w:type="dxa"/>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TKS00_0_GCA27</w:t>
            </w:r>
          </w:p>
        </w:tc>
        <w:tc>
          <w:tcPr>
            <w:tcW w:w="2119" w:type="dxa"/>
            <w:tcMar>
              <w:top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2119" w:type="dxa"/>
            <w:tcMar>
              <w:top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w:t>
            </w:r>
          </w:p>
        </w:tc>
        <w:tc>
          <w:tcPr>
            <w:tcW w:w="2119" w:type="dxa"/>
            <w:tcMar>
              <w:top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1b</w:t>
            </w:r>
          </w:p>
        </w:tc>
      </w:tr>
      <w:tr w:rsidR="00103485" w:rsidRPr="00CE3398" w:rsidTr="00E67AFA">
        <w:trPr>
          <w:jc w:val="center"/>
        </w:trPr>
        <w:tc>
          <w:tcPr>
            <w:tcW w:w="2957"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TKS34_1_GCA27</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2957"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TKS34_5_GCA27</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2957"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lastRenderedPageBreak/>
              <w:t>TKS75_1_GCA27</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2957"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TKS75_5_GCA27</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1b</w:t>
            </w:r>
          </w:p>
        </w:tc>
      </w:tr>
      <w:tr w:rsidR="00103485" w:rsidRPr="00CE3398" w:rsidTr="00E67AFA">
        <w:trPr>
          <w:jc w:val="center"/>
        </w:trPr>
        <w:tc>
          <w:tcPr>
            <w:tcW w:w="2957"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TKS12_1_GCA27</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w:t>
            </w:r>
          </w:p>
        </w:tc>
        <w:tc>
          <w:tcPr>
            <w:tcW w:w="2119"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r>
      <w:tr w:rsidR="00103485" w:rsidRPr="00CE3398" w:rsidTr="00E67AFA">
        <w:trPr>
          <w:jc w:val="center"/>
        </w:trPr>
        <w:tc>
          <w:tcPr>
            <w:tcW w:w="2957" w:type="dxa"/>
            <w:tcMar>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TKS12_5_GCA27</w:t>
            </w:r>
          </w:p>
        </w:tc>
        <w:tc>
          <w:tcPr>
            <w:tcW w:w="2119" w:type="dxa"/>
            <w:tcMar>
              <w:bottom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2119" w:type="dxa"/>
            <w:tcMar>
              <w:bottom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w:t>
            </w:r>
          </w:p>
        </w:tc>
        <w:tc>
          <w:tcPr>
            <w:tcW w:w="2119" w:type="dxa"/>
            <w:tcMar>
              <w:bottom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1b</w:t>
            </w:r>
          </w:p>
        </w:tc>
      </w:tr>
    </w:tbl>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Registros fotográficos encontram-se condensados no anexo deste documento.</w:t>
      </w:r>
    </w:p>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A claridade do combustível foi avaliada por meio da tabela haze de turbidez</w:t>
      </w:r>
      <w:r w:rsidRPr="00CE3398">
        <w:rPr>
          <w:rFonts w:eastAsia="Calibri"/>
          <w:szCs w:val="24"/>
          <w:lang w:eastAsia="en-US"/>
        </w:rPr>
        <w:footnoteReference w:id="13"/>
      </w:r>
      <w:r w:rsidRPr="00CE3398">
        <w:rPr>
          <w:rFonts w:eastAsia="Calibri"/>
          <w:szCs w:val="24"/>
          <w:lang w:eastAsia="en-US"/>
        </w:rPr>
        <w:t>. A escala varia de 1 – mais claro – a 6 – totalmente turvo.</w:t>
      </w:r>
    </w:p>
    <w:p w:rsidR="00103485" w:rsidRPr="00CE3398" w:rsidRDefault="00103485" w:rsidP="00103485">
      <w:pPr>
        <w:pStyle w:val="CorpoTExto"/>
        <w:spacing w:before="240"/>
        <w:rPr>
          <w:rFonts w:eastAsia="Calibri"/>
          <w:szCs w:val="24"/>
          <w:lang w:eastAsia="en-US"/>
        </w:rPr>
      </w:pPr>
      <w:r w:rsidRPr="00CE3398">
        <w:rPr>
          <w:rFonts w:eastAsia="Calibri"/>
          <w:szCs w:val="24"/>
          <w:lang w:eastAsia="en-US"/>
        </w:rPr>
        <w:t xml:space="preserve">Para o grau de separação água/combustível, as graduações são conforme a tabela 2, da norma ASTM D7451 – 08a, tradução nossa reproduzida aqui na </w:t>
      </w:r>
      <w:fldSimple w:instr=" REF _Ref347853166 \h  \* MERGEFORMAT ">
        <w:r w:rsidR="00C46797" w:rsidRPr="00C46797">
          <w:rPr>
            <w:rFonts w:eastAsia="Calibri"/>
            <w:szCs w:val="24"/>
            <w:lang w:eastAsia="en-US"/>
          </w:rPr>
          <w:t>Tabela 7</w:t>
        </w:r>
      </w:fldSimple>
      <w:r w:rsidRPr="00CE3398">
        <w:rPr>
          <w:rFonts w:eastAsia="Calibri"/>
          <w:szCs w:val="24"/>
          <w:lang w:eastAsia="en-US"/>
        </w:rPr>
        <w:t>.</w:t>
      </w:r>
    </w:p>
    <w:p w:rsidR="00103485" w:rsidRPr="00CE3398" w:rsidRDefault="00103485" w:rsidP="00103485">
      <w:pPr>
        <w:pStyle w:val="Legenda"/>
        <w:keepNext/>
        <w:rPr>
          <w:rFonts w:ascii="Times New Roman" w:hAnsi="Times New Roman"/>
          <w:b w:val="0"/>
          <w:bCs w:val="0"/>
          <w:color w:val="auto"/>
          <w:sz w:val="24"/>
          <w:szCs w:val="24"/>
        </w:rPr>
      </w:pPr>
      <w:bookmarkStart w:id="4" w:name="_Ref347853166"/>
      <w:r w:rsidRPr="00CE3398">
        <w:rPr>
          <w:rFonts w:ascii="Times New Roman" w:hAnsi="Times New Roman"/>
          <w:b w:val="0"/>
          <w:bCs w:val="0"/>
          <w:color w:val="auto"/>
          <w:sz w:val="24"/>
          <w:szCs w:val="24"/>
        </w:rPr>
        <w:t xml:space="preserve">Tabela </w:t>
      </w:r>
      <w:r w:rsidR="0010373C" w:rsidRPr="00CE3398">
        <w:rPr>
          <w:rFonts w:ascii="Times New Roman" w:hAnsi="Times New Roman"/>
          <w:b w:val="0"/>
          <w:bCs w:val="0"/>
          <w:color w:val="auto"/>
          <w:sz w:val="24"/>
          <w:szCs w:val="24"/>
        </w:rPr>
        <w:fldChar w:fldCharType="begin"/>
      </w:r>
      <w:r w:rsidRPr="00CE3398">
        <w:rPr>
          <w:rFonts w:ascii="Times New Roman" w:hAnsi="Times New Roman"/>
          <w:b w:val="0"/>
          <w:bCs w:val="0"/>
          <w:color w:val="auto"/>
          <w:sz w:val="24"/>
          <w:szCs w:val="24"/>
        </w:rPr>
        <w:instrText xml:space="preserve"> SEQ Tabela \* ARABIC </w:instrText>
      </w:r>
      <w:r w:rsidR="0010373C" w:rsidRPr="00CE3398">
        <w:rPr>
          <w:rFonts w:ascii="Times New Roman" w:hAnsi="Times New Roman"/>
          <w:b w:val="0"/>
          <w:bCs w:val="0"/>
          <w:color w:val="auto"/>
          <w:sz w:val="24"/>
          <w:szCs w:val="24"/>
        </w:rPr>
        <w:fldChar w:fldCharType="separate"/>
      </w:r>
      <w:r w:rsidR="00C46797">
        <w:rPr>
          <w:rFonts w:ascii="Times New Roman" w:hAnsi="Times New Roman"/>
          <w:b w:val="0"/>
          <w:bCs w:val="0"/>
          <w:noProof/>
          <w:color w:val="auto"/>
          <w:sz w:val="24"/>
          <w:szCs w:val="24"/>
        </w:rPr>
        <w:t>7</w:t>
      </w:r>
      <w:r w:rsidR="0010373C" w:rsidRPr="00CE3398">
        <w:rPr>
          <w:rFonts w:ascii="Times New Roman" w:hAnsi="Times New Roman"/>
          <w:b w:val="0"/>
          <w:bCs w:val="0"/>
          <w:color w:val="auto"/>
          <w:sz w:val="24"/>
          <w:szCs w:val="24"/>
        </w:rPr>
        <w:fldChar w:fldCharType="end"/>
      </w:r>
      <w:bookmarkEnd w:id="4"/>
    </w:p>
    <w:p w:rsidR="00103485" w:rsidRPr="00CE3398" w:rsidRDefault="00103485" w:rsidP="00103485">
      <w:pPr>
        <w:pStyle w:val="LegendaTabTitulo"/>
        <w:rPr>
          <w:rFonts w:eastAsia="Calibri"/>
          <w:sz w:val="24"/>
          <w:szCs w:val="24"/>
          <w:lang w:eastAsia="en-US"/>
        </w:rPr>
      </w:pPr>
      <w:r w:rsidRPr="00CE3398">
        <w:rPr>
          <w:rFonts w:eastAsia="Calibri"/>
          <w:sz w:val="24"/>
          <w:szCs w:val="24"/>
          <w:lang w:eastAsia="en-US"/>
        </w:rPr>
        <w:t>Grau de separação água/combustível.</w:t>
      </w:r>
    </w:p>
    <w:tbl>
      <w:tblPr>
        <w:tblStyle w:val="Tabelacomgrade"/>
        <w:tblW w:w="0" w:type="auto"/>
        <w:jc w:val="center"/>
        <w:tblInd w:w="-4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58"/>
        <w:gridCol w:w="7342"/>
      </w:tblGrid>
      <w:tr w:rsidR="00103485" w:rsidRPr="00CE3398" w:rsidTr="00E67AFA">
        <w:trPr>
          <w:jc w:val="center"/>
        </w:trPr>
        <w:tc>
          <w:tcPr>
            <w:tcW w:w="1958" w:type="dxa"/>
            <w:tcMar>
              <w:top w:w="85" w:type="dxa"/>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Grau de separação</w:t>
            </w:r>
          </w:p>
        </w:tc>
        <w:tc>
          <w:tcPr>
            <w:tcW w:w="7342"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Aparência</w:t>
            </w:r>
          </w:p>
        </w:tc>
      </w:tr>
      <w:tr w:rsidR="00103485" w:rsidRPr="00CE3398" w:rsidTr="00E67AFA">
        <w:trPr>
          <w:jc w:val="center"/>
        </w:trPr>
        <w:tc>
          <w:tcPr>
            <w:tcW w:w="1958" w:type="dxa"/>
            <w:tcMar>
              <w:top w:w="85" w:type="dxa"/>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7342" w:type="dxa"/>
            <w:tcMar>
              <w:top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Ausência completa de qualquer emulsão ou precipitado, ou ambos, dentre cada camada (combustível e água), ou acima da camada de combustível</w:t>
            </w:r>
          </w:p>
        </w:tc>
      </w:tr>
      <w:tr w:rsidR="00103485" w:rsidRPr="00CE3398" w:rsidTr="00E67AFA">
        <w:trPr>
          <w:jc w:val="center"/>
        </w:trPr>
        <w:tc>
          <w:tcPr>
            <w:tcW w:w="195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w:t>
            </w:r>
          </w:p>
        </w:tc>
        <w:tc>
          <w:tcPr>
            <w:tcW w:w="7342"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 mesma aparência do grau 1, mas com a presença de pequenas bolhas de ar ou pequenas gotas de água na camada do combustível</w:t>
            </w:r>
          </w:p>
        </w:tc>
      </w:tr>
      <w:tr w:rsidR="00103485" w:rsidRPr="00CE3398" w:rsidTr="00E67AFA">
        <w:trPr>
          <w:jc w:val="center"/>
        </w:trPr>
        <w:tc>
          <w:tcPr>
            <w:tcW w:w="1958" w:type="dxa"/>
            <w:tcMar>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7342" w:type="dxa"/>
            <w:tcMar>
              <w:bottom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Presença de emulsões ou precipitados, ou ambos, dentre uma das camadas ou acima da camada de combustível, e de gotas na camada de água aderidas à parede do tubo, ou ambos, excluindo-se a parede do tubo acima da camada de combustível</w:t>
            </w:r>
          </w:p>
        </w:tc>
      </w:tr>
    </w:tbl>
    <w:p w:rsidR="00E67AFA" w:rsidRDefault="00103485">
      <w:pPr>
        <w:spacing w:after="0" w:line="240" w:lineRule="auto"/>
        <w:rPr>
          <w:rFonts w:ascii="Times New Roman" w:hAnsi="Times New Roman"/>
          <w:sz w:val="24"/>
          <w:szCs w:val="24"/>
        </w:rPr>
      </w:pPr>
      <w:r w:rsidRPr="00CE3398">
        <w:rPr>
          <w:szCs w:val="24"/>
        </w:rPr>
        <w:t xml:space="preserve">A condição da interface foi avaliada com base nos parâmetros definidos na tabela 3, da norma ASTM D7451 – 08a, tradução nossa reproduzida aqui na </w:t>
      </w:r>
      <w:fldSimple w:instr=" REF _Ref347853828 \h  \* MERGEFORMAT ">
        <w:r w:rsidR="00C46797" w:rsidRPr="00CE3398">
          <w:rPr>
            <w:rFonts w:ascii="Times New Roman" w:hAnsi="Times New Roman"/>
            <w:sz w:val="24"/>
            <w:szCs w:val="24"/>
          </w:rPr>
          <w:t xml:space="preserve">Tabela </w:t>
        </w:r>
        <w:r w:rsidR="00C46797" w:rsidRPr="00C46797">
          <w:rPr>
            <w:rFonts w:ascii="Times New Roman" w:hAnsi="Times New Roman"/>
            <w:sz w:val="24"/>
            <w:szCs w:val="24"/>
          </w:rPr>
          <w:t>8</w:t>
        </w:r>
      </w:fldSimple>
      <w:r w:rsidRPr="00CE3398">
        <w:rPr>
          <w:szCs w:val="24"/>
        </w:rPr>
        <w:t>.</w:t>
      </w:r>
      <w:proofErr w:type="gramStart"/>
      <w:r w:rsidR="00E67AFA">
        <w:rPr>
          <w:szCs w:val="24"/>
        </w:rPr>
        <w:br w:type="page"/>
      </w:r>
      <w:proofErr w:type="gramEnd"/>
    </w:p>
    <w:p w:rsidR="00103485" w:rsidRPr="00CE3398" w:rsidRDefault="00103485" w:rsidP="00103485">
      <w:pPr>
        <w:pStyle w:val="CorpoTExto"/>
        <w:spacing w:before="240"/>
        <w:rPr>
          <w:rFonts w:eastAsia="Calibri"/>
          <w:szCs w:val="24"/>
          <w:lang w:eastAsia="en-US"/>
        </w:rPr>
      </w:pPr>
    </w:p>
    <w:p w:rsidR="00103485" w:rsidRPr="00CE3398" w:rsidRDefault="00103485" w:rsidP="00103485">
      <w:pPr>
        <w:pStyle w:val="Legenda"/>
        <w:keepNext/>
        <w:rPr>
          <w:rFonts w:ascii="Times New Roman" w:hAnsi="Times New Roman"/>
          <w:b w:val="0"/>
          <w:bCs w:val="0"/>
          <w:color w:val="auto"/>
          <w:sz w:val="24"/>
          <w:szCs w:val="24"/>
        </w:rPr>
      </w:pPr>
      <w:bookmarkStart w:id="5" w:name="_Ref347853828"/>
      <w:r w:rsidRPr="00CE3398">
        <w:rPr>
          <w:rFonts w:ascii="Times New Roman" w:hAnsi="Times New Roman"/>
          <w:b w:val="0"/>
          <w:bCs w:val="0"/>
          <w:color w:val="auto"/>
          <w:sz w:val="24"/>
          <w:szCs w:val="24"/>
        </w:rPr>
        <w:t xml:space="preserve">Tabela </w:t>
      </w:r>
      <w:r w:rsidR="0010373C" w:rsidRPr="00CE3398">
        <w:rPr>
          <w:rFonts w:ascii="Times New Roman" w:hAnsi="Times New Roman"/>
          <w:b w:val="0"/>
          <w:bCs w:val="0"/>
          <w:color w:val="auto"/>
          <w:sz w:val="24"/>
          <w:szCs w:val="24"/>
        </w:rPr>
        <w:fldChar w:fldCharType="begin"/>
      </w:r>
      <w:r w:rsidRPr="00CE3398">
        <w:rPr>
          <w:rFonts w:ascii="Times New Roman" w:hAnsi="Times New Roman"/>
          <w:b w:val="0"/>
          <w:bCs w:val="0"/>
          <w:color w:val="auto"/>
          <w:sz w:val="24"/>
          <w:szCs w:val="24"/>
        </w:rPr>
        <w:instrText xml:space="preserve"> SEQ Tabela \* ARABIC </w:instrText>
      </w:r>
      <w:r w:rsidR="0010373C" w:rsidRPr="00CE3398">
        <w:rPr>
          <w:rFonts w:ascii="Times New Roman" w:hAnsi="Times New Roman"/>
          <w:b w:val="0"/>
          <w:bCs w:val="0"/>
          <w:color w:val="auto"/>
          <w:sz w:val="24"/>
          <w:szCs w:val="24"/>
        </w:rPr>
        <w:fldChar w:fldCharType="separate"/>
      </w:r>
      <w:r w:rsidR="00C46797">
        <w:rPr>
          <w:rFonts w:ascii="Times New Roman" w:hAnsi="Times New Roman"/>
          <w:b w:val="0"/>
          <w:bCs w:val="0"/>
          <w:noProof/>
          <w:color w:val="auto"/>
          <w:sz w:val="24"/>
          <w:szCs w:val="24"/>
        </w:rPr>
        <w:t>8</w:t>
      </w:r>
      <w:r w:rsidR="0010373C" w:rsidRPr="00CE3398">
        <w:rPr>
          <w:rFonts w:ascii="Times New Roman" w:hAnsi="Times New Roman"/>
          <w:b w:val="0"/>
          <w:bCs w:val="0"/>
          <w:color w:val="auto"/>
          <w:sz w:val="24"/>
          <w:szCs w:val="24"/>
        </w:rPr>
        <w:fldChar w:fldCharType="end"/>
      </w:r>
      <w:bookmarkEnd w:id="5"/>
    </w:p>
    <w:p w:rsidR="00103485" w:rsidRPr="00CE3398" w:rsidRDefault="00103485" w:rsidP="00103485">
      <w:pPr>
        <w:rPr>
          <w:rFonts w:ascii="Times New Roman" w:hAnsi="Times New Roman"/>
          <w:sz w:val="24"/>
          <w:szCs w:val="24"/>
        </w:rPr>
      </w:pPr>
      <w:r w:rsidRPr="00CE3398">
        <w:rPr>
          <w:rFonts w:ascii="Times New Roman" w:hAnsi="Times New Roman"/>
          <w:sz w:val="24"/>
          <w:szCs w:val="24"/>
        </w:rPr>
        <w:t>Condição da interface.</w:t>
      </w:r>
    </w:p>
    <w:tbl>
      <w:tblPr>
        <w:tblStyle w:val="Tabelacomgrade"/>
        <w:tblW w:w="0" w:type="auto"/>
        <w:jc w:val="center"/>
        <w:tblInd w:w="-4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58"/>
        <w:gridCol w:w="7342"/>
      </w:tblGrid>
      <w:tr w:rsidR="00103485" w:rsidRPr="00CE3398" w:rsidTr="00E67AFA">
        <w:trPr>
          <w:tblHeader/>
          <w:jc w:val="center"/>
        </w:trPr>
        <w:tc>
          <w:tcPr>
            <w:tcW w:w="1958" w:type="dxa"/>
            <w:tcMar>
              <w:top w:w="85" w:type="dxa"/>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Condição da interface</w:t>
            </w:r>
          </w:p>
        </w:tc>
        <w:tc>
          <w:tcPr>
            <w:tcW w:w="7342" w:type="dxa"/>
            <w:tcMar>
              <w:top w:w="85"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Aparência</w:t>
            </w:r>
          </w:p>
        </w:tc>
      </w:tr>
      <w:tr w:rsidR="00103485" w:rsidRPr="00CE3398" w:rsidTr="00E67AFA">
        <w:trPr>
          <w:jc w:val="center"/>
        </w:trPr>
        <w:tc>
          <w:tcPr>
            <w:tcW w:w="1958" w:type="dxa"/>
            <w:tcMar>
              <w:top w:w="85" w:type="dxa"/>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w:t>
            </w:r>
          </w:p>
        </w:tc>
        <w:tc>
          <w:tcPr>
            <w:tcW w:w="7342" w:type="dxa"/>
            <w:tcMar>
              <w:top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Clara e límpida</w:t>
            </w:r>
          </w:p>
        </w:tc>
      </w:tr>
      <w:tr w:rsidR="00103485" w:rsidRPr="00CE3398" w:rsidTr="00E67AFA">
        <w:trPr>
          <w:jc w:val="center"/>
        </w:trPr>
        <w:tc>
          <w:tcPr>
            <w:tcW w:w="195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1b</w:t>
            </w:r>
          </w:p>
        </w:tc>
        <w:tc>
          <w:tcPr>
            <w:tcW w:w="7342"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Bolhas claras cobrindo não mais que uma área estimada de 50% da interface e ausência de filme† na interface</w:t>
            </w:r>
          </w:p>
        </w:tc>
      </w:tr>
      <w:tr w:rsidR="00103485" w:rsidRPr="00CE3398" w:rsidTr="00E67AFA">
        <w:trPr>
          <w:jc w:val="center"/>
        </w:trPr>
        <w:tc>
          <w:tcPr>
            <w:tcW w:w="195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2</w:t>
            </w:r>
          </w:p>
        </w:tc>
        <w:tc>
          <w:tcPr>
            <w:tcW w:w="7342"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Filme na interface</w:t>
            </w:r>
          </w:p>
        </w:tc>
      </w:tr>
      <w:tr w:rsidR="00103485" w:rsidRPr="00CE3398" w:rsidTr="00E67AFA">
        <w:trPr>
          <w:jc w:val="center"/>
        </w:trPr>
        <w:tc>
          <w:tcPr>
            <w:tcW w:w="1958" w:type="dxa"/>
            <w:tcMar>
              <w:left w:w="142"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3</w:t>
            </w:r>
          </w:p>
        </w:tc>
        <w:tc>
          <w:tcPr>
            <w:tcW w:w="7342" w:type="dxa"/>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Espuma na interface (até 1 ml de emulsão)</w:t>
            </w:r>
          </w:p>
        </w:tc>
      </w:tr>
      <w:tr w:rsidR="00103485" w:rsidRPr="00CE3398" w:rsidTr="00E67AFA">
        <w:trPr>
          <w:jc w:val="center"/>
        </w:trPr>
        <w:tc>
          <w:tcPr>
            <w:tcW w:w="1958" w:type="dxa"/>
            <w:tcMar>
              <w:left w:w="142" w:type="dxa"/>
              <w:bottom w:w="85" w:type="dxa"/>
            </w:tcMa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4</w:t>
            </w:r>
          </w:p>
        </w:tc>
        <w:tc>
          <w:tcPr>
            <w:tcW w:w="7342" w:type="dxa"/>
            <w:tcMar>
              <w:bottom w:w="85" w:type="dxa"/>
            </w:tcMar>
            <w:vAlign w:val="center"/>
          </w:tcPr>
          <w:p w:rsidR="00103485" w:rsidRPr="00CE3398" w:rsidRDefault="00103485" w:rsidP="0087016A">
            <w:pPr>
              <w:rPr>
                <w:rFonts w:ascii="Times New Roman" w:hAnsi="Times New Roman"/>
                <w:sz w:val="24"/>
                <w:szCs w:val="24"/>
              </w:rPr>
            </w:pPr>
            <w:r w:rsidRPr="00CE3398">
              <w:rPr>
                <w:rFonts w:ascii="Times New Roman" w:hAnsi="Times New Roman"/>
                <w:sz w:val="24"/>
                <w:szCs w:val="24"/>
              </w:rPr>
              <w:t>Espuma espessa na interface (1 ml ou mais de emulsão)</w:t>
            </w:r>
          </w:p>
        </w:tc>
      </w:tr>
    </w:tbl>
    <w:p w:rsidR="00103485" w:rsidRPr="00CE3398" w:rsidRDefault="00103485" w:rsidP="00103485">
      <w:pPr>
        <w:rPr>
          <w:rFonts w:ascii="Times New Roman" w:hAnsi="Times New Roman"/>
          <w:sz w:val="24"/>
          <w:szCs w:val="24"/>
        </w:rPr>
      </w:pPr>
      <w:r w:rsidRPr="00CE3398">
        <w:rPr>
          <w:rFonts w:ascii="Times New Roman" w:hAnsi="Times New Roman"/>
          <w:sz w:val="24"/>
          <w:szCs w:val="24"/>
        </w:rPr>
        <w:t>† Filme é definido pela norma ASTM D7451 – 08a como sendo uma camada fina e translúcida que não se adere à parede do tubo.</w:t>
      </w:r>
    </w:p>
    <w:p w:rsidR="00103485" w:rsidRPr="00CE3398" w:rsidRDefault="00103485" w:rsidP="00103485">
      <w:pPr>
        <w:pStyle w:val="Ttulo1"/>
        <w:spacing w:after="480"/>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CONCLUSÕES</w:t>
      </w:r>
    </w:p>
    <w:p w:rsidR="00103485" w:rsidRPr="00CE3398" w:rsidRDefault="00103485" w:rsidP="00103485">
      <w:pPr>
        <w:pStyle w:val="CorpoTExto"/>
        <w:rPr>
          <w:rFonts w:eastAsia="Calibri"/>
          <w:szCs w:val="24"/>
          <w:lang w:eastAsia="en-US"/>
        </w:rPr>
      </w:pPr>
      <w:r w:rsidRPr="00CE3398">
        <w:rPr>
          <w:rFonts w:eastAsia="Calibri"/>
          <w:szCs w:val="24"/>
          <w:lang w:eastAsia="en-US"/>
        </w:rPr>
        <w:t>Os resultados evidenciam que os aditivos detergentes dispersantes avaliados neste estudo não induzem à formação de emulsão em gasolina tipo A, mesmo na dosagem de 5 000 µL/L. O comparativo dos valores de claridade do combustível, grau de separação água/combustível e condição de interface da amostra não aditivada, TKS00_0_GCA27, com os valores obtidos para as amostras aditivadas sustenta essa evidência. Não foi observada qualquer perda nos parâmetros avaliados em decorrência da presença dos aditivos.</w:t>
      </w:r>
    </w:p>
    <w:p w:rsidR="00103485" w:rsidRPr="00CE3398" w:rsidRDefault="00103485" w:rsidP="00103485">
      <w:pPr>
        <w:pStyle w:val="CorpoTExto"/>
        <w:rPr>
          <w:rFonts w:eastAsia="Calibri"/>
          <w:szCs w:val="24"/>
          <w:lang w:eastAsia="en-US"/>
        </w:rPr>
      </w:pPr>
      <w:r w:rsidRPr="00CE3398">
        <w:rPr>
          <w:rFonts w:eastAsia="Calibri"/>
          <w:szCs w:val="24"/>
          <w:lang w:eastAsia="en-US"/>
        </w:rPr>
        <w:t>A presença do etanol anidro nas amostras aditivadas a 5 000 µL/L, conforme observado na Nota Técnica nº 98/2012/101/CPT, resultou em altos níveis de turvação do combustível. Isso leva a concluir que o etanol anidro, nas amostras aditivadas a 5 000 µL/L, tem um caráter negativo no parâmetro claridade do combustível.</w:t>
      </w:r>
    </w:p>
    <w:p w:rsidR="00103485" w:rsidRPr="00CE3398" w:rsidRDefault="00103485" w:rsidP="00103485">
      <w:pPr>
        <w:pStyle w:val="CorpoTExto"/>
        <w:rPr>
          <w:rFonts w:eastAsia="Calibri"/>
          <w:szCs w:val="24"/>
          <w:lang w:eastAsia="en-US"/>
        </w:rPr>
      </w:pPr>
      <w:r w:rsidRPr="00CE3398">
        <w:rPr>
          <w:rFonts w:eastAsia="Calibri"/>
          <w:szCs w:val="24"/>
          <w:lang w:eastAsia="en-US"/>
        </w:rPr>
        <w:t>Verificou-se que a norma ASTM D7451 é adequada para a avaliação da influência de aditivos detergentes dispersantes sobre a tendência à formação de emulsão. Sugere-se que para a aprovação pela ANP dos pacotes de aditivos que atenderão à aditivação compulsória da gasolina seja exigida comprovação, por meio de ensaios conforme a citada norma, de que o pacote de aditivos não aumenta a tendência à formação de emulsão em misturas água/gasolina aditivada.</w:t>
      </w:r>
    </w:p>
    <w:p w:rsidR="00103485" w:rsidRPr="00CE3398" w:rsidRDefault="00103485" w:rsidP="00103485">
      <w:pPr>
        <w:pStyle w:val="CorpoTExto"/>
        <w:rPr>
          <w:rFonts w:eastAsia="Calibri"/>
          <w:szCs w:val="24"/>
          <w:lang w:eastAsia="en-US"/>
        </w:rPr>
      </w:pPr>
      <w:r w:rsidRPr="00CE3398">
        <w:rPr>
          <w:rFonts w:eastAsia="Calibri"/>
          <w:szCs w:val="24"/>
          <w:lang w:eastAsia="en-US"/>
        </w:rPr>
        <w:t>Como estudos futuros, propõem-se: execução das análises conforme a norma ASTM D7451, sem adaptações; análises nas concentrações de aditivos de 200 µL/L a 1 000 µL/L; avaliação de outros pacotes de aditivos em uma matriz diversificada de gasolinas brasileiras.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7"/>
        <w:gridCol w:w="4748"/>
      </w:tblGrid>
      <w:tr w:rsidR="00103485" w:rsidRPr="00CE3398" w:rsidTr="0087016A">
        <w:tc>
          <w:tcPr>
            <w:tcW w:w="4747" w:type="dxa"/>
          </w:tcPr>
          <w:p w:rsidR="00103485" w:rsidRPr="00CE3398" w:rsidRDefault="00103485" w:rsidP="0087016A">
            <w:pPr>
              <w:pStyle w:val="CorpoTExto"/>
              <w:spacing w:after="0"/>
              <w:ind w:firstLine="0"/>
              <w:rPr>
                <w:rFonts w:eastAsia="Calibri"/>
                <w:szCs w:val="24"/>
                <w:lang w:eastAsia="en-US"/>
              </w:rPr>
            </w:pPr>
            <w:r w:rsidRPr="00CE3398">
              <w:rPr>
                <w:rFonts w:eastAsia="Calibri"/>
                <w:szCs w:val="24"/>
                <w:lang w:eastAsia="en-US"/>
              </w:rPr>
              <w:t>Nota Técnica elaborada por:</w:t>
            </w:r>
          </w:p>
        </w:tc>
        <w:tc>
          <w:tcPr>
            <w:tcW w:w="4748" w:type="dxa"/>
          </w:tcPr>
          <w:p w:rsidR="00103485" w:rsidRPr="00CE3398" w:rsidRDefault="00103485" w:rsidP="0087016A">
            <w:pPr>
              <w:pStyle w:val="CorpoTExto"/>
              <w:spacing w:after="0"/>
              <w:ind w:firstLine="0"/>
              <w:rPr>
                <w:rFonts w:eastAsia="Calibri"/>
                <w:szCs w:val="24"/>
                <w:lang w:eastAsia="en-US"/>
              </w:rPr>
            </w:pPr>
          </w:p>
        </w:tc>
      </w:tr>
      <w:tr w:rsidR="00103485" w:rsidRPr="00CE3398" w:rsidTr="0087016A">
        <w:tc>
          <w:tcPr>
            <w:tcW w:w="4747" w:type="dxa"/>
          </w:tcPr>
          <w:p w:rsidR="00103485" w:rsidRPr="00CE3398" w:rsidRDefault="00103485" w:rsidP="0087016A">
            <w:pPr>
              <w:pStyle w:val="CorpoTExto"/>
              <w:spacing w:after="800"/>
              <w:ind w:firstLine="0"/>
              <w:rPr>
                <w:rFonts w:eastAsia="Calibri"/>
                <w:szCs w:val="24"/>
                <w:lang w:eastAsia="en-US"/>
              </w:rPr>
            </w:pPr>
          </w:p>
        </w:tc>
        <w:tc>
          <w:tcPr>
            <w:tcW w:w="4748" w:type="dxa"/>
          </w:tcPr>
          <w:p w:rsidR="00103485" w:rsidRPr="00CE3398" w:rsidRDefault="00103485" w:rsidP="0087016A">
            <w:pPr>
              <w:pStyle w:val="CorpoTExto"/>
              <w:spacing w:after="0"/>
              <w:ind w:firstLine="0"/>
              <w:rPr>
                <w:rFonts w:eastAsia="Calibri"/>
                <w:szCs w:val="24"/>
                <w:lang w:eastAsia="en-US"/>
              </w:rPr>
            </w:pPr>
          </w:p>
        </w:tc>
      </w:tr>
      <w:tr w:rsidR="00103485" w:rsidRPr="00CE3398" w:rsidTr="0087016A">
        <w:tc>
          <w:tcPr>
            <w:tcW w:w="4747" w:type="dxa"/>
          </w:tcPr>
          <w:p w:rsidR="00103485" w:rsidRPr="00CE3398" w:rsidRDefault="00103485" w:rsidP="0087016A">
            <w:pPr>
              <w:pStyle w:val="CorpoTExto"/>
              <w:spacing w:after="0"/>
              <w:ind w:firstLine="0"/>
              <w:jc w:val="center"/>
              <w:rPr>
                <w:rFonts w:eastAsia="Calibri"/>
                <w:szCs w:val="24"/>
                <w:lang w:eastAsia="en-US"/>
              </w:rPr>
            </w:pPr>
            <w:r w:rsidRPr="00CE3398">
              <w:rPr>
                <w:rFonts w:eastAsia="Calibri"/>
                <w:szCs w:val="24"/>
                <w:lang w:eastAsia="en-US"/>
              </w:rPr>
              <w:t>Thiago Machado Karashima</w:t>
            </w:r>
          </w:p>
          <w:p w:rsidR="00103485" w:rsidRPr="00CE3398" w:rsidRDefault="00103485" w:rsidP="0087016A">
            <w:pPr>
              <w:pStyle w:val="CorpoTExto"/>
              <w:spacing w:after="0"/>
              <w:ind w:firstLine="0"/>
              <w:jc w:val="center"/>
              <w:rPr>
                <w:rFonts w:eastAsia="Calibri"/>
                <w:szCs w:val="24"/>
                <w:lang w:eastAsia="en-US"/>
              </w:rPr>
            </w:pPr>
            <w:r w:rsidRPr="00CE3398">
              <w:rPr>
                <w:rFonts w:eastAsia="Calibri"/>
                <w:szCs w:val="24"/>
                <w:lang w:eastAsia="en-US"/>
              </w:rPr>
              <w:t>Especialista em Regulação – CPT</w:t>
            </w:r>
          </w:p>
        </w:tc>
        <w:tc>
          <w:tcPr>
            <w:tcW w:w="4748" w:type="dxa"/>
          </w:tcPr>
          <w:p w:rsidR="00103485" w:rsidRPr="00CE3398" w:rsidRDefault="00103485" w:rsidP="0087016A">
            <w:pPr>
              <w:pStyle w:val="CorpoTExto"/>
              <w:spacing w:after="0"/>
              <w:ind w:firstLine="0"/>
              <w:jc w:val="center"/>
              <w:rPr>
                <w:rFonts w:eastAsia="Calibri"/>
                <w:szCs w:val="24"/>
                <w:lang w:eastAsia="en-US"/>
              </w:rPr>
            </w:pPr>
            <w:r w:rsidRPr="00CE3398">
              <w:rPr>
                <w:rFonts w:eastAsia="Calibri"/>
                <w:szCs w:val="24"/>
                <w:lang w:eastAsia="en-US"/>
              </w:rPr>
              <w:t>Alex Rodrigues Brito de Medeiros</w:t>
            </w:r>
          </w:p>
          <w:p w:rsidR="00103485" w:rsidRPr="00CE3398" w:rsidRDefault="00103485" w:rsidP="0087016A">
            <w:pPr>
              <w:pStyle w:val="CorpoTExto"/>
              <w:spacing w:after="0"/>
              <w:ind w:firstLine="0"/>
              <w:jc w:val="center"/>
              <w:rPr>
                <w:rFonts w:eastAsia="Calibri"/>
                <w:szCs w:val="24"/>
                <w:lang w:eastAsia="en-US"/>
              </w:rPr>
            </w:pPr>
            <w:r w:rsidRPr="00CE3398">
              <w:rPr>
                <w:rFonts w:eastAsia="Calibri"/>
                <w:szCs w:val="24"/>
                <w:lang w:eastAsia="en-US"/>
              </w:rPr>
              <w:t>Especialista em Regulação – CPT</w:t>
            </w:r>
          </w:p>
        </w:tc>
      </w:tr>
      <w:tr w:rsidR="00103485" w:rsidRPr="00CE3398" w:rsidTr="0087016A">
        <w:tc>
          <w:tcPr>
            <w:tcW w:w="4747" w:type="dxa"/>
          </w:tcPr>
          <w:p w:rsidR="00103485" w:rsidRPr="00CE3398" w:rsidRDefault="00103485" w:rsidP="0087016A">
            <w:pPr>
              <w:pStyle w:val="CorpoTExto"/>
              <w:spacing w:before="480" w:after="0"/>
              <w:ind w:firstLine="0"/>
              <w:jc w:val="left"/>
              <w:rPr>
                <w:rFonts w:eastAsia="Calibri"/>
                <w:szCs w:val="24"/>
                <w:lang w:eastAsia="en-US"/>
              </w:rPr>
            </w:pPr>
            <w:r w:rsidRPr="00CE3398">
              <w:rPr>
                <w:rFonts w:eastAsia="Calibri"/>
                <w:szCs w:val="24"/>
                <w:lang w:eastAsia="en-US"/>
              </w:rPr>
              <w:t>De acordo:</w:t>
            </w:r>
          </w:p>
        </w:tc>
        <w:tc>
          <w:tcPr>
            <w:tcW w:w="4748" w:type="dxa"/>
          </w:tcPr>
          <w:p w:rsidR="00103485" w:rsidRPr="00CE3398" w:rsidRDefault="00103485" w:rsidP="0087016A">
            <w:pPr>
              <w:pStyle w:val="CorpoTExto"/>
              <w:spacing w:after="0"/>
              <w:ind w:firstLine="0"/>
              <w:jc w:val="center"/>
              <w:rPr>
                <w:rFonts w:eastAsia="Calibri"/>
                <w:szCs w:val="24"/>
                <w:lang w:eastAsia="en-US"/>
              </w:rPr>
            </w:pPr>
          </w:p>
        </w:tc>
      </w:tr>
      <w:tr w:rsidR="00103485" w:rsidRPr="00CE3398" w:rsidTr="0087016A">
        <w:tc>
          <w:tcPr>
            <w:tcW w:w="4747" w:type="dxa"/>
          </w:tcPr>
          <w:p w:rsidR="00103485" w:rsidRPr="00CE3398" w:rsidRDefault="00103485" w:rsidP="0087016A">
            <w:pPr>
              <w:pStyle w:val="CorpoTExto"/>
              <w:spacing w:after="800"/>
              <w:ind w:firstLine="0"/>
              <w:rPr>
                <w:rFonts w:eastAsia="Calibri"/>
                <w:szCs w:val="24"/>
                <w:lang w:eastAsia="en-US"/>
              </w:rPr>
            </w:pPr>
          </w:p>
        </w:tc>
        <w:tc>
          <w:tcPr>
            <w:tcW w:w="4748" w:type="dxa"/>
          </w:tcPr>
          <w:p w:rsidR="00103485" w:rsidRPr="00CE3398" w:rsidRDefault="00103485" w:rsidP="0087016A">
            <w:pPr>
              <w:pStyle w:val="CorpoTExto"/>
              <w:spacing w:after="0"/>
              <w:ind w:firstLine="0"/>
              <w:rPr>
                <w:rFonts w:eastAsia="Calibri"/>
                <w:szCs w:val="24"/>
                <w:lang w:eastAsia="en-US"/>
              </w:rPr>
            </w:pPr>
          </w:p>
        </w:tc>
      </w:tr>
      <w:tr w:rsidR="00103485" w:rsidRPr="00CE3398" w:rsidTr="0087016A">
        <w:tc>
          <w:tcPr>
            <w:tcW w:w="4747" w:type="dxa"/>
          </w:tcPr>
          <w:p w:rsidR="00103485" w:rsidRPr="00CE3398" w:rsidRDefault="00103485" w:rsidP="0087016A">
            <w:pPr>
              <w:pStyle w:val="CorpoTExto"/>
              <w:spacing w:after="0"/>
              <w:ind w:firstLine="0"/>
              <w:jc w:val="center"/>
              <w:rPr>
                <w:rFonts w:eastAsia="Calibri"/>
                <w:szCs w:val="24"/>
                <w:lang w:eastAsia="en-US"/>
              </w:rPr>
            </w:pPr>
            <w:r w:rsidRPr="00CE3398">
              <w:rPr>
                <w:rFonts w:eastAsia="Calibri"/>
                <w:szCs w:val="24"/>
                <w:lang w:eastAsia="en-US"/>
              </w:rPr>
              <w:t>Vinícius Leandro Skrobot</w:t>
            </w:r>
          </w:p>
          <w:p w:rsidR="00103485" w:rsidRPr="00CE3398" w:rsidRDefault="00103485" w:rsidP="0087016A">
            <w:pPr>
              <w:pStyle w:val="CorpoTExto"/>
              <w:spacing w:after="0"/>
              <w:ind w:firstLine="0"/>
              <w:jc w:val="center"/>
              <w:rPr>
                <w:rFonts w:eastAsia="Calibri"/>
                <w:szCs w:val="24"/>
                <w:lang w:eastAsia="en-US"/>
              </w:rPr>
            </w:pPr>
            <w:r w:rsidRPr="00CE3398">
              <w:rPr>
                <w:rFonts w:eastAsia="Calibri"/>
                <w:szCs w:val="24"/>
                <w:lang w:eastAsia="en-US"/>
              </w:rPr>
              <w:t>Coordenador do CPT</w:t>
            </w:r>
          </w:p>
        </w:tc>
        <w:tc>
          <w:tcPr>
            <w:tcW w:w="4748" w:type="dxa"/>
          </w:tcPr>
          <w:p w:rsidR="00103485" w:rsidRPr="00CE3398" w:rsidRDefault="00103485" w:rsidP="0087016A">
            <w:pPr>
              <w:pStyle w:val="CorpoTExto"/>
              <w:spacing w:after="0"/>
              <w:ind w:firstLine="0"/>
              <w:jc w:val="center"/>
              <w:rPr>
                <w:rFonts w:eastAsia="Calibri"/>
                <w:szCs w:val="24"/>
                <w:lang w:eastAsia="en-US"/>
              </w:rPr>
            </w:pPr>
          </w:p>
        </w:tc>
      </w:tr>
    </w:tbl>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t>OBRAS CITADAS</w:t>
      </w:r>
    </w:p>
    <w:p w:rsidR="00103485" w:rsidRPr="00CE3398" w:rsidRDefault="0010373C" w:rsidP="00103485">
      <w:pPr>
        <w:pStyle w:val="Bibliografia"/>
        <w:rPr>
          <w:rFonts w:ascii="Times New Roman" w:hAnsi="Times New Roman"/>
          <w:sz w:val="24"/>
          <w:szCs w:val="24"/>
          <w:lang w:val="en-US"/>
        </w:rPr>
      </w:pPr>
      <w:r w:rsidRPr="00CE3398">
        <w:rPr>
          <w:rFonts w:ascii="Times New Roman" w:hAnsi="Times New Roman"/>
          <w:sz w:val="24"/>
          <w:szCs w:val="24"/>
        </w:rPr>
        <w:fldChar w:fldCharType="begin"/>
      </w:r>
      <w:r w:rsidR="00103485" w:rsidRPr="00CE3398">
        <w:rPr>
          <w:rFonts w:ascii="Times New Roman" w:hAnsi="Times New Roman"/>
          <w:sz w:val="24"/>
          <w:szCs w:val="24"/>
        </w:rPr>
        <w:instrText xml:space="preserve"> BIBLIOGRAPHY  \l 1046 </w:instrText>
      </w:r>
      <w:r w:rsidRPr="00CE3398">
        <w:rPr>
          <w:rFonts w:ascii="Times New Roman" w:hAnsi="Times New Roman"/>
          <w:sz w:val="24"/>
          <w:szCs w:val="24"/>
        </w:rPr>
        <w:fldChar w:fldCharType="separate"/>
      </w:r>
      <w:r w:rsidR="00103485" w:rsidRPr="00CE3398">
        <w:rPr>
          <w:rFonts w:ascii="Times New Roman" w:hAnsi="Times New Roman"/>
          <w:sz w:val="24"/>
          <w:szCs w:val="24"/>
        </w:rPr>
        <w:t xml:space="preserve">1. BRASIL. Agência Nacional do Petróleo, Gás Natural e Biocombustíveis - ANP. Resolução nº 38, de 9 de dezembro de 2009. Diário Oficial da União. </w:t>
      </w:r>
      <w:r w:rsidR="00BB64CC" w:rsidRPr="00CE3398">
        <w:rPr>
          <w:rFonts w:ascii="Times New Roman" w:hAnsi="Times New Roman"/>
          <w:sz w:val="24"/>
          <w:szCs w:val="24"/>
          <w:lang w:val="en-US"/>
        </w:rPr>
        <w:t>Brasília, DF, 11 de dez. de 2009. Seção 1, p. 90.</w:t>
      </w:r>
    </w:p>
    <w:p w:rsidR="00103485" w:rsidRPr="00CE3398" w:rsidRDefault="00BB64CC" w:rsidP="00103485">
      <w:pPr>
        <w:pStyle w:val="Bibliografia"/>
        <w:rPr>
          <w:rFonts w:ascii="Times New Roman" w:hAnsi="Times New Roman"/>
          <w:sz w:val="24"/>
          <w:szCs w:val="24"/>
        </w:rPr>
      </w:pPr>
      <w:r w:rsidRPr="00CE3398">
        <w:rPr>
          <w:rFonts w:ascii="Times New Roman" w:hAnsi="Times New Roman"/>
          <w:sz w:val="24"/>
          <w:szCs w:val="24"/>
          <w:lang w:val="en-US"/>
        </w:rPr>
        <w:t xml:space="preserve">2. ASTM INTERNATIONAL. ASTM Standard D7451, standard test method for water separation properties of light and middle distillate. </w:t>
      </w:r>
      <w:r w:rsidR="00103485" w:rsidRPr="00CE3398">
        <w:rPr>
          <w:rFonts w:ascii="Times New Roman" w:hAnsi="Times New Roman"/>
          <w:sz w:val="24"/>
          <w:szCs w:val="24"/>
        </w:rPr>
        <w:t>West Conshohocken, PA : ASTM International, Janeiro de 2009. DOI: 10.1520/D7451-08A.</w:t>
      </w:r>
    </w:p>
    <w:p w:rsidR="00103485" w:rsidRPr="00CE3398" w:rsidRDefault="0010373C" w:rsidP="00103485">
      <w:pPr>
        <w:pStyle w:val="Bibliografia"/>
        <w:rPr>
          <w:rFonts w:ascii="Times New Roman" w:hAnsi="Times New Roman"/>
          <w:sz w:val="24"/>
          <w:szCs w:val="24"/>
        </w:rPr>
        <w:sectPr w:rsidR="00103485" w:rsidRPr="00CE3398" w:rsidSect="0087016A">
          <w:headerReference w:type="default" r:id="rId32"/>
          <w:footerReference w:type="even" r:id="rId33"/>
          <w:footerReference w:type="default" r:id="rId34"/>
          <w:headerReference w:type="first" r:id="rId35"/>
          <w:footerReference w:type="first" r:id="rId36"/>
          <w:pgSz w:w="11907" w:h="16840" w:code="9"/>
          <w:pgMar w:top="1134" w:right="851" w:bottom="1134" w:left="1701" w:header="680" w:footer="1012" w:gutter="0"/>
          <w:cols w:space="720"/>
          <w:titlePg/>
          <w:docGrid w:linePitch="272"/>
        </w:sectPr>
      </w:pPr>
      <w:r w:rsidRPr="00CE3398">
        <w:rPr>
          <w:rFonts w:ascii="Times New Roman" w:hAnsi="Times New Roman"/>
          <w:sz w:val="24"/>
          <w:szCs w:val="24"/>
        </w:rPr>
        <w:fldChar w:fldCharType="end"/>
      </w:r>
    </w:p>
    <w:p w:rsidR="00103485" w:rsidRPr="00CE3398" w:rsidRDefault="00103485" w:rsidP="00103485">
      <w:pPr>
        <w:pStyle w:val="Ttulo1"/>
        <w:rPr>
          <w:rFonts w:ascii="Times New Roman" w:eastAsia="Calibri" w:hAnsi="Times New Roman" w:cs="Times New Roman"/>
          <w:b w:val="0"/>
          <w:bCs w:val="0"/>
          <w:color w:val="auto"/>
          <w:sz w:val="24"/>
          <w:szCs w:val="24"/>
        </w:rPr>
      </w:pPr>
      <w:r w:rsidRPr="00CE3398">
        <w:rPr>
          <w:rFonts w:ascii="Times New Roman" w:eastAsia="Calibri" w:hAnsi="Times New Roman" w:cs="Times New Roman"/>
          <w:b w:val="0"/>
          <w:bCs w:val="0"/>
          <w:color w:val="auto"/>
          <w:sz w:val="24"/>
          <w:szCs w:val="24"/>
        </w:rPr>
        <w:lastRenderedPageBreak/>
        <w:t>ANEXO</w:t>
      </w:r>
      <w:r w:rsidR="005A34CF">
        <w:rPr>
          <w:rFonts w:ascii="Times New Roman" w:eastAsia="Calibri" w:hAnsi="Times New Roman" w:cs="Times New Roman"/>
          <w:b w:val="0"/>
          <w:bCs w:val="0"/>
          <w:color w:val="auto"/>
          <w:sz w:val="24"/>
          <w:szCs w:val="24"/>
        </w:rPr>
        <w:t>S</w:t>
      </w:r>
    </w:p>
    <w:p w:rsidR="00103485" w:rsidRPr="00CE3398" w:rsidRDefault="00103485" w:rsidP="00103485">
      <w:pPr>
        <w:rPr>
          <w:rFonts w:ascii="Times New Roman" w:hAnsi="Times New Roman"/>
          <w:sz w:val="24"/>
          <w:szCs w:val="24"/>
        </w:rPr>
      </w:pPr>
      <w:r w:rsidRPr="00CE3398">
        <w:rPr>
          <w:rFonts w:ascii="Times New Roman" w:hAnsi="Times New Roman"/>
          <w:noProof/>
          <w:sz w:val="24"/>
          <w:szCs w:val="24"/>
          <w:lang w:eastAsia="pt-BR"/>
        </w:rPr>
        <w:drawing>
          <wp:inline distT="0" distB="0" distL="0" distR="0">
            <wp:extent cx="1440000" cy="3778250"/>
            <wp:effectExtent l="19050" t="0" r="7800" b="0"/>
            <wp:docPr id="8" name="Imagem 1" descr="C:\Documents and Settings\tkarashima\Meus documentos\Aditivos\GT AIR 2014\Emulsificação\Imagens - Emulsificação\TKS00_0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karashima\Meus documentos\Aditivos\GT AIR 2014\Emulsificação\Imagens - Emulsificação\TKS00_0_GCA27 (3).jpg"/>
                    <pic:cNvPicPr preferRelativeResize="0">
                      <a:picLocks noChangeAspect="1" noChangeArrowheads="1"/>
                    </pic:cNvPicPr>
                  </pic:nvPicPr>
                  <pic:blipFill>
                    <a:blip r:embed="rId37" cstate="print"/>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35" name="Imagem 3" descr="C:\Documents and Settings\tkarashima\Meus documentos\Aditivos\GT AIR 2014\Emulsificação\Imagens - Emulsificação\TKS34_1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tkarashima\Meus documentos\Aditivos\GT AIR 2014\Emulsificação\Imagens - Emulsificação\TKS34_1_GCA27 (3).jpg"/>
                    <pic:cNvPicPr preferRelativeResize="0">
                      <a:picLocks noChangeAspect="1" noChangeArrowheads="1"/>
                    </pic:cNvPicPr>
                  </pic:nvPicPr>
                  <pic:blipFill>
                    <a:blip r:embed="rId38"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16" name="Imagem 2" descr="C:\Documents and Settings\tkarashima\Meus documentos\Aditivos\GT AIR 2014\Emulsificação\Imagens - Emulsificação\TKS00_0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tkarashima\Meus documentos\Aditivos\GT AIR 2014\Emulsificação\Imagens - Emulsificação\TKS00_0_GCA27 (4).jpg"/>
                    <pic:cNvPicPr preferRelativeResize="0">
                      <a:picLocks noChangeAspect="1" noChangeArrowheads="1"/>
                    </pic:cNvPicPr>
                  </pic:nvPicPr>
                  <pic:blipFill>
                    <a:blip r:embed="rId39" cstate="print"/>
                    <a:srcRect l="20521" r="17717"/>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80000"/>
            <wp:effectExtent l="19050" t="0" r="7800" b="0"/>
            <wp:docPr id="33" name="Imagem 4" descr="C:\Documents and Settings\tkarashima\Meus documentos\Aditivos\GT AIR 2014\Emulsificação\Imagens - Emulsificação\TKS34_1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tkarashima\Meus documentos\Aditivos\GT AIR 2014\Emulsificação\Imagens - Emulsificação\TKS34_1_GCA27 (4).jpg"/>
                    <pic:cNvPicPr preferRelativeResize="0">
                      <a:picLocks noChangeAspect="1" noChangeArrowheads="1"/>
                    </pic:cNvPicPr>
                  </pic:nvPicPr>
                  <pic:blipFill>
                    <a:blip r:embed="rId40" cstate="print"/>
                    <a:srcRect l="12968" r="10381"/>
                    <a:stretch>
                      <a:fillRect/>
                    </a:stretch>
                  </pic:blipFill>
                  <pic:spPr bwMode="auto">
                    <a:xfrm>
                      <a:off x="0" y="0"/>
                      <a:ext cx="1440000" cy="3780000"/>
                    </a:xfrm>
                    <a:prstGeom prst="rect">
                      <a:avLst/>
                    </a:prstGeom>
                    <a:noFill/>
                    <a:ln w="9525">
                      <a:noFill/>
                      <a:miter lim="800000"/>
                      <a:headEnd/>
                      <a:tailEnd/>
                    </a:ln>
                  </pic:spPr>
                </pic:pic>
              </a:graphicData>
            </a:graphic>
          </wp:inline>
        </w:drawing>
      </w:r>
    </w:p>
    <w:p w:rsidR="00103485" w:rsidRPr="00CE3398" w:rsidRDefault="00103485" w:rsidP="00103485">
      <w:pPr>
        <w:rPr>
          <w:rFonts w:ascii="Times New Roman" w:hAnsi="Times New Roman"/>
          <w:sz w:val="24"/>
          <w:szCs w:val="24"/>
        </w:rPr>
      </w:pPr>
      <w:r w:rsidRPr="00CE3398">
        <w:rPr>
          <w:rFonts w:ascii="Times New Roman" w:hAnsi="Times New Roman"/>
          <w:noProof/>
          <w:sz w:val="24"/>
          <w:szCs w:val="24"/>
          <w:lang w:eastAsia="pt-BR"/>
        </w:rPr>
        <w:drawing>
          <wp:inline distT="0" distB="0" distL="0" distR="0">
            <wp:extent cx="1440000" cy="3778250"/>
            <wp:effectExtent l="19050" t="0" r="7800" b="0"/>
            <wp:docPr id="36" name="Imagem 1" descr="C:\Documents and Settings\tkarashima\Meus documentos\Aditivos\GT AIR 2014\Emulsificação\Imagens - Emulsificação\TKS00_0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karashima\Meus documentos\Aditivos\GT AIR 2014\Emulsificação\Imagens - Emulsificação\TKS00_0_GCA27 (3).jpg"/>
                    <pic:cNvPicPr preferRelativeResize="0">
                      <a:picLocks noChangeAspect="1" noChangeArrowheads="1"/>
                    </pic:cNvPicPr>
                  </pic:nvPicPr>
                  <pic:blipFill>
                    <a:blip r:embed="rId37"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37" name="Imagem 5" descr="C:\Documents and Settings\tkarashima\Meus documentos\Aditivos\GT AIR 2014\Emulsificação\Imagens - Emulsificação\TKS34_5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tkarashima\Meus documentos\Aditivos\GT AIR 2014\Emulsificação\Imagens - Emulsificação\TKS34_5_GCA27 (3).jpg"/>
                    <pic:cNvPicPr preferRelativeResize="0">
                      <a:picLocks noChangeAspect="1" noChangeArrowheads="1"/>
                    </pic:cNvPicPr>
                  </pic:nvPicPr>
                  <pic:blipFill>
                    <a:blip r:embed="rId41"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180" cy="3780000"/>
            <wp:effectExtent l="19050" t="0" r="7620" b="0"/>
            <wp:docPr id="38" name="Imagem 2" descr="C:\Documents and Settings\tkarashima\Meus documentos\Aditivos\GT AIR 2014\Emulsificação\Imagens - Emulsificação\TKS00_0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tkarashima\Meus documentos\Aditivos\GT AIR 2014\Emulsificação\Imagens - Emulsificação\TKS00_0_GCA27 (4).jpg"/>
                    <pic:cNvPicPr preferRelativeResize="0">
                      <a:picLocks noChangeAspect="1" noChangeArrowheads="1"/>
                    </pic:cNvPicPr>
                  </pic:nvPicPr>
                  <pic:blipFill>
                    <a:blip r:embed="rId39" cstate="print"/>
                    <a:srcRect l="20521" r="17717"/>
                    <a:stretch>
                      <a:fillRect/>
                    </a:stretch>
                  </pic:blipFill>
                  <pic:spPr bwMode="auto">
                    <a:xfrm>
                      <a:off x="0" y="0"/>
                      <a:ext cx="1440180" cy="378000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39" name="Imagem 6" descr="C:\Documents and Settings\tkarashima\Meus documentos\Aditivos\GT AIR 2014\Emulsificação\Imagens - Emulsificação\TKS34_5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karashima\Meus documentos\Aditivos\GT AIR 2014\Emulsificação\Imagens - Emulsificação\TKS34_5_GCA27 (4).jpg"/>
                    <pic:cNvPicPr preferRelativeResize="0">
                      <a:picLocks noChangeAspect="1" noChangeArrowheads="1"/>
                    </pic:cNvPicPr>
                  </pic:nvPicPr>
                  <pic:blipFill>
                    <a:blip r:embed="rId42" cstate="print"/>
                    <a:srcRect l="17182" r="14731"/>
                    <a:stretch>
                      <a:fillRect/>
                    </a:stretch>
                  </pic:blipFill>
                  <pic:spPr bwMode="auto">
                    <a:xfrm>
                      <a:off x="0" y="0"/>
                      <a:ext cx="1440000" cy="3778250"/>
                    </a:xfrm>
                    <a:prstGeom prst="rect">
                      <a:avLst/>
                    </a:prstGeom>
                    <a:noFill/>
                    <a:ln w="9525">
                      <a:noFill/>
                      <a:miter lim="800000"/>
                      <a:headEnd/>
                      <a:tailEnd/>
                    </a:ln>
                  </pic:spPr>
                </pic:pic>
              </a:graphicData>
            </a:graphic>
          </wp:inline>
        </w:drawing>
      </w:r>
    </w:p>
    <w:p w:rsidR="00103485" w:rsidRDefault="00103485" w:rsidP="00103485">
      <w:pPr>
        <w:rPr>
          <w:rFonts w:ascii="Times New Roman" w:hAnsi="Times New Roman"/>
          <w:sz w:val="24"/>
          <w:szCs w:val="24"/>
        </w:rPr>
      </w:pPr>
      <w:r w:rsidRPr="00CE3398">
        <w:rPr>
          <w:rFonts w:ascii="Times New Roman" w:hAnsi="Times New Roman"/>
          <w:sz w:val="24"/>
          <w:szCs w:val="24"/>
        </w:rPr>
        <w:br w:type="page"/>
      </w:r>
    </w:p>
    <w:p w:rsidR="005A34CF" w:rsidRDefault="005A34CF" w:rsidP="00103485">
      <w:pPr>
        <w:rPr>
          <w:rFonts w:ascii="Times New Roman" w:hAnsi="Times New Roman"/>
          <w:sz w:val="24"/>
          <w:szCs w:val="24"/>
        </w:rPr>
      </w:pPr>
    </w:p>
    <w:p w:rsidR="005A34CF" w:rsidRPr="00CE3398" w:rsidRDefault="005A34CF" w:rsidP="00103485">
      <w:pPr>
        <w:rPr>
          <w:rFonts w:ascii="Times New Roman" w:hAnsi="Times New Roman"/>
          <w:sz w:val="24"/>
          <w:szCs w:val="24"/>
        </w:rPr>
      </w:pPr>
    </w:p>
    <w:p w:rsidR="00103485" w:rsidRPr="00CE3398" w:rsidRDefault="00103485" w:rsidP="00103485">
      <w:pPr>
        <w:rPr>
          <w:rFonts w:ascii="Times New Roman" w:hAnsi="Times New Roman"/>
          <w:sz w:val="24"/>
          <w:szCs w:val="24"/>
        </w:rPr>
      </w:pPr>
      <w:r w:rsidRPr="00CE3398">
        <w:rPr>
          <w:rFonts w:ascii="Times New Roman" w:hAnsi="Times New Roman"/>
          <w:noProof/>
          <w:sz w:val="24"/>
          <w:szCs w:val="24"/>
          <w:lang w:eastAsia="pt-BR"/>
        </w:rPr>
        <w:drawing>
          <wp:inline distT="0" distB="0" distL="0" distR="0">
            <wp:extent cx="1440000" cy="3778250"/>
            <wp:effectExtent l="19050" t="0" r="7800" b="0"/>
            <wp:docPr id="40" name="Imagem 1" descr="C:\Documents and Settings\tkarashima\Meus documentos\Aditivos\GT AIR 2014\Emulsificação\Imagens - Emulsificação\TKS00_0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karashima\Meus documentos\Aditivos\GT AIR 2014\Emulsificação\Imagens - Emulsificação\TKS00_0_GCA27 (3).jpg"/>
                    <pic:cNvPicPr preferRelativeResize="0">
                      <a:picLocks noChangeAspect="1" noChangeArrowheads="1"/>
                    </pic:cNvPicPr>
                  </pic:nvPicPr>
                  <pic:blipFill>
                    <a:blip r:embed="rId37"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45" name="Imagem 9" descr="C:\Documents and Settings\tkarashima\Meus documentos\Aditivos\GT AIR 2014\Emulsificação\Imagens - Emulsificação\TKS75_1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Documents and Settings\tkarashima\Meus documentos\Aditivos\GT AIR 2014\Emulsificação\Imagens - Emulsificação\TKS75_1_GCA27 (3).jpg"/>
                    <pic:cNvPicPr preferRelativeResize="0">
                      <a:picLocks noChangeAspect="1" noChangeArrowheads="1"/>
                    </pic:cNvPicPr>
                  </pic:nvPicPr>
                  <pic:blipFill>
                    <a:blip r:embed="rId43"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42" name="Imagem 2" descr="C:\Documents and Settings\tkarashima\Meus documentos\Aditivos\GT AIR 2014\Emulsificação\Imagens - Emulsificação\TKS00_0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tkarashima\Meus documentos\Aditivos\GT AIR 2014\Emulsificação\Imagens - Emulsificação\TKS00_0_GCA27 (4).jpg"/>
                    <pic:cNvPicPr preferRelativeResize="0">
                      <a:picLocks noChangeAspect="1" noChangeArrowheads="1"/>
                    </pic:cNvPicPr>
                  </pic:nvPicPr>
                  <pic:blipFill>
                    <a:blip r:embed="rId39" cstate="print"/>
                    <a:srcRect l="20521" r="17717"/>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46" name="Imagem 10" descr="C:\Documents and Settings\tkarashima\Meus documentos\Aditivos\GT AIR 2014\Emulsificação\Imagens - Emulsificação\TKS75_1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tkarashima\Meus documentos\Aditivos\GT AIR 2014\Emulsificação\Imagens - Emulsificação\TKS75_1_GCA27 (4).jpg"/>
                    <pic:cNvPicPr preferRelativeResize="0">
                      <a:picLocks noChangeAspect="1" noChangeArrowheads="1"/>
                    </pic:cNvPicPr>
                  </pic:nvPicPr>
                  <pic:blipFill>
                    <a:blip r:embed="rId44"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p>
    <w:p w:rsidR="00103485" w:rsidRPr="00CE3398" w:rsidRDefault="00103485" w:rsidP="00103485">
      <w:pPr>
        <w:rPr>
          <w:rFonts w:ascii="Times New Roman" w:hAnsi="Times New Roman"/>
          <w:sz w:val="24"/>
          <w:szCs w:val="24"/>
        </w:rPr>
      </w:pPr>
      <w:r w:rsidRPr="00CE3398">
        <w:rPr>
          <w:rFonts w:ascii="Times New Roman" w:hAnsi="Times New Roman"/>
          <w:noProof/>
          <w:sz w:val="24"/>
          <w:szCs w:val="24"/>
          <w:lang w:eastAsia="pt-BR"/>
        </w:rPr>
        <w:drawing>
          <wp:inline distT="0" distB="0" distL="0" distR="0">
            <wp:extent cx="1440000" cy="3778250"/>
            <wp:effectExtent l="19050" t="0" r="7800" b="0"/>
            <wp:docPr id="44" name="Imagem 1" descr="C:\Documents and Settings\tkarashima\Meus documentos\Aditivos\GT AIR 2014\Emulsificação\Imagens - Emulsificação\TKS00_0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karashima\Meus documentos\Aditivos\GT AIR 2014\Emulsificação\Imagens - Emulsificação\TKS00_0_GCA27 (3).jpg"/>
                    <pic:cNvPicPr preferRelativeResize="0">
                      <a:picLocks noChangeAspect="1" noChangeArrowheads="1"/>
                    </pic:cNvPicPr>
                  </pic:nvPicPr>
                  <pic:blipFill>
                    <a:blip r:embed="rId37"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47" name="Imagem 11" descr="C:\Documents and Settings\tkarashima\Meus documentos\Aditivos\GT AIR 2014\Emulsificação\Imagens - Emulsificação\TKS75_5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tkarashima\Meus documentos\Aditivos\GT AIR 2014\Emulsificação\Imagens - Emulsificação\TKS75_5_GCA27 (3).jpg"/>
                    <pic:cNvPicPr preferRelativeResize="0">
                      <a:picLocks noChangeAspect="1" noChangeArrowheads="1"/>
                    </pic:cNvPicPr>
                  </pic:nvPicPr>
                  <pic:blipFill>
                    <a:blip r:embed="rId45" cstate="print"/>
                    <a:srcRect l="12889" r="12109"/>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48" name="Imagem 2" descr="C:\Documents and Settings\tkarashima\Meus documentos\Aditivos\GT AIR 2014\Emulsificação\Imagens - Emulsificação\TKS00_0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tkarashima\Meus documentos\Aditivos\GT AIR 2014\Emulsificação\Imagens - Emulsificação\TKS00_0_GCA27 (4).jpg"/>
                    <pic:cNvPicPr preferRelativeResize="0">
                      <a:picLocks noChangeAspect="1" noChangeArrowheads="1"/>
                    </pic:cNvPicPr>
                  </pic:nvPicPr>
                  <pic:blipFill>
                    <a:blip r:embed="rId39" cstate="print"/>
                    <a:srcRect l="20521" r="17717"/>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49" name="Imagem 12" descr="C:\Documents and Settings\tkarashima\Meus documentos\Aditivos\GT AIR 2014\Emulsificação\Imagens - Emulsificação\TKS75_5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Documents and Settings\tkarashima\Meus documentos\Aditivos\GT AIR 2014\Emulsificação\Imagens - Emulsificação\TKS75_5_GCA27 (4).jpg"/>
                    <pic:cNvPicPr preferRelativeResize="0">
                      <a:picLocks noChangeAspect="1" noChangeArrowheads="1"/>
                    </pic:cNvPicPr>
                  </pic:nvPicPr>
                  <pic:blipFill>
                    <a:blip r:embed="rId46" cstate="print"/>
                    <a:srcRect l="14089" r="10543"/>
                    <a:stretch>
                      <a:fillRect/>
                    </a:stretch>
                  </pic:blipFill>
                  <pic:spPr bwMode="auto">
                    <a:xfrm>
                      <a:off x="0" y="0"/>
                      <a:ext cx="1440000" cy="3778250"/>
                    </a:xfrm>
                    <a:prstGeom prst="rect">
                      <a:avLst/>
                    </a:prstGeom>
                    <a:noFill/>
                    <a:ln w="9525">
                      <a:noFill/>
                      <a:miter lim="800000"/>
                      <a:headEnd/>
                      <a:tailEnd/>
                    </a:ln>
                  </pic:spPr>
                </pic:pic>
              </a:graphicData>
            </a:graphic>
          </wp:inline>
        </w:drawing>
      </w:r>
    </w:p>
    <w:p w:rsidR="00103485" w:rsidRPr="00CE3398" w:rsidRDefault="00103485" w:rsidP="00103485">
      <w:pPr>
        <w:rPr>
          <w:rFonts w:ascii="Times New Roman" w:hAnsi="Times New Roman"/>
          <w:sz w:val="24"/>
          <w:szCs w:val="24"/>
        </w:rPr>
      </w:pPr>
      <w:r w:rsidRPr="00CE3398">
        <w:rPr>
          <w:rFonts w:ascii="Times New Roman" w:hAnsi="Times New Roman"/>
          <w:sz w:val="24"/>
          <w:szCs w:val="24"/>
        </w:rPr>
        <w:br w:type="page"/>
      </w:r>
    </w:p>
    <w:p w:rsidR="00103485" w:rsidRPr="00CE3398" w:rsidRDefault="00103485" w:rsidP="00C0730A">
      <w:pPr>
        <w:rPr>
          <w:rFonts w:ascii="Times New Roman" w:hAnsi="Times New Roman"/>
          <w:sz w:val="24"/>
          <w:szCs w:val="24"/>
        </w:rPr>
      </w:pPr>
      <w:r w:rsidRPr="00CE3398">
        <w:rPr>
          <w:rFonts w:ascii="Times New Roman" w:hAnsi="Times New Roman"/>
          <w:noProof/>
          <w:sz w:val="24"/>
          <w:szCs w:val="24"/>
          <w:lang w:eastAsia="pt-BR"/>
        </w:rPr>
        <w:lastRenderedPageBreak/>
        <w:drawing>
          <wp:inline distT="0" distB="0" distL="0" distR="0">
            <wp:extent cx="1440000" cy="3778250"/>
            <wp:effectExtent l="19050" t="0" r="7800" b="0"/>
            <wp:docPr id="50" name="Imagem 1" descr="C:\Documents and Settings\tkarashima\Meus documentos\Aditivos\GT AIR 2014\Emulsificação\Imagens - Emulsificação\TKS00_0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karashima\Meus documentos\Aditivos\GT AIR 2014\Emulsificação\Imagens - Emulsificação\TKS00_0_GCA27 (3).jpg"/>
                    <pic:cNvPicPr preferRelativeResize="0">
                      <a:picLocks noChangeAspect="1" noChangeArrowheads="1"/>
                    </pic:cNvPicPr>
                  </pic:nvPicPr>
                  <pic:blipFill>
                    <a:blip r:embed="rId37"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51" name="Imagem 13" descr="C:\Documents and Settings\tkarashima\Meus documentos\Aditivos\GT AIR 2014\Emulsificação\Imagens - Emulsificação\TKS12_1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Documents and Settings\tkarashima\Meus documentos\Aditivos\GT AIR 2014\Emulsificação\Imagens - Emulsificação\TKS12_1_GCA27 (3).jpg"/>
                    <pic:cNvPicPr preferRelativeResize="0">
                      <a:picLocks noChangeAspect="1" noChangeArrowheads="1"/>
                    </pic:cNvPicPr>
                  </pic:nvPicPr>
                  <pic:blipFill>
                    <a:blip r:embed="rId47" cstate="print"/>
                    <a:srcRect l="14214" r="8093"/>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52" name="Imagem 2" descr="C:\Documents and Settings\tkarashima\Meus documentos\Aditivos\GT AIR 2014\Emulsificação\Imagens - Emulsificação\TKS00_0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tkarashima\Meus documentos\Aditivos\GT AIR 2014\Emulsificação\Imagens - Emulsificação\TKS00_0_GCA27 (4).jpg"/>
                    <pic:cNvPicPr preferRelativeResize="0">
                      <a:picLocks noChangeAspect="1" noChangeArrowheads="1"/>
                    </pic:cNvPicPr>
                  </pic:nvPicPr>
                  <pic:blipFill>
                    <a:blip r:embed="rId39" cstate="print"/>
                    <a:srcRect l="20521" r="17717"/>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53" name="Imagem 14" descr="C:\Documents and Settings\tkarashima\Meus documentos\Aditivos\GT AIR 2014\Emulsificação\Imagens - Emulsificação\TKS12_1_GCA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Documents and Settings\tkarashima\Meus documentos\Aditivos\GT AIR 2014\Emulsificação\Imagens - Emulsificação\TKS12_1_GCA27 (4).jpg"/>
                    <pic:cNvPicPr preferRelativeResize="0">
                      <a:picLocks noChangeAspect="1" noChangeArrowheads="1"/>
                    </pic:cNvPicPr>
                  </pic:nvPicPr>
                  <pic:blipFill>
                    <a:blip r:embed="rId48" cstate="print"/>
                    <a:srcRect l="10095" r="8618"/>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55" name="Imagem 1" descr="C:\Documents and Settings\tkarashima\Meus documentos\Aditivos\GT AIR 2014\Emulsificação\Imagens - Emulsificação\TKS00_0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karashima\Meus documentos\Aditivos\GT AIR 2014\Emulsificação\Imagens - Emulsificação\TKS00_0_GCA27 (3).jpg"/>
                    <pic:cNvPicPr preferRelativeResize="0">
                      <a:picLocks noChangeAspect="1" noChangeArrowheads="1"/>
                    </pic:cNvPicPr>
                  </pic:nvPicPr>
                  <pic:blipFill>
                    <a:blip r:embed="rId37"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r w:rsidRPr="00CE3398">
        <w:rPr>
          <w:rFonts w:ascii="Times New Roman" w:hAnsi="Times New Roman"/>
          <w:noProof/>
          <w:sz w:val="24"/>
          <w:szCs w:val="24"/>
          <w:lang w:eastAsia="pt-BR"/>
        </w:rPr>
        <w:drawing>
          <wp:inline distT="0" distB="0" distL="0" distR="0">
            <wp:extent cx="1440000" cy="3778250"/>
            <wp:effectExtent l="19050" t="0" r="7800" b="0"/>
            <wp:docPr id="54" name="Imagem 15" descr="C:\Documents and Settings\tkarashima\Meus documentos\Aditivos\GT AIR 2014\Emulsificação\Imagens - Emulsificação\TKS12_5_GCA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Documents and Settings\tkarashima\Meus documentos\Aditivos\GT AIR 2014\Emulsificação\Imagens - Emulsificação\TKS12_5_GCA27 (3).jpg"/>
                    <pic:cNvPicPr preferRelativeResize="0">
                      <a:picLocks noChangeAspect="1" noChangeArrowheads="1"/>
                    </pic:cNvPicPr>
                  </pic:nvPicPr>
                  <pic:blipFill>
                    <a:blip r:embed="rId49" cstate="print"/>
                    <a:srcRect/>
                    <a:stretch>
                      <a:fillRect/>
                    </a:stretch>
                  </pic:blipFill>
                  <pic:spPr bwMode="auto">
                    <a:xfrm>
                      <a:off x="0" y="0"/>
                      <a:ext cx="1440000" cy="3778250"/>
                    </a:xfrm>
                    <a:prstGeom prst="rect">
                      <a:avLst/>
                    </a:prstGeom>
                    <a:noFill/>
                    <a:ln w="9525">
                      <a:noFill/>
                      <a:miter lim="800000"/>
                      <a:headEnd/>
                      <a:tailEnd/>
                    </a:ln>
                  </pic:spPr>
                </pic:pic>
              </a:graphicData>
            </a:graphic>
          </wp:inline>
        </w:drawing>
      </w:r>
    </w:p>
    <w:p w:rsidR="003C41E3" w:rsidRPr="00CE3398" w:rsidRDefault="00BC459D" w:rsidP="003C41E3">
      <w:pPr>
        <w:pStyle w:val="Ttulo4"/>
        <w:spacing w:before="100" w:beforeAutospacing="1" w:after="100" w:afterAutospacing="1" w:line="360" w:lineRule="auto"/>
        <w:rPr>
          <w:rFonts w:ascii="Times New Roman" w:hAnsi="Times New Roman"/>
          <w:sz w:val="24"/>
          <w:szCs w:val="24"/>
        </w:rPr>
      </w:pPr>
      <w:r w:rsidRPr="00CE3398">
        <w:rPr>
          <w:rFonts w:ascii="Times New Roman" w:hAnsi="Times New Roman"/>
          <w:sz w:val="24"/>
          <w:szCs w:val="24"/>
        </w:rPr>
        <w:lastRenderedPageBreak/>
        <w:t xml:space="preserve">ANEXO </w:t>
      </w:r>
      <w:r w:rsidR="005D172E" w:rsidRPr="00CE3398">
        <w:rPr>
          <w:rFonts w:ascii="Times New Roman" w:hAnsi="Times New Roman"/>
          <w:sz w:val="24"/>
          <w:szCs w:val="24"/>
        </w:rPr>
        <w:t>VIII</w:t>
      </w:r>
      <w:r w:rsidRPr="00CE3398">
        <w:rPr>
          <w:rFonts w:ascii="Times New Roman" w:hAnsi="Times New Roman"/>
          <w:sz w:val="24"/>
          <w:szCs w:val="24"/>
        </w:rPr>
        <w:t xml:space="preserve"> – NOTA TÉCNICA Nº 009/CDC</w:t>
      </w:r>
    </w:p>
    <w:p w:rsidR="003C41E3" w:rsidRPr="00CE3398" w:rsidRDefault="003C41E3" w:rsidP="003C41E3">
      <w:pPr>
        <w:pStyle w:val="Ttulo4"/>
        <w:spacing w:before="100" w:beforeAutospacing="1" w:after="100" w:afterAutospacing="1" w:line="360" w:lineRule="auto"/>
        <w:rPr>
          <w:rFonts w:ascii="Times New Roman" w:hAnsi="Times New Roman"/>
          <w:sz w:val="24"/>
          <w:szCs w:val="24"/>
        </w:rPr>
      </w:pPr>
      <w:r w:rsidRPr="00CE3398">
        <w:rPr>
          <w:rFonts w:ascii="Times New Roman" w:hAnsi="Times New Roman"/>
          <w:noProof/>
          <w:color w:val="FF0000"/>
          <w:sz w:val="24"/>
          <w:szCs w:val="24"/>
        </w:rPr>
        <w:drawing>
          <wp:inline distT="0" distB="0" distL="0" distR="0">
            <wp:extent cx="784860" cy="130238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784860" cy="1302385"/>
                    </a:xfrm>
                    <a:prstGeom prst="rect">
                      <a:avLst/>
                    </a:prstGeom>
                    <a:noFill/>
                    <a:ln w="9525">
                      <a:noFill/>
                      <a:miter lim="800000"/>
                      <a:headEnd/>
                      <a:tailEnd/>
                    </a:ln>
                  </pic:spPr>
                </pic:pic>
              </a:graphicData>
            </a:graphic>
          </wp:inline>
        </w:drawing>
      </w:r>
    </w:p>
    <w:p w:rsidR="003C41E3" w:rsidRPr="00CE3398" w:rsidRDefault="003C41E3" w:rsidP="003C41E3">
      <w:pPr>
        <w:pStyle w:val="Ttulo4"/>
        <w:spacing w:before="100" w:beforeAutospacing="1" w:after="100" w:afterAutospacing="1" w:line="360" w:lineRule="auto"/>
        <w:rPr>
          <w:rFonts w:ascii="Times New Roman" w:hAnsi="Times New Roman"/>
          <w:sz w:val="24"/>
          <w:szCs w:val="24"/>
        </w:rPr>
      </w:pPr>
      <w:r w:rsidRPr="00CE3398">
        <w:rPr>
          <w:rFonts w:ascii="Times New Roman" w:hAnsi="Times New Roman"/>
          <w:sz w:val="24"/>
          <w:szCs w:val="24"/>
        </w:rPr>
        <w:t>Nota Técnica n.</w:t>
      </w:r>
      <w:r w:rsidRPr="00CE3398">
        <w:rPr>
          <w:rFonts w:ascii="Times New Roman" w:hAnsi="Times New Roman"/>
          <w:sz w:val="24"/>
          <w:szCs w:val="24"/>
          <w:vertAlign w:val="superscript"/>
        </w:rPr>
        <w:t>o</w:t>
      </w:r>
      <w:r w:rsidRPr="00CE3398">
        <w:rPr>
          <w:rFonts w:ascii="Times New Roman" w:hAnsi="Times New Roman"/>
          <w:sz w:val="24"/>
          <w:szCs w:val="24"/>
        </w:rPr>
        <w:t xml:space="preserve"> 009/CDC</w:t>
      </w:r>
    </w:p>
    <w:p w:rsidR="003C41E3" w:rsidRPr="00CE3398" w:rsidRDefault="003C41E3" w:rsidP="003C41E3">
      <w:pPr>
        <w:spacing w:before="100" w:beforeAutospacing="1" w:after="100" w:afterAutospacing="1" w:line="360" w:lineRule="auto"/>
        <w:jc w:val="right"/>
        <w:rPr>
          <w:rFonts w:ascii="Times New Roman" w:hAnsi="Times New Roman"/>
          <w:b/>
          <w:sz w:val="24"/>
          <w:szCs w:val="24"/>
        </w:rPr>
      </w:pPr>
      <w:r w:rsidRPr="00CE3398">
        <w:rPr>
          <w:rFonts w:ascii="Times New Roman" w:hAnsi="Times New Roman"/>
          <w:b/>
          <w:sz w:val="24"/>
          <w:szCs w:val="24"/>
        </w:rPr>
        <w:t>Rio de Janeiro, 25 de fevereiro de 2013.</w:t>
      </w:r>
    </w:p>
    <w:p w:rsidR="003C41E3" w:rsidRPr="00CE3398" w:rsidRDefault="003C41E3" w:rsidP="003C41E3">
      <w:pPr>
        <w:pStyle w:val="Ttulo6"/>
        <w:spacing w:before="100" w:beforeAutospacing="1" w:after="100" w:afterAutospacing="1"/>
        <w:ind w:left="641" w:hanging="641"/>
        <w:rPr>
          <w:rFonts w:ascii="Times New Roman" w:hAnsi="Times New Roman"/>
          <w:szCs w:val="24"/>
        </w:rPr>
      </w:pPr>
      <w:r w:rsidRPr="00CE3398">
        <w:rPr>
          <w:rFonts w:ascii="Times New Roman" w:hAnsi="Times New Roman"/>
          <w:szCs w:val="24"/>
        </w:rPr>
        <w:t>Ref.: Considerações acerca de possíveis efeitos resultantes de eventual definição do ponto de aditivação de gasolina ocorrer nos produtores de gasolina A</w:t>
      </w:r>
    </w:p>
    <w:p w:rsidR="003C41E3" w:rsidRPr="00CE3398" w:rsidRDefault="003C41E3" w:rsidP="003C41E3">
      <w:pPr>
        <w:pStyle w:val="Ttulo6"/>
        <w:spacing w:before="100" w:beforeAutospacing="1" w:after="100" w:afterAutospacing="1"/>
        <w:rPr>
          <w:rFonts w:ascii="Times New Roman" w:hAnsi="Times New Roman"/>
          <w:szCs w:val="24"/>
        </w:rPr>
      </w:pPr>
      <w:r w:rsidRPr="00CE3398">
        <w:rPr>
          <w:rFonts w:ascii="Times New Roman" w:hAnsi="Times New Roman"/>
          <w:szCs w:val="24"/>
        </w:rPr>
        <w:t>I – Introdução</w:t>
      </w:r>
    </w:p>
    <w:p w:rsidR="003C41E3" w:rsidRPr="00CE3398" w:rsidRDefault="003C41E3" w:rsidP="003C41E3">
      <w:pPr>
        <w:pStyle w:val="Recuodecorpodetexto2"/>
        <w:spacing w:before="100" w:beforeAutospacing="1" w:after="100" w:afterAutospacing="1"/>
        <w:ind w:firstLine="1701"/>
        <w:rPr>
          <w:rFonts w:ascii="Times New Roman" w:hAnsi="Times New Roman" w:cs="Times New Roman"/>
          <w:sz w:val="24"/>
        </w:rPr>
      </w:pPr>
      <w:r w:rsidRPr="00CE3398">
        <w:rPr>
          <w:rFonts w:ascii="Times New Roman" w:hAnsi="Times New Roman" w:cs="Times New Roman"/>
          <w:sz w:val="24"/>
        </w:rPr>
        <w:t xml:space="preserve">A Resolução de Diretoria n.º 1.114, de 14 de novembro de 2012, instituiu Grupo de Trabalho (GT) sob a coordenação da Superintendência de Biocombustíveis e de Qualidade de Produtos – SBQ, para estabelecimento dos critérios a serem adotados na aditivação total da gasolina comercial, destinada aos veículos automotores homologados segundo os critérios fixados para a fase L-6 do Programa de Controle da Poluição do Ar por Veículos Automotores – PROCONVE, conforme determina a Resolução ANP n.º 38, de 9 de dezembro de 2009. </w:t>
      </w:r>
    </w:p>
    <w:p w:rsidR="003C41E3" w:rsidRPr="00CE3398" w:rsidRDefault="003C41E3" w:rsidP="003C41E3">
      <w:pPr>
        <w:pStyle w:val="Recuodecorpodetexto2"/>
        <w:spacing w:before="100" w:beforeAutospacing="1" w:after="100" w:afterAutospacing="1"/>
        <w:ind w:firstLine="1701"/>
        <w:rPr>
          <w:rFonts w:ascii="Times New Roman" w:hAnsi="Times New Roman" w:cs="Times New Roman"/>
          <w:sz w:val="24"/>
        </w:rPr>
      </w:pPr>
      <w:r w:rsidRPr="00CE3398">
        <w:rPr>
          <w:rFonts w:ascii="Times New Roman" w:hAnsi="Times New Roman" w:cs="Times New Roman"/>
          <w:sz w:val="24"/>
        </w:rPr>
        <w:t>A aditivação total da gasolina comercial justifica-se pela necessidade de mitigar o nível das emissões veiculares globais derivadas do uso de gasolina por veículos automotores, e tem o benefício adicional de oferecer ao consumidor um combustível capaz de aumentar a vida útil dos motores. Com essa medida regulatória, a ANP não visa acabar com o mercado de gasolina aditivada, mas apenas obrigar que toda gasolina automotiva comercializada no Brasil tenha um nível mínimo de aditivo detergente dispersante. A intenção é estabelecer apenas os requisitos mínimos para a aditivação total da gasolina A, de forma que o mercado de combustível diferenciado – com outros pacotes de aditivos – se mantenha.</w:t>
      </w:r>
    </w:p>
    <w:p w:rsidR="003C41E3" w:rsidRPr="00CE3398" w:rsidRDefault="003C41E3" w:rsidP="003C41E3">
      <w:pPr>
        <w:pStyle w:val="Recuodecorpodetexto2"/>
        <w:spacing w:before="100" w:beforeAutospacing="1" w:after="100" w:afterAutospacing="1"/>
        <w:ind w:firstLine="1701"/>
        <w:rPr>
          <w:rFonts w:ascii="Times New Roman" w:hAnsi="Times New Roman" w:cs="Times New Roman"/>
          <w:sz w:val="24"/>
        </w:rPr>
      </w:pPr>
      <w:r w:rsidRPr="00CE3398">
        <w:rPr>
          <w:rFonts w:ascii="Times New Roman" w:hAnsi="Times New Roman" w:cs="Times New Roman"/>
          <w:sz w:val="24"/>
        </w:rPr>
        <w:t xml:space="preserve">Com o objetivo de determinar as regras de comercialização e de qualidade para atendimento desse dispositivo, o referido Grupo de Trabalho elaborou estudo a fim de definir qual o agente econômico da cadeia de abastecimento será responsável pela mencionada aditivação em toda a gasolina automotiva a ser comercializada em território nacional. Uma das alternativas vislumbradas pelo grupo foi a aditivação mínima obrigatória acontecer no produtor de gasolina A. </w:t>
      </w:r>
    </w:p>
    <w:p w:rsidR="003C41E3" w:rsidRPr="00CE3398" w:rsidRDefault="003C41E3" w:rsidP="003C41E3">
      <w:pPr>
        <w:pStyle w:val="Recuodecorpodetexto2"/>
        <w:tabs>
          <w:tab w:val="left" w:pos="1701"/>
        </w:tabs>
        <w:spacing w:before="100" w:beforeAutospacing="1" w:after="100" w:afterAutospacing="1"/>
        <w:ind w:firstLine="1416"/>
        <w:rPr>
          <w:rFonts w:ascii="Times New Roman" w:hAnsi="Times New Roman" w:cs="Times New Roman"/>
          <w:sz w:val="24"/>
        </w:rPr>
      </w:pPr>
      <w:r w:rsidRPr="00CE3398">
        <w:rPr>
          <w:rFonts w:ascii="Times New Roman" w:hAnsi="Times New Roman" w:cs="Times New Roman"/>
          <w:sz w:val="24"/>
        </w:rPr>
        <w:tab/>
        <w:t xml:space="preserve">Em reunião realizada no dia 1º de fevereiro de 2013, o Grupo de Trabalho solicitou à CDC contribuições acerca dos possíveis efeitos no mercado de produtores/fornecedores de aditivos resultantes de eventual definição, pela ANP, do ponto de aditivação do combustível ocorrer nas unidades produtoras de gasolina A, motivo pela qual foi elaborada a presente nota técnica. Vale destacar que esta Nota foi elaborada com base, essencialmente, nas informações constantes da versão </w:t>
      </w:r>
      <w:r w:rsidRPr="00CE3398">
        <w:rPr>
          <w:rFonts w:ascii="Times New Roman" w:hAnsi="Times New Roman" w:cs="Times New Roman"/>
          <w:sz w:val="24"/>
        </w:rPr>
        <w:lastRenderedPageBreak/>
        <w:t>preliminar de Nota Técnica em elaboração pelo Grupo de Trabalho, a qual detalha os estudos sobre o assunto realizados até então.</w:t>
      </w:r>
    </w:p>
    <w:p w:rsidR="003C41E3" w:rsidRPr="00CE3398" w:rsidRDefault="003C41E3" w:rsidP="003C41E3">
      <w:pPr>
        <w:pStyle w:val="Recuodecorpodetexto2"/>
        <w:tabs>
          <w:tab w:val="left" w:pos="1701"/>
        </w:tabs>
        <w:spacing w:before="100" w:beforeAutospacing="1" w:after="100" w:afterAutospacing="1"/>
        <w:ind w:firstLine="0"/>
        <w:rPr>
          <w:rFonts w:ascii="Times New Roman" w:hAnsi="Times New Roman" w:cs="Times New Roman"/>
          <w:b/>
          <w:sz w:val="24"/>
        </w:rPr>
      </w:pPr>
      <w:r w:rsidRPr="00CE3398">
        <w:rPr>
          <w:rFonts w:ascii="Times New Roman" w:hAnsi="Times New Roman" w:cs="Times New Roman"/>
          <w:b/>
          <w:sz w:val="24"/>
        </w:rPr>
        <w:t>II – Considerações acerca do mercado de aditivos</w:t>
      </w:r>
    </w:p>
    <w:p w:rsidR="003C41E3" w:rsidRPr="00CE3398" w:rsidRDefault="003C41E3" w:rsidP="003C41E3">
      <w:pPr>
        <w:autoSpaceDE w:val="0"/>
        <w:autoSpaceDN w:val="0"/>
        <w:adjustRightInd w:val="0"/>
        <w:spacing w:before="120"/>
        <w:ind w:firstLine="1701"/>
        <w:jc w:val="both"/>
        <w:rPr>
          <w:rFonts w:ascii="Times New Roman" w:hAnsi="Times New Roman"/>
          <w:sz w:val="24"/>
          <w:szCs w:val="24"/>
        </w:rPr>
      </w:pPr>
      <w:r w:rsidRPr="00CE3398">
        <w:rPr>
          <w:rFonts w:ascii="Times New Roman" w:hAnsi="Times New Roman"/>
          <w:sz w:val="24"/>
          <w:szCs w:val="24"/>
        </w:rPr>
        <w:tab/>
        <w:t>Cabe esclarecer que qualquer análise de efeitos prejudiciais à concorrência de determinada conduta ou estrutura de mercado requer a delimitação prévia do mercado relevante ao qual se pretende aplicar tal análise. Ou seja, para uma análise dos impactos sobre a concorrência no mercado de produção de aditivos para gasolina, derivados de opção regulatória da ANP, é necessário, antes, definir o mercado relevante objeto da análise, que, de forma simples, pode ser definido como o lócus (produto/região) em que o poder de mercado pode (hipoteticamente) ser exercido. Trata-se de enquadrar a opção regulatória da ANP no âmbito de um mercado no qual se processa a concorrência entre os agentes e no qual eventual poder de mercado possa ser exercido, seja pelo lado da oferta, seja pelo da demanda, para, em seguida, analisar as condições efetivas - estruturais - em que a concorrência nele se dá. Este, entretanto, não é o objeto da presente Nota Técnica em virtude do mercado de produção de aditivos não ser regulado por esta Agência</w:t>
      </w:r>
      <w:r w:rsidRPr="00CE3398">
        <w:rPr>
          <w:rStyle w:val="Refdenotaderodap"/>
          <w:rFonts w:ascii="Times New Roman" w:hAnsi="Times New Roman"/>
          <w:sz w:val="24"/>
          <w:szCs w:val="24"/>
        </w:rPr>
        <w:footnoteReference w:id="14"/>
      </w:r>
      <w:r w:rsidRPr="00CE3398">
        <w:rPr>
          <w:rFonts w:ascii="Times New Roman" w:hAnsi="Times New Roman"/>
          <w:sz w:val="24"/>
          <w:szCs w:val="24"/>
        </w:rPr>
        <w:t>.  Portanto, na presente Nota serão oferecidas apenas algumas considerações (de cunho teórico), sobre a questão.</w:t>
      </w:r>
    </w:p>
    <w:p w:rsidR="003C41E3" w:rsidRPr="00CE3398" w:rsidRDefault="003C41E3" w:rsidP="003C41E3">
      <w:pPr>
        <w:pStyle w:val="Recuodecorpodetexto2"/>
        <w:spacing w:before="100" w:beforeAutospacing="1" w:after="100" w:afterAutospacing="1"/>
        <w:ind w:firstLine="1701"/>
        <w:rPr>
          <w:rFonts w:ascii="Times New Roman" w:hAnsi="Times New Roman" w:cs="Times New Roman"/>
          <w:sz w:val="24"/>
        </w:rPr>
      </w:pPr>
      <w:r w:rsidRPr="00CE3398">
        <w:rPr>
          <w:rFonts w:ascii="Times New Roman" w:hAnsi="Times New Roman" w:cs="Times New Roman"/>
          <w:sz w:val="24"/>
        </w:rPr>
        <w:t>Segundo informações obtidas durante reunião realizada no dia 4 de fevereiro de 2013 entre esta CDC e integrantes do referido Grupo de Trabalho, no mercado de aditivos destinados à gasolina A, os maiores agentes comercializadores no Brasil são representantes locais de produtores estrangeiros, responsáveis pela importação do produto que supre, atualmente, a maior parte da demanda nacional</w:t>
      </w:r>
      <w:r w:rsidRPr="00CE3398">
        <w:rPr>
          <w:rStyle w:val="Refdenotaderodap"/>
          <w:rFonts w:ascii="Times New Roman" w:hAnsi="Times New Roman" w:cs="Times New Roman"/>
          <w:sz w:val="24"/>
        </w:rPr>
        <w:footnoteReference w:id="15"/>
      </w:r>
      <w:r w:rsidRPr="00CE3398">
        <w:rPr>
          <w:rFonts w:ascii="Times New Roman" w:hAnsi="Times New Roman" w:cs="Times New Roman"/>
          <w:sz w:val="24"/>
        </w:rPr>
        <w:t xml:space="preserve">. Em função do maior volume de aditivo necessário ao abastecimento nacional, decorrente da Resolução ANP n.º 38/2009, vislumbram-se não somente benefícios relacionados à importação dos aditivos, transporte e armazenamento, além da compra de insumos locais, mas também a possibilidade de produção de aditivos no País em função de ganhos de escala associados à determinação de aditivação obrigatória da gasolina a ser comercializada nacionalmente. </w:t>
      </w:r>
    </w:p>
    <w:p w:rsidR="003C41E3" w:rsidRPr="00CE3398" w:rsidRDefault="003C41E3" w:rsidP="003C41E3">
      <w:pPr>
        <w:pStyle w:val="Recuodecorpodetexto2"/>
        <w:spacing w:before="100" w:beforeAutospacing="1" w:after="100" w:afterAutospacing="1"/>
        <w:ind w:firstLine="1701"/>
        <w:rPr>
          <w:rFonts w:ascii="Times New Roman" w:hAnsi="Times New Roman" w:cs="Times New Roman"/>
          <w:sz w:val="24"/>
        </w:rPr>
      </w:pPr>
      <w:r w:rsidRPr="00CE3398">
        <w:rPr>
          <w:rFonts w:ascii="Times New Roman" w:hAnsi="Times New Roman" w:cs="Times New Roman"/>
          <w:sz w:val="24"/>
        </w:rPr>
        <w:t>A Petrobras é o principal produtor nacional de gasolina A, detentora de 98% da capacidade total de refino do País e de 95% do volume produzido do energético</w:t>
      </w:r>
      <w:r w:rsidRPr="00CE3398">
        <w:rPr>
          <w:rStyle w:val="Refdenotaderodap"/>
          <w:rFonts w:ascii="Times New Roman" w:hAnsi="Times New Roman" w:cs="Times New Roman"/>
          <w:sz w:val="24"/>
        </w:rPr>
        <w:footnoteReference w:id="16"/>
      </w:r>
      <w:r w:rsidRPr="00CE3398">
        <w:rPr>
          <w:rFonts w:ascii="Times New Roman" w:hAnsi="Times New Roman" w:cs="Times New Roman"/>
          <w:sz w:val="24"/>
        </w:rPr>
        <w:t>. Em face disso, ponderou-se que a alternativa de aditivação total da gasolina A, no produtor, talvez pudesse causar impactos de ordem concorrencial no mercado de produtores de aditivos para gasolina automotiva, em função da possibilidade de escolha, pela referida empresa, de um único fornecedor de aditivo, conforme informações encaminhadas pela Petrobras ao Grupo de Trabalho. Assim, considerando a participação da empresa na produção nacional de gasolina A, corre-se o risco do mercado ser praticamente suprido por um único produtor/fornecedor de aditivos para atendimento à Resolução n.º 38/2009.</w:t>
      </w:r>
    </w:p>
    <w:p w:rsidR="003C41E3" w:rsidRPr="00CE3398" w:rsidRDefault="003C41E3" w:rsidP="003C41E3">
      <w:pPr>
        <w:pStyle w:val="Recuodecorpodetexto2"/>
        <w:spacing w:before="100" w:beforeAutospacing="1" w:after="100" w:afterAutospacing="1"/>
        <w:ind w:firstLine="1701"/>
        <w:rPr>
          <w:rFonts w:ascii="Times New Roman" w:hAnsi="Times New Roman" w:cs="Times New Roman"/>
          <w:sz w:val="24"/>
        </w:rPr>
      </w:pPr>
      <w:r w:rsidRPr="00CE3398">
        <w:rPr>
          <w:rFonts w:ascii="Times New Roman" w:hAnsi="Times New Roman" w:cs="Times New Roman"/>
          <w:sz w:val="24"/>
        </w:rPr>
        <w:t>Nesse caso, a escolha de um único fornecedor de aditivos poderia ser atribuída a uma lógica econômica que se coaduna com uma tentativa de redução de custos de transação</w:t>
      </w:r>
      <w:r w:rsidRPr="00CE3398">
        <w:rPr>
          <w:rStyle w:val="Refdenotaderodap"/>
          <w:rFonts w:ascii="Times New Roman" w:hAnsi="Times New Roman" w:cs="Times New Roman"/>
          <w:sz w:val="24"/>
        </w:rPr>
        <w:footnoteReference w:id="17"/>
      </w:r>
      <w:r w:rsidRPr="00CE3398">
        <w:rPr>
          <w:rFonts w:ascii="Times New Roman" w:hAnsi="Times New Roman" w:cs="Times New Roman"/>
          <w:sz w:val="24"/>
        </w:rPr>
        <w:t xml:space="preserve">, pois </w:t>
      </w:r>
      <w:r w:rsidRPr="00CE3398">
        <w:rPr>
          <w:rFonts w:ascii="Times New Roman" w:hAnsi="Times New Roman" w:cs="Times New Roman"/>
          <w:sz w:val="24"/>
        </w:rPr>
        <w:lastRenderedPageBreak/>
        <w:t>ao diminuir o número de fornecedores para aquisição do produto, diminui-se o dispêndio de recursos econômicos na interação entre os agentes.  Além disso, essa escolha também gera benefícios decorrentes do aumento da escala comercializada de produto pelas empresas envolvidas.</w:t>
      </w:r>
      <w:r w:rsidRPr="00CE3398" w:rsidDel="002B513E">
        <w:rPr>
          <w:rFonts w:ascii="Times New Roman" w:hAnsi="Times New Roman" w:cs="Times New Roman"/>
          <w:sz w:val="24"/>
        </w:rPr>
        <w:t xml:space="preserve"> </w:t>
      </w:r>
      <w:r w:rsidRPr="00CE3398">
        <w:rPr>
          <w:rFonts w:ascii="Times New Roman" w:hAnsi="Times New Roman" w:cs="Times New Roman"/>
          <w:sz w:val="24"/>
        </w:rPr>
        <w:t xml:space="preserve"> </w:t>
      </w:r>
    </w:p>
    <w:p w:rsidR="003C41E3" w:rsidRPr="00CE3398" w:rsidRDefault="003C41E3" w:rsidP="003C41E3">
      <w:pPr>
        <w:pStyle w:val="Recuodecorpodetexto2"/>
        <w:spacing w:before="100" w:beforeAutospacing="1" w:after="100" w:afterAutospacing="1"/>
        <w:ind w:firstLine="1701"/>
        <w:rPr>
          <w:rFonts w:ascii="Times New Roman" w:hAnsi="Times New Roman" w:cs="Times New Roman"/>
          <w:sz w:val="24"/>
        </w:rPr>
      </w:pPr>
      <w:r w:rsidRPr="00CE3398">
        <w:rPr>
          <w:rFonts w:ascii="Times New Roman" w:hAnsi="Times New Roman" w:cs="Times New Roman"/>
          <w:sz w:val="24"/>
        </w:rPr>
        <w:t>Na hipótese do fornecimento de aditivos realizado por grandes empresas estrangeiras que atuam em âmbito internacional e atendem à demanda doméstica quase que totalmente por meio de importações, e partindo-se da premissa que, na dimensão produto, o aditivo a ser comercializado para fins de cumprimento da Resolução n.º 38/2009 compõe um mercado relevante distinto daquele que seria formado pelos pacotes de aditivos hoje comercializados para o mercado de distribuição, vislumbra-se que a opção de aditivação no produtor de gasolina A não teria, em tese, o condão de causar substanciais impactos deletérios ao ambiente concorrencial no atual mercado de aditivos.</w:t>
      </w:r>
    </w:p>
    <w:p w:rsidR="003C41E3" w:rsidRPr="00CE3398" w:rsidRDefault="003C41E3" w:rsidP="003C41E3">
      <w:pPr>
        <w:pStyle w:val="Recuodecorpodetexto2"/>
        <w:spacing w:before="100" w:beforeAutospacing="1" w:after="100" w:afterAutospacing="1"/>
        <w:rPr>
          <w:rFonts w:ascii="Times New Roman" w:hAnsi="Times New Roman" w:cs="Times New Roman"/>
          <w:sz w:val="24"/>
        </w:rPr>
      </w:pPr>
      <w:r w:rsidRPr="00CE3398">
        <w:rPr>
          <w:rFonts w:ascii="Times New Roman" w:hAnsi="Times New Roman" w:cs="Times New Roman"/>
          <w:sz w:val="24"/>
        </w:rPr>
        <w:t xml:space="preserve">Entretanto, pode-se ponderar que, a depender da dinâmica do mercado de aditivos, das características estruturais, das especificidades do aditivo e da capacidade das empresas, individualmente, atenderem ao aumento da demanda, ao optar pela aditivação obrigatória no produtor de gasolina A, cujo mercado é atendido em sua maior parte pela Petrobras, é possível que os ganhos de escala, decorrentes do aumento da demanda desse tipo de aditivo, estejam associados a apenas um fornecedor. </w:t>
      </w:r>
    </w:p>
    <w:p w:rsidR="003C41E3" w:rsidRPr="00CE3398" w:rsidRDefault="003C41E3" w:rsidP="003C41E3">
      <w:pPr>
        <w:pStyle w:val="Recuodecorpodetexto2"/>
        <w:spacing w:before="100" w:beforeAutospacing="1" w:after="100" w:afterAutospacing="1"/>
        <w:rPr>
          <w:rFonts w:ascii="Times New Roman" w:hAnsi="Times New Roman" w:cs="Times New Roman"/>
          <w:sz w:val="24"/>
        </w:rPr>
      </w:pPr>
      <w:r w:rsidRPr="00CE3398">
        <w:rPr>
          <w:rFonts w:ascii="Times New Roman" w:hAnsi="Times New Roman" w:cs="Times New Roman"/>
          <w:sz w:val="24"/>
        </w:rPr>
        <w:t>Dito de outra forma, se a medida regulatória adotada pela ANP irá aumentar consideravelmente a demanda de aditivos, a opção que favorece a concentração no fornecimento do aditivo poderia aumentar/gerar assimetrias no mercado, de forma que poderíamos passar a ter uma empresa fornecedora de aditivo quase monopolista e as demais possivelmente não desempenhariam um papel de limitar o exercício do poder de mercado ora prevalecente.</w:t>
      </w:r>
    </w:p>
    <w:p w:rsidR="003C41E3" w:rsidRPr="00CE3398" w:rsidRDefault="003C41E3" w:rsidP="003C41E3">
      <w:pPr>
        <w:pStyle w:val="Recuodecorpodetexto2"/>
        <w:spacing w:before="100" w:beforeAutospacing="1" w:after="100" w:afterAutospacing="1"/>
        <w:rPr>
          <w:rFonts w:ascii="Times New Roman" w:hAnsi="Times New Roman" w:cs="Times New Roman"/>
          <w:sz w:val="24"/>
        </w:rPr>
      </w:pPr>
      <w:r w:rsidRPr="00CE3398">
        <w:rPr>
          <w:rFonts w:ascii="Times New Roman" w:hAnsi="Times New Roman" w:cs="Times New Roman"/>
          <w:sz w:val="24"/>
        </w:rPr>
        <w:t>No entanto, ressalta-se que a possibilidade de importação de aditivos é um fator essencial para reduzir/minimizar os riscos de condutas anticompetitivas que possam ser exercidas por um único fornecedor.</w:t>
      </w:r>
    </w:p>
    <w:p w:rsidR="003C41E3" w:rsidRPr="00CE3398" w:rsidRDefault="003C41E3" w:rsidP="003C41E3">
      <w:pPr>
        <w:pStyle w:val="Recuodecorpodetexto2"/>
        <w:spacing w:before="100" w:beforeAutospacing="1" w:after="100" w:afterAutospacing="1"/>
        <w:rPr>
          <w:rFonts w:ascii="Times New Roman" w:hAnsi="Times New Roman" w:cs="Times New Roman"/>
          <w:sz w:val="24"/>
        </w:rPr>
      </w:pPr>
      <w:r w:rsidRPr="00CE3398">
        <w:rPr>
          <w:rFonts w:ascii="Times New Roman" w:hAnsi="Times New Roman" w:cs="Times New Roman"/>
          <w:sz w:val="24"/>
        </w:rPr>
        <w:t>No que tange à possibilidade de produção nacional, todavia, deve-se considerar que, para que isso ocorra, além da escala de produção, outros aspectos devem ser levados em consideração, como o preço do produto no mercado internacional e o comportamento da taxa de câmbio de forma a que o preço do produto nacional seja competitivo em relação ao do produto importado, bem como capaz de amortizar os investimentos necessários à sua produção no País.</w:t>
      </w:r>
    </w:p>
    <w:p w:rsidR="003C41E3" w:rsidRPr="00CE3398" w:rsidRDefault="003C41E3" w:rsidP="003C41E3">
      <w:pPr>
        <w:pStyle w:val="Recuodecorpodetexto2"/>
        <w:spacing w:before="100" w:beforeAutospacing="1" w:after="100" w:afterAutospacing="1"/>
        <w:ind w:firstLine="0"/>
        <w:rPr>
          <w:rFonts w:ascii="Times New Roman" w:hAnsi="Times New Roman" w:cs="Times New Roman"/>
          <w:b/>
          <w:sz w:val="24"/>
        </w:rPr>
      </w:pPr>
      <w:r w:rsidRPr="00CE3398">
        <w:rPr>
          <w:rFonts w:ascii="Times New Roman" w:hAnsi="Times New Roman" w:cs="Times New Roman"/>
          <w:b/>
          <w:sz w:val="24"/>
        </w:rPr>
        <w:t>III – Considerações Finais</w:t>
      </w:r>
    </w:p>
    <w:p w:rsidR="003C41E3" w:rsidRPr="00CE3398" w:rsidRDefault="003C41E3" w:rsidP="003C41E3">
      <w:pPr>
        <w:pStyle w:val="Recuodecorpodetexto2"/>
        <w:spacing w:before="100" w:beforeAutospacing="1" w:after="100" w:afterAutospacing="1"/>
        <w:ind w:firstLine="1843"/>
        <w:rPr>
          <w:rFonts w:ascii="Times New Roman" w:hAnsi="Times New Roman" w:cs="Times New Roman"/>
          <w:sz w:val="24"/>
        </w:rPr>
      </w:pPr>
      <w:r w:rsidRPr="00CE3398" w:rsidDel="00AB0420">
        <w:rPr>
          <w:rFonts w:ascii="Times New Roman" w:hAnsi="Times New Roman" w:cs="Times New Roman"/>
          <w:sz w:val="24"/>
        </w:rPr>
        <w:t xml:space="preserve"> </w:t>
      </w:r>
      <w:r w:rsidRPr="00CE3398">
        <w:rPr>
          <w:rFonts w:ascii="Times New Roman" w:hAnsi="Times New Roman" w:cs="Times New Roman"/>
          <w:sz w:val="24"/>
        </w:rPr>
        <w:t>A presente Nota Técnica expôs alguns aspectos que, a depender da dinâmica do mercado de aditivos, devem ser levados em conta quando da opção de aditivação no produtor de gasolina A e que, em tese, poderiam influenciar nas condições concorrenciais desse mercado, tais como: redução de custos de transação, ganhos de escala, concentração no mercado de fornecimento de aditivos e importação a preços competitivos.</w:t>
      </w:r>
    </w:p>
    <w:p w:rsidR="003C41E3" w:rsidRPr="00CE3398" w:rsidRDefault="003C41E3" w:rsidP="003C41E3">
      <w:pPr>
        <w:pStyle w:val="Recuodecorpodetexto2"/>
        <w:spacing w:before="100" w:beforeAutospacing="1" w:after="100" w:afterAutospacing="1"/>
        <w:ind w:firstLine="1843"/>
        <w:rPr>
          <w:rFonts w:ascii="Times New Roman" w:hAnsi="Times New Roman" w:cs="Times New Roman"/>
          <w:sz w:val="24"/>
        </w:rPr>
      </w:pPr>
      <w:r w:rsidRPr="00CE3398">
        <w:rPr>
          <w:rFonts w:ascii="Times New Roman" w:hAnsi="Times New Roman" w:cs="Times New Roman"/>
          <w:sz w:val="24"/>
        </w:rPr>
        <w:t xml:space="preserve">Esta Nota não deve ser considerada como uma efetiva análise dos possíveis impactos concorrenciais sobre o mercado de produtores de aditivos para gasolina, tendo em vista </w:t>
      </w:r>
      <w:r w:rsidRPr="00CE3398">
        <w:rPr>
          <w:rFonts w:ascii="Times New Roman" w:hAnsi="Times New Roman" w:cs="Times New Roman"/>
          <w:sz w:val="24"/>
        </w:rPr>
        <w:lastRenderedPageBreak/>
        <w:t>tanto que este mercado não está sujeito à regulação da ANP, quanto a indisponibilidade de dados para caracterização da atual estrutura do mercado de aditivos.</w:t>
      </w:r>
    </w:p>
    <w:p w:rsidR="003C41E3" w:rsidRPr="00CE3398" w:rsidRDefault="003C41E3" w:rsidP="003C41E3">
      <w:pPr>
        <w:pStyle w:val="Recuodecorpodetexto2"/>
        <w:spacing w:before="100" w:beforeAutospacing="1" w:after="100" w:afterAutospacing="1"/>
        <w:ind w:firstLine="1843"/>
        <w:rPr>
          <w:rFonts w:ascii="Times New Roman" w:hAnsi="Times New Roman" w:cs="Times New Roman"/>
          <w:sz w:val="24"/>
        </w:rPr>
      </w:pPr>
      <w:r w:rsidRPr="00CE3398">
        <w:rPr>
          <w:rFonts w:ascii="Times New Roman" w:hAnsi="Times New Roman" w:cs="Times New Roman"/>
          <w:sz w:val="24"/>
        </w:rPr>
        <w:t>Adicionalmente, ressalta-se que, do ponto de vista da oferta, a regulamentação em vigor prevê que o fornecimento de gasolina A no mercado nacional pode ser realizado por produtor ou importador. Este último deverá comercializar a gasolina importada somente com distribuidoras de combustíveis automotivos, com produtores de gasolinas ou com importadores ou exportadores de gasolina (conforme §2º, art. 4º, Portaria ANP n.º 314, de 27 de dezembro de 2001). Dessa forma, essa situação deverá ser considerada quando da escolha da opção regulatória.</w:t>
      </w:r>
    </w:p>
    <w:p w:rsidR="003C41E3" w:rsidRPr="00CE3398" w:rsidRDefault="003C41E3" w:rsidP="003C41E3">
      <w:pPr>
        <w:pStyle w:val="Recuodecorpodetexto2"/>
        <w:spacing w:before="100" w:beforeAutospacing="1" w:after="100" w:afterAutospacing="1"/>
        <w:ind w:firstLine="1843"/>
        <w:rPr>
          <w:rFonts w:ascii="Times New Roman" w:hAnsi="Times New Roman" w:cs="Times New Roman"/>
          <w:sz w:val="24"/>
        </w:rPr>
      </w:pPr>
    </w:p>
    <w:p w:rsidR="003C41E3" w:rsidRPr="00CE3398" w:rsidRDefault="003C41E3" w:rsidP="003C41E3">
      <w:pPr>
        <w:pStyle w:val="Ttulo7"/>
        <w:spacing w:before="100" w:beforeAutospacing="1" w:after="100" w:afterAutospacing="1" w:line="200" w:lineRule="atLeast"/>
        <w:rPr>
          <w:rFonts w:ascii="Times New Roman" w:hAnsi="Times New Roman"/>
          <w:b/>
          <w:bCs/>
          <w:szCs w:val="24"/>
        </w:rPr>
      </w:pPr>
      <w:r w:rsidRPr="00CE3398">
        <w:rPr>
          <w:rFonts w:ascii="Times New Roman" w:hAnsi="Times New Roman"/>
          <w:b/>
          <w:bCs/>
          <w:szCs w:val="24"/>
        </w:rPr>
        <w:t>MÁRCIO DE ARAÚJO ALVES DIAS</w:t>
      </w:r>
    </w:p>
    <w:p w:rsidR="003C41E3" w:rsidRPr="00CE3398" w:rsidRDefault="003C41E3" w:rsidP="003C41E3">
      <w:pPr>
        <w:pStyle w:val="Ttulo7"/>
        <w:spacing w:before="100" w:beforeAutospacing="1" w:after="100" w:afterAutospacing="1" w:line="200" w:lineRule="atLeast"/>
        <w:rPr>
          <w:rFonts w:ascii="Times New Roman" w:hAnsi="Times New Roman"/>
          <w:szCs w:val="24"/>
        </w:rPr>
      </w:pPr>
      <w:r w:rsidRPr="00CE3398">
        <w:rPr>
          <w:rFonts w:ascii="Times New Roman" w:hAnsi="Times New Roman"/>
          <w:szCs w:val="24"/>
        </w:rPr>
        <w:t>Especialista em Regulação de Petróleo e Derivados, Álcool Combustível e Gás Natural</w:t>
      </w:r>
    </w:p>
    <w:p w:rsidR="003C41E3" w:rsidRPr="00CE3398" w:rsidRDefault="003C41E3" w:rsidP="003C41E3">
      <w:pPr>
        <w:spacing w:line="200" w:lineRule="atLeast"/>
        <w:rPr>
          <w:rFonts w:ascii="Times New Roman" w:hAnsi="Times New Roman"/>
          <w:sz w:val="24"/>
          <w:szCs w:val="24"/>
        </w:rPr>
      </w:pPr>
    </w:p>
    <w:p w:rsidR="003C41E3" w:rsidRPr="00CE3398" w:rsidRDefault="003C41E3" w:rsidP="003C41E3">
      <w:pPr>
        <w:pStyle w:val="Ttulo7"/>
        <w:spacing w:before="100" w:beforeAutospacing="1" w:after="100" w:afterAutospacing="1" w:line="200" w:lineRule="atLeast"/>
        <w:rPr>
          <w:rFonts w:ascii="Times New Roman" w:hAnsi="Times New Roman"/>
          <w:b/>
          <w:bCs/>
          <w:szCs w:val="24"/>
        </w:rPr>
      </w:pPr>
      <w:r w:rsidRPr="00CE3398">
        <w:rPr>
          <w:rFonts w:ascii="Times New Roman" w:hAnsi="Times New Roman"/>
          <w:b/>
          <w:bCs/>
          <w:szCs w:val="24"/>
        </w:rPr>
        <w:t>MARIA TEREZA ALVES DE OLIVEIRA FILHA</w:t>
      </w:r>
    </w:p>
    <w:p w:rsidR="003C41E3" w:rsidRPr="00CE3398" w:rsidRDefault="003C41E3" w:rsidP="003C41E3">
      <w:pPr>
        <w:spacing w:line="200" w:lineRule="atLeast"/>
        <w:jc w:val="center"/>
        <w:rPr>
          <w:rFonts w:ascii="Times New Roman" w:hAnsi="Times New Roman"/>
          <w:sz w:val="24"/>
          <w:szCs w:val="24"/>
        </w:rPr>
      </w:pPr>
      <w:r w:rsidRPr="00CE3398">
        <w:rPr>
          <w:rFonts w:ascii="Times New Roman" w:hAnsi="Times New Roman"/>
          <w:sz w:val="24"/>
          <w:szCs w:val="24"/>
        </w:rPr>
        <w:t>Especialista em Regulação de Petróleo e Derivados, Álcool Combustível e Gás Natural</w:t>
      </w:r>
    </w:p>
    <w:p w:rsidR="003C41E3" w:rsidRPr="00CE3398" w:rsidRDefault="003C41E3" w:rsidP="003C41E3">
      <w:pPr>
        <w:spacing w:line="200" w:lineRule="atLeast"/>
        <w:rPr>
          <w:rFonts w:ascii="Times New Roman" w:hAnsi="Times New Roman"/>
          <w:sz w:val="24"/>
          <w:szCs w:val="24"/>
        </w:rPr>
      </w:pPr>
    </w:p>
    <w:p w:rsidR="003C41E3" w:rsidRPr="00CE3398" w:rsidRDefault="003C41E3" w:rsidP="003C41E3">
      <w:pPr>
        <w:pStyle w:val="Recuodecorpodetexto3"/>
        <w:spacing w:before="100" w:beforeAutospacing="1" w:after="100" w:afterAutospacing="1" w:line="200" w:lineRule="atLeast"/>
        <w:ind w:firstLine="0"/>
        <w:jc w:val="center"/>
        <w:rPr>
          <w:rFonts w:ascii="Times New Roman" w:hAnsi="Times New Roman"/>
          <w:color w:val="auto"/>
          <w:szCs w:val="24"/>
        </w:rPr>
      </w:pPr>
      <w:r w:rsidRPr="00CE3398">
        <w:rPr>
          <w:rFonts w:ascii="Times New Roman" w:hAnsi="Times New Roman"/>
          <w:color w:val="auto"/>
          <w:szCs w:val="24"/>
        </w:rPr>
        <w:t>De acordo.</w:t>
      </w:r>
    </w:p>
    <w:p w:rsidR="003C41E3" w:rsidRPr="00CE3398" w:rsidRDefault="003C41E3" w:rsidP="003C41E3">
      <w:pPr>
        <w:pStyle w:val="Recuodecorpodetexto3"/>
        <w:spacing w:before="100" w:beforeAutospacing="1" w:after="100" w:afterAutospacing="1" w:line="200" w:lineRule="atLeast"/>
        <w:ind w:firstLine="0"/>
        <w:jc w:val="center"/>
        <w:rPr>
          <w:rFonts w:ascii="Times New Roman" w:hAnsi="Times New Roman"/>
          <w:color w:val="auto"/>
          <w:szCs w:val="24"/>
        </w:rPr>
      </w:pPr>
    </w:p>
    <w:p w:rsidR="003C41E3" w:rsidRPr="00CE3398" w:rsidRDefault="003C41E3" w:rsidP="003C41E3">
      <w:pPr>
        <w:pStyle w:val="Ttulo7"/>
        <w:spacing w:before="100" w:beforeAutospacing="1" w:after="100" w:afterAutospacing="1" w:line="200" w:lineRule="atLeast"/>
        <w:rPr>
          <w:rFonts w:ascii="Times New Roman" w:hAnsi="Times New Roman"/>
          <w:b/>
          <w:bCs/>
          <w:szCs w:val="24"/>
        </w:rPr>
      </w:pPr>
      <w:r w:rsidRPr="00CE3398">
        <w:rPr>
          <w:rFonts w:ascii="Times New Roman" w:hAnsi="Times New Roman"/>
          <w:b/>
          <w:bCs/>
          <w:szCs w:val="24"/>
        </w:rPr>
        <w:t>LÚCIA NAVEGANTES BICALHO</w:t>
      </w:r>
    </w:p>
    <w:p w:rsidR="003C41E3" w:rsidRPr="00CE3398" w:rsidRDefault="003C41E3" w:rsidP="003C41E3">
      <w:pPr>
        <w:pStyle w:val="Ttulo7"/>
        <w:spacing w:before="100" w:beforeAutospacing="1" w:after="100" w:afterAutospacing="1" w:line="200" w:lineRule="atLeast"/>
        <w:rPr>
          <w:rFonts w:ascii="Times New Roman" w:hAnsi="Times New Roman"/>
          <w:szCs w:val="24"/>
        </w:rPr>
      </w:pPr>
      <w:r w:rsidRPr="00CE3398">
        <w:rPr>
          <w:rFonts w:ascii="Times New Roman" w:hAnsi="Times New Roman"/>
          <w:bCs/>
          <w:szCs w:val="24"/>
        </w:rPr>
        <w:t>Coordenadora de Defesa da Concorrência</w:t>
      </w:r>
    </w:p>
    <w:p w:rsidR="003C41E3" w:rsidRPr="00CE3398" w:rsidRDefault="003C41E3">
      <w:pPr>
        <w:spacing w:after="0" w:line="240" w:lineRule="auto"/>
        <w:rPr>
          <w:rFonts w:ascii="Times New Roman" w:hAnsi="Times New Roman"/>
          <w:sz w:val="24"/>
          <w:szCs w:val="24"/>
        </w:rPr>
      </w:pPr>
      <w:r w:rsidRPr="00CE3398">
        <w:rPr>
          <w:rFonts w:ascii="Times New Roman" w:hAnsi="Times New Roman"/>
          <w:sz w:val="24"/>
          <w:szCs w:val="24"/>
        </w:rPr>
        <w:br w:type="page"/>
      </w:r>
    </w:p>
    <w:p w:rsidR="00374300" w:rsidRPr="00CE3398" w:rsidRDefault="00374300" w:rsidP="00374300">
      <w:pPr>
        <w:rPr>
          <w:rFonts w:ascii="Times New Roman" w:hAnsi="Times New Roman"/>
          <w:b/>
          <w:sz w:val="24"/>
          <w:szCs w:val="24"/>
        </w:rPr>
      </w:pPr>
      <w:r w:rsidRPr="00CE3398">
        <w:rPr>
          <w:rFonts w:ascii="Times New Roman" w:hAnsi="Times New Roman"/>
          <w:b/>
          <w:sz w:val="24"/>
          <w:szCs w:val="24"/>
        </w:rPr>
        <w:lastRenderedPageBreak/>
        <w:t xml:space="preserve">ANEXO </w:t>
      </w:r>
      <w:r w:rsidR="005D172E" w:rsidRPr="00CE3398">
        <w:rPr>
          <w:rFonts w:ascii="Times New Roman" w:hAnsi="Times New Roman"/>
          <w:b/>
          <w:sz w:val="24"/>
          <w:szCs w:val="24"/>
        </w:rPr>
        <w:t>IX</w:t>
      </w:r>
      <w:r w:rsidRPr="00CE3398">
        <w:rPr>
          <w:rFonts w:ascii="Times New Roman" w:hAnsi="Times New Roman"/>
          <w:b/>
          <w:sz w:val="24"/>
          <w:szCs w:val="24"/>
        </w:rPr>
        <w:t xml:space="preserve"> – QUESTIONÁRIO ENCAMINHADO PELA ANP À ANFAVEA</w:t>
      </w:r>
    </w:p>
    <w:tbl>
      <w:tblPr>
        <w:tblW w:w="5000" w:type="pct"/>
        <w:tblCellMar>
          <w:left w:w="70" w:type="dxa"/>
          <w:right w:w="70" w:type="dxa"/>
        </w:tblCellMar>
        <w:tblLook w:val="04A0"/>
      </w:tblPr>
      <w:tblGrid>
        <w:gridCol w:w="9886"/>
      </w:tblGrid>
      <w:tr w:rsidR="00374300" w:rsidRPr="00CE3398" w:rsidTr="00C0730A">
        <w:trPr>
          <w:trHeight w:val="300"/>
        </w:trPr>
        <w:tc>
          <w:tcPr>
            <w:tcW w:w="5000" w:type="pct"/>
            <w:tcBorders>
              <w:top w:val="nil"/>
              <w:left w:val="nil"/>
              <w:bottom w:val="nil"/>
              <w:right w:val="nil"/>
            </w:tcBorders>
            <w:shd w:val="clear" w:color="auto" w:fill="auto"/>
            <w:noWrap/>
            <w:vAlign w:val="bottom"/>
            <w:hideMark/>
          </w:tcPr>
          <w:p w:rsidR="00374300" w:rsidRPr="00CE3398" w:rsidRDefault="00374300" w:rsidP="00905288">
            <w:pPr>
              <w:spacing w:after="120" w:line="240" w:lineRule="auto"/>
              <w:rPr>
                <w:rFonts w:ascii="Times New Roman" w:eastAsia="Times New Roman" w:hAnsi="Times New Roman"/>
                <w:b/>
                <w:bCs/>
                <w:color w:val="000000"/>
                <w:sz w:val="24"/>
                <w:szCs w:val="24"/>
                <w:lang w:eastAsia="pt-BR"/>
              </w:rPr>
            </w:pPr>
          </w:p>
        </w:tc>
      </w:tr>
      <w:tr w:rsidR="00374300" w:rsidRPr="00CE3398" w:rsidTr="00C0730A">
        <w:trPr>
          <w:trHeight w:val="606"/>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300" w:rsidRPr="00CE3398" w:rsidRDefault="00374300" w:rsidP="00905288">
            <w:pPr>
              <w:spacing w:after="120" w:line="240" w:lineRule="auto"/>
              <w:jc w:val="both"/>
              <w:rPr>
                <w:rFonts w:ascii="Times New Roman" w:eastAsia="Times New Roman" w:hAnsi="Times New Roman"/>
                <w:color w:val="000000"/>
                <w:sz w:val="24"/>
                <w:szCs w:val="24"/>
                <w:lang w:eastAsia="pt-BR"/>
              </w:rPr>
            </w:pPr>
            <w:r w:rsidRPr="00CE3398">
              <w:rPr>
                <w:rFonts w:ascii="Times New Roman" w:eastAsia="Times New Roman" w:hAnsi="Times New Roman"/>
                <w:color w:val="000000"/>
                <w:sz w:val="24"/>
                <w:szCs w:val="24"/>
                <w:lang w:eastAsia="pt-BR"/>
              </w:rPr>
              <w:t>1- Na visão da Anfavea, quais os benefícios quantitativos e qualitativos que seriam proporcionados pela obrigatoriedade da aditivação de toda a gasolina vendida no Brasil com aditivo detergente dispersante?</w:t>
            </w:r>
          </w:p>
        </w:tc>
      </w:tr>
      <w:tr w:rsidR="00374300" w:rsidRPr="00CE3398" w:rsidTr="00C0730A">
        <w:trPr>
          <w:trHeight w:val="841"/>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374300" w:rsidRPr="00CE3398" w:rsidRDefault="00374300" w:rsidP="00905288">
            <w:pPr>
              <w:spacing w:after="120" w:line="240" w:lineRule="auto"/>
              <w:jc w:val="both"/>
              <w:rPr>
                <w:rFonts w:ascii="Times New Roman" w:eastAsia="Times New Roman" w:hAnsi="Times New Roman"/>
                <w:color w:val="000000"/>
                <w:sz w:val="24"/>
                <w:szCs w:val="24"/>
                <w:lang w:eastAsia="pt-BR"/>
              </w:rPr>
            </w:pPr>
            <w:r w:rsidRPr="00CE3398">
              <w:rPr>
                <w:rFonts w:ascii="Times New Roman" w:eastAsia="Times New Roman" w:hAnsi="Times New Roman"/>
                <w:color w:val="000000"/>
                <w:sz w:val="24"/>
                <w:szCs w:val="24"/>
                <w:lang w:eastAsia="pt-BR"/>
              </w:rPr>
              <w:t xml:space="preserve">2- A utilização de gasolina aditivada efetivamente proporciona alguma economia no consumo de combustível pelo veículo? Em caso positivo, de quanto seria, aproximadamente, esse ganho (na média, pois sabemos que esse valor depende do tipo de veículo, condições de utilização, etc.)? </w:t>
            </w:r>
          </w:p>
        </w:tc>
      </w:tr>
      <w:tr w:rsidR="00374300" w:rsidRPr="00CE3398" w:rsidTr="00C0730A">
        <w:trPr>
          <w:trHeight w:val="1264"/>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374300" w:rsidRPr="00CE3398" w:rsidRDefault="00374300" w:rsidP="00905288">
            <w:pPr>
              <w:spacing w:after="120" w:line="240" w:lineRule="auto"/>
              <w:jc w:val="both"/>
              <w:rPr>
                <w:rFonts w:ascii="Times New Roman" w:eastAsia="Times New Roman" w:hAnsi="Times New Roman"/>
                <w:color w:val="000000"/>
                <w:sz w:val="24"/>
                <w:szCs w:val="24"/>
                <w:lang w:eastAsia="pt-BR"/>
              </w:rPr>
            </w:pPr>
            <w:r w:rsidRPr="00CE3398">
              <w:rPr>
                <w:rFonts w:ascii="Times New Roman" w:eastAsia="Times New Roman" w:hAnsi="Times New Roman"/>
                <w:color w:val="000000"/>
                <w:sz w:val="24"/>
                <w:szCs w:val="24"/>
                <w:lang w:eastAsia="pt-BR"/>
              </w:rPr>
              <w:t xml:space="preserve">3- A utilização regular de gasolina aditivada proporciona diminuição na necessidade de manutenção do veículo ou um aumento na quilometragem entre as revisões programadas, nem que seja apenas em relação à limpeza de válvulas e/ou outro(s) componentes do motor do veículo? Em caso positivo, de quanto seria, aproximadamente, esse ganho (na média, pois sabemos que esse valor depende do tipo de veículo, condições de utilização, etc.)? </w:t>
            </w:r>
          </w:p>
        </w:tc>
      </w:tr>
      <w:tr w:rsidR="00374300" w:rsidRPr="00CE3398" w:rsidTr="00C0730A">
        <w:trPr>
          <w:trHeight w:val="843"/>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374300" w:rsidRPr="00CE3398" w:rsidRDefault="00374300" w:rsidP="00905288">
            <w:pPr>
              <w:spacing w:after="120" w:line="240" w:lineRule="auto"/>
              <w:jc w:val="both"/>
              <w:rPr>
                <w:rFonts w:ascii="Times New Roman" w:eastAsia="Times New Roman" w:hAnsi="Times New Roman"/>
                <w:color w:val="000000"/>
                <w:sz w:val="24"/>
                <w:szCs w:val="24"/>
                <w:lang w:eastAsia="pt-BR"/>
              </w:rPr>
            </w:pPr>
            <w:r w:rsidRPr="00CE3398">
              <w:rPr>
                <w:rFonts w:ascii="Times New Roman" w:eastAsia="Times New Roman" w:hAnsi="Times New Roman"/>
                <w:color w:val="000000"/>
                <w:sz w:val="24"/>
                <w:szCs w:val="24"/>
                <w:lang w:eastAsia="pt-BR"/>
              </w:rPr>
              <w:t xml:space="preserve">4- Com relação à emissão de poluentes pelos veículos, em que exatamente implicaria o uso de aditivo detergente dispersante em toda a gasolina vendida no Brasil? Que tipos de poluentes teriam sua emissão reduzida? </w:t>
            </w:r>
          </w:p>
        </w:tc>
      </w:tr>
      <w:tr w:rsidR="00374300" w:rsidRPr="00CE3398" w:rsidTr="00C0730A">
        <w:trPr>
          <w:trHeight w:val="1282"/>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374300" w:rsidRPr="00CE3398" w:rsidRDefault="00374300" w:rsidP="00905288">
            <w:pPr>
              <w:spacing w:after="120" w:line="240" w:lineRule="auto"/>
              <w:jc w:val="both"/>
              <w:rPr>
                <w:rFonts w:ascii="Times New Roman" w:eastAsia="Times New Roman" w:hAnsi="Times New Roman"/>
                <w:color w:val="000000"/>
                <w:sz w:val="24"/>
                <w:szCs w:val="24"/>
                <w:lang w:eastAsia="pt-BR"/>
              </w:rPr>
            </w:pPr>
            <w:r w:rsidRPr="00CE3398">
              <w:rPr>
                <w:rFonts w:ascii="Times New Roman" w:eastAsia="Times New Roman" w:hAnsi="Times New Roman"/>
                <w:color w:val="000000"/>
                <w:sz w:val="24"/>
                <w:szCs w:val="24"/>
                <w:lang w:eastAsia="pt-BR"/>
              </w:rPr>
              <w:t xml:space="preserve">5- Ainda com relação à questão anterior, existe o entendimento do mercado de que é possível haver um aumento das emissões veiculares ao longo do tempo de utilização dos motores. Assim, os quantitativos de poluentes emitidos pelo veículo tendem a crescer junto com a quilometragem percorrida. Nesse sentido, cabe questionar se este aumento seria atenuado pela utilização de gasolina aditivada pelo veículo desde sua fabricação, bem como de quanto seria essa redução. </w:t>
            </w:r>
          </w:p>
        </w:tc>
      </w:tr>
      <w:tr w:rsidR="00374300" w:rsidRPr="00CE3398" w:rsidTr="00C0730A">
        <w:trPr>
          <w:trHeight w:val="1527"/>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374300" w:rsidRPr="00CE3398" w:rsidRDefault="00374300" w:rsidP="00905288">
            <w:pPr>
              <w:spacing w:after="120" w:line="240" w:lineRule="auto"/>
              <w:jc w:val="both"/>
              <w:rPr>
                <w:rFonts w:ascii="Times New Roman" w:eastAsia="Times New Roman" w:hAnsi="Times New Roman"/>
                <w:color w:val="000000"/>
                <w:sz w:val="24"/>
                <w:szCs w:val="24"/>
                <w:lang w:eastAsia="pt-BR"/>
              </w:rPr>
            </w:pPr>
            <w:r w:rsidRPr="00CE3398">
              <w:rPr>
                <w:rFonts w:ascii="Times New Roman" w:eastAsia="Times New Roman" w:hAnsi="Times New Roman"/>
                <w:color w:val="000000"/>
                <w:sz w:val="24"/>
                <w:szCs w:val="24"/>
                <w:lang w:eastAsia="pt-BR"/>
              </w:rPr>
              <w:t xml:space="preserve">6- A vida média dos veículos leves de passageiros no Brasil, conforme Curva de Sucateamento considerada no 1º Inventário Nacional de Emissões Atmosféricas por Veículos Automotores do MMA é de cerca de 20 anos. Assim sendo, gostaríamos de saber se os benefícios indicados anteriormente (consumo de combustível, manutenção dos motores, emissão de poluentes, entre outros) são aplicáveis também aos veículos antigos ou somente aos novos? Considerar neste âmbito os veículos carburados, se possível. </w:t>
            </w:r>
          </w:p>
        </w:tc>
      </w:tr>
      <w:tr w:rsidR="00374300" w:rsidRPr="00CE3398" w:rsidTr="00C0730A">
        <w:trPr>
          <w:trHeight w:val="855"/>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374300" w:rsidRPr="00CE3398" w:rsidRDefault="00374300" w:rsidP="00905288">
            <w:pPr>
              <w:spacing w:after="120" w:line="240" w:lineRule="auto"/>
              <w:jc w:val="both"/>
              <w:rPr>
                <w:rFonts w:ascii="Times New Roman" w:eastAsia="Times New Roman" w:hAnsi="Times New Roman"/>
                <w:color w:val="000000"/>
                <w:sz w:val="24"/>
                <w:szCs w:val="24"/>
                <w:lang w:eastAsia="pt-BR"/>
              </w:rPr>
            </w:pPr>
            <w:r w:rsidRPr="00CE3398">
              <w:rPr>
                <w:rFonts w:ascii="Times New Roman" w:eastAsia="Times New Roman" w:hAnsi="Times New Roman"/>
                <w:color w:val="000000"/>
                <w:sz w:val="24"/>
                <w:szCs w:val="24"/>
                <w:lang w:eastAsia="pt-BR"/>
              </w:rPr>
              <w:t xml:space="preserve">7-Ainda sobre os veículos antigos que não utilizaram gasolina aditivada, quais os problemas que o uso regular do aditivo detergente dispersante poderia provocar devido ao carreamento de depósitos localizados no sistema de alimentação de combustível? </w:t>
            </w:r>
          </w:p>
        </w:tc>
      </w:tr>
      <w:tr w:rsidR="00374300" w:rsidRPr="00CE3398" w:rsidTr="00C0730A">
        <w:trPr>
          <w:trHeight w:val="900"/>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374300" w:rsidRPr="00CE3398" w:rsidRDefault="00374300" w:rsidP="00905288">
            <w:pPr>
              <w:spacing w:after="120" w:line="240" w:lineRule="auto"/>
              <w:jc w:val="both"/>
              <w:rPr>
                <w:rFonts w:ascii="Times New Roman" w:eastAsia="Times New Roman" w:hAnsi="Times New Roman"/>
                <w:color w:val="000000"/>
                <w:sz w:val="24"/>
                <w:szCs w:val="24"/>
                <w:lang w:eastAsia="pt-BR"/>
              </w:rPr>
            </w:pPr>
            <w:r w:rsidRPr="00CE3398">
              <w:rPr>
                <w:rFonts w:ascii="Times New Roman" w:eastAsia="Times New Roman" w:hAnsi="Times New Roman"/>
                <w:color w:val="000000"/>
                <w:sz w:val="24"/>
                <w:szCs w:val="24"/>
                <w:lang w:eastAsia="pt-BR"/>
              </w:rPr>
              <w:t>8- A implantação do programa de aditivação total gasolina no Brasil facilitará ou dificultará a entrada de novas tecnologias, como a de injeção direta, no país? De que forma? Existem outras tecnologias além da já citada, cuja entrada no Brasil seria influenciada?</w:t>
            </w:r>
          </w:p>
        </w:tc>
      </w:tr>
      <w:tr w:rsidR="00374300" w:rsidRPr="00CE3398" w:rsidTr="00C0730A">
        <w:trPr>
          <w:trHeight w:val="630"/>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374300" w:rsidRPr="00CE3398" w:rsidRDefault="00374300" w:rsidP="00905288">
            <w:pPr>
              <w:spacing w:after="120" w:line="240" w:lineRule="auto"/>
              <w:jc w:val="both"/>
              <w:rPr>
                <w:rFonts w:ascii="Times New Roman" w:eastAsia="Times New Roman" w:hAnsi="Times New Roman"/>
                <w:color w:val="000000"/>
                <w:sz w:val="24"/>
                <w:szCs w:val="24"/>
                <w:lang w:eastAsia="pt-BR"/>
              </w:rPr>
            </w:pPr>
            <w:r w:rsidRPr="00CE3398">
              <w:rPr>
                <w:rFonts w:ascii="Times New Roman" w:eastAsia="Times New Roman" w:hAnsi="Times New Roman"/>
                <w:color w:val="000000"/>
                <w:sz w:val="24"/>
                <w:szCs w:val="24"/>
                <w:lang w:eastAsia="pt-BR"/>
              </w:rPr>
              <w:t>9- Caso existam outras informações que entendam como relevantes no que tange ao cumprimento da Resolução ANP n°38/2009, informe abaixo.</w:t>
            </w:r>
          </w:p>
        </w:tc>
      </w:tr>
    </w:tbl>
    <w:p w:rsidR="008A460A" w:rsidRPr="00CE3398" w:rsidRDefault="008A460A" w:rsidP="00474FF4">
      <w:pPr>
        <w:spacing w:after="120"/>
        <w:rPr>
          <w:rFonts w:ascii="Times New Roman" w:hAnsi="Times New Roman"/>
          <w:sz w:val="24"/>
          <w:szCs w:val="24"/>
        </w:rPr>
      </w:pPr>
    </w:p>
    <w:sectPr w:rsidR="008A460A" w:rsidRPr="00CE3398" w:rsidSect="00C0730A">
      <w:footerReference w:type="default" r:id="rId50"/>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752" w:rsidRDefault="00E03752" w:rsidP="0002519A">
      <w:pPr>
        <w:spacing w:after="0" w:line="240" w:lineRule="auto"/>
      </w:pPr>
      <w:r>
        <w:separator/>
      </w:r>
    </w:p>
  </w:endnote>
  <w:endnote w:type="continuationSeparator" w:id="0">
    <w:p w:rsidR="00E03752" w:rsidRDefault="00E03752" w:rsidP="000251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52" w:rsidRDefault="0010373C">
    <w:pPr>
      <w:pStyle w:val="Rodap"/>
      <w:framePr w:wrap="around" w:vAnchor="text" w:hAnchor="margin" w:xAlign="right" w:y="1"/>
      <w:rPr>
        <w:rStyle w:val="Nmerodepgina"/>
      </w:rPr>
    </w:pPr>
    <w:r>
      <w:rPr>
        <w:rStyle w:val="Nmerodepgina"/>
      </w:rPr>
      <w:fldChar w:fldCharType="begin"/>
    </w:r>
    <w:r w:rsidR="00E03752">
      <w:rPr>
        <w:rStyle w:val="Nmerodepgina"/>
      </w:rPr>
      <w:instrText xml:space="preserve">PAGE  </w:instrText>
    </w:r>
    <w:r>
      <w:rPr>
        <w:rStyle w:val="Nmerodepgina"/>
      </w:rPr>
      <w:fldChar w:fldCharType="separate"/>
    </w:r>
    <w:r w:rsidR="00E03752">
      <w:rPr>
        <w:rStyle w:val="Nmerodepgina"/>
        <w:noProof/>
      </w:rPr>
      <w:t>2</w:t>
    </w:r>
    <w:r>
      <w:rPr>
        <w:rStyle w:val="Nmerodepgina"/>
      </w:rPr>
      <w:fldChar w:fldCharType="end"/>
    </w:r>
  </w:p>
  <w:p w:rsidR="00E03752" w:rsidRDefault="00E0375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15056"/>
      <w:docPartObj>
        <w:docPartGallery w:val="Page Numbers (Bottom of Page)"/>
        <w:docPartUnique/>
      </w:docPartObj>
    </w:sdtPr>
    <w:sdtEndPr>
      <w:rPr>
        <w:rFonts w:ascii="Times New Roman" w:hAnsi="Times New Roman"/>
        <w:sz w:val="20"/>
        <w:szCs w:val="20"/>
      </w:rPr>
    </w:sdtEndPr>
    <w:sdtContent>
      <w:p w:rsidR="00E03752" w:rsidRDefault="0010373C">
        <w:pPr>
          <w:pStyle w:val="Rodap"/>
          <w:jc w:val="right"/>
        </w:pPr>
        <w:r w:rsidRPr="00E72EA0">
          <w:rPr>
            <w:rFonts w:ascii="Times New Roman" w:hAnsi="Times New Roman"/>
            <w:sz w:val="20"/>
            <w:szCs w:val="20"/>
          </w:rPr>
          <w:fldChar w:fldCharType="begin"/>
        </w:r>
        <w:r w:rsidR="00E03752" w:rsidRPr="00E72EA0">
          <w:rPr>
            <w:rFonts w:ascii="Times New Roman" w:hAnsi="Times New Roman"/>
            <w:sz w:val="20"/>
            <w:szCs w:val="20"/>
          </w:rPr>
          <w:instrText xml:space="preserve"> PAGE   \* MERGEFORMAT </w:instrText>
        </w:r>
        <w:r w:rsidRPr="00E72EA0">
          <w:rPr>
            <w:rFonts w:ascii="Times New Roman" w:hAnsi="Times New Roman"/>
            <w:sz w:val="20"/>
            <w:szCs w:val="20"/>
          </w:rPr>
          <w:fldChar w:fldCharType="separate"/>
        </w:r>
        <w:r w:rsidR="00C46797">
          <w:rPr>
            <w:rFonts w:ascii="Times New Roman" w:hAnsi="Times New Roman"/>
            <w:noProof/>
            <w:sz w:val="20"/>
            <w:szCs w:val="20"/>
          </w:rPr>
          <w:t>29</w:t>
        </w:r>
        <w:r w:rsidRPr="00E72EA0">
          <w:rPr>
            <w:rFonts w:ascii="Times New Roman" w:hAnsi="Times New Roman"/>
            <w:sz w:val="20"/>
            <w:szCs w:val="20"/>
          </w:rPr>
          <w:fldChar w:fldCharType="end"/>
        </w:r>
      </w:p>
    </w:sdtContent>
  </w:sdt>
  <w:p w:rsidR="00E03752" w:rsidRDefault="00E03752">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15125"/>
      <w:docPartObj>
        <w:docPartGallery w:val="Page Numbers (Bottom of Page)"/>
        <w:docPartUnique/>
      </w:docPartObj>
    </w:sdtPr>
    <w:sdtEndPr>
      <w:rPr>
        <w:rFonts w:ascii="Times New Roman" w:hAnsi="Times New Roman"/>
        <w:sz w:val="20"/>
        <w:szCs w:val="20"/>
      </w:rPr>
    </w:sdtEndPr>
    <w:sdtContent>
      <w:p w:rsidR="00E03752" w:rsidRPr="00E72EA0" w:rsidRDefault="0010373C">
        <w:pPr>
          <w:pStyle w:val="Rodap"/>
          <w:jc w:val="right"/>
          <w:rPr>
            <w:rFonts w:ascii="Times New Roman" w:hAnsi="Times New Roman"/>
            <w:sz w:val="20"/>
            <w:szCs w:val="20"/>
          </w:rPr>
        </w:pPr>
        <w:r w:rsidRPr="00E72EA0">
          <w:rPr>
            <w:rFonts w:ascii="Times New Roman" w:hAnsi="Times New Roman"/>
            <w:sz w:val="20"/>
            <w:szCs w:val="20"/>
          </w:rPr>
          <w:fldChar w:fldCharType="begin"/>
        </w:r>
        <w:r w:rsidR="00E03752" w:rsidRPr="00E72EA0">
          <w:rPr>
            <w:rFonts w:ascii="Times New Roman" w:hAnsi="Times New Roman"/>
            <w:sz w:val="20"/>
            <w:szCs w:val="20"/>
          </w:rPr>
          <w:instrText xml:space="preserve"> PAGE   \* MERGEFORMAT </w:instrText>
        </w:r>
        <w:r w:rsidRPr="00E72EA0">
          <w:rPr>
            <w:rFonts w:ascii="Times New Roman" w:hAnsi="Times New Roman"/>
            <w:sz w:val="20"/>
            <w:szCs w:val="20"/>
          </w:rPr>
          <w:fldChar w:fldCharType="separate"/>
        </w:r>
        <w:r w:rsidR="00C46797">
          <w:rPr>
            <w:rFonts w:ascii="Times New Roman" w:hAnsi="Times New Roman"/>
            <w:noProof/>
            <w:sz w:val="20"/>
            <w:szCs w:val="20"/>
          </w:rPr>
          <w:t>27</w:t>
        </w:r>
        <w:r w:rsidRPr="00E72EA0">
          <w:rPr>
            <w:rFonts w:ascii="Times New Roman" w:hAnsi="Times New Roman"/>
            <w:sz w:val="20"/>
            <w:szCs w:val="20"/>
          </w:rPr>
          <w:fldChar w:fldCharType="end"/>
        </w:r>
      </w:p>
    </w:sdtContent>
  </w:sdt>
  <w:p w:rsidR="00E03752" w:rsidRDefault="00E03752">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52" w:rsidRDefault="0010373C">
    <w:pPr>
      <w:pStyle w:val="Rodap"/>
      <w:framePr w:wrap="around" w:vAnchor="text" w:hAnchor="margin" w:xAlign="right" w:y="1"/>
      <w:rPr>
        <w:rStyle w:val="Nmerodepgina"/>
      </w:rPr>
    </w:pPr>
    <w:r>
      <w:rPr>
        <w:rStyle w:val="Nmerodepgina"/>
      </w:rPr>
      <w:fldChar w:fldCharType="begin"/>
    </w:r>
    <w:r w:rsidR="00E03752">
      <w:rPr>
        <w:rStyle w:val="Nmerodepgina"/>
      </w:rPr>
      <w:instrText xml:space="preserve">PAGE  </w:instrText>
    </w:r>
    <w:r>
      <w:rPr>
        <w:rStyle w:val="Nmerodepgina"/>
      </w:rPr>
      <w:fldChar w:fldCharType="separate"/>
    </w:r>
    <w:r w:rsidR="00E03752">
      <w:rPr>
        <w:rStyle w:val="Nmerodepgina"/>
        <w:noProof/>
      </w:rPr>
      <w:t>11</w:t>
    </w:r>
    <w:r>
      <w:rPr>
        <w:rStyle w:val="Nmerodepgina"/>
      </w:rPr>
      <w:fldChar w:fldCharType="end"/>
    </w:r>
  </w:p>
  <w:p w:rsidR="00E03752" w:rsidRDefault="00E03752">
    <w:pPr>
      <w:pStyle w:val="Rodap"/>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52" w:rsidRDefault="00E03752" w:rsidP="0087016A">
    <w:pPr>
      <w:pStyle w:val="Rodap"/>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52" w:rsidRPr="005E3C08" w:rsidRDefault="00E03752">
    <w:pPr>
      <w:pStyle w:val="Rodap"/>
      <w:rPr>
        <w:sz w:val="18"/>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14982"/>
      <w:docPartObj>
        <w:docPartGallery w:val="Page Numbers (Bottom of Page)"/>
        <w:docPartUnique/>
      </w:docPartObj>
    </w:sdtPr>
    <w:sdtEndPr>
      <w:rPr>
        <w:rFonts w:ascii="Times New Roman" w:hAnsi="Times New Roman"/>
        <w:sz w:val="18"/>
        <w:szCs w:val="18"/>
      </w:rPr>
    </w:sdtEndPr>
    <w:sdtContent>
      <w:p w:rsidR="00E03752" w:rsidRPr="00FD3DBB" w:rsidRDefault="0010373C">
        <w:pPr>
          <w:pStyle w:val="Rodap"/>
          <w:jc w:val="right"/>
          <w:rPr>
            <w:rFonts w:ascii="Times New Roman" w:hAnsi="Times New Roman"/>
            <w:sz w:val="18"/>
            <w:szCs w:val="18"/>
          </w:rPr>
        </w:pPr>
        <w:r w:rsidRPr="00FD3DBB">
          <w:rPr>
            <w:rFonts w:ascii="Times New Roman" w:hAnsi="Times New Roman"/>
            <w:sz w:val="18"/>
            <w:szCs w:val="18"/>
          </w:rPr>
          <w:fldChar w:fldCharType="begin"/>
        </w:r>
        <w:r w:rsidR="00E03752" w:rsidRPr="00FD3DBB">
          <w:rPr>
            <w:rFonts w:ascii="Times New Roman" w:hAnsi="Times New Roman"/>
            <w:sz w:val="18"/>
            <w:szCs w:val="18"/>
          </w:rPr>
          <w:instrText xml:space="preserve"> PAGE   \* MERGEFORMAT </w:instrText>
        </w:r>
        <w:r w:rsidRPr="00FD3DBB">
          <w:rPr>
            <w:rFonts w:ascii="Times New Roman" w:hAnsi="Times New Roman"/>
            <w:sz w:val="18"/>
            <w:szCs w:val="18"/>
          </w:rPr>
          <w:fldChar w:fldCharType="separate"/>
        </w:r>
        <w:r w:rsidR="00C46797">
          <w:rPr>
            <w:rFonts w:ascii="Times New Roman" w:hAnsi="Times New Roman"/>
            <w:noProof/>
            <w:sz w:val="18"/>
            <w:szCs w:val="18"/>
          </w:rPr>
          <w:t>73</w:t>
        </w:r>
        <w:r w:rsidRPr="00FD3DBB">
          <w:rPr>
            <w:rFonts w:ascii="Times New Roman" w:hAnsi="Times New Roman"/>
            <w:sz w:val="18"/>
            <w:szCs w:val="18"/>
          </w:rPr>
          <w:fldChar w:fldCharType="end"/>
        </w:r>
      </w:p>
    </w:sdtContent>
  </w:sdt>
  <w:p w:rsidR="00E03752" w:rsidRDefault="00E0375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752" w:rsidRDefault="00E03752" w:rsidP="0002519A">
      <w:pPr>
        <w:spacing w:after="0" w:line="240" w:lineRule="auto"/>
      </w:pPr>
      <w:r>
        <w:separator/>
      </w:r>
    </w:p>
  </w:footnote>
  <w:footnote w:type="continuationSeparator" w:id="0">
    <w:p w:rsidR="00E03752" w:rsidRDefault="00E03752" w:rsidP="0002519A">
      <w:pPr>
        <w:spacing w:after="0" w:line="240" w:lineRule="auto"/>
      </w:pPr>
      <w:r>
        <w:continuationSeparator/>
      </w:r>
    </w:p>
  </w:footnote>
  <w:footnote w:id="1">
    <w:p w:rsidR="00E03752" w:rsidRPr="00134661" w:rsidRDefault="00E03752" w:rsidP="0002519A">
      <w:pPr>
        <w:pStyle w:val="Textodenotaderodap"/>
        <w:jc w:val="both"/>
        <w:rPr>
          <w:rFonts w:ascii="Times New Roman" w:hAnsi="Times New Roman"/>
        </w:rPr>
      </w:pPr>
      <w:r w:rsidRPr="00134661">
        <w:rPr>
          <w:rStyle w:val="Refdenotaderodap"/>
          <w:rFonts w:ascii="Times New Roman" w:hAnsi="Times New Roman"/>
        </w:rPr>
        <w:footnoteRef/>
      </w:r>
      <w:r w:rsidRPr="00134661">
        <w:rPr>
          <w:rFonts w:ascii="Times New Roman" w:hAnsi="Times New Roman"/>
        </w:rPr>
        <w:t xml:space="preserve"> Disponível em </w:t>
      </w:r>
      <w:hyperlink r:id="rId1" w:history="1">
        <w:r w:rsidRPr="00134661">
          <w:rPr>
            <w:rStyle w:val="Hyperlink"/>
            <w:rFonts w:ascii="Times New Roman" w:hAnsi="Times New Roman"/>
          </w:rPr>
          <w:t>http://www.mma.gov.br/estruturas/163/_arquivos/proconve_163.pdf</w:t>
        </w:r>
      </w:hyperlink>
      <w:r w:rsidRPr="00134661">
        <w:rPr>
          <w:rFonts w:ascii="Times New Roman" w:hAnsi="Times New Roman"/>
        </w:rPr>
        <w:t xml:space="preserve"> - Acesso em 23/01/2013.</w:t>
      </w:r>
    </w:p>
  </w:footnote>
  <w:footnote w:id="2">
    <w:p w:rsidR="00E03752" w:rsidRPr="00134661" w:rsidRDefault="00E03752" w:rsidP="0002519A">
      <w:pPr>
        <w:pStyle w:val="Textodenotaderodap"/>
        <w:jc w:val="both"/>
        <w:rPr>
          <w:rFonts w:ascii="Times New Roman" w:hAnsi="Times New Roman"/>
        </w:rPr>
      </w:pPr>
      <w:r w:rsidRPr="00134661">
        <w:rPr>
          <w:rStyle w:val="Refdenotaderodap"/>
          <w:rFonts w:ascii="Times New Roman" w:hAnsi="Times New Roman"/>
        </w:rPr>
        <w:footnoteRef/>
      </w:r>
      <w:r w:rsidRPr="00134661">
        <w:rPr>
          <w:rFonts w:ascii="Times New Roman" w:hAnsi="Times New Roman"/>
        </w:rPr>
        <w:t xml:space="preserve"> A Resolução CONAMA nº 415/2009 estabelece os limites máximos de emissão para veículos leves novos (de passageiros e comerciais), fixando o dia 1º de janeiro de 2014 como data de entrada em vigor dos novos padrões de emissão, no caso dos veículos leves do Ciclo Otto. Os modelos antigos terão prazo até 1º de janeiro de 2015 para se adequar aos novos padrões.</w:t>
      </w:r>
    </w:p>
  </w:footnote>
  <w:footnote w:id="3">
    <w:p w:rsidR="00E03752" w:rsidRPr="004C25FB" w:rsidRDefault="00E03752" w:rsidP="004C25FB">
      <w:pPr>
        <w:pStyle w:val="Textodenotaderodap"/>
        <w:jc w:val="both"/>
        <w:rPr>
          <w:rFonts w:ascii="Times New Roman" w:hAnsi="Times New Roman"/>
        </w:rPr>
      </w:pPr>
      <w:r w:rsidRPr="004C25FB">
        <w:rPr>
          <w:rStyle w:val="Refdenotaderodap"/>
          <w:rFonts w:ascii="Times New Roman" w:hAnsi="Times New Roman"/>
        </w:rPr>
        <w:footnoteRef/>
      </w:r>
      <w:r w:rsidRPr="004C25FB">
        <w:rPr>
          <w:rFonts w:ascii="Times New Roman" w:hAnsi="Times New Roman"/>
        </w:rPr>
        <w:t xml:space="preserve"> A regulação da ANP sobre o mercado de aditivos automotivos compreende o estabelecimento de requisitos para registro dos aditivos previamente à sua comercialização.</w:t>
      </w:r>
    </w:p>
  </w:footnote>
  <w:footnote w:id="4">
    <w:p w:rsidR="00E03752" w:rsidRPr="00F86EC8" w:rsidRDefault="00E03752" w:rsidP="00682A2E">
      <w:pPr>
        <w:pStyle w:val="Textodenotaderodap"/>
        <w:rPr>
          <w:rFonts w:ascii="Times New Roman" w:hAnsi="Times New Roman"/>
        </w:rPr>
      </w:pPr>
      <w:r w:rsidRPr="00F86EC8">
        <w:rPr>
          <w:rStyle w:val="Refdenotaderodap"/>
          <w:rFonts w:ascii="Times New Roman" w:hAnsi="Times New Roman"/>
        </w:rPr>
        <w:footnoteRef/>
      </w:r>
      <w:r w:rsidRPr="00F86EC8">
        <w:rPr>
          <w:rFonts w:ascii="Times New Roman" w:hAnsi="Times New Roman"/>
        </w:rPr>
        <w:t xml:space="preserve"> Dos produtores consultados, apenas um não apresentou estimativa de custos de adaptação das estruturas.</w:t>
      </w:r>
    </w:p>
  </w:footnote>
  <w:footnote w:id="5">
    <w:p w:rsidR="00E03752" w:rsidRPr="00F86EC8" w:rsidRDefault="00E03752" w:rsidP="002D20A7">
      <w:pPr>
        <w:pStyle w:val="Textodenotaderodap"/>
        <w:jc w:val="both"/>
        <w:rPr>
          <w:rFonts w:ascii="Times New Roman" w:hAnsi="Times New Roman"/>
        </w:rPr>
      </w:pPr>
      <w:r w:rsidRPr="00F86EC8">
        <w:rPr>
          <w:rStyle w:val="Refdenotaderodap"/>
          <w:rFonts w:ascii="Times New Roman" w:hAnsi="Times New Roman"/>
        </w:rPr>
        <w:footnoteRef/>
      </w:r>
      <w:r w:rsidRPr="00F86EC8">
        <w:rPr>
          <w:rFonts w:ascii="Times New Roman" w:hAnsi="Times New Roman"/>
        </w:rPr>
        <w:t xml:space="preserve"> Descrito no Relatório de Vistoria nº 004/SRP/SBQ/CDC, de 07 de novembro de 2011.</w:t>
      </w:r>
    </w:p>
  </w:footnote>
  <w:footnote w:id="6">
    <w:p w:rsidR="00E03752" w:rsidRDefault="00E03752">
      <w:pPr>
        <w:pStyle w:val="Textodenotaderodap"/>
      </w:pPr>
      <w:r>
        <w:rPr>
          <w:rStyle w:val="Refdenotaderodap"/>
        </w:rPr>
        <w:footnoteRef/>
      </w:r>
      <w:r>
        <w:t xml:space="preserve"> </w:t>
      </w:r>
      <w:r w:rsidRPr="00F86EC8">
        <w:rPr>
          <w:rFonts w:ascii="Times New Roman" w:hAnsi="Times New Roman"/>
        </w:rPr>
        <w:t>Descrito no Relatório de Vistoria nº 004/SRP/SBQ/CDC, de 07 de novembro de 2011.</w:t>
      </w:r>
    </w:p>
  </w:footnote>
  <w:footnote w:id="7">
    <w:p w:rsidR="00E03752" w:rsidRPr="00E72EA0" w:rsidRDefault="00E03752">
      <w:pPr>
        <w:pStyle w:val="Textodenotaderodap"/>
        <w:rPr>
          <w:rFonts w:ascii="Times New Roman" w:hAnsi="Times New Roman"/>
        </w:rPr>
      </w:pPr>
      <w:r w:rsidRPr="00E72EA0">
        <w:rPr>
          <w:rStyle w:val="Refdenotaderodap"/>
          <w:rFonts w:ascii="Times New Roman" w:hAnsi="Times New Roman"/>
        </w:rPr>
        <w:footnoteRef/>
      </w:r>
      <w:r w:rsidRPr="00E72EA0">
        <w:rPr>
          <w:rFonts w:ascii="Times New Roman" w:hAnsi="Times New Roman"/>
        </w:rPr>
        <w:t xml:space="preserve"> Em razão dos volumes a serem adquiridos, isto é válido mesmo que, em função da escala de compra, o preço do aditivo a ser adquirido seja menor.</w:t>
      </w:r>
    </w:p>
  </w:footnote>
  <w:footnote w:id="8">
    <w:p w:rsidR="00E03752" w:rsidRDefault="00E03752">
      <w:pPr>
        <w:pStyle w:val="Textodenotaderodap"/>
      </w:pPr>
      <w:r>
        <w:rPr>
          <w:rStyle w:val="Refdenotaderodap"/>
        </w:rPr>
        <w:footnoteRef/>
      </w:r>
      <w:r>
        <w:t xml:space="preserve"> </w:t>
      </w:r>
      <w:r w:rsidRPr="00231547">
        <w:rPr>
          <w:rFonts w:cs="Calibri"/>
          <w:lang w:val="pt-PT"/>
        </w:rPr>
        <w:t>Novamente, é importante frisar que</w:t>
      </w:r>
      <w:r>
        <w:rPr>
          <w:rFonts w:cs="Calibri"/>
          <w:lang w:val="pt-PT"/>
        </w:rPr>
        <w:t>, pelas razões expostas nos itens 3.3.2 e 3.3.3.,</w:t>
      </w:r>
      <w:r w:rsidRPr="00231547">
        <w:rPr>
          <w:rFonts w:cs="Calibri"/>
          <w:lang w:val="pt-PT"/>
        </w:rPr>
        <w:t xml:space="preserve"> </w:t>
      </w:r>
      <w:r>
        <w:rPr>
          <w:rFonts w:cs="Calibri"/>
          <w:lang w:val="pt-PT"/>
        </w:rPr>
        <w:t>e</w:t>
      </w:r>
      <w:r w:rsidRPr="00231547">
        <w:rPr>
          <w:rFonts w:cs="Calibri"/>
          <w:lang w:val="pt-PT"/>
        </w:rPr>
        <w:t>sse resultado não considera os custos informados para a compra do aditivo</w:t>
      </w:r>
      <w:r>
        <w:rPr>
          <w:rFonts w:cs="Calibri"/>
          <w:lang w:val="pt-PT"/>
        </w:rPr>
        <w:t>.</w:t>
      </w:r>
    </w:p>
  </w:footnote>
  <w:footnote w:id="9">
    <w:p w:rsidR="00E03752" w:rsidRPr="00191EFC" w:rsidRDefault="00E03752" w:rsidP="00191EFC">
      <w:pPr>
        <w:pStyle w:val="Textodenotaderodap"/>
        <w:jc w:val="both"/>
        <w:rPr>
          <w:rFonts w:cs="Calibri"/>
          <w:lang w:val="pt-PT"/>
        </w:rPr>
      </w:pPr>
      <w:r>
        <w:rPr>
          <w:rStyle w:val="Refdenotaderodap"/>
        </w:rPr>
        <w:footnoteRef/>
      </w:r>
      <w:r w:rsidRPr="00191EFC">
        <w:rPr>
          <w:rStyle w:val="Refdenotaderodap"/>
        </w:rPr>
        <w:t xml:space="preserve"> </w:t>
      </w:r>
      <w:r w:rsidRPr="00191EFC">
        <w:rPr>
          <w:rStyle w:val="Refdenotaderodap"/>
          <w:vertAlign w:val="baseline"/>
        </w:rPr>
        <w:t>As respostas aos questionários enviados aos fornecedores de aditivos reforçam essa possibilidade (houve unanimidade na confirmação da existência de ganhos de escala nessa atividade). A</w:t>
      </w:r>
      <w:proofErr w:type="gramStart"/>
      <w:r>
        <w:t>lém</w:t>
      </w:r>
      <w:proofErr w:type="gramEnd"/>
      <w:r>
        <w:t xml:space="preserve"> da questão dos ganhos de escala, a</w:t>
      </w:r>
      <w:r w:rsidRPr="00191EFC">
        <w:rPr>
          <w:rStyle w:val="Refdenotaderodap"/>
          <w:vertAlign w:val="baseline"/>
        </w:rPr>
        <w:t xml:space="preserve"> teoria econômica aponta pelo menos </w:t>
      </w:r>
      <w:r>
        <w:rPr>
          <w:rStyle w:val="Refdenotaderodap"/>
          <w:vertAlign w:val="baseline"/>
        </w:rPr>
        <w:t>m</w:t>
      </w:r>
      <w:r>
        <w:t>ais uma motivação</w:t>
      </w:r>
      <w:r w:rsidRPr="00191EFC">
        <w:rPr>
          <w:rStyle w:val="Refdenotaderodap"/>
          <w:vertAlign w:val="baseline"/>
        </w:rPr>
        <w:t xml:space="preserve"> para a esco</w:t>
      </w:r>
      <w:r>
        <w:rPr>
          <w:rStyle w:val="Refdenotaderodap"/>
          <w:vertAlign w:val="baseline"/>
        </w:rPr>
        <w:t>lha de um único fornecedo</w:t>
      </w:r>
      <w:r>
        <w:t>r</w:t>
      </w:r>
      <w:r>
        <w:rPr>
          <w:rStyle w:val="Refdenotaderodap"/>
          <w:vertAlign w:val="baseline"/>
        </w:rPr>
        <w:t xml:space="preserve">: a </w:t>
      </w:r>
      <w:r w:rsidRPr="00191EFC">
        <w:rPr>
          <w:rStyle w:val="Refdenotaderodap"/>
          <w:vertAlign w:val="baseline"/>
        </w:rPr>
        <w:t>redução dos custos de transação</w:t>
      </w:r>
      <w:r>
        <w:t xml:space="preserve">. </w:t>
      </w:r>
    </w:p>
  </w:footnote>
  <w:footnote w:id="10">
    <w:p w:rsidR="00E03752" w:rsidRPr="00ED4142" w:rsidRDefault="00E03752" w:rsidP="004758ED">
      <w:pPr>
        <w:pStyle w:val="NormalWeb"/>
        <w:spacing w:before="0" w:beforeAutospacing="0" w:after="0" w:afterAutospacing="0"/>
        <w:jc w:val="both"/>
        <w:rPr>
          <w:sz w:val="18"/>
          <w:szCs w:val="18"/>
          <w:lang w:val="pt-PT"/>
        </w:rPr>
      </w:pPr>
      <w:r w:rsidRPr="00ED4142">
        <w:rPr>
          <w:rStyle w:val="Refdenotaderodap"/>
          <w:sz w:val="18"/>
          <w:szCs w:val="18"/>
        </w:rPr>
        <w:footnoteRef/>
      </w:r>
      <w:r w:rsidRPr="00ED4142">
        <w:rPr>
          <w:sz w:val="18"/>
          <w:szCs w:val="18"/>
        </w:rPr>
        <w:t xml:space="preserve"> </w:t>
      </w:r>
      <w:r w:rsidRPr="00ED4142">
        <w:rPr>
          <w:sz w:val="18"/>
          <w:szCs w:val="18"/>
          <w:lang w:val="pt-PT"/>
        </w:rPr>
        <w:t xml:space="preserve">Caso a aditivação ocorra no produtor, pode haver a necessidade de novos testes e estudos técnicos de compatibilidade entre o aditivo usado na etapa de produção e o aditivo que cada distribuidor queira acrescentar para diferenciar o seu produto, o que representa gastos para o mercado de distribuição. </w:t>
      </w:r>
      <w:r w:rsidRPr="00ED4142">
        <w:rPr>
          <w:sz w:val="18"/>
          <w:szCs w:val="18"/>
        </w:rPr>
        <w:t xml:space="preserve">Os próprios distribuidores consultados, no entanto, relataram dificuldade na estimação desses valores. Tendo em vista esse posicionamento, bem como o entendimento de que </w:t>
      </w:r>
      <w:r w:rsidRPr="00ED4142">
        <w:rPr>
          <w:sz w:val="18"/>
          <w:szCs w:val="18"/>
          <w:lang w:val="pt-PT"/>
        </w:rPr>
        <w:t xml:space="preserve">sua ordem de grandeza não seja </w:t>
      </w:r>
      <w:proofErr w:type="gramStart"/>
      <w:r w:rsidRPr="00ED4142">
        <w:rPr>
          <w:sz w:val="18"/>
          <w:szCs w:val="18"/>
          <w:lang w:val="pt-PT"/>
        </w:rPr>
        <w:t>relevante para a presente análise, esses</w:t>
      </w:r>
      <w:proofErr w:type="gramEnd"/>
      <w:r w:rsidRPr="00ED4142">
        <w:rPr>
          <w:sz w:val="18"/>
          <w:szCs w:val="18"/>
          <w:lang w:val="pt-PT"/>
        </w:rPr>
        <w:t xml:space="preserve"> dispêndios foram desconsiderados no presente estudo. </w:t>
      </w:r>
    </w:p>
    <w:p w:rsidR="00E03752" w:rsidRPr="00ED4142" w:rsidRDefault="00E03752" w:rsidP="004758ED">
      <w:pPr>
        <w:pStyle w:val="Textodenotaderodap"/>
        <w:rPr>
          <w:rFonts w:ascii="Times New Roman" w:hAnsi="Times New Roman"/>
          <w:sz w:val="18"/>
          <w:szCs w:val="18"/>
          <w:lang w:val="pt-PT"/>
        </w:rPr>
      </w:pPr>
    </w:p>
    <w:p w:rsidR="00E03752" w:rsidRDefault="00E03752">
      <w:pPr>
        <w:pStyle w:val="Textodenotaderodap"/>
      </w:pPr>
    </w:p>
  </w:footnote>
  <w:footnote w:id="11">
    <w:p w:rsidR="00E03752" w:rsidRPr="00393DC3" w:rsidRDefault="00E03752" w:rsidP="00103485">
      <w:pPr>
        <w:pStyle w:val="Textodenotaderodap"/>
        <w:rPr>
          <w:rFonts w:ascii="Times New Roman" w:hAnsi="Times New Roman"/>
        </w:rPr>
      </w:pPr>
      <w:r w:rsidRPr="00393DC3">
        <w:rPr>
          <w:rStyle w:val="Refdenotaderodap"/>
          <w:rFonts w:ascii="Times New Roman" w:hAnsi="Times New Roman"/>
        </w:rPr>
        <w:footnoteRef/>
      </w:r>
      <w:r w:rsidRPr="00393DC3">
        <w:rPr>
          <w:rFonts w:ascii="Times New Roman" w:hAnsi="Times New Roman"/>
        </w:rPr>
        <w:t xml:space="preserve"> Não foi possível seguir a norma em todos os seus aspectos. Considerando a restrição de prazo para a conclusão deste estudo e a disponibilidade de material, foram adotados os seguintes desvios em relação à norma: 1) vidraria: o tubo utilizado foi diferente daquele especificado na norma. Foi empregado um tubo cônico destinado à análise de T95 do GLP e de BSW (</w:t>
      </w:r>
      <w:proofErr w:type="spellStart"/>
      <w:r w:rsidRPr="00393DC3">
        <w:rPr>
          <w:rFonts w:ascii="Times New Roman" w:hAnsi="Times New Roman"/>
          <w:i/>
        </w:rPr>
        <w:t>basic</w:t>
      </w:r>
      <w:proofErr w:type="spellEnd"/>
      <w:r w:rsidRPr="00393DC3">
        <w:rPr>
          <w:rFonts w:ascii="Times New Roman" w:hAnsi="Times New Roman"/>
          <w:i/>
        </w:rPr>
        <w:t xml:space="preserve"> </w:t>
      </w:r>
      <w:proofErr w:type="spellStart"/>
      <w:r w:rsidRPr="00393DC3">
        <w:rPr>
          <w:rFonts w:ascii="Times New Roman" w:hAnsi="Times New Roman"/>
          <w:i/>
        </w:rPr>
        <w:t>sediments</w:t>
      </w:r>
      <w:proofErr w:type="spellEnd"/>
      <w:r w:rsidRPr="00393DC3">
        <w:rPr>
          <w:rFonts w:ascii="Times New Roman" w:hAnsi="Times New Roman"/>
          <w:i/>
        </w:rPr>
        <w:t xml:space="preserve"> </w:t>
      </w:r>
      <w:proofErr w:type="spellStart"/>
      <w:r w:rsidRPr="00393DC3">
        <w:rPr>
          <w:rFonts w:ascii="Times New Roman" w:hAnsi="Times New Roman"/>
          <w:i/>
        </w:rPr>
        <w:t>and</w:t>
      </w:r>
      <w:proofErr w:type="spellEnd"/>
      <w:r w:rsidRPr="00393DC3">
        <w:rPr>
          <w:rFonts w:ascii="Times New Roman" w:hAnsi="Times New Roman"/>
          <w:i/>
        </w:rPr>
        <w:t xml:space="preserve"> </w:t>
      </w:r>
      <w:proofErr w:type="spellStart"/>
      <w:r w:rsidRPr="00393DC3">
        <w:rPr>
          <w:rFonts w:ascii="Times New Roman" w:hAnsi="Times New Roman"/>
          <w:i/>
        </w:rPr>
        <w:t>water</w:t>
      </w:r>
      <w:proofErr w:type="spellEnd"/>
      <w:r w:rsidRPr="00393DC3">
        <w:rPr>
          <w:rFonts w:ascii="Times New Roman" w:hAnsi="Times New Roman"/>
        </w:rPr>
        <w:t xml:space="preserve">) de petróleos; </w:t>
      </w:r>
      <w:proofErr w:type="gramStart"/>
      <w:r w:rsidRPr="00393DC3">
        <w:rPr>
          <w:rFonts w:ascii="Times New Roman" w:hAnsi="Times New Roman"/>
        </w:rPr>
        <w:t>2</w:t>
      </w:r>
      <w:proofErr w:type="gramEnd"/>
      <w:r w:rsidRPr="00393DC3">
        <w:rPr>
          <w:rFonts w:ascii="Times New Roman" w:hAnsi="Times New Roman"/>
        </w:rPr>
        <w:t xml:space="preserve">) avaliação da claridade do combustível: foi utilizada a tabela </w:t>
      </w:r>
      <w:proofErr w:type="spellStart"/>
      <w:r w:rsidRPr="00393DC3">
        <w:rPr>
          <w:rFonts w:ascii="Times New Roman" w:hAnsi="Times New Roman"/>
          <w:i/>
        </w:rPr>
        <w:t>haze</w:t>
      </w:r>
      <w:proofErr w:type="spellEnd"/>
      <w:r w:rsidRPr="00393DC3">
        <w:rPr>
          <w:rFonts w:ascii="Times New Roman" w:hAnsi="Times New Roman"/>
        </w:rPr>
        <w:t xml:space="preserve"> (ADJD417602) ao invés da tabela especificada na norma (ADJD7451); 3) limpeza do tubo: a limpeza foi feita com detergente, água da rede de distribuição pública, solução alcalina (</w:t>
      </w:r>
      <w:proofErr w:type="spellStart"/>
      <w:r w:rsidRPr="00393DC3">
        <w:rPr>
          <w:rFonts w:ascii="Times New Roman" w:hAnsi="Times New Roman"/>
        </w:rPr>
        <w:t>Extran</w:t>
      </w:r>
      <w:proofErr w:type="spellEnd"/>
      <w:r w:rsidRPr="00393DC3">
        <w:rPr>
          <w:rFonts w:ascii="Times New Roman" w:hAnsi="Times New Roman"/>
        </w:rPr>
        <w:t>®) e acetona; 4) não foi reportado o volume da camada aquosa.</w:t>
      </w:r>
    </w:p>
  </w:footnote>
  <w:footnote w:id="12">
    <w:p w:rsidR="00E03752" w:rsidRPr="00C0730A" w:rsidRDefault="00E03752" w:rsidP="00103485">
      <w:pPr>
        <w:pStyle w:val="Textodenotaderodap"/>
        <w:rPr>
          <w:rFonts w:ascii="Times New Roman" w:hAnsi="Times New Roman"/>
        </w:rPr>
      </w:pPr>
      <w:r w:rsidRPr="00C0730A">
        <w:rPr>
          <w:rStyle w:val="Refdenotaderodap"/>
          <w:rFonts w:ascii="Times New Roman" w:hAnsi="Times New Roman"/>
        </w:rPr>
        <w:footnoteRef/>
      </w:r>
      <w:r w:rsidRPr="00C0730A">
        <w:rPr>
          <w:rFonts w:ascii="Times New Roman" w:hAnsi="Times New Roman"/>
        </w:rPr>
        <w:t xml:space="preserve"> Não foi possível seguir a norma em todos os seus aspectos. Considerando a restrição de prazo para a conclusão deste estudo e a disponibilidade de material, foram adotados os seguintes desvios em relação à norma: 1) vidraria: o tubo utilizado foi diferente daquele especificado na norma. Foi empregado um tubo cônico destinado à análise de T95 do GLP e de BSW (</w:t>
      </w:r>
      <w:proofErr w:type="spellStart"/>
      <w:r w:rsidRPr="00C0730A">
        <w:rPr>
          <w:rFonts w:ascii="Times New Roman" w:hAnsi="Times New Roman"/>
          <w:i/>
        </w:rPr>
        <w:t>basic</w:t>
      </w:r>
      <w:proofErr w:type="spellEnd"/>
      <w:r w:rsidRPr="00C0730A">
        <w:rPr>
          <w:rFonts w:ascii="Times New Roman" w:hAnsi="Times New Roman"/>
          <w:i/>
        </w:rPr>
        <w:t xml:space="preserve"> </w:t>
      </w:r>
      <w:proofErr w:type="spellStart"/>
      <w:r w:rsidRPr="00C0730A">
        <w:rPr>
          <w:rFonts w:ascii="Times New Roman" w:hAnsi="Times New Roman"/>
          <w:i/>
        </w:rPr>
        <w:t>sediments</w:t>
      </w:r>
      <w:proofErr w:type="spellEnd"/>
      <w:r w:rsidRPr="00C0730A">
        <w:rPr>
          <w:rFonts w:ascii="Times New Roman" w:hAnsi="Times New Roman"/>
          <w:i/>
        </w:rPr>
        <w:t xml:space="preserve"> </w:t>
      </w:r>
      <w:proofErr w:type="spellStart"/>
      <w:r w:rsidRPr="00C0730A">
        <w:rPr>
          <w:rFonts w:ascii="Times New Roman" w:hAnsi="Times New Roman"/>
          <w:i/>
        </w:rPr>
        <w:t>and</w:t>
      </w:r>
      <w:proofErr w:type="spellEnd"/>
      <w:r w:rsidRPr="00C0730A">
        <w:rPr>
          <w:rFonts w:ascii="Times New Roman" w:hAnsi="Times New Roman"/>
          <w:i/>
        </w:rPr>
        <w:t xml:space="preserve"> </w:t>
      </w:r>
      <w:proofErr w:type="spellStart"/>
      <w:r w:rsidRPr="00C0730A">
        <w:rPr>
          <w:rFonts w:ascii="Times New Roman" w:hAnsi="Times New Roman"/>
          <w:i/>
        </w:rPr>
        <w:t>water</w:t>
      </w:r>
      <w:proofErr w:type="spellEnd"/>
      <w:r w:rsidRPr="00C0730A">
        <w:rPr>
          <w:rFonts w:ascii="Times New Roman" w:hAnsi="Times New Roman"/>
        </w:rPr>
        <w:t xml:space="preserve">) de petróleos; </w:t>
      </w:r>
      <w:proofErr w:type="gramStart"/>
      <w:r w:rsidRPr="00C0730A">
        <w:rPr>
          <w:rFonts w:ascii="Times New Roman" w:hAnsi="Times New Roman"/>
        </w:rPr>
        <w:t>2</w:t>
      </w:r>
      <w:proofErr w:type="gramEnd"/>
      <w:r w:rsidRPr="00C0730A">
        <w:rPr>
          <w:rFonts w:ascii="Times New Roman" w:hAnsi="Times New Roman"/>
        </w:rPr>
        <w:t xml:space="preserve">) avaliação da claridade do combustível: foi utilizada a tabela </w:t>
      </w:r>
      <w:proofErr w:type="spellStart"/>
      <w:r w:rsidRPr="00C0730A">
        <w:rPr>
          <w:rFonts w:ascii="Times New Roman" w:hAnsi="Times New Roman"/>
          <w:i/>
        </w:rPr>
        <w:t>haze</w:t>
      </w:r>
      <w:proofErr w:type="spellEnd"/>
      <w:r w:rsidRPr="00C0730A">
        <w:rPr>
          <w:rFonts w:ascii="Times New Roman" w:hAnsi="Times New Roman"/>
        </w:rPr>
        <w:t xml:space="preserve"> (ADJD417601 e ADJD417602) ao invés da tabela especificada na norma (ADJD7451); 3) não foi reportado o volume da camada aquosa.</w:t>
      </w:r>
    </w:p>
  </w:footnote>
  <w:footnote w:id="13">
    <w:p w:rsidR="00E03752" w:rsidRPr="00C0730A" w:rsidRDefault="00E03752" w:rsidP="00103485">
      <w:pPr>
        <w:pStyle w:val="Textodenotaderodap"/>
        <w:rPr>
          <w:rFonts w:ascii="Times New Roman" w:hAnsi="Times New Roman"/>
        </w:rPr>
      </w:pPr>
      <w:r w:rsidRPr="00C0730A">
        <w:rPr>
          <w:rStyle w:val="Refdenotaderodap"/>
          <w:rFonts w:ascii="Times New Roman" w:hAnsi="Times New Roman"/>
        </w:rPr>
        <w:footnoteRef/>
      </w:r>
      <w:r w:rsidRPr="00C0730A">
        <w:rPr>
          <w:rFonts w:ascii="Times New Roman" w:hAnsi="Times New Roman"/>
        </w:rPr>
        <w:t xml:space="preserve"> ASTM ADJD417601 e ADJD417602</w:t>
      </w:r>
    </w:p>
  </w:footnote>
  <w:footnote w:id="14">
    <w:p w:rsidR="00E03752" w:rsidRPr="00C0730A" w:rsidRDefault="00E03752" w:rsidP="003C41E3">
      <w:pPr>
        <w:pStyle w:val="Textodenotaderodap"/>
        <w:jc w:val="both"/>
        <w:rPr>
          <w:rFonts w:ascii="Times New Roman" w:hAnsi="Times New Roman"/>
        </w:rPr>
      </w:pPr>
      <w:r w:rsidRPr="00C0730A">
        <w:rPr>
          <w:rStyle w:val="Refdenotaderodap"/>
          <w:rFonts w:ascii="Times New Roman" w:hAnsi="Times New Roman"/>
        </w:rPr>
        <w:footnoteRef/>
      </w:r>
      <w:r w:rsidRPr="00C0730A">
        <w:rPr>
          <w:rFonts w:ascii="Times New Roman" w:hAnsi="Times New Roman"/>
        </w:rPr>
        <w:t xml:space="preserve"> Mesmo que em caráter de exercício, não há informações consolidados sobre a estrutura e a dinâmica concorrencial do mercado de aditivos para </w:t>
      </w:r>
      <w:proofErr w:type="gramStart"/>
      <w:r w:rsidRPr="00C0730A">
        <w:rPr>
          <w:rFonts w:ascii="Times New Roman" w:hAnsi="Times New Roman"/>
        </w:rPr>
        <w:t>gasolina disponíveis na ANP</w:t>
      </w:r>
      <w:proofErr w:type="gramEnd"/>
      <w:r w:rsidRPr="00C0730A">
        <w:rPr>
          <w:rFonts w:ascii="Times New Roman" w:hAnsi="Times New Roman"/>
        </w:rPr>
        <w:t>.</w:t>
      </w:r>
    </w:p>
  </w:footnote>
  <w:footnote w:id="15">
    <w:p w:rsidR="00E03752" w:rsidRPr="00C0730A" w:rsidRDefault="00E03752" w:rsidP="003C41E3">
      <w:pPr>
        <w:pStyle w:val="Textodenotaderodap"/>
        <w:jc w:val="both"/>
        <w:rPr>
          <w:rFonts w:ascii="Times New Roman" w:hAnsi="Times New Roman"/>
        </w:rPr>
      </w:pPr>
      <w:r w:rsidRPr="00C0730A">
        <w:rPr>
          <w:rStyle w:val="Refdenotaderodap"/>
          <w:rFonts w:ascii="Times New Roman" w:hAnsi="Times New Roman"/>
        </w:rPr>
        <w:footnoteRef/>
      </w:r>
      <w:r w:rsidRPr="00C0730A">
        <w:rPr>
          <w:rFonts w:ascii="Times New Roman" w:hAnsi="Times New Roman"/>
        </w:rPr>
        <w:t xml:space="preserve"> A ANP não dispõe de dados referentes ao mercado de aditivos, tais como a quantidade total de produto comercializado para o mercado nacional de gasolina e a proporção de produto importado no volume total consumido.</w:t>
      </w:r>
    </w:p>
  </w:footnote>
  <w:footnote w:id="16">
    <w:p w:rsidR="00E03752" w:rsidRPr="00C0730A" w:rsidRDefault="00E03752" w:rsidP="003C41E3">
      <w:pPr>
        <w:pStyle w:val="Textodenotaderodap"/>
        <w:jc w:val="both"/>
        <w:rPr>
          <w:rFonts w:ascii="Times New Roman" w:hAnsi="Times New Roman"/>
        </w:rPr>
      </w:pPr>
      <w:r w:rsidRPr="00C0730A">
        <w:rPr>
          <w:rStyle w:val="Refdenotaderodap"/>
          <w:rFonts w:ascii="Times New Roman" w:hAnsi="Times New Roman"/>
        </w:rPr>
        <w:footnoteRef/>
      </w:r>
      <w:r w:rsidRPr="00C0730A">
        <w:rPr>
          <w:rFonts w:ascii="Times New Roman" w:hAnsi="Times New Roman"/>
        </w:rPr>
        <w:t xml:space="preserve"> Segundo as Tabelas 2.25 e 2.36 do Anuário Estatístico Brasileiro do Petróleo, </w:t>
      </w:r>
      <w:proofErr w:type="gramStart"/>
      <w:r w:rsidRPr="00C0730A">
        <w:rPr>
          <w:rFonts w:ascii="Times New Roman" w:hAnsi="Times New Roman"/>
        </w:rPr>
        <w:t>Gás Natural e Biocombustíveis</w:t>
      </w:r>
      <w:proofErr w:type="gramEnd"/>
      <w:r w:rsidRPr="00C0730A">
        <w:rPr>
          <w:rFonts w:ascii="Times New Roman" w:hAnsi="Times New Roman"/>
        </w:rPr>
        <w:t xml:space="preserve"> – 2012.</w:t>
      </w:r>
    </w:p>
  </w:footnote>
  <w:footnote w:id="17">
    <w:p w:rsidR="00E03752" w:rsidRPr="00C0730A" w:rsidRDefault="00E03752" w:rsidP="003C41E3">
      <w:pPr>
        <w:pStyle w:val="Textodenotaderodap"/>
        <w:jc w:val="both"/>
        <w:rPr>
          <w:rFonts w:ascii="Times New Roman" w:hAnsi="Times New Roman"/>
        </w:rPr>
      </w:pPr>
      <w:r w:rsidRPr="00C0730A">
        <w:rPr>
          <w:rStyle w:val="Refdenotaderodap"/>
          <w:rFonts w:ascii="Times New Roman" w:hAnsi="Times New Roman"/>
        </w:rPr>
        <w:footnoteRef/>
      </w:r>
      <w:r w:rsidRPr="00C0730A">
        <w:rPr>
          <w:rFonts w:ascii="Times New Roman" w:hAnsi="Times New Roman"/>
        </w:rPr>
        <w:t xml:space="preserve"> Segundo </w:t>
      </w:r>
      <w:proofErr w:type="spellStart"/>
      <w:r w:rsidRPr="00C0730A">
        <w:rPr>
          <w:rFonts w:ascii="Times New Roman" w:hAnsi="Times New Roman"/>
        </w:rPr>
        <w:t>Pondé</w:t>
      </w:r>
      <w:proofErr w:type="spellEnd"/>
      <w:r w:rsidRPr="00C0730A">
        <w:rPr>
          <w:rFonts w:ascii="Times New Roman" w:hAnsi="Times New Roman"/>
        </w:rPr>
        <w:t xml:space="preserve"> (1996), “</w:t>
      </w:r>
      <w:r w:rsidRPr="00C0730A">
        <w:rPr>
          <w:rFonts w:ascii="Times New Roman" w:hAnsi="Times New Roman"/>
          <w:i/>
        </w:rPr>
        <w:t xml:space="preserve">os custos de transação nada mais são que o dispêndio de recursos econômicos para planejar, adaptar e monitorar as interações entre os agentes, garantindo que o cumprimento dos termos contratuais se faça de maneira satisfatória para as partes </w:t>
      </w:r>
      <w:proofErr w:type="gramStart"/>
      <w:r w:rsidRPr="00C0730A">
        <w:rPr>
          <w:rFonts w:ascii="Times New Roman" w:hAnsi="Times New Roman"/>
          <w:i/>
        </w:rPr>
        <w:t>envolvidas e compatível</w:t>
      </w:r>
      <w:proofErr w:type="gramEnd"/>
      <w:r w:rsidRPr="00C0730A">
        <w:rPr>
          <w:rFonts w:ascii="Times New Roman" w:hAnsi="Times New Roman"/>
          <w:i/>
        </w:rPr>
        <w:t xml:space="preserve"> com a sua funcionalidade econômica</w:t>
      </w:r>
      <w:r w:rsidRPr="00C0730A">
        <w:rPr>
          <w:rFonts w:ascii="Times New Roman" w:hAnsi="Times New Roman"/>
        </w:rPr>
        <w:t xml:space="preserve">”. Estes custos estão relacionados ao estabelecimento dos contratos explícitos ou implícitos que organizam </w:t>
      </w:r>
      <w:proofErr w:type="gramStart"/>
      <w:r w:rsidRPr="00C0730A">
        <w:rPr>
          <w:rFonts w:ascii="Times New Roman" w:hAnsi="Times New Roman"/>
        </w:rPr>
        <w:t>uma certa</w:t>
      </w:r>
      <w:proofErr w:type="gramEnd"/>
      <w:r w:rsidRPr="00C0730A">
        <w:rPr>
          <w:rFonts w:ascii="Times New Roman" w:hAnsi="Times New Roman"/>
        </w:rPr>
        <w:t xml:space="preserve"> atividade.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52" w:rsidRDefault="00E03752">
    <w:pPr>
      <w:pStyle w:val="Cabealho"/>
    </w:pPr>
  </w:p>
  <w:p w:rsidR="00E03752" w:rsidRDefault="00E03752" w:rsidP="00134661">
    <w:pPr>
      <w:spacing w:after="0" w:line="240" w:lineRule="aut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52" w:rsidRDefault="00E03752"/>
  <w:p w:rsidR="00E03752" w:rsidRDefault="00E03752">
    <w:pPr>
      <w:pStyle w:val="Cabealho"/>
    </w:pPr>
    <w:r>
      <w:rPr>
        <w:noProof/>
        <w:lang w:eastAsia="pt-BR"/>
      </w:rPr>
      <w:drawing>
        <wp:inline distT="0" distB="0" distL="0" distR="0">
          <wp:extent cx="794518" cy="1260000"/>
          <wp:effectExtent l="19050" t="0" r="5582" b="0"/>
          <wp:docPr id="43" name="Imagem 42" descr="logoANP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P_v.jpg"/>
                  <pic:cNvPicPr/>
                </pic:nvPicPr>
                <pic:blipFill>
                  <a:blip r:embed="rId1"/>
                  <a:stretch>
                    <a:fillRect/>
                  </a:stretch>
                </pic:blipFill>
                <pic:spPr>
                  <a:xfrm>
                    <a:off x="0" y="0"/>
                    <a:ext cx="794518" cy="126000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52" w:rsidRPr="00A11B81" w:rsidRDefault="00E03752" w:rsidP="00A11B81">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797" w:rsidRDefault="00C46797">
    <w:pPr>
      <w:pStyle w:val="Cabealho"/>
    </w:pPr>
  </w:p>
  <w:p w:rsidR="00C46797" w:rsidRDefault="00C46797" w:rsidP="00134661">
    <w:pPr>
      <w:spacing w:after="0" w:line="240" w:lineRule="aut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52" w:rsidRDefault="00E03752" w:rsidP="0087016A">
    <w:pP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52" w:rsidRDefault="00E03752"/>
  <w:p w:rsidR="00E03752" w:rsidRDefault="00E0375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6E9D"/>
    <w:multiLevelType w:val="hybridMultilevel"/>
    <w:tmpl w:val="0AEA04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9F4640"/>
    <w:multiLevelType w:val="hybridMultilevel"/>
    <w:tmpl w:val="90A46372"/>
    <w:lvl w:ilvl="0" w:tplc="5B22BA3C">
      <w:start w:val="1"/>
      <w:numFmt w:val="upperRoman"/>
      <w:lvlText w:val="%1."/>
      <w:lvlJc w:val="right"/>
      <w:pPr>
        <w:ind w:left="14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426CFE"/>
    <w:multiLevelType w:val="multilevel"/>
    <w:tmpl w:val="041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rPr>
        <w:rFonts w:hint="default"/>
        <w:b/>
        <w:color w:val="auto"/>
        <w:sz w:val="24"/>
      </w:rPr>
    </w:lvl>
    <w:lvl w:ilvl="3">
      <w:start w:val="1"/>
      <w:numFmt w:val="decimal"/>
      <w:lvlText w:val="%1.%2.%3.%4."/>
      <w:lvlJc w:val="left"/>
      <w:pPr>
        <w:ind w:left="1728" w:hanging="648"/>
      </w:pPr>
      <w:rPr>
        <w:b/>
        <w:sz w:val="24"/>
        <w:szCs w:val="24"/>
      </w:rPr>
    </w:lvl>
    <w:lvl w:ilvl="4">
      <w:start w:val="1"/>
      <w:numFmt w:val="decimal"/>
      <w:lvlText w:val="%1.%2.%3.%4.%5."/>
      <w:lvlJc w:val="left"/>
      <w:pPr>
        <w:ind w:left="2232" w:hanging="792"/>
      </w:pPr>
      <w:rPr>
        <w:b/>
        <w:sz w:val="22"/>
        <w:szCs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2D4FE7"/>
    <w:multiLevelType w:val="hybridMultilevel"/>
    <w:tmpl w:val="1CF4234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0331CC"/>
    <w:multiLevelType w:val="hybridMultilevel"/>
    <w:tmpl w:val="4B10112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EBB40DF"/>
    <w:multiLevelType w:val="hybridMultilevel"/>
    <w:tmpl w:val="C5BEAF2A"/>
    <w:lvl w:ilvl="0" w:tplc="F36E77EC">
      <w:start w:val="1"/>
      <w:numFmt w:val="upperRoman"/>
      <w:lvlText w:val="%1."/>
      <w:lvlJc w:val="right"/>
      <w:pPr>
        <w:ind w:left="14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0485E90"/>
    <w:multiLevelType w:val="multilevel"/>
    <w:tmpl w:val="6B64383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2273B7"/>
    <w:multiLevelType w:val="hybridMultilevel"/>
    <w:tmpl w:val="1E3C5D4C"/>
    <w:lvl w:ilvl="0" w:tplc="0416000D">
      <w:start w:val="1"/>
      <w:numFmt w:val="bullet"/>
      <w:lvlText w:val=""/>
      <w:lvlJc w:val="left"/>
      <w:pPr>
        <w:ind w:left="1481" w:hanging="360"/>
      </w:pPr>
      <w:rPr>
        <w:rFonts w:ascii="Wingdings" w:hAnsi="Wingdings" w:hint="default"/>
      </w:rPr>
    </w:lvl>
    <w:lvl w:ilvl="1" w:tplc="04160003" w:tentative="1">
      <w:start w:val="1"/>
      <w:numFmt w:val="bullet"/>
      <w:lvlText w:val="o"/>
      <w:lvlJc w:val="left"/>
      <w:pPr>
        <w:ind w:left="2201" w:hanging="360"/>
      </w:pPr>
      <w:rPr>
        <w:rFonts w:ascii="Courier New" w:hAnsi="Courier New" w:cs="Courier New" w:hint="default"/>
      </w:rPr>
    </w:lvl>
    <w:lvl w:ilvl="2" w:tplc="04160005" w:tentative="1">
      <w:start w:val="1"/>
      <w:numFmt w:val="bullet"/>
      <w:lvlText w:val=""/>
      <w:lvlJc w:val="left"/>
      <w:pPr>
        <w:ind w:left="2921" w:hanging="360"/>
      </w:pPr>
      <w:rPr>
        <w:rFonts w:ascii="Wingdings" w:hAnsi="Wingdings" w:hint="default"/>
      </w:rPr>
    </w:lvl>
    <w:lvl w:ilvl="3" w:tplc="04160001" w:tentative="1">
      <w:start w:val="1"/>
      <w:numFmt w:val="bullet"/>
      <w:lvlText w:val=""/>
      <w:lvlJc w:val="left"/>
      <w:pPr>
        <w:ind w:left="3641" w:hanging="360"/>
      </w:pPr>
      <w:rPr>
        <w:rFonts w:ascii="Symbol" w:hAnsi="Symbol" w:hint="default"/>
      </w:rPr>
    </w:lvl>
    <w:lvl w:ilvl="4" w:tplc="04160003" w:tentative="1">
      <w:start w:val="1"/>
      <w:numFmt w:val="bullet"/>
      <w:lvlText w:val="o"/>
      <w:lvlJc w:val="left"/>
      <w:pPr>
        <w:ind w:left="4361" w:hanging="360"/>
      </w:pPr>
      <w:rPr>
        <w:rFonts w:ascii="Courier New" w:hAnsi="Courier New" w:cs="Courier New" w:hint="default"/>
      </w:rPr>
    </w:lvl>
    <w:lvl w:ilvl="5" w:tplc="04160005" w:tentative="1">
      <w:start w:val="1"/>
      <w:numFmt w:val="bullet"/>
      <w:lvlText w:val=""/>
      <w:lvlJc w:val="left"/>
      <w:pPr>
        <w:ind w:left="5081" w:hanging="360"/>
      </w:pPr>
      <w:rPr>
        <w:rFonts w:ascii="Wingdings" w:hAnsi="Wingdings" w:hint="default"/>
      </w:rPr>
    </w:lvl>
    <w:lvl w:ilvl="6" w:tplc="04160001" w:tentative="1">
      <w:start w:val="1"/>
      <w:numFmt w:val="bullet"/>
      <w:lvlText w:val=""/>
      <w:lvlJc w:val="left"/>
      <w:pPr>
        <w:ind w:left="5801" w:hanging="360"/>
      </w:pPr>
      <w:rPr>
        <w:rFonts w:ascii="Symbol" w:hAnsi="Symbol" w:hint="default"/>
      </w:rPr>
    </w:lvl>
    <w:lvl w:ilvl="7" w:tplc="04160003" w:tentative="1">
      <w:start w:val="1"/>
      <w:numFmt w:val="bullet"/>
      <w:lvlText w:val="o"/>
      <w:lvlJc w:val="left"/>
      <w:pPr>
        <w:ind w:left="6521" w:hanging="360"/>
      </w:pPr>
      <w:rPr>
        <w:rFonts w:ascii="Courier New" w:hAnsi="Courier New" w:cs="Courier New" w:hint="default"/>
      </w:rPr>
    </w:lvl>
    <w:lvl w:ilvl="8" w:tplc="04160005" w:tentative="1">
      <w:start w:val="1"/>
      <w:numFmt w:val="bullet"/>
      <w:lvlText w:val=""/>
      <w:lvlJc w:val="left"/>
      <w:pPr>
        <w:ind w:left="7241" w:hanging="360"/>
      </w:pPr>
      <w:rPr>
        <w:rFonts w:ascii="Wingdings" w:hAnsi="Wingdings" w:hint="default"/>
      </w:rPr>
    </w:lvl>
  </w:abstractNum>
  <w:abstractNum w:abstractNumId="8">
    <w:nsid w:val="15D77DD8"/>
    <w:multiLevelType w:val="hybridMultilevel"/>
    <w:tmpl w:val="BD645C1C"/>
    <w:lvl w:ilvl="0" w:tplc="B4BE94D2">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nsid w:val="189A01CB"/>
    <w:multiLevelType w:val="hybridMultilevel"/>
    <w:tmpl w:val="0BD2D3C2"/>
    <w:lvl w:ilvl="0" w:tplc="8176F136">
      <w:start w:val="1"/>
      <w:numFmt w:val="upperRoman"/>
      <w:lvlText w:val="%1."/>
      <w:lvlJc w:val="right"/>
      <w:pPr>
        <w:ind w:left="14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B320370"/>
    <w:multiLevelType w:val="multilevel"/>
    <w:tmpl w:val="68E2426E"/>
    <w:lvl w:ilvl="0">
      <w:start w:val="1"/>
      <w:numFmt w:val="decimal"/>
      <w:lvlText w:val="%1."/>
      <w:lvlJc w:val="left"/>
      <w:pPr>
        <w:ind w:left="1068"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184" w:hanging="720"/>
      </w:pPr>
      <w:rPr>
        <w:rFonts w:hint="default"/>
      </w:rPr>
    </w:lvl>
    <w:lvl w:ilvl="4">
      <w:start w:val="1"/>
      <w:numFmt w:val="decimal"/>
      <w:isLgl/>
      <w:lvlText w:val="%1.%2.%3.%4.%5"/>
      <w:lvlJc w:val="left"/>
      <w:pPr>
        <w:ind w:left="2796" w:hanging="1080"/>
      </w:pPr>
      <w:rPr>
        <w:rFonts w:hint="default"/>
      </w:rPr>
    </w:lvl>
    <w:lvl w:ilvl="5">
      <w:start w:val="1"/>
      <w:numFmt w:val="decimal"/>
      <w:isLgl/>
      <w:lvlText w:val="%1.%2.%3.%4.%5.%6"/>
      <w:lvlJc w:val="left"/>
      <w:pPr>
        <w:ind w:left="3048"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12" w:hanging="1440"/>
      </w:pPr>
      <w:rPr>
        <w:rFonts w:hint="default"/>
      </w:rPr>
    </w:lvl>
    <w:lvl w:ilvl="8">
      <w:start w:val="1"/>
      <w:numFmt w:val="decimal"/>
      <w:isLgl/>
      <w:lvlText w:val="%1.%2.%3.%4.%5.%6.%7.%8.%9"/>
      <w:lvlJc w:val="left"/>
      <w:pPr>
        <w:ind w:left="4524" w:hanging="1800"/>
      </w:pPr>
      <w:rPr>
        <w:rFonts w:hint="default"/>
      </w:rPr>
    </w:lvl>
  </w:abstractNum>
  <w:abstractNum w:abstractNumId="11">
    <w:nsid w:val="1B4C6C78"/>
    <w:multiLevelType w:val="hybridMultilevel"/>
    <w:tmpl w:val="BEE8840A"/>
    <w:lvl w:ilvl="0" w:tplc="04160013">
      <w:start w:val="1"/>
      <w:numFmt w:val="upperRoman"/>
      <w:lvlText w:val="%1."/>
      <w:lvlJc w:val="right"/>
      <w:pPr>
        <w:ind w:left="14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DB25DE1"/>
    <w:multiLevelType w:val="hybridMultilevel"/>
    <w:tmpl w:val="7D9C6254"/>
    <w:lvl w:ilvl="0" w:tplc="D9EAA6D4">
      <w:start w:val="1"/>
      <w:numFmt w:val="lowerLetter"/>
      <w:lvlText w:val="%1&gt;"/>
      <w:lvlJc w:val="left"/>
      <w:pPr>
        <w:ind w:left="3600" w:hanging="360"/>
      </w:pPr>
      <w:rPr>
        <w:rFonts w:hint="default"/>
      </w:rPr>
    </w:lvl>
    <w:lvl w:ilvl="1" w:tplc="04160019" w:tentative="1">
      <w:start w:val="1"/>
      <w:numFmt w:val="lowerLetter"/>
      <w:lvlText w:val="%2."/>
      <w:lvlJc w:val="left"/>
      <w:pPr>
        <w:ind w:left="4320" w:hanging="360"/>
      </w:pPr>
    </w:lvl>
    <w:lvl w:ilvl="2" w:tplc="0416001B" w:tentative="1">
      <w:start w:val="1"/>
      <w:numFmt w:val="lowerRoman"/>
      <w:lvlText w:val="%3."/>
      <w:lvlJc w:val="right"/>
      <w:pPr>
        <w:ind w:left="5040" w:hanging="180"/>
      </w:pPr>
    </w:lvl>
    <w:lvl w:ilvl="3" w:tplc="0416000F" w:tentative="1">
      <w:start w:val="1"/>
      <w:numFmt w:val="decimal"/>
      <w:lvlText w:val="%4."/>
      <w:lvlJc w:val="left"/>
      <w:pPr>
        <w:ind w:left="5760" w:hanging="360"/>
      </w:pPr>
    </w:lvl>
    <w:lvl w:ilvl="4" w:tplc="04160019" w:tentative="1">
      <w:start w:val="1"/>
      <w:numFmt w:val="lowerLetter"/>
      <w:lvlText w:val="%5."/>
      <w:lvlJc w:val="left"/>
      <w:pPr>
        <w:ind w:left="6480" w:hanging="360"/>
      </w:pPr>
    </w:lvl>
    <w:lvl w:ilvl="5" w:tplc="0416001B" w:tentative="1">
      <w:start w:val="1"/>
      <w:numFmt w:val="lowerRoman"/>
      <w:lvlText w:val="%6."/>
      <w:lvlJc w:val="right"/>
      <w:pPr>
        <w:ind w:left="7200" w:hanging="180"/>
      </w:pPr>
    </w:lvl>
    <w:lvl w:ilvl="6" w:tplc="0416000F" w:tentative="1">
      <w:start w:val="1"/>
      <w:numFmt w:val="decimal"/>
      <w:lvlText w:val="%7."/>
      <w:lvlJc w:val="left"/>
      <w:pPr>
        <w:ind w:left="7920" w:hanging="360"/>
      </w:pPr>
    </w:lvl>
    <w:lvl w:ilvl="7" w:tplc="04160019" w:tentative="1">
      <w:start w:val="1"/>
      <w:numFmt w:val="lowerLetter"/>
      <w:lvlText w:val="%8."/>
      <w:lvlJc w:val="left"/>
      <w:pPr>
        <w:ind w:left="8640" w:hanging="360"/>
      </w:pPr>
    </w:lvl>
    <w:lvl w:ilvl="8" w:tplc="0416001B" w:tentative="1">
      <w:start w:val="1"/>
      <w:numFmt w:val="lowerRoman"/>
      <w:lvlText w:val="%9."/>
      <w:lvlJc w:val="right"/>
      <w:pPr>
        <w:ind w:left="9360" w:hanging="180"/>
      </w:pPr>
    </w:lvl>
  </w:abstractNum>
  <w:abstractNum w:abstractNumId="13">
    <w:nsid w:val="1E4335CF"/>
    <w:multiLevelType w:val="hybridMultilevel"/>
    <w:tmpl w:val="060407FC"/>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1EA141E5"/>
    <w:multiLevelType w:val="hybridMultilevel"/>
    <w:tmpl w:val="0C04535C"/>
    <w:lvl w:ilvl="0" w:tplc="AFE0C8A0">
      <w:start w:val="1"/>
      <w:numFmt w:val="upperRoman"/>
      <w:lvlText w:val="%1."/>
      <w:lvlJc w:val="left"/>
      <w:pPr>
        <w:ind w:left="1080" w:hanging="720"/>
      </w:pPr>
      <w:rPr>
        <w:rFonts w:cs="Calibri"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6ECAB068">
      <w:start w:val="1"/>
      <w:numFmt w:val="lowerLetter"/>
      <w:lvlText w:val="%5."/>
      <w:lvlJc w:val="left"/>
      <w:pPr>
        <w:ind w:left="3600" w:hanging="360"/>
      </w:pPr>
      <w:rPr>
        <w:rFonts w:hint="default"/>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40B009B"/>
    <w:multiLevelType w:val="hybridMultilevel"/>
    <w:tmpl w:val="E9C00072"/>
    <w:lvl w:ilvl="0" w:tplc="DCFA152A">
      <w:start w:val="1"/>
      <w:numFmt w:val="upperRoman"/>
      <w:lvlText w:val="%1."/>
      <w:lvlJc w:val="right"/>
      <w:pPr>
        <w:ind w:left="14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AA10A60"/>
    <w:multiLevelType w:val="multilevel"/>
    <w:tmpl w:val="A39C28D2"/>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D7A532D"/>
    <w:multiLevelType w:val="hybridMultilevel"/>
    <w:tmpl w:val="0AEA04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52E5381"/>
    <w:multiLevelType w:val="hybridMultilevel"/>
    <w:tmpl w:val="2F96FF3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6CE3886"/>
    <w:multiLevelType w:val="hybridMultilevel"/>
    <w:tmpl w:val="759A34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88C7FC6"/>
    <w:multiLevelType w:val="hybridMultilevel"/>
    <w:tmpl w:val="F39097E0"/>
    <w:lvl w:ilvl="0" w:tplc="C50E1B9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nsid w:val="49EE7404"/>
    <w:multiLevelType w:val="hybridMultilevel"/>
    <w:tmpl w:val="6F70BA8E"/>
    <w:lvl w:ilvl="0" w:tplc="6ECAB068">
      <w:start w:val="1"/>
      <w:numFmt w:val="lowerLetter"/>
      <w:lvlText w:val="%1."/>
      <w:lvlJc w:val="left"/>
      <w:pPr>
        <w:ind w:left="3600" w:hanging="360"/>
      </w:pPr>
      <w:rPr>
        <w:rFonts w:hint="default"/>
      </w:rPr>
    </w:lvl>
    <w:lvl w:ilvl="1" w:tplc="04160019" w:tentative="1">
      <w:start w:val="1"/>
      <w:numFmt w:val="lowerLetter"/>
      <w:lvlText w:val="%2."/>
      <w:lvlJc w:val="left"/>
      <w:pPr>
        <w:ind w:left="4320" w:hanging="360"/>
      </w:pPr>
    </w:lvl>
    <w:lvl w:ilvl="2" w:tplc="0416001B" w:tentative="1">
      <w:start w:val="1"/>
      <w:numFmt w:val="lowerRoman"/>
      <w:lvlText w:val="%3."/>
      <w:lvlJc w:val="right"/>
      <w:pPr>
        <w:ind w:left="5040" w:hanging="180"/>
      </w:pPr>
    </w:lvl>
    <w:lvl w:ilvl="3" w:tplc="0416000F" w:tentative="1">
      <w:start w:val="1"/>
      <w:numFmt w:val="decimal"/>
      <w:lvlText w:val="%4."/>
      <w:lvlJc w:val="left"/>
      <w:pPr>
        <w:ind w:left="5760" w:hanging="360"/>
      </w:pPr>
    </w:lvl>
    <w:lvl w:ilvl="4" w:tplc="04160019" w:tentative="1">
      <w:start w:val="1"/>
      <w:numFmt w:val="lowerLetter"/>
      <w:lvlText w:val="%5."/>
      <w:lvlJc w:val="left"/>
      <w:pPr>
        <w:ind w:left="6480" w:hanging="360"/>
      </w:pPr>
    </w:lvl>
    <w:lvl w:ilvl="5" w:tplc="0416001B" w:tentative="1">
      <w:start w:val="1"/>
      <w:numFmt w:val="lowerRoman"/>
      <w:lvlText w:val="%6."/>
      <w:lvlJc w:val="right"/>
      <w:pPr>
        <w:ind w:left="7200" w:hanging="180"/>
      </w:pPr>
    </w:lvl>
    <w:lvl w:ilvl="6" w:tplc="0416000F" w:tentative="1">
      <w:start w:val="1"/>
      <w:numFmt w:val="decimal"/>
      <w:lvlText w:val="%7."/>
      <w:lvlJc w:val="left"/>
      <w:pPr>
        <w:ind w:left="7920" w:hanging="360"/>
      </w:pPr>
    </w:lvl>
    <w:lvl w:ilvl="7" w:tplc="04160019" w:tentative="1">
      <w:start w:val="1"/>
      <w:numFmt w:val="lowerLetter"/>
      <w:lvlText w:val="%8."/>
      <w:lvlJc w:val="left"/>
      <w:pPr>
        <w:ind w:left="8640" w:hanging="360"/>
      </w:pPr>
    </w:lvl>
    <w:lvl w:ilvl="8" w:tplc="0416001B" w:tentative="1">
      <w:start w:val="1"/>
      <w:numFmt w:val="lowerRoman"/>
      <w:lvlText w:val="%9."/>
      <w:lvlJc w:val="right"/>
      <w:pPr>
        <w:ind w:left="9360" w:hanging="180"/>
      </w:pPr>
    </w:lvl>
  </w:abstractNum>
  <w:abstractNum w:abstractNumId="22">
    <w:nsid w:val="4C690ECB"/>
    <w:multiLevelType w:val="hybridMultilevel"/>
    <w:tmpl w:val="84F0582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nsid w:val="4D296848"/>
    <w:multiLevelType w:val="hybridMultilevel"/>
    <w:tmpl w:val="DC50686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nsid w:val="4FCE52C6"/>
    <w:multiLevelType w:val="multilevel"/>
    <w:tmpl w:val="B35A3258"/>
    <w:lvl w:ilvl="0">
      <w:start w:val="1"/>
      <w:numFmt w:val="upperRoman"/>
      <w:lvlText w:val="%1."/>
      <w:lvlJc w:val="left"/>
      <w:pPr>
        <w:ind w:left="1080" w:hanging="720"/>
      </w:pPr>
      <w:rPr>
        <w:rFonts w:hint="default"/>
      </w:rPr>
    </w:lvl>
    <w:lvl w:ilvl="1">
      <w:start w:val="1"/>
      <w:numFmt w:val="none"/>
      <w:lvlText w:val="I.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40A447D"/>
    <w:multiLevelType w:val="hybridMultilevel"/>
    <w:tmpl w:val="9F6EB07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D460CA4"/>
    <w:multiLevelType w:val="hybridMultilevel"/>
    <w:tmpl w:val="FF68EB92"/>
    <w:lvl w:ilvl="0" w:tplc="E3A6EC9E">
      <w:start w:val="1"/>
      <w:numFmt w:val="lowerLetter"/>
      <w:lvlText w:val="%1)"/>
      <w:lvlJc w:val="left"/>
      <w:pPr>
        <w:ind w:left="1494" w:hanging="360"/>
      </w:pPr>
      <w:rPr>
        <w:rFonts w:hint="default"/>
      </w:rPr>
    </w:lvl>
    <w:lvl w:ilvl="1" w:tplc="04160019">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7">
    <w:nsid w:val="5E6C274D"/>
    <w:multiLevelType w:val="hybridMultilevel"/>
    <w:tmpl w:val="F4FE733A"/>
    <w:lvl w:ilvl="0" w:tplc="04160013">
      <w:start w:val="1"/>
      <w:numFmt w:val="upperRoman"/>
      <w:lvlText w:val="%1."/>
      <w:lvlJc w:val="righ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nsid w:val="636C6892"/>
    <w:multiLevelType w:val="hybridMultilevel"/>
    <w:tmpl w:val="ED3A56D8"/>
    <w:lvl w:ilvl="0" w:tplc="04160001">
      <w:start w:val="1"/>
      <w:numFmt w:val="bullet"/>
      <w:lvlText w:val=""/>
      <w:lvlJc w:val="left"/>
      <w:pPr>
        <w:ind w:left="1598" w:hanging="360"/>
      </w:pPr>
      <w:rPr>
        <w:rFonts w:ascii="Symbol" w:hAnsi="Symbol" w:hint="default"/>
      </w:rPr>
    </w:lvl>
    <w:lvl w:ilvl="1" w:tplc="04160003" w:tentative="1">
      <w:start w:val="1"/>
      <w:numFmt w:val="bullet"/>
      <w:lvlText w:val="o"/>
      <w:lvlJc w:val="left"/>
      <w:pPr>
        <w:ind w:left="2318" w:hanging="360"/>
      </w:pPr>
      <w:rPr>
        <w:rFonts w:ascii="Courier New" w:hAnsi="Courier New" w:cs="Courier New" w:hint="default"/>
      </w:rPr>
    </w:lvl>
    <w:lvl w:ilvl="2" w:tplc="04160005" w:tentative="1">
      <w:start w:val="1"/>
      <w:numFmt w:val="bullet"/>
      <w:lvlText w:val=""/>
      <w:lvlJc w:val="left"/>
      <w:pPr>
        <w:ind w:left="3038" w:hanging="360"/>
      </w:pPr>
      <w:rPr>
        <w:rFonts w:ascii="Wingdings" w:hAnsi="Wingdings" w:hint="default"/>
      </w:rPr>
    </w:lvl>
    <w:lvl w:ilvl="3" w:tplc="04160001" w:tentative="1">
      <w:start w:val="1"/>
      <w:numFmt w:val="bullet"/>
      <w:lvlText w:val=""/>
      <w:lvlJc w:val="left"/>
      <w:pPr>
        <w:ind w:left="3758" w:hanging="360"/>
      </w:pPr>
      <w:rPr>
        <w:rFonts w:ascii="Symbol" w:hAnsi="Symbol" w:hint="default"/>
      </w:rPr>
    </w:lvl>
    <w:lvl w:ilvl="4" w:tplc="04160003" w:tentative="1">
      <w:start w:val="1"/>
      <w:numFmt w:val="bullet"/>
      <w:lvlText w:val="o"/>
      <w:lvlJc w:val="left"/>
      <w:pPr>
        <w:ind w:left="4478" w:hanging="360"/>
      </w:pPr>
      <w:rPr>
        <w:rFonts w:ascii="Courier New" w:hAnsi="Courier New" w:cs="Courier New" w:hint="default"/>
      </w:rPr>
    </w:lvl>
    <w:lvl w:ilvl="5" w:tplc="04160005" w:tentative="1">
      <w:start w:val="1"/>
      <w:numFmt w:val="bullet"/>
      <w:lvlText w:val=""/>
      <w:lvlJc w:val="left"/>
      <w:pPr>
        <w:ind w:left="5198" w:hanging="360"/>
      </w:pPr>
      <w:rPr>
        <w:rFonts w:ascii="Wingdings" w:hAnsi="Wingdings" w:hint="default"/>
      </w:rPr>
    </w:lvl>
    <w:lvl w:ilvl="6" w:tplc="04160001" w:tentative="1">
      <w:start w:val="1"/>
      <w:numFmt w:val="bullet"/>
      <w:lvlText w:val=""/>
      <w:lvlJc w:val="left"/>
      <w:pPr>
        <w:ind w:left="5918" w:hanging="360"/>
      </w:pPr>
      <w:rPr>
        <w:rFonts w:ascii="Symbol" w:hAnsi="Symbol" w:hint="default"/>
      </w:rPr>
    </w:lvl>
    <w:lvl w:ilvl="7" w:tplc="04160003" w:tentative="1">
      <w:start w:val="1"/>
      <w:numFmt w:val="bullet"/>
      <w:lvlText w:val="o"/>
      <w:lvlJc w:val="left"/>
      <w:pPr>
        <w:ind w:left="6638" w:hanging="360"/>
      </w:pPr>
      <w:rPr>
        <w:rFonts w:ascii="Courier New" w:hAnsi="Courier New" w:cs="Courier New" w:hint="default"/>
      </w:rPr>
    </w:lvl>
    <w:lvl w:ilvl="8" w:tplc="04160005" w:tentative="1">
      <w:start w:val="1"/>
      <w:numFmt w:val="bullet"/>
      <w:lvlText w:val=""/>
      <w:lvlJc w:val="left"/>
      <w:pPr>
        <w:ind w:left="7358" w:hanging="360"/>
      </w:pPr>
      <w:rPr>
        <w:rFonts w:ascii="Wingdings" w:hAnsi="Wingdings" w:hint="default"/>
      </w:rPr>
    </w:lvl>
  </w:abstractNum>
  <w:abstractNum w:abstractNumId="29">
    <w:nsid w:val="68AF5A85"/>
    <w:multiLevelType w:val="hybridMultilevel"/>
    <w:tmpl w:val="EE945824"/>
    <w:lvl w:ilvl="0" w:tplc="37D0AE06">
      <w:start w:val="1"/>
      <w:numFmt w:val="upperRoman"/>
      <w:lvlText w:val="%1."/>
      <w:lvlJc w:val="right"/>
      <w:pPr>
        <w:ind w:left="14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BFA202A"/>
    <w:multiLevelType w:val="hybridMultilevel"/>
    <w:tmpl w:val="459C0446"/>
    <w:lvl w:ilvl="0" w:tplc="F4CA6A1E">
      <w:start w:val="1"/>
      <w:numFmt w:val="upperRoman"/>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EB15CE3"/>
    <w:multiLevelType w:val="hybridMultilevel"/>
    <w:tmpl w:val="853E06A8"/>
    <w:lvl w:ilvl="0" w:tplc="38C2BB46">
      <w:start w:val="1"/>
      <w:numFmt w:val="upperRoman"/>
      <w:lvlText w:val="%1."/>
      <w:lvlJc w:val="right"/>
      <w:pPr>
        <w:ind w:left="14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6486950"/>
    <w:multiLevelType w:val="hybridMultilevel"/>
    <w:tmpl w:val="F6D0477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B705863"/>
    <w:multiLevelType w:val="hybridMultilevel"/>
    <w:tmpl w:val="574A32E0"/>
    <w:lvl w:ilvl="0" w:tplc="B2645C9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4">
    <w:nsid w:val="7DAF7B16"/>
    <w:multiLevelType w:val="hybridMultilevel"/>
    <w:tmpl w:val="778EE71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4"/>
  </w:num>
  <w:num w:numId="2">
    <w:abstractNumId w:val="24"/>
  </w:num>
  <w:num w:numId="3">
    <w:abstractNumId w:val="30"/>
  </w:num>
  <w:num w:numId="4">
    <w:abstractNumId w:val="2"/>
  </w:num>
  <w:num w:numId="5">
    <w:abstractNumId w:val="22"/>
  </w:num>
  <w:num w:numId="6">
    <w:abstractNumId w:val="21"/>
  </w:num>
  <w:num w:numId="7">
    <w:abstractNumId w:val="3"/>
  </w:num>
  <w:num w:numId="8">
    <w:abstractNumId w:val="25"/>
  </w:num>
  <w:num w:numId="9">
    <w:abstractNumId w:val="12"/>
  </w:num>
  <w:num w:numId="10">
    <w:abstractNumId w:val="18"/>
  </w:num>
  <w:num w:numId="11">
    <w:abstractNumId w:val="10"/>
  </w:num>
  <w:num w:numId="12">
    <w:abstractNumId w:val="32"/>
  </w:num>
  <w:num w:numId="13">
    <w:abstractNumId w:val="4"/>
  </w:num>
  <w:num w:numId="14">
    <w:abstractNumId w:val="33"/>
  </w:num>
  <w:num w:numId="15">
    <w:abstractNumId w:val="16"/>
  </w:num>
  <w:num w:numId="16">
    <w:abstractNumId w:val="13"/>
  </w:num>
  <w:num w:numId="17">
    <w:abstractNumId w:val="26"/>
  </w:num>
  <w:num w:numId="18">
    <w:abstractNumId w:val="8"/>
  </w:num>
  <w:num w:numId="19">
    <w:abstractNumId w:val="23"/>
  </w:num>
  <w:num w:numId="20">
    <w:abstractNumId w:val="27"/>
  </w:num>
  <w:num w:numId="21">
    <w:abstractNumId w:val="7"/>
  </w:num>
  <w:num w:numId="22">
    <w:abstractNumId w:val="17"/>
  </w:num>
  <w:num w:numId="23">
    <w:abstractNumId w:val="28"/>
  </w:num>
  <w:num w:numId="24">
    <w:abstractNumId w:val="6"/>
  </w:num>
  <w:num w:numId="25">
    <w:abstractNumId w:val="0"/>
  </w:num>
  <w:num w:numId="26">
    <w:abstractNumId w:val="34"/>
  </w:num>
  <w:num w:numId="27">
    <w:abstractNumId w:val="19"/>
  </w:num>
  <w:num w:numId="28">
    <w:abstractNumId w:val="11"/>
  </w:num>
  <w:num w:numId="29">
    <w:abstractNumId w:val="5"/>
  </w:num>
  <w:num w:numId="30">
    <w:abstractNumId w:val="31"/>
  </w:num>
  <w:num w:numId="31">
    <w:abstractNumId w:val="29"/>
  </w:num>
  <w:num w:numId="32">
    <w:abstractNumId w:val="1"/>
  </w:num>
  <w:num w:numId="33">
    <w:abstractNumId w:val="9"/>
  </w:num>
  <w:num w:numId="34">
    <w:abstractNumId w:val="15"/>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46081">
      <o:colormenu v:ext="edit" fillcolor="none [2409]" strokecolor="none"/>
    </o:shapedefaults>
  </w:hdrShapeDefaults>
  <w:footnotePr>
    <w:footnote w:id="-1"/>
    <w:footnote w:id="0"/>
  </w:footnotePr>
  <w:endnotePr>
    <w:endnote w:id="-1"/>
    <w:endnote w:id="0"/>
  </w:endnotePr>
  <w:compat/>
  <w:rsids>
    <w:rsidRoot w:val="0002519A"/>
    <w:rsid w:val="00000398"/>
    <w:rsid w:val="00002CF7"/>
    <w:rsid w:val="00011371"/>
    <w:rsid w:val="00016FA5"/>
    <w:rsid w:val="00023736"/>
    <w:rsid w:val="0002519A"/>
    <w:rsid w:val="00025F0E"/>
    <w:rsid w:val="0002770A"/>
    <w:rsid w:val="00031337"/>
    <w:rsid w:val="00040982"/>
    <w:rsid w:val="000410F6"/>
    <w:rsid w:val="00044F38"/>
    <w:rsid w:val="00051EA4"/>
    <w:rsid w:val="0005520C"/>
    <w:rsid w:val="00060B0B"/>
    <w:rsid w:val="00060E8A"/>
    <w:rsid w:val="0006188F"/>
    <w:rsid w:val="000627D2"/>
    <w:rsid w:val="0006393F"/>
    <w:rsid w:val="00065B79"/>
    <w:rsid w:val="00072E0E"/>
    <w:rsid w:val="000826A3"/>
    <w:rsid w:val="000839BF"/>
    <w:rsid w:val="000843F4"/>
    <w:rsid w:val="000952CA"/>
    <w:rsid w:val="000B0C57"/>
    <w:rsid w:val="000B1160"/>
    <w:rsid w:val="000B188E"/>
    <w:rsid w:val="000B291B"/>
    <w:rsid w:val="000B46FA"/>
    <w:rsid w:val="000C09EB"/>
    <w:rsid w:val="000C6548"/>
    <w:rsid w:val="000D0239"/>
    <w:rsid w:val="000D3625"/>
    <w:rsid w:val="000E34F9"/>
    <w:rsid w:val="000E4E9B"/>
    <w:rsid w:val="000E6125"/>
    <w:rsid w:val="001019B9"/>
    <w:rsid w:val="00102934"/>
    <w:rsid w:val="00103485"/>
    <w:rsid w:val="0010373C"/>
    <w:rsid w:val="001106B6"/>
    <w:rsid w:val="001157D2"/>
    <w:rsid w:val="00117436"/>
    <w:rsid w:val="00127C06"/>
    <w:rsid w:val="0013064F"/>
    <w:rsid w:val="00131D15"/>
    <w:rsid w:val="00132B5E"/>
    <w:rsid w:val="00134661"/>
    <w:rsid w:val="001408F0"/>
    <w:rsid w:val="001410D4"/>
    <w:rsid w:val="0014325C"/>
    <w:rsid w:val="0014464C"/>
    <w:rsid w:val="001474E3"/>
    <w:rsid w:val="00147CE0"/>
    <w:rsid w:val="00152E4D"/>
    <w:rsid w:val="00157714"/>
    <w:rsid w:val="00157832"/>
    <w:rsid w:val="00161B7E"/>
    <w:rsid w:val="001710B1"/>
    <w:rsid w:val="00172C94"/>
    <w:rsid w:val="001768B5"/>
    <w:rsid w:val="00176FB9"/>
    <w:rsid w:val="0018238F"/>
    <w:rsid w:val="00191EFC"/>
    <w:rsid w:val="00193704"/>
    <w:rsid w:val="001941C5"/>
    <w:rsid w:val="001944B3"/>
    <w:rsid w:val="001A178F"/>
    <w:rsid w:val="001A4079"/>
    <w:rsid w:val="001A45FC"/>
    <w:rsid w:val="001A5D99"/>
    <w:rsid w:val="001A70AD"/>
    <w:rsid w:val="001B4814"/>
    <w:rsid w:val="001B5B02"/>
    <w:rsid w:val="001B6D6C"/>
    <w:rsid w:val="001C0498"/>
    <w:rsid w:val="001C2085"/>
    <w:rsid w:val="001C52D4"/>
    <w:rsid w:val="001D02C9"/>
    <w:rsid w:val="001D7520"/>
    <w:rsid w:val="001E554B"/>
    <w:rsid w:val="001F37A5"/>
    <w:rsid w:val="001F47E4"/>
    <w:rsid w:val="001F60AA"/>
    <w:rsid w:val="00202483"/>
    <w:rsid w:val="002048D8"/>
    <w:rsid w:val="00204DB0"/>
    <w:rsid w:val="00204E70"/>
    <w:rsid w:val="002102F5"/>
    <w:rsid w:val="002135F7"/>
    <w:rsid w:val="0021372E"/>
    <w:rsid w:val="00214484"/>
    <w:rsid w:val="00215D17"/>
    <w:rsid w:val="0021601C"/>
    <w:rsid w:val="00217904"/>
    <w:rsid w:val="0022707A"/>
    <w:rsid w:val="00232180"/>
    <w:rsid w:val="00232B8C"/>
    <w:rsid w:val="00242C7B"/>
    <w:rsid w:val="00244EAE"/>
    <w:rsid w:val="00246E3B"/>
    <w:rsid w:val="00247BDF"/>
    <w:rsid w:val="00250B46"/>
    <w:rsid w:val="00254207"/>
    <w:rsid w:val="002577F1"/>
    <w:rsid w:val="0026618D"/>
    <w:rsid w:val="00267D43"/>
    <w:rsid w:val="00267DB1"/>
    <w:rsid w:val="00274469"/>
    <w:rsid w:val="0028044C"/>
    <w:rsid w:val="00283FC0"/>
    <w:rsid w:val="002847A2"/>
    <w:rsid w:val="00287D53"/>
    <w:rsid w:val="002A2852"/>
    <w:rsid w:val="002A6D3B"/>
    <w:rsid w:val="002A7433"/>
    <w:rsid w:val="002B169A"/>
    <w:rsid w:val="002B20F1"/>
    <w:rsid w:val="002D20A7"/>
    <w:rsid w:val="002D20B3"/>
    <w:rsid w:val="002E08F3"/>
    <w:rsid w:val="002E3E4F"/>
    <w:rsid w:val="002F0F92"/>
    <w:rsid w:val="002F1713"/>
    <w:rsid w:val="003006DF"/>
    <w:rsid w:val="003009CC"/>
    <w:rsid w:val="00301BA2"/>
    <w:rsid w:val="00305885"/>
    <w:rsid w:val="00305BC6"/>
    <w:rsid w:val="0031007F"/>
    <w:rsid w:val="0031248B"/>
    <w:rsid w:val="00312C14"/>
    <w:rsid w:val="00313C16"/>
    <w:rsid w:val="0031583A"/>
    <w:rsid w:val="003163A6"/>
    <w:rsid w:val="00316A2A"/>
    <w:rsid w:val="00320A71"/>
    <w:rsid w:val="00322D81"/>
    <w:rsid w:val="003271FD"/>
    <w:rsid w:val="0032769A"/>
    <w:rsid w:val="00330F71"/>
    <w:rsid w:val="00332771"/>
    <w:rsid w:val="00334352"/>
    <w:rsid w:val="00341A66"/>
    <w:rsid w:val="00342286"/>
    <w:rsid w:val="003428BD"/>
    <w:rsid w:val="00344ACE"/>
    <w:rsid w:val="0035297B"/>
    <w:rsid w:val="00352E25"/>
    <w:rsid w:val="00354036"/>
    <w:rsid w:val="00354A4B"/>
    <w:rsid w:val="00355A78"/>
    <w:rsid w:val="00355F85"/>
    <w:rsid w:val="00357EA2"/>
    <w:rsid w:val="00361CCF"/>
    <w:rsid w:val="00362F31"/>
    <w:rsid w:val="003645F6"/>
    <w:rsid w:val="00366781"/>
    <w:rsid w:val="00371675"/>
    <w:rsid w:val="00371A4E"/>
    <w:rsid w:val="00374300"/>
    <w:rsid w:val="0037622D"/>
    <w:rsid w:val="00376C38"/>
    <w:rsid w:val="00383815"/>
    <w:rsid w:val="00393DC3"/>
    <w:rsid w:val="003949C9"/>
    <w:rsid w:val="00394E3C"/>
    <w:rsid w:val="00395EFC"/>
    <w:rsid w:val="003A0F7F"/>
    <w:rsid w:val="003A143D"/>
    <w:rsid w:val="003A1F78"/>
    <w:rsid w:val="003A6DC7"/>
    <w:rsid w:val="003B0025"/>
    <w:rsid w:val="003B09E8"/>
    <w:rsid w:val="003B493C"/>
    <w:rsid w:val="003B537F"/>
    <w:rsid w:val="003B563A"/>
    <w:rsid w:val="003B6E94"/>
    <w:rsid w:val="003C1BEF"/>
    <w:rsid w:val="003C2F75"/>
    <w:rsid w:val="003C41E3"/>
    <w:rsid w:val="003D0967"/>
    <w:rsid w:val="003D5CE0"/>
    <w:rsid w:val="003D6910"/>
    <w:rsid w:val="003D7290"/>
    <w:rsid w:val="003E7503"/>
    <w:rsid w:val="003E7C51"/>
    <w:rsid w:val="003F563B"/>
    <w:rsid w:val="003F73F5"/>
    <w:rsid w:val="003F788A"/>
    <w:rsid w:val="004003A4"/>
    <w:rsid w:val="00401641"/>
    <w:rsid w:val="00402CC5"/>
    <w:rsid w:val="00403263"/>
    <w:rsid w:val="004069D6"/>
    <w:rsid w:val="004137F6"/>
    <w:rsid w:val="00414366"/>
    <w:rsid w:val="0041515C"/>
    <w:rsid w:val="00416E51"/>
    <w:rsid w:val="004176CC"/>
    <w:rsid w:val="00420409"/>
    <w:rsid w:val="00421C4E"/>
    <w:rsid w:val="00427B2C"/>
    <w:rsid w:val="00431182"/>
    <w:rsid w:val="0043123A"/>
    <w:rsid w:val="00431E6E"/>
    <w:rsid w:val="004426CA"/>
    <w:rsid w:val="00443EC9"/>
    <w:rsid w:val="00445D97"/>
    <w:rsid w:val="00450EFE"/>
    <w:rsid w:val="004518B0"/>
    <w:rsid w:val="0046285D"/>
    <w:rsid w:val="00464A06"/>
    <w:rsid w:val="004671BA"/>
    <w:rsid w:val="004676E0"/>
    <w:rsid w:val="004714C3"/>
    <w:rsid w:val="00473B0B"/>
    <w:rsid w:val="00474FF4"/>
    <w:rsid w:val="004758ED"/>
    <w:rsid w:val="00477550"/>
    <w:rsid w:val="0048198C"/>
    <w:rsid w:val="00482036"/>
    <w:rsid w:val="00483074"/>
    <w:rsid w:val="0049107F"/>
    <w:rsid w:val="00492352"/>
    <w:rsid w:val="00494262"/>
    <w:rsid w:val="0049552B"/>
    <w:rsid w:val="004A01FC"/>
    <w:rsid w:val="004A2A31"/>
    <w:rsid w:val="004A7755"/>
    <w:rsid w:val="004A789F"/>
    <w:rsid w:val="004B0B4C"/>
    <w:rsid w:val="004B3DDF"/>
    <w:rsid w:val="004B5DEE"/>
    <w:rsid w:val="004C25FB"/>
    <w:rsid w:val="004C4D58"/>
    <w:rsid w:val="004C4EA9"/>
    <w:rsid w:val="004C6E7D"/>
    <w:rsid w:val="004D0950"/>
    <w:rsid w:val="004D2A5D"/>
    <w:rsid w:val="004D6C92"/>
    <w:rsid w:val="004D6E6C"/>
    <w:rsid w:val="004E297B"/>
    <w:rsid w:val="004E4482"/>
    <w:rsid w:val="004E558F"/>
    <w:rsid w:val="004F20CF"/>
    <w:rsid w:val="004F41FA"/>
    <w:rsid w:val="004F446B"/>
    <w:rsid w:val="004F51B7"/>
    <w:rsid w:val="004F72C4"/>
    <w:rsid w:val="00506501"/>
    <w:rsid w:val="00507439"/>
    <w:rsid w:val="00515DE5"/>
    <w:rsid w:val="00521E0B"/>
    <w:rsid w:val="005227F2"/>
    <w:rsid w:val="005247CA"/>
    <w:rsid w:val="0052564C"/>
    <w:rsid w:val="00531564"/>
    <w:rsid w:val="00534184"/>
    <w:rsid w:val="00534373"/>
    <w:rsid w:val="005365C9"/>
    <w:rsid w:val="0053708A"/>
    <w:rsid w:val="00537368"/>
    <w:rsid w:val="005401FB"/>
    <w:rsid w:val="00540557"/>
    <w:rsid w:val="0054139C"/>
    <w:rsid w:val="00544AE1"/>
    <w:rsid w:val="005453D4"/>
    <w:rsid w:val="00553EB4"/>
    <w:rsid w:val="0055566F"/>
    <w:rsid w:val="005628B8"/>
    <w:rsid w:val="005666E6"/>
    <w:rsid w:val="0057387B"/>
    <w:rsid w:val="005738C0"/>
    <w:rsid w:val="005760F1"/>
    <w:rsid w:val="005856F7"/>
    <w:rsid w:val="00585DBB"/>
    <w:rsid w:val="00586704"/>
    <w:rsid w:val="0058795C"/>
    <w:rsid w:val="005900DB"/>
    <w:rsid w:val="005909E1"/>
    <w:rsid w:val="00596BF9"/>
    <w:rsid w:val="00596CBA"/>
    <w:rsid w:val="005A34CF"/>
    <w:rsid w:val="005A4057"/>
    <w:rsid w:val="005A42B2"/>
    <w:rsid w:val="005A59A2"/>
    <w:rsid w:val="005A59AD"/>
    <w:rsid w:val="005B165C"/>
    <w:rsid w:val="005B1698"/>
    <w:rsid w:val="005C326A"/>
    <w:rsid w:val="005C5D77"/>
    <w:rsid w:val="005C6518"/>
    <w:rsid w:val="005D172E"/>
    <w:rsid w:val="005D38BE"/>
    <w:rsid w:val="005D4D8C"/>
    <w:rsid w:val="005E1FF0"/>
    <w:rsid w:val="005E2B1C"/>
    <w:rsid w:val="005E2CA8"/>
    <w:rsid w:val="005F0BDA"/>
    <w:rsid w:val="005F1ECD"/>
    <w:rsid w:val="005F3529"/>
    <w:rsid w:val="005F78CD"/>
    <w:rsid w:val="006017BA"/>
    <w:rsid w:val="006240E8"/>
    <w:rsid w:val="00625EC1"/>
    <w:rsid w:val="0062617A"/>
    <w:rsid w:val="00631AD0"/>
    <w:rsid w:val="006374DE"/>
    <w:rsid w:val="00640C1E"/>
    <w:rsid w:val="00642D20"/>
    <w:rsid w:val="00643E80"/>
    <w:rsid w:val="006459DC"/>
    <w:rsid w:val="006473E1"/>
    <w:rsid w:val="0065063C"/>
    <w:rsid w:val="00652592"/>
    <w:rsid w:val="0065632B"/>
    <w:rsid w:val="00660678"/>
    <w:rsid w:val="00660EEB"/>
    <w:rsid w:val="00666806"/>
    <w:rsid w:val="00666B5E"/>
    <w:rsid w:val="00674700"/>
    <w:rsid w:val="00675AE3"/>
    <w:rsid w:val="00676DC1"/>
    <w:rsid w:val="006772C3"/>
    <w:rsid w:val="00681436"/>
    <w:rsid w:val="00681D86"/>
    <w:rsid w:val="00682A2E"/>
    <w:rsid w:val="006925BB"/>
    <w:rsid w:val="0069400B"/>
    <w:rsid w:val="00695911"/>
    <w:rsid w:val="006B0BCE"/>
    <w:rsid w:val="006B4212"/>
    <w:rsid w:val="006B4322"/>
    <w:rsid w:val="006C0BB1"/>
    <w:rsid w:val="006C16FB"/>
    <w:rsid w:val="006C39F2"/>
    <w:rsid w:val="006C415E"/>
    <w:rsid w:val="006C57D5"/>
    <w:rsid w:val="006C5AF0"/>
    <w:rsid w:val="006C75A1"/>
    <w:rsid w:val="006D07D3"/>
    <w:rsid w:val="006D1884"/>
    <w:rsid w:val="006D1CE8"/>
    <w:rsid w:val="006D26AC"/>
    <w:rsid w:val="006D31F9"/>
    <w:rsid w:val="006D6208"/>
    <w:rsid w:val="006E5C7A"/>
    <w:rsid w:val="006E791A"/>
    <w:rsid w:val="006F1AAC"/>
    <w:rsid w:val="006F1D00"/>
    <w:rsid w:val="006F35D6"/>
    <w:rsid w:val="006F3CEB"/>
    <w:rsid w:val="006F44DC"/>
    <w:rsid w:val="006F5267"/>
    <w:rsid w:val="00703F4A"/>
    <w:rsid w:val="0070714C"/>
    <w:rsid w:val="0071084A"/>
    <w:rsid w:val="007119BF"/>
    <w:rsid w:val="0071327E"/>
    <w:rsid w:val="00713E7C"/>
    <w:rsid w:val="007152FE"/>
    <w:rsid w:val="0072557A"/>
    <w:rsid w:val="00737B9D"/>
    <w:rsid w:val="0074731F"/>
    <w:rsid w:val="00747E0B"/>
    <w:rsid w:val="00751CEA"/>
    <w:rsid w:val="007550BD"/>
    <w:rsid w:val="00756B54"/>
    <w:rsid w:val="00760121"/>
    <w:rsid w:val="007601CD"/>
    <w:rsid w:val="007641DE"/>
    <w:rsid w:val="00767896"/>
    <w:rsid w:val="0077078E"/>
    <w:rsid w:val="007754C3"/>
    <w:rsid w:val="00781B07"/>
    <w:rsid w:val="00787CE5"/>
    <w:rsid w:val="00792E3E"/>
    <w:rsid w:val="00794D0A"/>
    <w:rsid w:val="0079604B"/>
    <w:rsid w:val="00796B5A"/>
    <w:rsid w:val="007A0171"/>
    <w:rsid w:val="007A7715"/>
    <w:rsid w:val="007B4E54"/>
    <w:rsid w:val="007B558F"/>
    <w:rsid w:val="007B5BB0"/>
    <w:rsid w:val="007C098D"/>
    <w:rsid w:val="007C3774"/>
    <w:rsid w:val="007C574E"/>
    <w:rsid w:val="007C7CAF"/>
    <w:rsid w:val="007D0049"/>
    <w:rsid w:val="007D487A"/>
    <w:rsid w:val="007D6404"/>
    <w:rsid w:val="007D738F"/>
    <w:rsid w:val="007D75CA"/>
    <w:rsid w:val="007D7C39"/>
    <w:rsid w:val="007E09CA"/>
    <w:rsid w:val="007E0ECC"/>
    <w:rsid w:val="007E2B79"/>
    <w:rsid w:val="007E35F1"/>
    <w:rsid w:val="007E585D"/>
    <w:rsid w:val="007F0758"/>
    <w:rsid w:val="007F1AFF"/>
    <w:rsid w:val="007F2EEA"/>
    <w:rsid w:val="007F5610"/>
    <w:rsid w:val="00802276"/>
    <w:rsid w:val="00807746"/>
    <w:rsid w:val="00807DA2"/>
    <w:rsid w:val="00810D28"/>
    <w:rsid w:val="008117E1"/>
    <w:rsid w:val="008218F6"/>
    <w:rsid w:val="00825002"/>
    <w:rsid w:val="008250AF"/>
    <w:rsid w:val="00825D25"/>
    <w:rsid w:val="00830F80"/>
    <w:rsid w:val="00836597"/>
    <w:rsid w:val="00840733"/>
    <w:rsid w:val="008458C9"/>
    <w:rsid w:val="00851795"/>
    <w:rsid w:val="0085319A"/>
    <w:rsid w:val="00860176"/>
    <w:rsid w:val="008652E1"/>
    <w:rsid w:val="00865CAF"/>
    <w:rsid w:val="008676FB"/>
    <w:rsid w:val="0087016A"/>
    <w:rsid w:val="008736E1"/>
    <w:rsid w:val="008847A4"/>
    <w:rsid w:val="0088577F"/>
    <w:rsid w:val="008863E7"/>
    <w:rsid w:val="00886AB3"/>
    <w:rsid w:val="00891129"/>
    <w:rsid w:val="00895AF1"/>
    <w:rsid w:val="008A460A"/>
    <w:rsid w:val="008A65C0"/>
    <w:rsid w:val="008B3D90"/>
    <w:rsid w:val="008B5F52"/>
    <w:rsid w:val="008B6357"/>
    <w:rsid w:val="008B6FF3"/>
    <w:rsid w:val="008C0453"/>
    <w:rsid w:val="008C1F8E"/>
    <w:rsid w:val="008C26FE"/>
    <w:rsid w:val="008D2E26"/>
    <w:rsid w:val="008D48C1"/>
    <w:rsid w:val="008D4DC5"/>
    <w:rsid w:val="008D6727"/>
    <w:rsid w:val="008D6960"/>
    <w:rsid w:val="008D6992"/>
    <w:rsid w:val="008D7093"/>
    <w:rsid w:val="008E58CD"/>
    <w:rsid w:val="008E6EF1"/>
    <w:rsid w:val="008F0FAF"/>
    <w:rsid w:val="0090055C"/>
    <w:rsid w:val="00902A88"/>
    <w:rsid w:val="00902BDC"/>
    <w:rsid w:val="0090477D"/>
    <w:rsid w:val="00905288"/>
    <w:rsid w:val="009069D8"/>
    <w:rsid w:val="009071E2"/>
    <w:rsid w:val="00911E4A"/>
    <w:rsid w:val="00914F59"/>
    <w:rsid w:val="009164E3"/>
    <w:rsid w:val="009215F5"/>
    <w:rsid w:val="009232F4"/>
    <w:rsid w:val="009315AF"/>
    <w:rsid w:val="009315CE"/>
    <w:rsid w:val="009373B4"/>
    <w:rsid w:val="00942AEB"/>
    <w:rsid w:val="00942C0D"/>
    <w:rsid w:val="00943DA0"/>
    <w:rsid w:val="00952E20"/>
    <w:rsid w:val="00970952"/>
    <w:rsid w:val="00970F1C"/>
    <w:rsid w:val="00974827"/>
    <w:rsid w:val="009773B1"/>
    <w:rsid w:val="00984A70"/>
    <w:rsid w:val="00985013"/>
    <w:rsid w:val="00985744"/>
    <w:rsid w:val="0099279A"/>
    <w:rsid w:val="00993701"/>
    <w:rsid w:val="009954B7"/>
    <w:rsid w:val="009954E4"/>
    <w:rsid w:val="009A3431"/>
    <w:rsid w:val="009A42F5"/>
    <w:rsid w:val="009A769F"/>
    <w:rsid w:val="009A7769"/>
    <w:rsid w:val="009B79DD"/>
    <w:rsid w:val="009C08F8"/>
    <w:rsid w:val="009C581E"/>
    <w:rsid w:val="009C5CE5"/>
    <w:rsid w:val="009D0DC1"/>
    <w:rsid w:val="009D50ED"/>
    <w:rsid w:val="009E0146"/>
    <w:rsid w:val="009E12C9"/>
    <w:rsid w:val="009E2FFA"/>
    <w:rsid w:val="009E5D53"/>
    <w:rsid w:val="009E699F"/>
    <w:rsid w:val="009F7E61"/>
    <w:rsid w:val="00A01478"/>
    <w:rsid w:val="00A05FDC"/>
    <w:rsid w:val="00A0699F"/>
    <w:rsid w:val="00A11B81"/>
    <w:rsid w:val="00A15BBD"/>
    <w:rsid w:val="00A20EBE"/>
    <w:rsid w:val="00A20FB5"/>
    <w:rsid w:val="00A22406"/>
    <w:rsid w:val="00A226D8"/>
    <w:rsid w:val="00A22DB4"/>
    <w:rsid w:val="00A2579E"/>
    <w:rsid w:val="00A34E99"/>
    <w:rsid w:val="00A35DB3"/>
    <w:rsid w:val="00A40BAC"/>
    <w:rsid w:val="00A42214"/>
    <w:rsid w:val="00A430BA"/>
    <w:rsid w:val="00A46370"/>
    <w:rsid w:val="00A46D9E"/>
    <w:rsid w:val="00A6136C"/>
    <w:rsid w:val="00A7098F"/>
    <w:rsid w:val="00A7575E"/>
    <w:rsid w:val="00A80623"/>
    <w:rsid w:val="00A870F0"/>
    <w:rsid w:val="00A91AA7"/>
    <w:rsid w:val="00A93F6A"/>
    <w:rsid w:val="00A95E8B"/>
    <w:rsid w:val="00A9606E"/>
    <w:rsid w:val="00A97E65"/>
    <w:rsid w:val="00AA0850"/>
    <w:rsid w:val="00AA1A35"/>
    <w:rsid w:val="00AA21D4"/>
    <w:rsid w:val="00AA5523"/>
    <w:rsid w:val="00AB119B"/>
    <w:rsid w:val="00AB15C6"/>
    <w:rsid w:val="00AB1ED5"/>
    <w:rsid w:val="00AB2904"/>
    <w:rsid w:val="00AB3C61"/>
    <w:rsid w:val="00AB449E"/>
    <w:rsid w:val="00AB6DC8"/>
    <w:rsid w:val="00AC4896"/>
    <w:rsid w:val="00AC7993"/>
    <w:rsid w:val="00AD0CC0"/>
    <w:rsid w:val="00AD4CF7"/>
    <w:rsid w:val="00AD65A9"/>
    <w:rsid w:val="00AD7AB8"/>
    <w:rsid w:val="00AD7BD7"/>
    <w:rsid w:val="00AE3432"/>
    <w:rsid w:val="00AE3A45"/>
    <w:rsid w:val="00AF0FD2"/>
    <w:rsid w:val="00AF78CF"/>
    <w:rsid w:val="00B00382"/>
    <w:rsid w:val="00B074E2"/>
    <w:rsid w:val="00B14FC6"/>
    <w:rsid w:val="00B154EA"/>
    <w:rsid w:val="00B20248"/>
    <w:rsid w:val="00B203D4"/>
    <w:rsid w:val="00B2348D"/>
    <w:rsid w:val="00B235E6"/>
    <w:rsid w:val="00B33101"/>
    <w:rsid w:val="00B33D1E"/>
    <w:rsid w:val="00B34808"/>
    <w:rsid w:val="00B36C1D"/>
    <w:rsid w:val="00B40303"/>
    <w:rsid w:val="00B42C01"/>
    <w:rsid w:val="00B433BD"/>
    <w:rsid w:val="00B43F06"/>
    <w:rsid w:val="00B54FB6"/>
    <w:rsid w:val="00B57D50"/>
    <w:rsid w:val="00B61CBB"/>
    <w:rsid w:val="00B651D8"/>
    <w:rsid w:val="00B6754E"/>
    <w:rsid w:val="00B709DA"/>
    <w:rsid w:val="00B83726"/>
    <w:rsid w:val="00B848C1"/>
    <w:rsid w:val="00B90A47"/>
    <w:rsid w:val="00B94D9F"/>
    <w:rsid w:val="00B95411"/>
    <w:rsid w:val="00B96283"/>
    <w:rsid w:val="00BA140E"/>
    <w:rsid w:val="00BA16A8"/>
    <w:rsid w:val="00BA6D4F"/>
    <w:rsid w:val="00BB071D"/>
    <w:rsid w:val="00BB64CC"/>
    <w:rsid w:val="00BB753C"/>
    <w:rsid w:val="00BB7684"/>
    <w:rsid w:val="00BC459D"/>
    <w:rsid w:val="00BD06F0"/>
    <w:rsid w:val="00BD4656"/>
    <w:rsid w:val="00BE4810"/>
    <w:rsid w:val="00BE73CB"/>
    <w:rsid w:val="00BF1859"/>
    <w:rsid w:val="00C009B0"/>
    <w:rsid w:val="00C0730A"/>
    <w:rsid w:val="00C10B8D"/>
    <w:rsid w:val="00C12B76"/>
    <w:rsid w:val="00C21E96"/>
    <w:rsid w:val="00C2773D"/>
    <w:rsid w:val="00C27F84"/>
    <w:rsid w:val="00C306B0"/>
    <w:rsid w:val="00C328FD"/>
    <w:rsid w:val="00C32CB0"/>
    <w:rsid w:val="00C36A46"/>
    <w:rsid w:val="00C36D43"/>
    <w:rsid w:val="00C376B2"/>
    <w:rsid w:val="00C41168"/>
    <w:rsid w:val="00C4649D"/>
    <w:rsid w:val="00C46797"/>
    <w:rsid w:val="00C46A97"/>
    <w:rsid w:val="00C47142"/>
    <w:rsid w:val="00C51D68"/>
    <w:rsid w:val="00C565C1"/>
    <w:rsid w:val="00C56D8A"/>
    <w:rsid w:val="00C60968"/>
    <w:rsid w:val="00C6153F"/>
    <w:rsid w:val="00C629A0"/>
    <w:rsid w:val="00C63185"/>
    <w:rsid w:val="00C6445A"/>
    <w:rsid w:val="00C65E7E"/>
    <w:rsid w:val="00C661DD"/>
    <w:rsid w:val="00C770E9"/>
    <w:rsid w:val="00C83FF8"/>
    <w:rsid w:val="00C9462B"/>
    <w:rsid w:val="00C952E2"/>
    <w:rsid w:val="00CA02F3"/>
    <w:rsid w:val="00CA1A45"/>
    <w:rsid w:val="00CA5F97"/>
    <w:rsid w:val="00CB454C"/>
    <w:rsid w:val="00CB785F"/>
    <w:rsid w:val="00CC1939"/>
    <w:rsid w:val="00CC1CDA"/>
    <w:rsid w:val="00CD6CB5"/>
    <w:rsid w:val="00CE00D2"/>
    <w:rsid w:val="00CE0168"/>
    <w:rsid w:val="00CE3398"/>
    <w:rsid w:val="00CE3B36"/>
    <w:rsid w:val="00CE5E28"/>
    <w:rsid w:val="00CF4223"/>
    <w:rsid w:val="00CF6AC3"/>
    <w:rsid w:val="00CF6EDD"/>
    <w:rsid w:val="00D028B0"/>
    <w:rsid w:val="00D04D2C"/>
    <w:rsid w:val="00D06067"/>
    <w:rsid w:val="00D10F9A"/>
    <w:rsid w:val="00D11AB5"/>
    <w:rsid w:val="00D1291D"/>
    <w:rsid w:val="00D139FA"/>
    <w:rsid w:val="00D15CB9"/>
    <w:rsid w:val="00D1736B"/>
    <w:rsid w:val="00D21BC5"/>
    <w:rsid w:val="00D22805"/>
    <w:rsid w:val="00D2516E"/>
    <w:rsid w:val="00D30DAB"/>
    <w:rsid w:val="00D32DB7"/>
    <w:rsid w:val="00D33C63"/>
    <w:rsid w:val="00D340F2"/>
    <w:rsid w:val="00D406D2"/>
    <w:rsid w:val="00D42A5C"/>
    <w:rsid w:val="00D43703"/>
    <w:rsid w:val="00D444A6"/>
    <w:rsid w:val="00D46CB7"/>
    <w:rsid w:val="00D52EBD"/>
    <w:rsid w:val="00D65272"/>
    <w:rsid w:val="00D6766F"/>
    <w:rsid w:val="00D70857"/>
    <w:rsid w:val="00D72BF7"/>
    <w:rsid w:val="00D736C8"/>
    <w:rsid w:val="00D7426D"/>
    <w:rsid w:val="00D74912"/>
    <w:rsid w:val="00D75FC7"/>
    <w:rsid w:val="00D76FFB"/>
    <w:rsid w:val="00D77B6B"/>
    <w:rsid w:val="00D77D20"/>
    <w:rsid w:val="00D84F22"/>
    <w:rsid w:val="00D8685F"/>
    <w:rsid w:val="00D87BB5"/>
    <w:rsid w:val="00D9028C"/>
    <w:rsid w:val="00D90BA5"/>
    <w:rsid w:val="00D942E5"/>
    <w:rsid w:val="00D94DDA"/>
    <w:rsid w:val="00D96180"/>
    <w:rsid w:val="00DA029D"/>
    <w:rsid w:val="00DA79CE"/>
    <w:rsid w:val="00DB02AC"/>
    <w:rsid w:val="00DB7214"/>
    <w:rsid w:val="00DC0C45"/>
    <w:rsid w:val="00DC428D"/>
    <w:rsid w:val="00DC717F"/>
    <w:rsid w:val="00DD3322"/>
    <w:rsid w:val="00DD4205"/>
    <w:rsid w:val="00DD53D8"/>
    <w:rsid w:val="00DE2738"/>
    <w:rsid w:val="00DE32FC"/>
    <w:rsid w:val="00DE3824"/>
    <w:rsid w:val="00DF07CE"/>
    <w:rsid w:val="00DF1AAF"/>
    <w:rsid w:val="00DF5AE5"/>
    <w:rsid w:val="00DF5F27"/>
    <w:rsid w:val="00DF626E"/>
    <w:rsid w:val="00DF7EC8"/>
    <w:rsid w:val="00E01C5A"/>
    <w:rsid w:val="00E026C9"/>
    <w:rsid w:val="00E02F4B"/>
    <w:rsid w:val="00E03752"/>
    <w:rsid w:val="00E06F16"/>
    <w:rsid w:val="00E1027A"/>
    <w:rsid w:val="00E10363"/>
    <w:rsid w:val="00E164DA"/>
    <w:rsid w:val="00E17C6E"/>
    <w:rsid w:val="00E24946"/>
    <w:rsid w:val="00E26565"/>
    <w:rsid w:val="00E300A2"/>
    <w:rsid w:val="00E32CC2"/>
    <w:rsid w:val="00E338B1"/>
    <w:rsid w:val="00E37941"/>
    <w:rsid w:val="00E524D1"/>
    <w:rsid w:val="00E52757"/>
    <w:rsid w:val="00E53557"/>
    <w:rsid w:val="00E569BE"/>
    <w:rsid w:val="00E60F7D"/>
    <w:rsid w:val="00E66BEF"/>
    <w:rsid w:val="00E678EF"/>
    <w:rsid w:val="00E67AFA"/>
    <w:rsid w:val="00E71A2B"/>
    <w:rsid w:val="00E72EA0"/>
    <w:rsid w:val="00E73835"/>
    <w:rsid w:val="00E74F7E"/>
    <w:rsid w:val="00E77AF9"/>
    <w:rsid w:val="00E95080"/>
    <w:rsid w:val="00EA2268"/>
    <w:rsid w:val="00EA24FD"/>
    <w:rsid w:val="00EA718F"/>
    <w:rsid w:val="00EB0ACC"/>
    <w:rsid w:val="00EB27BB"/>
    <w:rsid w:val="00EC1E3A"/>
    <w:rsid w:val="00EC38CB"/>
    <w:rsid w:val="00EC39C9"/>
    <w:rsid w:val="00EC39D6"/>
    <w:rsid w:val="00EC3D25"/>
    <w:rsid w:val="00EC7464"/>
    <w:rsid w:val="00ED16ED"/>
    <w:rsid w:val="00ED4142"/>
    <w:rsid w:val="00EE566C"/>
    <w:rsid w:val="00EF067B"/>
    <w:rsid w:val="00EF5C0D"/>
    <w:rsid w:val="00EF77D9"/>
    <w:rsid w:val="00EF7AC3"/>
    <w:rsid w:val="00F02F67"/>
    <w:rsid w:val="00F041D5"/>
    <w:rsid w:val="00F055D9"/>
    <w:rsid w:val="00F05C96"/>
    <w:rsid w:val="00F10428"/>
    <w:rsid w:val="00F14467"/>
    <w:rsid w:val="00F144B2"/>
    <w:rsid w:val="00F14F01"/>
    <w:rsid w:val="00F1532C"/>
    <w:rsid w:val="00F161DD"/>
    <w:rsid w:val="00F21BD9"/>
    <w:rsid w:val="00F2341E"/>
    <w:rsid w:val="00F259FC"/>
    <w:rsid w:val="00F341C9"/>
    <w:rsid w:val="00F367D5"/>
    <w:rsid w:val="00F42573"/>
    <w:rsid w:val="00F437E8"/>
    <w:rsid w:val="00F43B70"/>
    <w:rsid w:val="00F50F8D"/>
    <w:rsid w:val="00F5523A"/>
    <w:rsid w:val="00F5577B"/>
    <w:rsid w:val="00F56569"/>
    <w:rsid w:val="00F57F7C"/>
    <w:rsid w:val="00F61F52"/>
    <w:rsid w:val="00F62691"/>
    <w:rsid w:val="00F62AF0"/>
    <w:rsid w:val="00F706C6"/>
    <w:rsid w:val="00F71531"/>
    <w:rsid w:val="00F72775"/>
    <w:rsid w:val="00F73071"/>
    <w:rsid w:val="00F74527"/>
    <w:rsid w:val="00F75157"/>
    <w:rsid w:val="00F75675"/>
    <w:rsid w:val="00F8090F"/>
    <w:rsid w:val="00F84442"/>
    <w:rsid w:val="00F86EC8"/>
    <w:rsid w:val="00F87D74"/>
    <w:rsid w:val="00FA1800"/>
    <w:rsid w:val="00FA2741"/>
    <w:rsid w:val="00FA291C"/>
    <w:rsid w:val="00FA5C2D"/>
    <w:rsid w:val="00FB011D"/>
    <w:rsid w:val="00FB5D05"/>
    <w:rsid w:val="00FB5F1A"/>
    <w:rsid w:val="00FB680E"/>
    <w:rsid w:val="00FB738F"/>
    <w:rsid w:val="00FC16AA"/>
    <w:rsid w:val="00FC3417"/>
    <w:rsid w:val="00FC49E0"/>
    <w:rsid w:val="00FC4F6B"/>
    <w:rsid w:val="00FC7F70"/>
    <w:rsid w:val="00FD3DBB"/>
    <w:rsid w:val="00FD6292"/>
    <w:rsid w:val="00FE30D2"/>
    <w:rsid w:val="00FF0D64"/>
    <w:rsid w:val="00FF10B6"/>
    <w:rsid w:val="00FF177B"/>
    <w:rsid w:val="00FF2D26"/>
    <w:rsid w:val="00FF2E6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6081">
      <o:colormenu v:ext="edit" fillcolor="none [2409]" strokecolor="none"/>
    </o:shapedefaults>
    <o:shapelayout v:ext="edit">
      <o:idmap v:ext="edit" data="1"/>
      <o:rules v:ext="edit">
        <o:r id="V:Rule32" type="connector" idref="#_x0000_s1325"/>
        <o:r id="V:Rule33" type="connector" idref="#_x0000_s1266"/>
        <o:r id="V:Rule34" type="connector" idref="#_x0000_s1097">
          <o:proxy start="" idref="#_x0000_s1090" connectloc="0"/>
          <o:proxy end="" idref="#_x0000_s1096" connectloc="2"/>
        </o:r>
        <o:r id="V:Rule35" type="connector" idref="#_x0000_s1095">
          <o:proxy start="" idref="#_x0000_s1089" connectloc="0"/>
        </o:r>
        <o:r id="V:Rule36" type="connector" idref="#_x0000_s1329"/>
        <o:r id="V:Rule37" type="connector" idref="#_x0000_s1293"/>
        <o:r id="V:Rule38" type="connector" idref="#_x0000_s1322">
          <o:proxy end="" idref="#_x0000_s1088" connectloc="2"/>
        </o:r>
        <o:r id="V:Rule39" type="connector" idref="#_x0000_s1260"/>
        <o:r id="V:Rule40" type="connector" idref="#_x0000_s1273"/>
        <o:r id="V:Rule41" type="connector" idref="#_x0000_s1105"/>
        <o:r id="V:Rule42" type="connector" idref="#_x0000_s1281"/>
        <o:r id="V:Rule43" type="connector" idref="#_x0000_s1104">
          <o:proxy start="" idref="#_x0000_s1096" connectloc="0"/>
        </o:r>
        <o:r id="V:Rule44" type="connector" idref="#_x0000_s1100">
          <o:proxy end="" idref="#_x0000_s1096" connectloc="2"/>
        </o:r>
        <o:r id="V:Rule45" type="connector" idref="#_x0000_s1311"/>
        <o:r id="V:Rule46" type="connector" idref="#_x0000_s1253"/>
        <o:r id="V:Rule47" type="connector" idref="#_x0000_s1103">
          <o:proxy start="" idref="#_x0000_s1101" connectloc="3"/>
          <o:proxy end="" idref="#_x0000_s1102" connectloc="1"/>
        </o:r>
        <o:r id="V:Rule48" type="connector" idref="#_x0000_s1084">
          <o:proxy start="" idref="#_x0000_s1083" connectloc="0"/>
          <o:proxy end="" idref="#_x0000_s1085" connectloc="2"/>
        </o:r>
        <o:r id="V:Rule49" type="connector" idref="#_x0000_s1091">
          <o:proxy start="" idref="#_x0000_s1086" connectloc="0"/>
          <o:proxy end="" idref="#_x0000_s1090" connectloc="2"/>
        </o:r>
        <o:r id="V:Rule50" type="connector" idref="#_x0000_s1272"/>
        <o:r id="V:Rule51" type="connector" idref="#_x0000_s1268"/>
        <o:r id="V:Rule52" type="connector" idref="#_x0000_s1087">
          <o:proxy start="" idref="#_x0000_s1085" connectloc="0"/>
          <o:proxy end="" idref="#_x0000_s1086" connectloc="2"/>
        </o:r>
        <o:r id="V:Rule53" type="connector" idref="#_x0000_s1261"/>
        <o:r id="V:Rule54" type="connector" idref="#_x0000_s1286"/>
        <o:r id="V:Rule55" type="connector" idref="#_x0000_s1306"/>
        <o:r id="V:Rule56" type="connector" idref="#_x0000_s1399"/>
        <o:r id="V:Rule57" type="connector" idref="#_x0000_s1099">
          <o:proxy start="" idref="#_x0000_s1088" connectloc="0"/>
          <o:proxy end="" idref="#_x0000_s1098" connectloc="2"/>
        </o:r>
        <o:r id="V:Rule58" type="connector" idref="#_x0000_s1294"/>
        <o:r id="V:Rule59" type="connector" idref="#_x0000_s1321"/>
        <o:r id="V:Rule60" type="connector" idref="#_x0000_s1324"/>
        <o:r id="V:Rule61" type="connector" idref="#_x0000_s1287"/>
        <o:r id="V:Rule62" type="connector" idref="#_x0000_s1292"/>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19A"/>
    <w:pPr>
      <w:spacing w:after="200" w:line="276" w:lineRule="auto"/>
    </w:pPr>
    <w:rPr>
      <w:sz w:val="22"/>
      <w:szCs w:val="22"/>
      <w:lang w:eastAsia="en-US"/>
    </w:rPr>
  </w:style>
  <w:style w:type="paragraph" w:styleId="Ttulo1">
    <w:name w:val="heading 1"/>
    <w:basedOn w:val="Normal"/>
    <w:next w:val="Normal"/>
    <w:link w:val="Ttulo1Char"/>
    <w:uiPriority w:val="9"/>
    <w:qFormat/>
    <w:rsid w:val="001034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har"/>
    <w:qFormat/>
    <w:rsid w:val="003C41E3"/>
    <w:pPr>
      <w:keepNext/>
      <w:spacing w:before="120" w:after="120" w:line="240" w:lineRule="auto"/>
      <w:outlineLvl w:val="3"/>
    </w:pPr>
    <w:rPr>
      <w:rFonts w:ascii="Arial" w:eastAsia="Times New Roman" w:hAnsi="Arial"/>
      <w:b/>
      <w:sz w:val="28"/>
      <w:szCs w:val="20"/>
      <w:lang w:eastAsia="pt-BR"/>
    </w:rPr>
  </w:style>
  <w:style w:type="paragraph" w:styleId="Ttulo6">
    <w:name w:val="heading 6"/>
    <w:basedOn w:val="Normal"/>
    <w:next w:val="Normal"/>
    <w:link w:val="Ttulo6Char"/>
    <w:qFormat/>
    <w:rsid w:val="003C41E3"/>
    <w:pPr>
      <w:keepNext/>
      <w:spacing w:before="120" w:after="120" w:line="240" w:lineRule="auto"/>
      <w:ind w:left="643" w:hanging="643"/>
      <w:jc w:val="both"/>
      <w:outlineLvl w:val="5"/>
    </w:pPr>
    <w:rPr>
      <w:rFonts w:ascii="Arial" w:eastAsia="Times New Roman" w:hAnsi="Arial"/>
      <w:b/>
      <w:color w:val="000000"/>
      <w:sz w:val="24"/>
      <w:szCs w:val="20"/>
      <w:lang w:eastAsia="pt-BR"/>
    </w:rPr>
  </w:style>
  <w:style w:type="paragraph" w:styleId="Ttulo7">
    <w:name w:val="heading 7"/>
    <w:basedOn w:val="Normal"/>
    <w:next w:val="Normal"/>
    <w:link w:val="Ttulo7Char"/>
    <w:qFormat/>
    <w:rsid w:val="003C41E3"/>
    <w:pPr>
      <w:keepNext/>
      <w:spacing w:after="0" w:line="240" w:lineRule="auto"/>
      <w:jc w:val="center"/>
      <w:outlineLvl w:val="6"/>
    </w:pPr>
    <w:rPr>
      <w:rFonts w:ascii="Arial" w:eastAsia="Times New Roman" w:hAnsi="Arial"/>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2519A"/>
    <w:pPr>
      <w:ind w:left="720"/>
      <w:contextualSpacing/>
    </w:pPr>
  </w:style>
  <w:style w:type="paragraph" w:styleId="Textodenotaderodap">
    <w:name w:val="footnote text"/>
    <w:aliases w:val="fn"/>
    <w:basedOn w:val="Normal"/>
    <w:link w:val="TextodenotaderodapChar"/>
    <w:uiPriority w:val="99"/>
    <w:unhideWhenUsed/>
    <w:rsid w:val="0002519A"/>
    <w:pPr>
      <w:spacing w:after="0" w:line="240" w:lineRule="auto"/>
    </w:pPr>
    <w:rPr>
      <w:sz w:val="20"/>
      <w:szCs w:val="20"/>
    </w:rPr>
  </w:style>
  <w:style w:type="character" w:customStyle="1" w:styleId="TextodenotaderodapChar">
    <w:name w:val="Texto de nota de rodapé Char"/>
    <w:aliases w:val="fn Char"/>
    <w:basedOn w:val="Fontepargpadro"/>
    <w:link w:val="Textodenotaderodap"/>
    <w:uiPriority w:val="99"/>
    <w:rsid w:val="0002519A"/>
    <w:rPr>
      <w:sz w:val="20"/>
      <w:szCs w:val="20"/>
    </w:rPr>
  </w:style>
  <w:style w:type="character" w:styleId="Refdenotaderodap">
    <w:name w:val="footnote reference"/>
    <w:basedOn w:val="Fontepargpadro"/>
    <w:uiPriority w:val="99"/>
    <w:unhideWhenUsed/>
    <w:rsid w:val="0002519A"/>
    <w:rPr>
      <w:vertAlign w:val="superscript"/>
    </w:rPr>
  </w:style>
  <w:style w:type="paragraph" w:styleId="Textodebalo">
    <w:name w:val="Balloon Text"/>
    <w:basedOn w:val="Normal"/>
    <w:link w:val="TextodebaloChar"/>
    <w:uiPriority w:val="99"/>
    <w:semiHidden/>
    <w:unhideWhenUsed/>
    <w:rsid w:val="0002519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2519A"/>
    <w:rPr>
      <w:rFonts w:ascii="Tahoma" w:eastAsia="Calibri" w:hAnsi="Tahoma" w:cs="Tahoma"/>
      <w:sz w:val="16"/>
      <w:szCs w:val="16"/>
    </w:rPr>
  </w:style>
  <w:style w:type="paragraph" w:customStyle="1" w:styleId="Normal-Corpodetexto">
    <w:name w:val="Normal - Corpo de texto"/>
    <w:basedOn w:val="Normal"/>
    <w:qFormat/>
    <w:rsid w:val="0002519A"/>
    <w:pPr>
      <w:ind w:firstLine="709"/>
      <w:jc w:val="both"/>
    </w:pPr>
    <w:rPr>
      <w:sz w:val="24"/>
    </w:rPr>
  </w:style>
  <w:style w:type="paragraph" w:styleId="Legenda">
    <w:name w:val="caption"/>
    <w:basedOn w:val="Normal"/>
    <w:next w:val="Normal"/>
    <w:uiPriority w:val="35"/>
    <w:unhideWhenUsed/>
    <w:qFormat/>
    <w:rsid w:val="0002519A"/>
    <w:pPr>
      <w:spacing w:line="240" w:lineRule="auto"/>
    </w:pPr>
    <w:rPr>
      <w:b/>
      <w:bCs/>
      <w:color w:val="4F81BD"/>
      <w:sz w:val="18"/>
      <w:szCs w:val="18"/>
    </w:rPr>
  </w:style>
  <w:style w:type="paragraph" w:styleId="Cabealho">
    <w:name w:val="header"/>
    <w:basedOn w:val="Normal"/>
    <w:link w:val="CabealhoChar"/>
    <w:unhideWhenUsed/>
    <w:rsid w:val="0002519A"/>
    <w:pPr>
      <w:tabs>
        <w:tab w:val="center" w:pos="4252"/>
        <w:tab w:val="right" w:pos="8504"/>
      </w:tabs>
      <w:spacing w:after="0" w:line="240" w:lineRule="auto"/>
    </w:pPr>
  </w:style>
  <w:style w:type="character" w:customStyle="1" w:styleId="CabealhoChar">
    <w:name w:val="Cabeçalho Char"/>
    <w:basedOn w:val="Fontepargpadro"/>
    <w:link w:val="Cabealho"/>
    <w:rsid w:val="0002519A"/>
    <w:rPr>
      <w:rFonts w:ascii="Calibri" w:eastAsia="Calibri" w:hAnsi="Calibri" w:cs="Times New Roman"/>
    </w:rPr>
  </w:style>
  <w:style w:type="paragraph" w:styleId="Rodap">
    <w:name w:val="footer"/>
    <w:basedOn w:val="Normal"/>
    <w:link w:val="RodapChar"/>
    <w:uiPriority w:val="99"/>
    <w:unhideWhenUsed/>
    <w:rsid w:val="0002519A"/>
    <w:pPr>
      <w:tabs>
        <w:tab w:val="center" w:pos="4252"/>
        <w:tab w:val="right" w:pos="8504"/>
      </w:tabs>
      <w:spacing w:after="0" w:line="240" w:lineRule="auto"/>
    </w:pPr>
  </w:style>
  <w:style w:type="character" w:customStyle="1" w:styleId="RodapChar">
    <w:name w:val="Rodapé Char"/>
    <w:basedOn w:val="Fontepargpadro"/>
    <w:link w:val="Rodap"/>
    <w:uiPriority w:val="99"/>
    <w:rsid w:val="0002519A"/>
    <w:rPr>
      <w:rFonts w:ascii="Calibri" w:eastAsia="Calibri" w:hAnsi="Calibri" w:cs="Times New Roman"/>
    </w:rPr>
  </w:style>
  <w:style w:type="table" w:styleId="Tabelacomgrade">
    <w:name w:val="Table Grid"/>
    <w:basedOn w:val="Tabelanormal"/>
    <w:uiPriority w:val="59"/>
    <w:rsid w:val="000251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02519A"/>
    <w:pPr>
      <w:spacing w:before="100" w:beforeAutospacing="1" w:after="100" w:afterAutospacing="1" w:line="240" w:lineRule="auto"/>
    </w:pPr>
    <w:rPr>
      <w:rFonts w:ascii="Times New Roman" w:eastAsia="Times New Roman" w:hAnsi="Times New Roman"/>
      <w:sz w:val="24"/>
      <w:szCs w:val="24"/>
      <w:lang w:eastAsia="pt-BR"/>
    </w:rPr>
  </w:style>
  <w:style w:type="paragraph" w:styleId="Bibliografia">
    <w:name w:val="Bibliography"/>
    <w:basedOn w:val="Normal"/>
    <w:next w:val="Normal"/>
    <w:uiPriority w:val="37"/>
    <w:unhideWhenUsed/>
    <w:rsid w:val="0002519A"/>
  </w:style>
  <w:style w:type="character" w:customStyle="1" w:styleId="st1">
    <w:name w:val="st1"/>
    <w:basedOn w:val="Fontepargpadro"/>
    <w:rsid w:val="0002519A"/>
  </w:style>
  <w:style w:type="character" w:styleId="Refdecomentrio">
    <w:name w:val="annotation reference"/>
    <w:basedOn w:val="Fontepargpadro"/>
    <w:uiPriority w:val="99"/>
    <w:semiHidden/>
    <w:unhideWhenUsed/>
    <w:rsid w:val="0002519A"/>
    <w:rPr>
      <w:sz w:val="16"/>
      <w:szCs w:val="16"/>
    </w:rPr>
  </w:style>
  <w:style w:type="paragraph" w:styleId="Textodecomentrio">
    <w:name w:val="annotation text"/>
    <w:basedOn w:val="Normal"/>
    <w:link w:val="TextodecomentrioChar"/>
    <w:uiPriority w:val="99"/>
    <w:unhideWhenUsed/>
    <w:rsid w:val="0002519A"/>
    <w:pPr>
      <w:spacing w:line="240" w:lineRule="auto"/>
    </w:pPr>
    <w:rPr>
      <w:sz w:val="20"/>
      <w:szCs w:val="20"/>
    </w:rPr>
  </w:style>
  <w:style w:type="character" w:customStyle="1" w:styleId="TextodecomentrioChar">
    <w:name w:val="Texto de comentário Char"/>
    <w:basedOn w:val="Fontepargpadro"/>
    <w:link w:val="Textodecomentrio"/>
    <w:uiPriority w:val="99"/>
    <w:rsid w:val="0002519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2519A"/>
    <w:rPr>
      <w:b/>
      <w:bCs/>
    </w:rPr>
  </w:style>
  <w:style w:type="character" w:customStyle="1" w:styleId="AssuntodocomentrioChar">
    <w:name w:val="Assunto do comentário Char"/>
    <w:basedOn w:val="TextodecomentrioChar"/>
    <w:link w:val="Assuntodocomentrio"/>
    <w:uiPriority w:val="99"/>
    <w:semiHidden/>
    <w:rsid w:val="0002519A"/>
    <w:rPr>
      <w:b/>
      <w:bCs/>
    </w:rPr>
  </w:style>
  <w:style w:type="character" w:styleId="Hyperlink">
    <w:name w:val="Hyperlink"/>
    <w:basedOn w:val="Fontepargpadro"/>
    <w:uiPriority w:val="99"/>
    <w:unhideWhenUsed/>
    <w:rsid w:val="0002519A"/>
    <w:rPr>
      <w:color w:val="0000FF"/>
      <w:u w:val="single"/>
    </w:rPr>
  </w:style>
  <w:style w:type="paragraph" w:customStyle="1" w:styleId="Default">
    <w:name w:val="Default"/>
    <w:rsid w:val="0002519A"/>
    <w:pPr>
      <w:autoSpaceDE w:val="0"/>
      <w:autoSpaceDN w:val="0"/>
      <w:adjustRightInd w:val="0"/>
    </w:pPr>
    <w:rPr>
      <w:rFonts w:ascii="Times New Roman" w:hAnsi="Times New Roman"/>
      <w:color w:val="000000"/>
      <w:sz w:val="24"/>
      <w:szCs w:val="24"/>
      <w:lang w:eastAsia="en-US"/>
    </w:rPr>
  </w:style>
  <w:style w:type="character" w:customStyle="1" w:styleId="Ttulo4Char">
    <w:name w:val="Título 4 Char"/>
    <w:basedOn w:val="Fontepargpadro"/>
    <w:link w:val="Ttulo4"/>
    <w:rsid w:val="003C41E3"/>
    <w:rPr>
      <w:rFonts w:ascii="Arial" w:eastAsia="Times New Roman" w:hAnsi="Arial"/>
      <w:b/>
      <w:sz w:val="28"/>
    </w:rPr>
  </w:style>
  <w:style w:type="character" w:customStyle="1" w:styleId="Ttulo6Char">
    <w:name w:val="Título 6 Char"/>
    <w:basedOn w:val="Fontepargpadro"/>
    <w:link w:val="Ttulo6"/>
    <w:rsid w:val="003C41E3"/>
    <w:rPr>
      <w:rFonts w:ascii="Arial" w:eastAsia="Times New Roman" w:hAnsi="Arial"/>
      <w:b/>
      <w:color w:val="000000"/>
      <w:sz w:val="24"/>
    </w:rPr>
  </w:style>
  <w:style w:type="character" w:customStyle="1" w:styleId="Ttulo7Char">
    <w:name w:val="Título 7 Char"/>
    <w:basedOn w:val="Fontepargpadro"/>
    <w:link w:val="Ttulo7"/>
    <w:rsid w:val="003C41E3"/>
    <w:rPr>
      <w:rFonts w:ascii="Arial" w:eastAsia="Times New Roman" w:hAnsi="Arial"/>
      <w:sz w:val="24"/>
    </w:rPr>
  </w:style>
  <w:style w:type="paragraph" w:styleId="Recuodecorpodetexto2">
    <w:name w:val="Body Text Indent 2"/>
    <w:basedOn w:val="Normal"/>
    <w:link w:val="Recuodecorpodetexto2Char"/>
    <w:semiHidden/>
    <w:rsid w:val="003C41E3"/>
    <w:pPr>
      <w:spacing w:after="0" w:line="240" w:lineRule="auto"/>
      <w:ind w:firstLine="1440"/>
      <w:jc w:val="both"/>
    </w:pPr>
    <w:rPr>
      <w:rFonts w:ascii="Arial" w:eastAsia="Times New Roman" w:hAnsi="Arial" w:cs="Arial"/>
      <w:szCs w:val="24"/>
      <w:lang w:eastAsia="pt-BR"/>
    </w:rPr>
  </w:style>
  <w:style w:type="character" w:customStyle="1" w:styleId="Recuodecorpodetexto2Char">
    <w:name w:val="Recuo de corpo de texto 2 Char"/>
    <w:basedOn w:val="Fontepargpadro"/>
    <w:link w:val="Recuodecorpodetexto2"/>
    <w:semiHidden/>
    <w:rsid w:val="003C41E3"/>
    <w:rPr>
      <w:rFonts w:ascii="Arial" w:eastAsia="Times New Roman" w:hAnsi="Arial" w:cs="Arial"/>
      <w:sz w:val="22"/>
      <w:szCs w:val="24"/>
    </w:rPr>
  </w:style>
  <w:style w:type="paragraph" w:styleId="Recuodecorpodetexto3">
    <w:name w:val="Body Text Indent 3"/>
    <w:basedOn w:val="Normal"/>
    <w:link w:val="Recuodecorpodetexto3Char"/>
    <w:semiHidden/>
    <w:rsid w:val="003C41E3"/>
    <w:pPr>
      <w:spacing w:before="120" w:after="120" w:line="240" w:lineRule="auto"/>
      <w:ind w:firstLine="1701"/>
      <w:jc w:val="both"/>
    </w:pPr>
    <w:rPr>
      <w:rFonts w:ascii="Arial" w:eastAsia="Times New Roman" w:hAnsi="Arial"/>
      <w:color w:val="000000"/>
      <w:sz w:val="24"/>
      <w:szCs w:val="20"/>
      <w:lang w:eastAsia="pt-BR"/>
    </w:rPr>
  </w:style>
  <w:style w:type="character" w:customStyle="1" w:styleId="Recuodecorpodetexto3Char">
    <w:name w:val="Recuo de corpo de texto 3 Char"/>
    <w:basedOn w:val="Fontepargpadro"/>
    <w:link w:val="Recuodecorpodetexto3"/>
    <w:semiHidden/>
    <w:rsid w:val="003C41E3"/>
    <w:rPr>
      <w:rFonts w:ascii="Arial" w:eastAsia="Times New Roman" w:hAnsi="Arial"/>
      <w:color w:val="000000"/>
      <w:sz w:val="24"/>
    </w:rPr>
  </w:style>
  <w:style w:type="character" w:customStyle="1" w:styleId="Ttulo1Char">
    <w:name w:val="Título 1 Char"/>
    <w:basedOn w:val="Fontepargpadro"/>
    <w:link w:val="Ttulo1"/>
    <w:uiPriority w:val="9"/>
    <w:rsid w:val="00103485"/>
    <w:rPr>
      <w:rFonts w:asciiTheme="majorHAnsi" w:eastAsiaTheme="majorEastAsia" w:hAnsiTheme="majorHAnsi" w:cstheme="majorBidi"/>
      <w:b/>
      <w:bCs/>
      <w:color w:val="365F91" w:themeColor="accent1" w:themeShade="BF"/>
      <w:sz w:val="28"/>
      <w:szCs w:val="28"/>
      <w:lang w:eastAsia="en-US"/>
    </w:rPr>
  </w:style>
  <w:style w:type="character" w:styleId="Nmerodepgina">
    <w:name w:val="page number"/>
    <w:basedOn w:val="Fontepargpadro"/>
    <w:semiHidden/>
    <w:rsid w:val="00103485"/>
  </w:style>
  <w:style w:type="paragraph" w:customStyle="1" w:styleId="CorpoTExto">
    <w:name w:val="CorpoTExto"/>
    <w:basedOn w:val="Normal"/>
    <w:qFormat/>
    <w:rsid w:val="00103485"/>
    <w:pPr>
      <w:tabs>
        <w:tab w:val="left" w:pos="1418"/>
      </w:tabs>
      <w:spacing w:line="240" w:lineRule="auto"/>
      <w:ind w:firstLine="1418"/>
      <w:jc w:val="both"/>
    </w:pPr>
    <w:rPr>
      <w:rFonts w:ascii="Times New Roman" w:eastAsia="Times New Roman" w:hAnsi="Times New Roman"/>
      <w:sz w:val="24"/>
      <w:szCs w:val="20"/>
      <w:lang w:eastAsia="pt-BR"/>
    </w:rPr>
  </w:style>
  <w:style w:type="paragraph" w:customStyle="1" w:styleId="LegendaTabTitulo">
    <w:name w:val="LegendaTabTitulo"/>
    <w:basedOn w:val="Normal"/>
    <w:link w:val="LegendaTabTituloChar"/>
    <w:qFormat/>
    <w:rsid w:val="00103485"/>
    <w:pPr>
      <w:spacing w:after="80" w:line="240" w:lineRule="auto"/>
    </w:pPr>
    <w:rPr>
      <w:rFonts w:ascii="Times New Roman" w:eastAsia="Times New Roman" w:hAnsi="Times New Roman"/>
      <w:szCs w:val="20"/>
      <w:lang w:eastAsia="pt-BR"/>
    </w:rPr>
  </w:style>
  <w:style w:type="character" w:customStyle="1" w:styleId="LegendaTabTituloChar">
    <w:name w:val="LegendaTabTitulo Char"/>
    <w:basedOn w:val="Fontepargpadro"/>
    <w:link w:val="LegendaTabTitulo"/>
    <w:rsid w:val="00103485"/>
    <w:rPr>
      <w:rFonts w:ascii="Times New Roman" w:eastAsia="Times New Roman" w:hAnsi="Times New Roman"/>
      <w:sz w:val="22"/>
    </w:rPr>
  </w:style>
  <w:style w:type="paragraph" w:customStyle="1" w:styleId="Texto">
    <w:name w:val="Texto"/>
    <w:basedOn w:val="Normal"/>
    <w:autoRedefine/>
    <w:rsid w:val="00A05FD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line="240" w:lineRule="auto"/>
      <w:ind w:firstLine="567"/>
      <w:jc w:val="both"/>
    </w:pPr>
    <w:rPr>
      <w:rFonts w:ascii="Arial" w:eastAsia="Times New Roman" w:hAnsi="Arial"/>
      <w:color w:val="000080"/>
      <w:sz w:val="20"/>
      <w:szCs w:val="20"/>
      <w:lang w:eastAsia="pt-BR"/>
    </w:rPr>
  </w:style>
  <w:style w:type="paragraph" w:styleId="Ttulo">
    <w:name w:val="Title"/>
    <w:basedOn w:val="Normal"/>
    <w:link w:val="TtuloChar"/>
    <w:qFormat/>
    <w:rsid w:val="00676DC1"/>
    <w:pPr>
      <w:spacing w:after="0" w:line="240" w:lineRule="auto"/>
      <w:jc w:val="center"/>
    </w:pPr>
    <w:rPr>
      <w:rFonts w:ascii="Times New Roman" w:eastAsia="Times New Roman" w:hAnsi="Times New Roman"/>
      <w:sz w:val="24"/>
      <w:szCs w:val="20"/>
      <w:lang w:eastAsia="pt-BR"/>
    </w:rPr>
  </w:style>
  <w:style w:type="character" w:customStyle="1" w:styleId="TtuloChar">
    <w:name w:val="Título Char"/>
    <w:basedOn w:val="Fontepargpadro"/>
    <w:link w:val="Ttulo"/>
    <w:rsid w:val="00676DC1"/>
    <w:rPr>
      <w:rFonts w:ascii="Times New Roman" w:eastAsia="Times New Roman" w:hAnsi="Times New Roman"/>
      <w:sz w:val="24"/>
    </w:rPr>
  </w:style>
  <w:style w:type="paragraph" w:styleId="Textodenotadefim">
    <w:name w:val="endnote text"/>
    <w:basedOn w:val="Normal"/>
    <w:link w:val="TextodenotadefimChar"/>
    <w:semiHidden/>
    <w:rsid w:val="00E03752"/>
    <w:pPr>
      <w:spacing w:after="0" w:line="240" w:lineRule="auto"/>
    </w:pPr>
    <w:rPr>
      <w:rFonts w:ascii="Times New Roman" w:eastAsia="Times New Roman" w:hAnsi="Times New Roman"/>
      <w:sz w:val="20"/>
      <w:szCs w:val="20"/>
      <w:lang w:val="en-US"/>
    </w:rPr>
  </w:style>
  <w:style w:type="character" w:customStyle="1" w:styleId="TextodenotadefimChar">
    <w:name w:val="Texto de nota de fim Char"/>
    <w:basedOn w:val="Fontepargpadro"/>
    <w:link w:val="Textodenotadefim"/>
    <w:semiHidden/>
    <w:rsid w:val="00E03752"/>
    <w:rPr>
      <w:rFonts w:ascii="Times New Roman" w:eastAsia="Times New Roman" w:hAnsi="Times New Roman"/>
      <w:lang w:val="en-US"/>
    </w:rPr>
  </w:style>
</w:styles>
</file>

<file path=word/webSettings.xml><?xml version="1.0" encoding="utf-8"?>
<w:webSettings xmlns:r="http://schemas.openxmlformats.org/officeDocument/2006/relationships" xmlns:w="http://schemas.openxmlformats.org/wordprocessingml/2006/main">
  <w:divs>
    <w:div w:id="718436954">
      <w:bodyDiv w:val="1"/>
      <w:marLeft w:val="0"/>
      <w:marRight w:val="0"/>
      <w:marTop w:val="0"/>
      <w:marBottom w:val="0"/>
      <w:divBdr>
        <w:top w:val="none" w:sz="0" w:space="0" w:color="auto"/>
        <w:left w:val="none" w:sz="0" w:space="0" w:color="auto"/>
        <w:bottom w:val="none" w:sz="0" w:space="0" w:color="auto"/>
        <w:right w:val="none" w:sz="0" w:space="0" w:color="auto"/>
      </w:divBdr>
    </w:div>
    <w:div w:id="1067191693">
      <w:bodyDiv w:val="1"/>
      <w:marLeft w:val="0"/>
      <w:marRight w:val="0"/>
      <w:marTop w:val="0"/>
      <w:marBottom w:val="0"/>
      <w:divBdr>
        <w:top w:val="none" w:sz="0" w:space="0" w:color="auto"/>
        <w:left w:val="none" w:sz="0" w:space="0" w:color="auto"/>
        <w:bottom w:val="none" w:sz="0" w:space="0" w:color="auto"/>
        <w:right w:val="none" w:sz="0" w:space="0" w:color="auto"/>
      </w:divBdr>
      <w:divsChild>
        <w:div w:id="1045790434">
          <w:marLeft w:val="0"/>
          <w:marRight w:val="0"/>
          <w:marTop w:val="0"/>
          <w:marBottom w:val="0"/>
          <w:divBdr>
            <w:top w:val="none" w:sz="0" w:space="0" w:color="auto"/>
            <w:left w:val="none" w:sz="0" w:space="0" w:color="auto"/>
            <w:bottom w:val="none" w:sz="0" w:space="0" w:color="auto"/>
            <w:right w:val="none" w:sz="0" w:space="0" w:color="auto"/>
          </w:divBdr>
          <w:divsChild>
            <w:div w:id="719784332">
              <w:marLeft w:val="0"/>
              <w:marRight w:val="0"/>
              <w:marTop w:val="0"/>
              <w:marBottom w:val="0"/>
              <w:divBdr>
                <w:top w:val="none" w:sz="0" w:space="0" w:color="auto"/>
                <w:left w:val="none" w:sz="0" w:space="0" w:color="auto"/>
                <w:bottom w:val="none" w:sz="0" w:space="0" w:color="auto"/>
                <w:right w:val="none" w:sz="0" w:space="0" w:color="auto"/>
              </w:divBdr>
              <w:divsChild>
                <w:div w:id="1004094236">
                  <w:marLeft w:val="0"/>
                  <w:marRight w:val="0"/>
                  <w:marTop w:val="0"/>
                  <w:marBottom w:val="0"/>
                  <w:divBdr>
                    <w:top w:val="none" w:sz="0" w:space="0" w:color="auto"/>
                    <w:left w:val="none" w:sz="0" w:space="0" w:color="auto"/>
                    <w:bottom w:val="none" w:sz="0" w:space="0" w:color="auto"/>
                    <w:right w:val="none" w:sz="0" w:space="0" w:color="auto"/>
                  </w:divBdr>
                  <w:divsChild>
                    <w:div w:id="3174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footer" Target="footer5.xm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1.jpeg"/><Relationship Id="rId33" Type="http://schemas.openxmlformats.org/officeDocument/2006/relationships/footer" Target="footer4.xml"/><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eader" Target="header5.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6.xml"/><Relationship Id="rId49"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6.xml"/><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ma.gov.br/estruturas/163/_arquivos/proconve_16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b:Source>
    <b:Tag>ABR86</b:Tag>
    <b:SourceType>Misc</b:SourceType>
    <b:Guid>{F376F5BC-A2E4-428C-92A0-4E182C92B8FA}</b:Guid>
    <b:LCID>0</b:LCID>
    <b:Author>
      <b:Author>
        <b:NameList>
          <b:Person>
            <b:Last>ABRAMO</b:Last>
            <b:First>G</b:First>
            <b:Middle>P</b:Middle>
          </b:Person>
          <b:Person>
            <b:Last>HOROWITZ</b:Last>
            <b:First>A</b:First>
            <b:Middle>M</b:Middle>
          </b:Person>
          <b:Person>
            <b:Last>TREWELLA</b:Last>
            <b:First>J</b:First>
            <b:Middle>C</b:Middle>
          </b:Person>
        </b:NameList>
      </b:Author>
    </b:Author>
    <b:Title>Port fuel injector cleanliness studies</b:Title>
    <b:Year>1986</b:Year>
    <b:StandardNumber>SAE Paper 861535</b:StandardNumber>
    <b:City>Philadelphia</b:City>
    <b:Publisher>SAE</b:Publisher>
    <b:PublicationTitle>International fuels and lubricants meeting and exposition</b:PublicationTitle>
    <b:RefOrder>1</b:RefOrder>
  </b:Source>
  <b:Source>
    <b:Tag>BEN86</b:Tag>
    <b:SourceType>Misc</b:SourceType>
    <b:Guid>{7223DE5A-592C-4B12-AADA-6E93D882C84E}</b:Guid>
    <b:LCID>1033</b:LCID>
    <b:Author>
      <b:Author>
        <b:NameList>
          <b:Person>
            <b:Last>BENSON</b:Last>
            <b:First>J</b:First>
            <b:Middle>D</b:Middle>
          </b:Person>
          <b:Person>
            <b:Last>YACCARINO</b:Last>
            <b:First>P</b:First>
          </b:Person>
        </b:NameList>
      </b:Author>
    </b:Author>
    <b:Title>Fuel and additive effects on multiport fuel injector deposits</b:Title>
    <b:Year>1986</b:Year>
    <b:Publisher>SAE</b:Publisher>
    <b:StandardNumber>SAE Paper 861533</b:StandardNumber>
    <b:RefOrder>2</b:RefOrder>
  </b:Source>
  <b:Source>
    <b:Tag>BIT87</b:Tag>
    <b:SourceType>Misc</b:SourceType>
    <b:Guid>{8B0C306E-3B09-47B8-8D47-19F5A215D9A9}</b:Guid>
    <b:LCID>1033</b:LCID>
    <b:Author>
      <b:Author>
        <b:NameList>
          <b:Person>
            <b:Last>BITTING</b:Last>
            <b:First>W</b:First>
          </b:Person>
          <b:Person>
            <b:Last>GSCHWENDTNER</b:Last>
            <b:First>F</b:First>
          </b:Person>
          <b:Person>
            <b:Last>KOHLEPP</b:Last>
            <b:First>W</b:First>
          </b:Person>
          <b:Person>
            <b:Last>KOTHE</b:Last>
            <b:First>M</b:First>
          </b:Person>
          <b:Person>
            <b:Last>TESTVOET</b:Last>
            <b:First>C</b:First>
            <b:Middle>J</b:Middle>
          </b:Person>
          <b:Person>
            <b:Last>ZIWICA</b:Last>
            <b:First>K</b:First>
            <b:Middle>H</b:Middle>
          </b:Person>
        </b:NameList>
      </b:Author>
    </b:Author>
    <b:Title>Intake valve deposit - fuel detergency requirements revisited</b:Title>
    <b:Year>1987</b:Year>
    <b:Publisher>SAE</b:Publisher>
    <b:StandardNumber>SAE Paper 872117</b:StandardNumber>
    <b:RefOrder>3</b:RefOrder>
  </b:Source>
  <b:Source>
    <b:Tag>FRA72</b:Tag>
    <b:SourceType>Misc</b:SourceType>
    <b:Guid>{ACDD7733-0708-4A15-B19F-745403FA05BC}</b:Guid>
    <b:LCID>0</b:LCID>
    <b:Author>
      <b:Author>
        <b:NameList>
          <b:Person>
            <b:Last>FRANKLIN</b:Last>
            <b:First>T</b:First>
            <b:Middle>M</b:Middle>
          </b:Person>
          <b:Person>
            <b:Last>STAMBAUGH</b:Last>
            <b:First>R</b:First>
            <b:Middle>L</b:Middle>
          </b:Person>
          <b:Person>
            <b:Last>KUHN</b:Last>
            <b:First>R</b:First>
            <b:Middle>R</b:Middle>
          </b:Person>
        </b:NameList>
      </b:Author>
    </b:Author>
    <b:Title>Simulated road test evaluation of the effect of gasoline additives on exhaust gas emissions</b:Title>
    <b:Year>1972</b:Year>
    <b:Publisher>SAE</b:Publisher>
    <b:StandardNumber>SAE Paper 729042</b:StandardNumber>
    <b:RefOrder>4</b:RefOrder>
  </b:Source>
  <b:Source>
    <b:Tag>GET87</b:Tag>
    <b:SourceType>Misc</b:SourceType>
    <b:Guid>{A17B1DB7-6810-48B3-918C-0908F6E4BCB9}</b:Guid>
    <b:LCID>1033</b:LCID>
    <b:Author>
      <b:Author>
        <b:NameList>
          <b:Person>
            <b:Last>GETHING</b:Last>
            <b:First>J</b:First>
            <b:Middle>A</b:Middle>
          </b:Person>
        </b:NameList>
      </b:Author>
    </b:Author>
    <b:Title>Performance robbing aspects of intake valve and port deposits</b:Title>
    <b:Year>1987</b:Year>
    <b:Publisher>SAE</b:Publisher>
    <b:StandardNumber>SAE Paper 872116</b:StandardNumber>
    <b:RefOrder>5</b:RefOrder>
  </b:Source>
  <b:Source>
    <b:Tag>GIB79</b:Tag>
    <b:SourceType>Misc</b:SourceType>
    <b:Guid>{E2B52DD9-7EC4-4791-85E0-4D03A090399C}</b:Guid>
    <b:LCID>1033</b:LCID>
    <b:Author>
      <b:Author>
        <b:NameList>
          <b:Person>
            <b:Last>GIBBS</b:Last>
            <b:First>L</b:First>
            <b:Middle>M</b:Middle>
          </b:Person>
          <b:Person>
            <b:Last>RICHARDSON</b:Last>
            <b:First>C</b:First>
            <b:Middle>E</b:Middle>
          </b:Person>
        </b:NameList>
      </b:Author>
    </b:Author>
    <b:Title>Carburator deposits and their control</b:Title>
    <b:Year>1979</b:Year>
    <b:Publisher>SAE</b:Publisher>
    <b:StandardNumber>SAE Paper 790202</b:StandardNumber>
    <b:RefOrder>6</b:RefOrder>
  </b:Source>
  <b:Source>
    <b:Tag>HAL76</b:Tag>
    <b:SourceType>Misc</b:SourceType>
    <b:Guid>{C1F06CB0-9316-43AD-95A6-D70F3B0F268D}</b:Guid>
    <b:LCID>1033</b:LCID>
    <b:Author>
      <b:Author>
        <b:NameList>
          <b:Person>
            <b:Last>HALL</b:Last>
            <b:First>D</b:First>
            <b:Middle>W</b:Middle>
          </b:Person>
          <b:Person>
            <b:Last>GIBBS</b:Last>
            <b:First>L</b:First>
            <b:Middle>M</b:Middle>
          </b:Person>
        </b:NameList>
      </b:Author>
    </b:Author>
    <b:Title>Carburetor deposits - are clean throttle bodies enough?</b:Title>
    <b:Year>1976</b:Year>
    <b:Publisher>SAE</b:Publisher>
    <b:StandardNumber>SAE Paper 760752</b:StandardNumber>
    <b:RefOrder>7</b:RefOrder>
  </b:Source>
  <b:Source>
    <b:Tag>HOU</b:Tag>
    <b:SourceType>Misc</b:SourceType>
    <b:Guid>{0B6B0075-FE35-458D-B969-CFA8DD041DC8}</b:Guid>
    <b:LCID>0</b:LCID>
    <b:Author>
      <b:Author>
        <b:NameList>
          <b:Person>
            <b:Last>HOUSER</b:Last>
            <b:First>K</b:First>
          </b:Person>
          <b:Person>
            <b:Last>CROSBY</b:Last>
            <b:First>T</b:First>
          </b:Person>
        </b:NameList>
      </b:Author>
    </b:Author>
    <b:Title>The impact of intake valve deposits on exhaust emissions</b:Title>
    <b:Publisher>SAE Technical Paper Series</b:Publisher>
    <b:RefOrder>8</b:RefOrder>
  </b:Source>
  <b:Source>
    <b:Tag>KIP70</b:Tag>
    <b:SourceType>Misc</b:SourceType>
    <b:Guid>{8879FD4F-17EA-4CA8-B259-F5FAA3FB3BF4}</b:Guid>
    <b:LCID>1033</b:LCID>
    <b:Author>
      <b:Author>
        <b:NameList>
          <b:Person>
            <b:Last>KIPP</b:Last>
            <b:First>K</b:First>
            <b:Middle>L</b:Middle>
          </b:Person>
          <b:Person>
            <b:Last>INGAMELLS</b:Last>
            <b:First>J</b:First>
            <b:Middle>C</b:Middle>
          </b:Person>
          <b:Person>
            <b:Last>RICHARDSON</b:Last>
            <b:First>W</b:First>
            <b:Middle>L</b:Middle>
          </b:Person>
          <b:Person>
            <b:Last>DAVIS</b:Last>
            <b:First>C</b:First>
            <b:Middle>E</b:Middle>
          </b:Person>
        </b:NameList>
      </b:Author>
    </b:Author>
    <b:Title>Ability of gasoline additives to clean engines and reduce exhaust emissions</b:Title>
    <b:Year>1970</b:Year>
    <b:Publisher>SAE</b:Publisher>
    <b:StandardNumber>SAE Paper 700456</b:StandardNumber>
    <b:RefOrder>9</b:RefOrder>
  </b:Source>
  <b:Source>
    <b:Tag>NIS79</b:Tag>
    <b:SourceType>Misc</b:SourceType>
    <b:Guid>{C54D7702-62BC-47CA-A6A0-E1D38B018C03}</b:Guid>
    <b:LCID>0</b:LCID>
    <b:Author>
      <b:Author>
        <b:NameList>
          <b:Person>
            <b:Last>NISHIZAKI</b:Last>
            <b:First>T</b:First>
          </b:Person>
          <b:Person>
            <b:Last>MAEDA</b:Last>
            <b:First>Y</b:First>
          </b:Person>
          <b:Person>
            <b:Last>DATE</b:Last>
            <b:First>K</b:First>
          </b:Person>
          <b:Person>
            <b:Last>MAEDA</b:Last>
            <b:First>T</b:First>
          </b:Person>
        </b:NameList>
      </b:Author>
    </b:Author>
    <b:Title>The effect of fuel composition and fuel additives on intake system detergency of Japanese automobile engine</b:Title>
    <b:Year>1979</b:Year>
    <b:Publisher>SAE</b:Publisher>
    <b:StandardNumber>SAE Paper 79203</b:StandardNumber>
    <b:RefOrder>10</b:RefOrder>
  </b:Source>
  <b:Source>
    <b:Tag>RET72</b:Tag>
    <b:SourceType>Misc</b:SourceType>
    <b:Guid>{6DB8B696-31AD-4DA7-AE20-6209C7465B3B}</b:Guid>
    <b:LCID>0</b:LCID>
    <b:Author>
      <b:Author>
        <b:NameList>
          <b:Person>
            <b:Last>RETZLOFF</b:Last>
            <b:First>J</b:First>
            <b:Middle>B</b:Middle>
          </b:Person>
          <b:Person>
            <b:Last>L</b:Last>
            <b:First>PLONSKER</b:First>
          </b:Person>
          <b:Person>
            <b:Last>SNEED</b:Last>
            <b:First>R</b:First>
            <b:Middle>B</b:Middle>
          </b:Person>
        </b:NameList>
      </b:Author>
    </b:Author>
    <b:Title>Fuels detergency-effects on emissions</b:Title>
    <b:Year>1972</b:Year>
    <b:Publisher>SAE</b:Publisher>
    <b:StandardNumber>SAE Paper 720841</b:StandardNumber>
    <b:RefOrder>11</b:RefOrder>
  </b:Source>
  <b:Source>
    <b:Tag>TUP86</b:Tag>
    <b:SourceType>Misc</b:SourceType>
    <b:Guid>{C9775E3D-E6BC-4B19-BEC0-6E0C4E7DDEFB}</b:Guid>
    <b:LCID>0</b:LCID>
    <b:Author>
      <b:Author>
        <b:NameList>
          <b:Person>
            <b:Last>TUPA</b:Last>
            <b:First>Robert</b:First>
            <b:Middle>C</b:Middle>
          </b:Person>
          <b:Person>
            <b:Last>KOEHLER</b:Last>
            <b:First>Donald</b:First>
            <b:Middle>E</b:Middle>
          </b:Person>
        </b:NameList>
      </b:Author>
    </b:Author>
    <b:Title>Gasoline port fuel injectors - Keep clean/clean up with additives</b:Title>
    <b:Year>1986</b:Year>
    <b:Publisher>SAE</b:Publisher>
    <b:StandardNumber>SAE Paper 861536</b:StandardNumber>
    <b:RefOrder>12</b:RefOrder>
  </b:Source>
  <b:Source>
    <b:Tag>TAN86</b:Tag>
    <b:SourceType>Misc</b:SourceType>
    <b:Guid>{181B25B5-9CE6-4339-8AE9-94123FCED114}</b:Guid>
    <b:LCID>1033</b:LCID>
    <b:Author>
      <b:Author>
        <b:NameList>
          <b:Person>
            <b:Last>TANIGUCHI</b:Last>
            <b:First>B</b:First>
            <b:Middle>Y</b:Middle>
          </b:Person>
          <b:Person>
            <b:Last>PEYLA</b:Last>
            <b:First>R</b:First>
            <b:Middle>J</b:Middle>
          </b:Person>
          <b:Person>
            <b:Last>PARSONS</b:Last>
            <b:First>G</b:First>
            <b:Middle>M</b:Middle>
          </b:Person>
          <b:Person>
            <b:Last>HOEKMAN</b:Last>
            <b:First>S</b:First>
            <b:Middle>K</b:Middle>
          </b:Person>
          <b:Person>
            <b:Last>VOSS</b:Last>
            <b:First>D</b:First>
            <b:Middle>A</b:Middle>
          </b:Person>
        </b:NameList>
      </b:Author>
    </b:Author>
    <b:Title>Injector deposits - the tip of intake system deposit problems</b:Title>
    <b:Year>1986</b:Year>
    <b:Publisher>SAE</b:Publisher>
    <b:StandardNumber>SAE Paper 861534</b:StandardNumber>
    <b:RefOrder>13</b:RefOrder>
  </b:Source>
  <b:Source>
    <b:Tag>ROG58</b:Tag>
    <b:SourceType>Misc</b:SourceType>
    <b:Guid>{50838F21-088D-4B76-B1AB-90175C1BE4A5}</b:Guid>
    <b:LCID>1033</b:LCID>
    <b:Author>
      <b:Author>
        <b:NameList>
          <b:Person>
            <b:Last>ROGERS</b:Last>
            <b:First>D</b:First>
            <b:Middle>T</b:Middle>
          </b:Person>
          <b:Person>
            <b:Last>JONACH</b:Last>
            <b:First>F</b:First>
            <b:Middle>L</b:Middle>
          </b:Person>
        </b:NameList>
      </b:Author>
    </b:Author>
    <b:Title>Mechanism of intake valve underside deposit formation</b:Title>
    <b:PublicationTitle>SAE National fuels and lubricants meeting</b:PublicationTitle>
    <b:Year>1958</b:Year>
    <b:City>Tulsa</b:City>
    <b:Publisher>SAE</b:Publisher>
    <b:StandardNumber>SAE Paper 106C</b:StandardNumber>
    <b:RefOrder>14</b:RefOrder>
  </b:Source>
  <b:Source>
    <b:Tag>UDE88</b:Tag>
    <b:SourceType>Misc</b:SourceType>
    <b:Guid>{7FB2E8C9-7BB6-4CF3-BE97-1F1BEE7DFE1E}</b:Guid>
    <b:LCID>1033</b:LCID>
    <b:Author>
      <b:Author>
        <b:NameList>
          <b:Person>
            <b:Last>UDELHOFEN</b:Last>
            <b:First>J</b:First>
            <b:Middle>M</b:Middle>
          </b:Person>
          <b:Person>
            <b:Last>ZAHALKA</b:Last>
            <b:First>T</b:First>
            <b:Middle>L</b:Middle>
          </b:Person>
        </b:NameList>
      </b:Author>
    </b:Author>
    <b:Title>Gasoline additive requirements for today's smaller engines</b:Title>
    <b:Year>1988</b:Year>
    <b:Publisher>SAE</b:Publisher>
    <b:StandardNumber>SAE Paper 881644</b:StandardNumber>
    <b:RefOrder>15</b:RefOrder>
  </b:Source>
  <b:Source>
    <b:Tag>Bra</b:Tag>
    <b:SourceType>Misc</b:SourceType>
    <b:Guid>{8A240EFD-46FE-4B69-AB9E-0F9752FACF74}</b:Guid>
    <b:LCID>0</b:LCID>
    <b:Author>
      <b:Author>
        <b:Corporate>BRASIL. Agência Nacional do Petróleo, Gás Natural e Biocombustíveis - ANP</b:Corporate>
      </b:Author>
    </b:Author>
    <b:Title>Resolução nº 38, de 9 de dezembro de 2009</b:Title>
    <b:PublicationTitle>Diário Oficial da União</b:PublicationTitle>
    <b:Comments>Brasília, DF, 11 de dez. de 2009. Seção 1, p. 90</b:Comments>
    <b:RefOrder>16</b:RefOrder>
  </b:Source>
  <b:Source>
    <b:Tag>AST09</b:Tag>
    <b:SourceType>Misc</b:SourceType>
    <b:Guid>{F8172FBA-4E92-4ABD-8766-87E7F3294E96}</b:Guid>
    <b:LCID>0</b:LCID>
    <b:Author>
      <b:Author>
        <b:Corporate>ASTM INTERNATIONAL</b:Corporate>
      </b:Author>
    </b:Author>
    <b:Title>ASTM Standard D7451, standard test ethod for water separation properties of light and middle distillate</b:Title>
    <b:Year>2009</b:Year>
    <b:Month>Janeiro</b:Month>
    <b:Issue>DOI: 10.1520/D7451-08A</b:Issue>
    <b:City>West Conshohocken, PA</b:City>
    <b:Publisher>ASTM International</b:Publisher>
    <b:RefOrder>17</b:RefOrder>
  </b:Source>
  <b:Source>
    <b:Tag>EspaçoReservado1</b:Tag>
    <b:SourceType>Misc</b:SourceType>
    <b:Guid>{ADC58689-2727-4BB1-A75A-DC8C34802C71}</b:Guid>
    <b:LCID>0</b:LCID>
    <b:Author>
      <b:Author>
        <b:Corporate>ASTM INTERNATIONAL</b:Corporate>
      </b:Author>
    </b:Author>
    <b:Title>ASTM Standard D7451, standard test method for water separation properties of light and middle distillate</b:Title>
    <b:Year>2009</b:Year>
    <b:Month>Janeiro</b:Month>
    <b:Issue>DOI: 10.1520/D7451-08A</b:Issue>
    <b:City>West Conshohocken, PA</b:City>
    <b:Publisher>ASTM International</b:Publisher>
    <b:RefOrder>18</b:RefOrder>
  </b:Source>
  <b:Source>
    <b:Tag>BRA</b:Tag>
    <b:SourceType>Misc</b:SourceType>
    <b:Guid>{F0FB901C-9984-4FB5-955B-086B851F3512}</b:Guid>
    <b:LCID>0</b:LCID>
    <b:Author>
      <b:Author>
        <b:Corporate>BRASIL. Presidência da República.</b:Corporate>
      </b:Author>
    </b:Author>
    <b:Title>Decreto nº 6.062, de 16 de março de 2007</b:Title>
    <b:Comments>Brasília, DF, 19 de mar. de 2007. Seção 1, p. 9</b:Comments>
    <b:PublicationTitle>Diário Oficial da União.</b:PublicationTitle>
    <b:RefOrder>2</b:RefOrder>
  </b:Source>
  <b:Source>
    <b:Tag>Wag11</b:Tag>
    <b:SourceType>Misc</b:SourceType>
    <b:Guid>{CD5DA1AE-EFC1-4057-9CD7-5D3BE456B9B6}</b:Guid>
    <b:LCID>0</b:LCID>
    <b:Author>
      <b:Author>
        <b:NameList>
          <b:Person>
            <b:Last>SÁ</b:Last>
            <b:First>WAGNER</b:First>
          </b:Person>
        </b:NameList>
      </b:Author>
    </b:Author>
    <b:Title>Aditivação total da gasolina no Brasil - benefícios</b:Title>
    <b:Year>2011</b:Year>
    <b:City>Rio de Janeiro</b:City>
    <b:Month>agosto</b:Month>
    <b:Day>26</b:Day>
    <b:Comments>Apresentação digital para o grupo de trabalho formado na ANP para discussão de temas ligados à aditivação compulsória da gaoslina</b:Comments>
    <b:RefOrder>3</b:RefOrder>
  </b:Source>
  <b:Source>
    <b:Tag>EUA</b:Tag>
    <b:SourceType>Misc</b:SourceType>
    <b:Guid>{FA99B54A-9477-4A62-89EB-AE76E1B43C9B}</b:Guid>
    <b:LCID>0</b:LCID>
    <b:Author>
      <b:Author>
        <b:Corporate>EUA</b:Corporate>
      </b:Author>
    </b:Author>
    <b:Title>Clean Air Act - CAA</b:Title>
    <b:Comments>U.S. Code, Title 42, Section 7545. Disponível em: &lt;http://www.gpo.gov/fdsys/pkg/USCODE-2008-title42/pdf/USCODE-2008-title42-chap85.pdf&gt;. Acesso em: 26 dez. 2012</b:Comments>
    <b:RefOrder>4</b:RefOrder>
  </b:Source>
  <b:Source>
    <b:Tag>EUA1</b:Tag>
    <b:SourceType>Misc</b:SourceType>
    <b:Guid>{90E75CC3-91F8-49EF-A1C6-017134E21D19}</b:Guid>
    <b:LCID>0</b:LCID>
    <b:Author>
      <b:Author>
        <b:Corporate>EUA. Environmental Protection Agency - EPA.</b:Corporate>
      </b:Author>
    </b:Author>
    <b:Comments>Code of Federal Regulations, Title 40, Ch. I, Part 80. 1º jul. 2012. Disponível em: &lt;http://www.gpo.gov/fdsys/browse/collectionCfr.action?selectedYearFrom=-1&amp;go=Go&gt;. Acesso em: 27 dez. 2012</b:Comments>
    <b:RefOrder>5</b:RefOrder>
  </b:Source>
  <b:Source>
    <b:Tag>Ins</b:Tag>
    <b:SourceType>Misc</b:SourceType>
    <b:Guid>{C3BA5EC8-6BCE-417F-8C90-4C8D808E727E}</b:Guid>
    <b:LCID>0</b:LCID>
    <b:Author>
      <b:Author>
        <b:Corporate>INSTITUTO MEXICANO DEL PETRÓLEO - IMP</b:Corporate>
      </b:Author>
    </b:Author>
    <b:Comments>Línea de negocio de Tratamientos químicos. Disponível em: &lt;http://www.imp.mx/productos/?imp=PROCESO&amp; esp=0206&amp; cs=7&gt;. Acesso em: 28 dez. 2012.</b:Comments>
    <b:RefOrder>6</b:RefOrder>
  </b:Source>
  <b:Source>
    <b:Tag>PEM</b:Tag>
    <b:SourceType>Misc</b:SourceType>
    <b:Guid>{BEDDB674-C240-4CB2-B14A-FA811FCB7C46}</b:Guid>
    <b:LCID>0</b:LCID>
    <b:Author>
      <b:Author>
        <b:Corporate>PEMEX REFINACIÓN</b:Corporate>
      </b:Author>
    </b:Author>
    <b:StandardNumber>Procedimiento Administrativo [...] Compras Interorganismos a PPQ de Aditivo Detergente para Gasolina IMP-DG-15 [...] Entregados a Refinerías, TAR's y Ductos. Disponível em: &lt;http://normateca.dca.pemex.com/nmtkInternet/&gt;. Acesso em: 28 dez. 2012</b:StandardNumber>
    <b:RefOrder>7</b:RefOrder>
  </b:Source>
  <b:Source>
    <b:Tag>EST</b:Tag>
    <b:SourceType>Misc</b:SourceType>
    <b:Guid>{1BEC41C3-4C72-456E-A797-D13FE1560A7E}</b:Guid>
    <b:LCID>0</b:LCID>
    <b:Author>
      <b:Author>
        <b:Corporate>MÉXICO</b:Corporate>
      </b:Author>
    </b:Author>
    <b:Comments>NOM-086-SEMARNAT-SENER-SCFI-2005, Especificaciones de los combustibles fósiles para la protección ambiental. Diário oficial de la Federación, 30 jan. 2006.</b:Comments>
    <b:RefOrder>8</b:RefOrder>
  </b:Source>
  <b:Source>
    <b:Tag>PEM1</b:Tag>
    <b:SourceType>Misc</b:SourceType>
    <b:Guid>{DBA7C95C-9F76-45B4-89E8-027B3246CD12}</b:Guid>
    <b:LCID>0</b:LCID>
    <b:Author>
      <b:Author>
        <b:Corporate>PEMEX REFINACIÓN</b:Corporate>
      </b:Author>
    </b:Author>
    <b:Comments>Manuales de operación de la franquicia pemex - Versión 2008-1. Disponível em: &lt;http://www.ref.pemex.com/files/content/02franquicia/sagli002/sagli002_01.html&gt;. Acesso em: 28 dez. 2012.</b:Comments>
    <b:RefOrder>9</b:RefOrder>
  </b:Source>
  <b:Source>
    <b:Tag>EST1</b:Tag>
    <b:SourceType>Misc</b:SourceType>
    <b:Guid>{E57D4A0B-CF39-4920-80E5-2BB937071A83}</b:Guid>
    <b:LCID>0</b:LCID>
    <b:Author>
      <b:Author>
        <b:Corporate>MÉXICO</b:Corporate>
      </b:Author>
    </b:Author>
    <b:Title>NOM-086-ECOL-1994, Contaminación atmosférica-Especificaciones sobre protección ambiental que deben reunir los combustibles fósiles líquidos y gaseosos que se usan en fuentes fijas y móviles.</b:Title>
    <b:Comments>Diario Ofial de la Federación, 2 dez. 1994.</b:Comments>
    <b:RefOrder>10</b:RefOrder>
  </b:Source>
  <b:Source>
    <b:Tag>COL</b:Tag>
    <b:SourceType>Misc</b:SourceType>
    <b:Guid>{B43D16E5-DB6D-4C39-91B5-8F4CE8B89867}</b:Guid>
    <b:LCID>0</b:LCID>
    <b:Author>
      <b:Author>
        <b:Corporate>COLÔMBIA.</b:Corporate>
      </b:Author>
    </b:Author>
    <b:Title>Resolución nº 81055 de septiembre 20 de 1999</b:Title>
    <b:Comments>Disponível em: &lt;https://www.mincomercio.gov.co/descargar.php?idFile=788&gt;. Acesso em: 28 dez. 2012</b:Comments>
    <b:RefOrder>11</b:RefOrder>
  </b:Source>
  <b:Source>
    <b:Tag>SAK</b:Tag>
    <b:SourceType>Misc</b:SourceType>
    <b:Guid>{A7E73B69-355C-4234-8352-88B1CC6C1E43}</b:Guid>
    <b:LCID>0</b:LCID>
    <b:Author>
      <b:Author>
        <b:NameList>
          <b:Person>
            <b:Last>SAKULPAISITH</b:Last>
            <b:First>N</b:First>
          </b:Person>
          <b:Person>
            <b:Last>WUTTIMONGKOLCHAI</b:Last>
            <b:First>A</b:First>
          </b:Person>
          <b:Person>
            <b:Last>SRETAININD</b:Last>
            <b:First>T</b:First>
          </b:Person>
        </b:NameList>
      </b:Author>
    </b:Author>
    <b:Title>Vehicles fleet test to evaluate Thailand's commercial IVD detergent package's effects on PFI, IVD and CCD performance</b:Title>
    <b:PublicationTitle>International fall fuels and lubricants meeting and exposition</b:PublicationTitle>
    <b:Year>2000</b:Year>
    <b:City>Baltimore</b:City>
    <b:Month>Outubro</b:Month>
    <b:Day>16 a 19</b:Day>
    <b:StateProvince>Maryland</b:StateProvince>
    <b:CountryRegion>EUA</b:CountryRegion>
    <b:Comments>SAE Technical Paper 2000-01-2855</b:Comments>
    <b:RefOrder>12</b:RefOrder>
  </b:Source>
  <b:Source>
    <b:Tag>STA</b:Tag>
    <b:SourceType>Misc</b:SourceType>
    <b:Guid>{7F4F673A-2C6D-4809-9379-77F36CBF2A61}</b:Guid>
    <b:LCID>0</b:LCID>
    <b:Author>
      <b:Author>
        <b:Corporate>STANDARDIZATION ADMINISTRATION OF CHINA - SAC</b:Corporate>
      </b:Author>
    </b:Author>
    <b:Title>GB 19592 - Detergent additive for vehicular gasoline</b:Title>
    <b:Comments>Disponível para compra em: &lt;http://www.sac.gov.cn/sac_en/&gt;</b:Comments>
    <b:RefOrder>13</b:RefOrder>
  </b:Source>
  <b:Source>
    <b:Tag>MIN</b:Tag>
    <b:SourceType>Misc</b:SourceType>
    <b:Guid>{AF7043E4-9F3E-4DCA-8ED8-1A5281FDEBE3}</b:Guid>
    <b:LCID>0</b:LCID>
    <b:Author>
      <b:Author>
        <b:Corporate>MINISTRY OF ENVIRONMENTAL PROTECTION - MEP</b:Corporate>
      </b:Author>
    </b:Author>
    <b:Title>Vehicle emission control in China.</b:Title>
    <b:Comments>Disponível em: &lt;http://www.unep.org/transport/pcfv/PDF/Session3-Asia-TanDagang-MEPChina.pdf&gt;. Acesso em: 30 de jan. 2013</b:Comments>
    <b:RefOrder>14</b:RefOrder>
  </b:Source>
  <b:Source>
    <b:Tag>BUR</b:Tag>
    <b:SourceType>Misc</b:SourceType>
    <b:Guid>{E0C4CA3E-D63C-44C5-BFD4-DA1DF6152A3C}</b:Guid>
    <b:LCID>0</b:LCID>
    <b:Author>
      <b:Author>
        <b:Corporate>BUREAU OF INDIAN STANDARDS - BIS</b:Corporate>
      </b:Author>
    </b:Author>
    <b:Comments>Disponível em: &lt;http://www.bis.org.in/&gt;. Acesso em: 04 jan. 2013</b:Comments>
    <b:Title>Página oficial na internet.</b:Title>
    <b:RefOrder>15</b:RefOrder>
  </b:Source>
  <b:Source>
    <b:Tag>Bha</b:Tag>
    <b:SourceType>Misc</b:SourceType>
    <b:Guid>{1BCA881B-60F8-41B6-86C8-1221BE798B74}</b:Guid>
    <b:LCID>0</b:LCID>
    <b:Author>
      <b:Author>
        <b:Corporate>BHARAT PETROLEUM CORPORATION</b:Corporate>
      </b:Author>
    </b:Author>
    <b:Title>Motor gasoline</b:Title>
    <b:Comments>Disponível em: &lt;http://www.speedfuels.com/Common/Uploads/ContentTemplate/56_Download_MOTOR_GASOLINE.pdf&gt;. Acesso em: 04 jan. 2013</b:Comments>
    <b:RefOrder>16</b:RefOrder>
  </b:Source>
  <b:Source>
    <b:Tag>IND</b:Tag>
    <b:SourceType>Misc</b:SourceType>
    <b:Guid>{6909152F-9213-41BD-9510-F67DCB1AD14A}</b:Guid>
    <b:LCID>0</b:LCID>
    <b:Author>
      <b:Author>
        <b:Corporate>INDIAN OIL CORPORATION</b:Corporate>
      </b:Author>
    </b:Author>
    <b:Title>Products</b:Title>
    <b:Comments>Disponível em: &lt;https://iocl.com/products.aspx&gt;. Acesso em: 04 jan. 2013</b:Comments>
    <b:RefOrder>17</b:RefOrder>
  </b:Source>
  <b:Source>
    <b:Tag>BHA</b:Tag>
    <b:SourceType>Misc</b:SourceType>
    <b:Guid>{97027986-6657-4FA8-AFC6-9CA1139971AB}</b:Guid>
    <b:LCID>0</b:LCID>
    <b:Author>
      <b:Author>
        <b:Corporate>BHARAT PETROLEUM CORPORATION</b:Corporate>
      </b:Author>
    </b:Author>
    <b:Title>Fueling automotives</b:Title>
    <b:Comments>Disponível em: &lt;http://www.bharatpetroleum.com/EnergisingBusiness/FuilingAutomotives.aspx?id=1&gt;. Acesso em: 04 jan. 2013</b:Comments>
    <b:RefOrder>18</b:RefOrder>
  </b:Source>
  <b:Source>
    <b:Tag>HIN</b:Tag>
    <b:SourceType>Misc</b:SourceType>
    <b:Guid>{1DA0B8F6-F0C8-449E-97F2-408DFA6E12D0}</b:Guid>
    <b:LCID>0</b:LCID>
    <b:Author>
      <b:Author>
        <b:Corporate>HINDUSTAN PETROLEUM CORPORATION</b:Corporate>
      </b:Author>
    </b:Author>
    <b:Title>Products and services</b:Title>
    <b:Comments>Disponível em: &lt;http://www.hindustanpetroleum.com/En/UI/ProductsandServiceshomeLand.aspx&gt;. Acesso em: 04 jan. 2013.</b:Comments>
    <b:RefOrder>19</b:RefOrder>
  </b:Source>
</b:Sources>
</file>

<file path=customXml/item2.xml><?xml version="1.0" encoding="utf-8"?>
<b:Sources xmlns:b="http://schemas.openxmlformats.org/officeDocument/2006/bibliography" xmlns="http://schemas.openxmlformats.org/officeDocument/2006/bibliography" SelectedStyle="\APA.XSL" StyleName="APA Fifth Edition">
  <b:Source>
    <b:Tag>ABR86</b:Tag>
    <b:SourceType>Misc</b:SourceType>
    <b:Guid>{F376F5BC-A2E4-428C-92A0-4E182C92B8FA}</b:Guid>
    <b:LCID>0</b:LCID>
    <b:Author>
      <b:Author>
        <b:NameList>
          <b:Person>
            <b:Last>ABRAMO</b:Last>
            <b:First>G</b:First>
            <b:Middle>P</b:Middle>
          </b:Person>
          <b:Person>
            <b:Last>HOROWITZ</b:Last>
            <b:First>A</b:First>
            <b:Middle>M</b:Middle>
          </b:Person>
          <b:Person>
            <b:Last>TREWELLA</b:Last>
            <b:First>J</b:First>
            <b:Middle>C</b:Middle>
          </b:Person>
        </b:NameList>
      </b:Author>
    </b:Author>
    <b:Title>Port fuel injector cleanliness studies</b:Title>
    <b:Year>1986</b:Year>
    <b:StandardNumber>SAE Paper 861535</b:StandardNumber>
    <b:City>Philadelphia</b:City>
    <b:Publisher>SAE</b:Publisher>
    <b:PublicationTitle>International fuels and lubricants meeting and exposition</b:PublicationTitle>
    <b:RefOrder>1</b:RefOrder>
  </b:Source>
  <b:Source>
    <b:Tag>BEN86</b:Tag>
    <b:SourceType>Misc</b:SourceType>
    <b:Guid>{7223DE5A-592C-4B12-AADA-6E93D882C84E}</b:Guid>
    <b:LCID>1033</b:LCID>
    <b:Author>
      <b:Author>
        <b:NameList>
          <b:Person>
            <b:Last>BENSON</b:Last>
            <b:First>J</b:First>
            <b:Middle>D</b:Middle>
          </b:Person>
          <b:Person>
            <b:Last>YACCARINO</b:Last>
            <b:First>P</b:First>
          </b:Person>
        </b:NameList>
      </b:Author>
    </b:Author>
    <b:Title>Fuel and additive effects on multiport fuel injector deposits</b:Title>
    <b:Year>1986</b:Year>
    <b:Publisher>SAE</b:Publisher>
    <b:StandardNumber>SAE Paper 861533</b:StandardNumber>
    <b:RefOrder>2</b:RefOrder>
  </b:Source>
  <b:Source>
    <b:Tag>BIT87</b:Tag>
    <b:SourceType>Misc</b:SourceType>
    <b:Guid>{8B0C306E-3B09-47B8-8D47-19F5A215D9A9}</b:Guid>
    <b:LCID>1033</b:LCID>
    <b:Author>
      <b:Author>
        <b:NameList>
          <b:Person>
            <b:Last>BITTING</b:Last>
            <b:First>W</b:First>
          </b:Person>
          <b:Person>
            <b:Last>GSCHWENDTNER</b:Last>
            <b:First>F</b:First>
          </b:Person>
          <b:Person>
            <b:Last>KOHLEPP</b:Last>
            <b:First>W</b:First>
          </b:Person>
          <b:Person>
            <b:Last>KOTHE</b:Last>
            <b:First>M</b:First>
          </b:Person>
          <b:Person>
            <b:Last>TESTVOET</b:Last>
            <b:First>C</b:First>
            <b:Middle>J</b:Middle>
          </b:Person>
          <b:Person>
            <b:Last>ZIWICA</b:Last>
            <b:First>K</b:First>
            <b:Middle>H</b:Middle>
          </b:Person>
        </b:NameList>
      </b:Author>
    </b:Author>
    <b:Title>Intake valve deposit - fuel detergency requirements revisited</b:Title>
    <b:Year>1987</b:Year>
    <b:Publisher>SAE</b:Publisher>
    <b:StandardNumber>SAE Paper 872117</b:StandardNumber>
    <b:RefOrder>3</b:RefOrder>
  </b:Source>
  <b:Source>
    <b:Tag>FRA72</b:Tag>
    <b:SourceType>Misc</b:SourceType>
    <b:Guid>{ACDD7733-0708-4A15-B19F-745403FA05BC}</b:Guid>
    <b:LCID>0</b:LCID>
    <b:Author>
      <b:Author>
        <b:NameList>
          <b:Person>
            <b:Last>FRANKLIN</b:Last>
            <b:First>T</b:First>
            <b:Middle>M</b:Middle>
          </b:Person>
          <b:Person>
            <b:Last>STAMBAUGH</b:Last>
            <b:First>R</b:First>
            <b:Middle>L</b:Middle>
          </b:Person>
          <b:Person>
            <b:Last>KUHN</b:Last>
            <b:First>R</b:First>
            <b:Middle>R</b:Middle>
          </b:Person>
        </b:NameList>
      </b:Author>
    </b:Author>
    <b:Title>Simulated road test evaluation of the effect of gasoline additives on exhaust gas emissions</b:Title>
    <b:Year>1972</b:Year>
    <b:Publisher>SAE</b:Publisher>
    <b:StandardNumber>SAE Paper 729042</b:StandardNumber>
    <b:RefOrder>4</b:RefOrder>
  </b:Source>
  <b:Source>
    <b:Tag>GET87</b:Tag>
    <b:SourceType>Misc</b:SourceType>
    <b:Guid>{A17B1DB7-6810-48B3-918C-0908F6E4BCB9}</b:Guid>
    <b:LCID>1033</b:LCID>
    <b:Author>
      <b:Author>
        <b:NameList>
          <b:Person>
            <b:Last>GETHING</b:Last>
            <b:First>J</b:First>
            <b:Middle>A</b:Middle>
          </b:Person>
        </b:NameList>
      </b:Author>
    </b:Author>
    <b:Title>Performance robbing aspects of intake valve and port deposits</b:Title>
    <b:Year>1987</b:Year>
    <b:Publisher>SAE</b:Publisher>
    <b:StandardNumber>SAE Paper 872116</b:StandardNumber>
    <b:RefOrder>5</b:RefOrder>
  </b:Source>
  <b:Source>
    <b:Tag>GIB79</b:Tag>
    <b:SourceType>Misc</b:SourceType>
    <b:Guid>{E2B52DD9-7EC4-4791-85E0-4D03A090399C}</b:Guid>
    <b:LCID>1033</b:LCID>
    <b:Author>
      <b:Author>
        <b:NameList>
          <b:Person>
            <b:Last>GIBBS</b:Last>
            <b:First>L</b:First>
            <b:Middle>M</b:Middle>
          </b:Person>
          <b:Person>
            <b:Last>RICHARDSON</b:Last>
            <b:First>C</b:First>
            <b:Middle>E</b:Middle>
          </b:Person>
        </b:NameList>
      </b:Author>
    </b:Author>
    <b:Title>Carburator deposits and their control</b:Title>
    <b:Year>1979</b:Year>
    <b:Publisher>SAE</b:Publisher>
    <b:StandardNumber>SAE Paper 790202</b:StandardNumber>
    <b:RefOrder>6</b:RefOrder>
  </b:Source>
  <b:Source>
    <b:Tag>HAL76</b:Tag>
    <b:SourceType>Misc</b:SourceType>
    <b:Guid>{C1F06CB0-9316-43AD-95A6-D70F3B0F268D}</b:Guid>
    <b:LCID>1033</b:LCID>
    <b:Author>
      <b:Author>
        <b:NameList>
          <b:Person>
            <b:Last>HALL</b:Last>
            <b:First>D</b:First>
            <b:Middle>W</b:Middle>
          </b:Person>
          <b:Person>
            <b:Last>GIBBS</b:Last>
            <b:First>L</b:First>
            <b:Middle>M</b:Middle>
          </b:Person>
        </b:NameList>
      </b:Author>
    </b:Author>
    <b:Title>Carburetor deposits - are clean throttle bodies enough?</b:Title>
    <b:Year>1976</b:Year>
    <b:Publisher>SAE</b:Publisher>
    <b:StandardNumber>SAE Paper 760752</b:StandardNumber>
    <b:RefOrder>7</b:RefOrder>
  </b:Source>
  <b:Source>
    <b:Tag>HOU</b:Tag>
    <b:SourceType>Misc</b:SourceType>
    <b:Guid>{0B6B0075-FE35-458D-B969-CFA8DD041DC8}</b:Guid>
    <b:LCID>0</b:LCID>
    <b:Author>
      <b:Author>
        <b:NameList>
          <b:Person>
            <b:Last>HOUSER</b:Last>
            <b:First>K</b:First>
          </b:Person>
          <b:Person>
            <b:Last>CROSBY</b:Last>
            <b:First>T</b:First>
          </b:Person>
        </b:NameList>
      </b:Author>
    </b:Author>
    <b:Title>The impact of intake valve deposits on exhaust emissions</b:Title>
    <b:Publisher>SAE Technical Paper Series</b:Publisher>
    <b:RefOrder>8</b:RefOrder>
  </b:Source>
  <b:Source>
    <b:Tag>KIP70</b:Tag>
    <b:SourceType>Misc</b:SourceType>
    <b:Guid>{8879FD4F-17EA-4CA8-B259-F5FAA3FB3BF4}</b:Guid>
    <b:LCID>1033</b:LCID>
    <b:Author>
      <b:Author>
        <b:NameList>
          <b:Person>
            <b:Last>KIPP</b:Last>
            <b:First>K</b:First>
            <b:Middle>L</b:Middle>
          </b:Person>
          <b:Person>
            <b:Last>INGAMELLS</b:Last>
            <b:First>J</b:First>
            <b:Middle>C</b:Middle>
          </b:Person>
          <b:Person>
            <b:Last>RICHARDSON</b:Last>
            <b:First>W</b:First>
            <b:Middle>L</b:Middle>
          </b:Person>
          <b:Person>
            <b:Last>DAVIS</b:Last>
            <b:First>C</b:First>
            <b:Middle>E</b:Middle>
          </b:Person>
        </b:NameList>
      </b:Author>
    </b:Author>
    <b:Title>Ability of gasoline additives to clean engines and reduce exhaust emissions</b:Title>
    <b:Year>1970</b:Year>
    <b:Publisher>SAE</b:Publisher>
    <b:StandardNumber>SAE Paper 700456</b:StandardNumber>
    <b:RefOrder>9</b:RefOrder>
  </b:Source>
  <b:Source>
    <b:Tag>NIS79</b:Tag>
    <b:SourceType>Misc</b:SourceType>
    <b:Guid>{C54D7702-62BC-47CA-A6A0-E1D38B018C03}</b:Guid>
    <b:LCID>0</b:LCID>
    <b:Author>
      <b:Author>
        <b:NameList>
          <b:Person>
            <b:Last>NISHIZAKI</b:Last>
            <b:First>T</b:First>
          </b:Person>
          <b:Person>
            <b:Last>MAEDA</b:Last>
            <b:First>Y</b:First>
          </b:Person>
          <b:Person>
            <b:Last>DATE</b:Last>
            <b:First>K</b:First>
          </b:Person>
          <b:Person>
            <b:Last>MAEDA</b:Last>
            <b:First>T</b:First>
          </b:Person>
        </b:NameList>
      </b:Author>
    </b:Author>
    <b:Title>The effect of fuel composition and fuel additives on intake system detergency of Japanese automobile engine</b:Title>
    <b:Year>1979</b:Year>
    <b:Publisher>SAE</b:Publisher>
    <b:StandardNumber>SAE Paper 79203</b:StandardNumber>
    <b:RefOrder>10</b:RefOrder>
  </b:Source>
  <b:Source>
    <b:Tag>RET72</b:Tag>
    <b:SourceType>Misc</b:SourceType>
    <b:Guid>{6DB8B696-31AD-4DA7-AE20-6209C7465B3B}</b:Guid>
    <b:LCID>0</b:LCID>
    <b:Author>
      <b:Author>
        <b:NameList>
          <b:Person>
            <b:Last>RETZLOFF</b:Last>
            <b:First>J</b:First>
            <b:Middle>B</b:Middle>
          </b:Person>
          <b:Person>
            <b:Last>L</b:Last>
            <b:First>PLONSKER</b:First>
          </b:Person>
          <b:Person>
            <b:Last>SNEED</b:Last>
            <b:First>R</b:First>
            <b:Middle>B</b:Middle>
          </b:Person>
        </b:NameList>
      </b:Author>
    </b:Author>
    <b:Title>Fuels detergency-effects on emissions</b:Title>
    <b:Year>1972</b:Year>
    <b:Publisher>SAE</b:Publisher>
    <b:StandardNumber>SAE Paper 720841</b:StandardNumber>
    <b:RefOrder>11</b:RefOrder>
  </b:Source>
  <b:Source>
    <b:Tag>TUP86</b:Tag>
    <b:SourceType>Misc</b:SourceType>
    <b:Guid>{C9775E3D-E6BC-4B19-BEC0-6E0C4E7DDEFB}</b:Guid>
    <b:LCID>0</b:LCID>
    <b:Author>
      <b:Author>
        <b:NameList>
          <b:Person>
            <b:Last>TUPA</b:Last>
            <b:First>Robert</b:First>
            <b:Middle>C</b:Middle>
          </b:Person>
          <b:Person>
            <b:Last>KOEHLER</b:Last>
            <b:First>Donald</b:First>
            <b:Middle>E</b:Middle>
          </b:Person>
        </b:NameList>
      </b:Author>
    </b:Author>
    <b:Title>Gasoline port fuel injectors - Keep clean/clean up with additives</b:Title>
    <b:Year>1986</b:Year>
    <b:Publisher>SAE</b:Publisher>
    <b:StandardNumber>SAE Paper 861536</b:StandardNumber>
    <b:RefOrder>12</b:RefOrder>
  </b:Source>
  <b:Source>
    <b:Tag>TAN86</b:Tag>
    <b:SourceType>Misc</b:SourceType>
    <b:Guid>{181B25B5-9CE6-4339-8AE9-94123FCED114}</b:Guid>
    <b:LCID>1033</b:LCID>
    <b:Author>
      <b:Author>
        <b:NameList>
          <b:Person>
            <b:Last>TANIGUCHI</b:Last>
            <b:First>B</b:First>
            <b:Middle>Y</b:Middle>
          </b:Person>
          <b:Person>
            <b:Last>PEYLA</b:Last>
            <b:First>R</b:First>
            <b:Middle>J</b:Middle>
          </b:Person>
          <b:Person>
            <b:Last>PARSONS</b:Last>
            <b:First>G</b:First>
            <b:Middle>M</b:Middle>
          </b:Person>
          <b:Person>
            <b:Last>HOEKMAN</b:Last>
            <b:First>S</b:First>
            <b:Middle>K</b:Middle>
          </b:Person>
          <b:Person>
            <b:Last>VOSS</b:Last>
            <b:First>D</b:First>
            <b:Middle>A</b:Middle>
          </b:Person>
        </b:NameList>
      </b:Author>
    </b:Author>
    <b:Title>Injector deposits - the tip of intake system deposit problems</b:Title>
    <b:Year>1986</b:Year>
    <b:Publisher>SAE</b:Publisher>
    <b:StandardNumber>SAE Paper 861534</b:StandardNumber>
    <b:RefOrder>13</b:RefOrder>
  </b:Source>
  <b:Source>
    <b:Tag>ROG58</b:Tag>
    <b:SourceType>Misc</b:SourceType>
    <b:Guid>{50838F21-088D-4B76-B1AB-90175C1BE4A5}</b:Guid>
    <b:LCID>1033</b:LCID>
    <b:Author>
      <b:Author>
        <b:NameList>
          <b:Person>
            <b:Last>ROGERS</b:Last>
            <b:First>D</b:First>
            <b:Middle>T</b:Middle>
          </b:Person>
          <b:Person>
            <b:Last>JONACH</b:Last>
            <b:First>F</b:First>
            <b:Middle>L</b:Middle>
          </b:Person>
        </b:NameList>
      </b:Author>
    </b:Author>
    <b:Title>Mechanism of intake valve underside deposit formation</b:Title>
    <b:PublicationTitle>SAE National fuels and lubricants meeting</b:PublicationTitle>
    <b:Year>1958</b:Year>
    <b:City>Tulsa</b:City>
    <b:Publisher>SAE</b:Publisher>
    <b:StandardNumber>SAE Paper 106C</b:StandardNumber>
    <b:RefOrder>14</b:RefOrder>
  </b:Source>
  <b:Source>
    <b:Tag>UDE88</b:Tag>
    <b:SourceType>Misc</b:SourceType>
    <b:Guid>{7FB2E8C9-7BB6-4CF3-BE97-1F1BEE7DFE1E}</b:Guid>
    <b:LCID>1033</b:LCID>
    <b:Author>
      <b:Author>
        <b:NameList>
          <b:Person>
            <b:Last>UDELHOFEN</b:Last>
            <b:First>J</b:First>
            <b:Middle>M</b:Middle>
          </b:Person>
          <b:Person>
            <b:Last>ZAHALKA</b:Last>
            <b:First>T</b:First>
            <b:Middle>L</b:Middle>
          </b:Person>
        </b:NameList>
      </b:Author>
    </b:Author>
    <b:Title>Gasoline additive requirements for today's smaller engines</b:Title>
    <b:Year>1988</b:Year>
    <b:Publisher>SAE</b:Publisher>
    <b:StandardNumber>SAE Paper 881644</b:StandardNumber>
    <b:RefOrder>15</b:RefOrder>
  </b:Source>
  <b:Source>
    <b:Tag>Bra</b:Tag>
    <b:SourceType>Misc</b:SourceType>
    <b:Guid>{8A240EFD-46FE-4B69-AB9E-0F9752FACF74}</b:Guid>
    <b:LCID>0</b:LCID>
    <b:Author>
      <b:Author>
        <b:Corporate>BRASIL. Agência Nacional do Petróleo, Gás Natural e Biocombustíveis - ANP</b:Corporate>
      </b:Author>
    </b:Author>
    <b:Title>Resolução nº 38, de 9 de dezembro de 2009</b:Title>
    <b:PublicationTitle>Diário Oficial da União</b:PublicationTitle>
    <b:Comments>Brasília, DF, 11 de dez. de 2009. Seção 1, p. 90</b:Comments>
    <b:RefOrder>16</b:RefOrder>
  </b:Source>
  <b:Source>
    <b:Tag>AST09</b:Tag>
    <b:SourceType>Misc</b:SourceType>
    <b:Guid>{F8172FBA-4E92-4ABD-8766-87E7F3294E96}</b:Guid>
    <b:LCID>0</b:LCID>
    <b:Author>
      <b:Author>
        <b:Corporate>ASTM INTERNATIONAL</b:Corporate>
      </b:Author>
    </b:Author>
    <b:Title>ASTM Standard D7451, standard test ethod for water separation properties of light and middle distillate</b:Title>
    <b:Year>2009</b:Year>
    <b:Month>Janeiro</b:Month>
    <b:Issue>DOI: 10.1520/D7451-08A</b:Issue>
    <b:City>West Conshohocken, PA</b:City>
    <b:Publisher>ASTM International</b:Publisher>
    <b:RefOrder>17</b:RefOrder>
  </b:Source>
  <b:Source>
    <b:Tag>EspaçoReservado1</b:Tag>
    <b:SourceType>Misc</b:SourceType>
    <b:Guid>{ADC58689-2727-4BB1-A75A-DC8C34802C71}</b:Guid>
    <b:LCID>0</b:LCID>
    <b:Author>
      <b:Author>
        <b:Corporate>ASTM INTERNATIONAL</b:Corporate>
      </b:Author>
    </b:Author>
    <b:Title>ASTM Standard D7451, standard test method for water separation properties of light and middle distillate</b:Title>
    <b:Year>2009</b:Year>
    <b:Month>Janeiro</b:Month>
    <b:Issue>DOI: 10.1520/D7451-08A</b:Issue>
    <b:City>West Conshohocken, PA</b:City>
    <b:Publisher>ASTM International</b:Publisher>
    <b:RefOrder>18</b:RefOrder>
  </b:Source>
  <b:Source>
    <b:Tag>BRA</b:Tag>
    <b:SourceType>Misc</b:SourceType>
    <b:Guid>{F0FB901C-9984-4FB5-955B-086B851F3512}</b:Guid>
    <b:LCID>0</b:LCID>
    <b:Author>
      <b:Author>
        <b:Corporate>BRASIL. Presidência da República.</b:Corporate>
      </b:Author>
    </b:Author>
    <b:Title>Decreto nº 6.062, de 16 de março de 2007</b:Title>
    <b:Comments>Brasília, DF, 19 de mar. de 2007. Seção 1, p. 9</b:Comments>
    <b:PublicationTitle>Diário Oficial da União.</b:PublicationTitle>
    <b:RefOrder>2</b:RefOrder>
  </b:Source>
  <b:Source>
    <b:Tag>Wag11</b:Tag>
    <b:SourceType>Misc</b:SourceType>
    <b:Guid>{CD5DA1AE-EFC1-4057-9CD7-5D3BE456B9B6}</b:Guid>
    <b:LCID>0</b:LCID>
    <b:Author>
      <b:Author>
        <b:NameList>
          <b:Person>
            <b:Last>SÁ</b:Last>
            <b:First>WAGNER</b:First>
          </b:Person>
        </b:NameList>
      </b:Author>
    </b:Author>
    <b:Title>Aditivação total da gasolina no Brasil - benefícios</b:Title>
    <b:Year>2011</b:Year>
    <b:City>Rio de Janeiro</b:City>
    <b:Month>agosto</b:Month>
    <b:Day>26</b:Day>
    <b:Comments>Apresentação digital para o grupo de trabalho formado na ANP para discussão de temas ligados à aditivação compulsória da gaoslina</b:Comments>
    <b:RefOrder>3</b:RefOrder>
  </b:Source>
  <b:Source>
    <b:Tag>EUA</b:Tag>
    <b:SourceType>Misc</b:SourceType>
    <b:Guid>{FA99B54A-9477-4A62-89EB-AE76E1B43C9B}</b:Guid>
    <b:LCID>0</b:LCID>
    <b:Author>
      <b:Author>
        <b:Corporate>EUA</b:Corporate>
      </b:Author>
    </b:Author>
    <b:Title>Clean Air Act - CAA</b:Title>
    <b:Comments>U.S. Code, Title 42, Section 7545. Disponível em: &lt;http://www.gpo.gov/fdsys/pkg/USCODE-2008-title42/pdf/USCODE-2008-title42-chap85.pdf&gt;. Acesso em: 26 dez. 2012</b:Comments>
    <b:RefOrder>4</b:RefOrder>
  </b:Source>
  <b:Source>
    <b:Tag>EUA1</b:Tag>
    <b:SourceType>Misc</b:SourceType>
    <b:Guid>{90E75CC3-91F8-49EF-A1C6-017134E21D19}</b:Guid>
    <b:LCID>0</b:LCID>
    <b:Author>
      <b:Author>
        <b:Corporate>EUA. Environmental Protection Agency - EPA.</b:Corporate>
      </b:Author>
    </b:Author>
    <b:Comments>Code of Federal Regulations, Title 40, Ch. I, Part 80. 1º jul. 2012. Disponível em: &lt;http://www.gpo.gov/fdsys/browse/collectionCfr.action?selectedYearFrom=-1&amp;go=Go&gt;. Acesso em: 27 dez. 2012</b:Comments>
    <b:RefOrder>5</b:RefOrder>
  </b:Source>
  <b:Source>
    <b:Tag>Ins</b:Tag>
    <b:SourceType>Misc</b:SourceType>
    <b:Guid>{C3BA5EC8-6BCE-417F-8C90-4C8D808E727E}</b:Guid>
    <b:LCID>0</b:LCID>
    <b:Author>
      <b:Author>
        <b:Corporate>INSTITUTO MEXICANO DEL PETRÓLEO - IMP</b:Corporate>
      </b:Author>
    </b:Author>
    <b:Comments>Línea de negocio de Tratamientos químicos. Disponível em: &lt;http://www.imp.mx/productos/?imp=PROCESO&amp; esp=0206&amp; cs=7&gt;. Acesso em: 28 dez. 2012.</b:Comments>
    <b:RefOrder>6</b:RefOrder>
  </b:Source>
  <b:Source>
    <b:Tag>PEM</b:Tag>
    <b:SourceType>Misc</b:SourceType>
    <b:Guid>{BEDDB674-C240-4CB2-B14A-FA811FCB7C46}</b:Guid>
    <b:LCID>0</b:LCID>
    <b:Author>
      <b:Author>
        <b:Corporate>PEMEX REFINACIÓN</b:Corporate>
      </b:Author>
    </b:Author>
    <b:StandardNumber>Procedimiento Administrativo [...] Compras Interorganismos a PPQ de Aditivo Detergente para Gasolina IMP-DG-15 [...] Entregados a Refinerías, TAR's y Ductos. Disponível em: &lt;http://normateca.dca.pemex.com/nmtkInternet/&gt;. Acesso em: 28 dez. 2012</b:StandardNumber>
    <b:RefOrder>7</b:RefOrder>
  </b:Source>
  <b:Source>
    <b:Tag>EST</b:Tag>
    <b:SourceType>Misc</b:SourceType>
    <b:Guid>{1BEC41C3-4C72-456E-A797-D13FE1560A7E}</b:Guid>
    <b:LCID>0</b:LCID>
    <b:Author>
      <b:Author>
        <b:Corporate>MÉXICO</b:Corporate>
      </b:Author>
    </b:Author>
    <b:Comments>NOM-086-SEMARNAT-SENER-SCFI-2005, Especificaciones de los combustibles fósiles para la protección ambiental. Diário oficial de la Federación, 30 jan. 2006.</b:Comments>
    <b:RefOrder>8</b:RefOrder>
  </b:Source>
  <b:Source>
    <b:Tag>PEM1</b:Tag>
    <b:SourceType>Misc</b:SourceType>
    <b:Guid>{DBA7C95C-9F76-45B4-89E8-027B3246CD12}</b:Guid>
    <b:LCID>0</b:LCID>
    <b:Author>
      <b:Author>
        <b:Corporate>PEMEX REFINACIÓN</b:Corporate>
      </b:Author>
    </b:Author>
    <b:Comments>Manuales de operación de la franquicia pemex - Versión 2008-1. Disponível em: &lt;http://www.ref.pemex.com/files/content/02franquicia/sagli002/sagli002_01.html&gt;. Acesso em: 28 dez. 2012.</b:Comments>
    <b:RefOrder>9</b:RefOrder>
  </b:Source>
  <b:Source>
    <b:Tag>EST1</b:Tag>
    <b:SourceType>Misc</b:SourceType>
    <b:Guid>{E57D4A0B-CF39-4920-80E5-2BB937071A83}</b:Guid>
    <b:LCID>0</b:LCID>
    <b:Author>
      <b:Author>
        <b:Corporate>MÉXICO</b:Corporate>
      </b:Author>
    </b:Author>
    <b:Title>NOM-086-ECOL-1994, Contaminación atmosférica-Especificaciones sobre protección ambiental que deben reunir los combustibles fósiles líquidos y gaseosos que se usan en fuentes fijas y móviles.</b:Title>
    <b:Comments>Diario Ofial de la Federación, 2 dez. 1994.</b:Comments>
    <b:RefOrder>10</b:RefOrder>
  </b:Source>
  <b:Source>
    <b:Tag>COL</b:Tag>
    <b:SourceType>Misc</b:SourceType>
    <b:Guid>{B43D16E5-DB6D-4C39-91B5-8F4CE8B89867}</b:Guid>
    <b:LCID>0</b:LCID>
    <b:Author>
      <b:Author>
        <b:Corporate>COLÔMBIA.</b:Corporate>
      </b:Author>
    </b:Author>
    <b:Title>Resolución nº 81055 de septiembre 20 de 1999</b:Title>
    <b:Comments>Disponível em: &lt;https://www.mincomercio.gov.co/descargar.php?idFile=788&gt;. Acesso em: 28 dez. 2012</b:Comments>
    <b:RefOrder>11</b:RefOrder>
  </b:Source>
  <b:Source>
    <b:Tag>SAK</b:Tag>
    <b:SourceType>Misc</b:SourceType>
    <b:Guid>{A7E73B69-355C-4234-8352-88B1CC6C1E43}</b:Guid>
    <b:LCID>0</b:LCID>
    <b:Author>
      <b:Author>
        <b:NameList>
          <b:Person>
            <b:Last>SAKULPAISITH</b:Last>
            <b:First>N</b:First>
          </b:Person>
          <b:Person>
            <b:Last>WUTTIMONGKOLCHAI</b:Last>
            <b:First>A</b:First>
          </b:Person>
          <b:Person>
            <b:Last>SRETAININD</b:Last>
            <b:First>T</b:First>
          </b:Person>
        </b:NameList>
      </b:Author>
    </b:Author>
    <b:Title>Vehicles fleet test to evaluate Thailand's commercial IVD detergent package's effects on PFI, IVD and CCD performance</b:Title>
    <b:PublicationTitle>International fall fuels and lubricants meeting and exposition</b:PublicationTitle>
    <b:Year>2000</b:Year>
    <b:City>Baltimore</b:City>
    <b:Month>Outubro</b:Month>
    <b:Day>16 a 19</b:Day>
    <b:StateProvince>Maryland</b:StateProvince>
    <b:CountryRegion>EUA</b:CountryRegion>
    <b:Comments>SAE Technical Paper 2000-01-2855</b:Comments>
    <b:RefOrder>12</b:RefOrder>
  </b:Source>
  <b:Source>
    <b:Tag>STA</b:Tag>
    <b:SourceType>Misc</b:SourceType>
    <b:Guid>{7F4F673A-2C6D-4809-9379-77F36CBF2A61}</b:Guid>
    <b:LCID>0</b:LCID>
    <b:Author>
      <b:Author>
        <b:Corporate>STANDARDIZATION ADMINISTRATION OF CHINA - SAC</b:Corporate>
      </b:Author>
    </b:Author>
    <b:Title>GB 19592 - Detergent additive for vehicular gasoline</b:Title>
    <b:Comments>Disponível para compra em: &lt;http://www.sac.gov.cn/sac_en/&gt;</b:Comments>
    <b:RefOrder>13</b:RefOrder>
  </b:Source>
  <b:Source>
    <b:Tag>MIN</b:Tag>
    <b:SourceType>Misc</b:SourceType>
    <b:Guid>{AF7043E4-9F3E-4DCA-8ED8-1A5281FDEBE3}</b:Guid>
    <b:LCID>0</b:LCID>
    <b:Author>
      <b:Author>
        <b:Corporate>MINISTRY OF ENVIRONMENTAL PROTECTION - MEP</b:Corporate>
      </b:Author>
    </b:Author>
    <b:Title>Vehicle emission control in China.</b:Title>
    <b:Comments>Disponível em: &lt;http://www.unep.org/transport/pcfv/PDF/Session3-Asia-TanDagang-MEPChina.pdf&gt;. Acesso em: 30 de jan. 2013</b:Comments>
    <b:RefOrder>14</b:RefOrder>
  </b:Source>
  <b:Source>
    <b:Tag>BUR</b:Tag>
    <b:SourceType>Misc</b:SourceType>
    <b:Guid>{E0C4CA3E-D63C-44C5-BFD4-DA1DF6152A3C}</b:Guid>
    <b:LCID>0</b:LCID>
    <b:Author>
      <b:Author>
        <b:Corporate>BUREAU OF INDIAN STANDARDS - BIS</b:Corporate>
      </b:Author>
    </b:Author>
    <b:Comments>Disponível em: &lt;http://www.bis.org.in/&gt;. Acesso em: 04 jan. 2013</b:Comments>
    <b:Title>Página oficial na internet.</b:Title>
    <b:RefOrder>15</b:RefOrder>
  </b:Source>
  <b:Source>
    <b:Tag>Bha</b:Tag>
    <b:SourceType>Misc</b:SourceType>
    <b:Guid>{1BCA881B-60F8-41B6-86C8-1221BE798B74}</b:Guid>
    <b:LCID>0</b:LCID>
    <b:Author>
      <b:Author>
        <b:Corporate>BHARAT PETROLEUM CORPORATION</b:Corporate>
      </b:Author>
    </b:Author>
    <b:Title>Motor gasoline</b:Title>
    <b:Comments>Disponível em: &lt;http://www.speedfuels.com/Common/Uploads/ContentTemplate/56_Download_MOTOR_GASOLINE.pdf&gt;. Acesso em: 04 jan. 2013</b:Comments>
    <b:RefOrder>16</b:RefOrder>
  </b:Source>
  <b:Source>
    <b:Tag>IND</b:Tag>
    <b:SourceType>Misc</b:SourceType>
    <b:Guid>{6909152F-9213-41BD-9510-F67DCB1AD14A}</b:Guid>
    <b:LCID>0</b:LCID>
    <b:Author>
      <b:Author>
        <b:Corporate>INDIAN OIL CORPORATION</b:Corporate>
      </b:Author>
    </b:Author>
    <b:Title>Products</b:Title>
    <b:Comments>Disponível em: &lt;https://iocl.com/products.aspx&gt;. Acesso em: 04 jan. 2013</b:Comments>
    <b:RefOrder>17</b:RefOrder>
  </b:Source>
  <b:Source>
    <b:Tag>BHA</b:Tag>
    <b:SourceType>Misc</b:SourceType>
    <b:Guid>{97027986-6657-4FA8-AFC6-9CA1139971AB}</b:Guid>
    <b:LCID>0</b:LCID>
    <b:Author>
      <b:Author>
        <b:Corporate>BHARAT PETROLEUM CORPORATION</b:Corporate>
      </b:Author>
    </b:Author>
    <b:Title>Fueling automotives</b:Title>
    <b:Comments>Disponível em: &lt;http://www.bharatpetroleum.com/EnergisingBusiness/FuilingAutomotives.aspx?id=1&gt;. Acesso em: 04 jan. 2013</b:Comments>
    <b:RefOrder>18</b:RefOrder>
  </b:Source>
  <b:Source>
    <b:Tag>HIN</b:Tag>
    <b:SourceType>Misc</b:SourceType>
    <b:Guid>{1DA0B8F6-F0C8-449E-97F2-408DFA6E12D0}</b:Guid>
    <b:LCID>0</b:LCID>
    <b:Author>
      <b:Author>
        <b:Corporate>HINDUSTAN PETROLEUM CORPORATION</b:Corporate>
      </b:Author>
    </b:Author>
    <b:Title>Products and services</b:Title>
    <b:Comments>Disponível em: &lt;http://www.hindustanpetroleum.com/En/UI/ProductsandServiceshomeLand.aspx&gt;. Acesso em: 04 jan. 2013.</b:Comments>
    <b:RefOrder>19</b:RefOrder>
  </b:Source>
</b:Sources>
</file>

<file path=customXml/itemProps1.xml><?xml version="1.0" encoding="utf-8"?>
<ds:datastoreItem xmlns:ds="http://schemas.openxmlformats.org/officeDocument/2006/customXml" ds:itemID="{57F056C6-4A8C-46A1-A763-829ABE6C40DB}">
  <ds:schemaRefs>
    <ds:schemaRef ds:uri="http://schemas.openxmlformats.org/officeDocument/2006/bibliography"/>
  </ds:schemaRefs>
</ds:datastoreItem>
</file>

<file path=customXml/itemProps2.xml><?xml version="1.0" encoding="utf-8"?>
<ds:datastoreItem xmlns:ds="http://schemas.openxmlformats.org/officeDocument/2006/customXml" ds:itemID="{7BF25A06-4BA0-444C-9CF1-0A0E425D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23730</Words>
  <Characters>128144</Characters>
  <Application>Microsoft Office Word</Application>
  <DocSecurity>0</DocSecurity>
  <Lines>1067</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151571</CharactersWithSpaces>
  <SharedDoc>false</SharedDoc>
  <HLinks>
    <vt:vector size="12" baseType="variant">
      <vt:variant>
        <vt:i4>7340141</vt:i4>
      </vt:variant>
      <vt:variant>
        <vt:i4>9</vt:i4>
      </vt:variant>
      <vt:variant>
        <vt:i4>0</vt:i4>
      </vt:variant>
      <vt:variant>
        <vt:i4>5</vt:i4>
      </vt:variant>
      <vt:variant>
        <vt:lpwstr>http://pt.wikipedia.org/wiki/Part%C3%ADcula</vt:lpwstr>
      </vt:variant>
      <vt:variant>
        <vt:lpwstr/>
      </vt:variant>
      <vt:variant>
        <vt:i4>7667767</vt:i4>
      </vt:variant>
      <vt:variant>
        <vt:i4>0</vt:i4>
      </vt:variant>
      <vt:variant>
        <vt:i4>0</vt:i4>
      </vt:variant>
      <vt:variant>
        <vt:i4>5</vt:i4>
      </vt:variant>
      <vt:variant>
        <vt:lpwstr>http://www.mma.gov.br/estruturas/163/_arquivos/proconve_163.pdf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jsalbuquerque</cp:lastModifiedBy>
  <cp:revision>3</cp:revision>
  <cp:lastPrinted>2013-07-05T14:38:00Z</cp:lastPrinted>
  <dcterms:created xsi:type="dcterms:W3CDTF">2013-07-04T19:22:00Z</dcterms:created>
  <dcterms:modified xsi:type="dcterms:W3CDTF">2013-07-05T14:40:00Z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453663260</vt:i4>
  </property>
</Properties>
</file>