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line="240" w:lineRule="auto"/>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caps/>
          <w:sz w:val="32"/>
          <w:szCs w:val="32"/>
        </w:rPr>
      </w:pPr>
      <w:r w:rsidRPr="00413879">
        <w:rPr>
          <w:rFonts w:ascii="Times New Roman" w:hAnsi="Times New Roman"/>
          <w:b/>
          <w:caps/>
          <w:sz w:val="32"/>
          <w:szCs w:val="32"/>
        </w:rPr>
        <w:t xml:space="preserve">Relatório </w:t>
      </w:r>
      <w:r w:rsidR="00B2474A" w:rsidRPr="00413879">
        <w:rPr>
          <w:rFonts w:ascii="Times New Roman" w:hAnsi="Times New Roman"/>
          <w:b/>
          <w:caps/>
          <w:sz w:val="32"/>
          <w:szCs w:val="32"/>
        </w:rPr>
        <w:t xml:space="preserve">FINAL </w:t>
      </w:r>
      <w:r w:rsidRPr="00413879">
        <w:rPr>
          <w:rFonts w:ascii="Times New Roman" w:hAnsi="Times New Roman"/>
          <w:b/>
          <w:caps/>
          <w:sz w:val="32"/>
          <w:szCs w:val="32"/>
        </w:rPr>
        <w:t>da Avaliação de Impacto Regulatório referente ao registro de óleos lubrificantes - Revisão da Resolução ANP nº 10/2007</w:t>
      </w: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r w:rsidRPr="00413879">
        <w:rPr>
          <w:rFonts w:ascii="Times New Roman" w:hAnsi="Times New Roman"/>
          <w:b/>
          <w:sz w:val="24"/>
          <w:szCs w:val="24"/>
        </w:rPr>
        <w:t>Superintendência de Biocombustíveis e</w:t>
      </w:r>
      <w:r w:rsidR="00C64E4E" w:rsidRPr="00413879">
        <w:rPr>
          <w:rFonts w:ascii="Times New Roman" w:hAnsi="Times New Roman"/>
          <w:b/>
          <w:sz w:val="24"/>
          <w:szCs w:val="24"/>
        </w:rPr>
        <w:t xml:space="preserve"> </w:t>
      </w:r>
      <w:r w:rsidRPr="00413879">
        <w:rPr>
          <w:rFonts w:ascii="Times New Roman" w:hAnsi="Times New Roman"/>
          <w:b/>
          <w:sz w:val="24"/>
          <w:szCs w:val="24"/>
        </w:rPr>
        <w:t>Qualidade de Produtos</w:t>
      </w: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7C0798" w:rsidP="00DC3A87">
      <w:pPr>
        <w:spacing w:after="120"/>
        <w:jc w:val="center"/>
        <w:rPr>
          <w:rFonts w:ascii="Times New Roman" w:hAnsi="Times New Roman"/>
          <w:b/>
          <w:sz w:val="24"/>
          <w:szCs w:val="24"/>
        </w:rPr>
      </w:pPr>
      <w:r>
        <w:rPr>
          <w:rFonts w:ascii="Times New Roman" w:hAnsi="Times New Roman"/>
          <w:b/>
          <w:sz w:val="24"/>
          <w:szCs w:val="24"/>
        </w:rPr>
        <w:t>Dez</w:t>
      </w:r>
      <w:r w:rsidR="009E2A74" w:rsidRPr="00413879">
        <w:rPr>
          <w:rFonts w:ascii="Times New Roman" w:hAnsi="Times New Roman"/>
          <w:b/>
          <w:sz w:val="24"/>
          <w:szCs w:val="24"/>
        </w:rPr>
        <w:t>em</w:t>
      </w:r>
      <w:r w:rsidR="00B2474A" w:rsidRPr="00413879">
        <w:rPr>
          <w:rFonts w:ascii="Times New Roman" w:hAnsi="Times New Roman"/>
          <w:b/>
          <w:sz w:val="24"/>
          <w:szCs w:val="24"/>
        </w:rPr>
        <w:t>bro</w:t>
      </w:r>
      <w:r w:rsidR="00DC3A87" w:rsidRPr="00413879">
        <w:rPr>
          <w:rFonts w:ascii="Times New Roman" w:hAnsi="Times New Roman"/>
          <w:b/>
          <w:sz w:val="24"/>
          <w:szCs w:val="24"/>
        </w:rPr>
        <w:t xml:space="preserve"> de 2013</w:t>
      </w: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DC3A87" w:rsidRPr="00413879" w:rsidRDefault="00DC3A87" w:rsidP="00DC3A87">
      <w:pPr>
        <w:spacing w:after="120"/>
        <w:jc w:val="center"/>
        <w:rPr>
          <w:rFonts w:ascii="Times New Roman" w:hAnsi="Times New Roman"/>
          <w:b/>
          <w:sz w:val="24"/>
          <w:szCs w:val="24"/>
        </w:rPr>
      </w:pPr>
    </w:p>
    <w:p w:rsidR="00AB7118" w:rsidRPr="00413879" w:rsidRDefault="00AB7118" w:rsidP="00DC3A87">
      <w:pPr>
        <w:spacing w:after="120"/>
        <w:jc w:val="center"/>
        <w:rPr>
          <w:rFonts w:ascii="Times New Roman" w:hAnsi="Times New Roman"/>
          <w:b/>
          <w:sz w:val="24"/>
          <w:szCs w:val="24"/>
        </w:rPr>
        <w:sectPr w:rsidR="00AB7118" w:rsidRPr="00413879">
          <w:headerReference w:type="default" r:id="rId11"/>
          <w:footerReference w:type="default" r:id="rId12"/>
          <w:pgSz w:w="11906" w:h="16838"/>
          <w:pgMar w:top="709" w:right="1701" w:bottom="426" w:left="1701" w:header="708" w:footer="708" w:gutter="0"/>
          <w:cols w:space="708"/>
          <w:docGrid w:linePitch="360"/>
        </w:sectPr>
      </w:pPr>
    </w:p>
    <w:p w:rsidR="00DC3A87" w:rsidRPr="00413879" w:rsidRDefault="00DC3A87" w:rsidP="00DC3A87">
      <w:pPr>
        <w:autoSpaceDE w:val="0"/>
        <w:autoSpaceDN w:val="0"/>
        <w:adjustRightInd w:val="0"/>
        <w:spacing w:after="0" w:line="240" w:lineRule="auto"/>
        <w:rPr>
          <w:rFonts w:ascii="Times New Roman" w:hAnsi="Times New Roman"/>
          <w:b/>
          <w:sz w:val="24"/>
          <w:szCs w:val="24"/>
        </w:rPr>
      </w:pPr>
      <w:r w:rsidRPr="00413879">
        <w:rPr>
          <w:rFonts w:ascii="Times New Roman" w:hAnsi="Times New Roman"/>
          <w:b/>
          <w:sz w:val="24"/>
          <w:szCs w:val="24"/>
        </w:rPr>
        <w:lastRenderedPageBreak/>
        <w:t>Superintendente de Biocombustíveis e Qualidade de Produtos</w:t>
      </w:r>
    </w:p>
    <w:p w:rsidR="00DC3A87" w:rsidRPr="00413879" w:rsidRDefault="00DC3A87"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Rosângela Moreira de Araujo</w:t>
      </w:r>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b/>
          <w:sz w:val="24"/>
          <w:szCs w:val="24"/>
        </w:rPr>
      </w:pPr>
      <w:r w:rsidRPr="00413879">
        <w:rPr>
          <w:rFonts w:ascii="Times New Roman" w:hAnsi="Times New Roman"/>
          <w:b/>
          <w:sz w:val="24"/>
          <w:szCs w:val="24"/>
        </w:rPr>
        <w:t>Superintendente Adjunta</w:t>
      </w:r>
    </w:p>
    <w:p w:rsidR="00DC3A87" w:rsidRPr="00413879" w:rsidRDefault="00DC3A87"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 xml:space="preserve">Cristiane </w:t>
      </w:r>
      <w:proofErr w:type="spellStart"/>
      <w:r w:rsidRPr="00413879">
        <w:rPr>
          <w:rFonts w:ascii="Times New Roman" w:hAnsi="Times New Roman"/>
          <w:sz w:val="24"/>
          <w:szCs w:val="24"/>
        </w:rPr>
        <w:t>Zulivia</w:t>
      </w:r>
      <w:proofErr w:type="spellEnd"/>
      <w:r w:rsidRPr="00413879">
        <w:rPr>
          <w:rFonts w:ascii="Times New Roman" w:hAnsi="Times New Roman"/>
          <w:sz w:val="24"/>
          <w:szCs w:val="24"/>
        </w:rPr>
        <w:t xml:space="preserve"> de Andrade Monteiro</w:t>
      </w:r>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b/>
          <w:sz w:val="24"/>
          <w:szCs w:val="24"/>
        </w:rPr>
      </w:pPr>
      <w:r w:rsidRPr="00413879">
        <w:rPr>
          <w:rFonts w:ascii="Times New Roman" w:hAnsi="Times New Roman"/>
          <w:b/>
          <w:sz w:val="24"/>
          <w:szCs w:val="24"/>
        </w:rPr>
        <w:t>Coordenador do Centro de Pesquisas e Análises Tecnológicas (CPT)</w:t>
      </w:r>
    </w:p>
    <w:p w:rsidR="00DC3A87" w:rsidRPr="00413879" w:rsidRDefault="00DC3A87"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 xml:space="preserve">Vinícius Leandro </w:t>
      </w:r>
      <w:proofErr w:type="spellStart"/>
      <w:r w:rsidRPr="00413879">
        <w:rPr>
          <w:rFonts w:ascii="Times New Roman" w:hAnsi="Times New Roman"/>
          <w:sz w:val="24"/>
          <w:szCs w:val="24"/>
        </w:rPr>
        <w:t>Skrobot</w:t>
      </w:r>
      <w:proofErr w:type="spellEnd"/>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b/>
          <w:sz w:val="24"/>
          <w:szCs w:val="24"/>
        </w:rPr>
      </w:pPr>
      <w:r w:rsidRPr="00413879">
        <w:rPr>
          <w:rFonts w:ascii="Times New Roman" w:hAnsi="Times New Roman"/>
          <w:b/>
          <w:sz w:val="24"/>
          <w:szCs w:val="24"/>
        </w:rPr>
        <w:t>Coordenadora de Lubrificantes – CPT/SBQ</w:t>
      </w:r>
    </w:p>
    <w:p w:rsidR="00DC3A87" w:rsidRPr="00413879" w:rsidRDefault="00DC3A87"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 xml:space="preserve">Maria da Conceição Carvalho </w:t>
      </w:r>
      <w:r w:rsidR="00C447A5" w:rsidRPr="00413879">
        <w:rPr>
          <w:rFonts w:ascii="Times New Roman" w:hAnsi="Times New Roman"/>
          <w:sz w:val="24"/>
          <w:szCs w:val="24"/>
        </w:rPr>
        <w:t xml:space="preserve">de Paiva </w:t>
      </w:r>
      <w:r w:rsidRPr="00413879">
        <w:rPr>
          <w:rFonts w:ascii="Times New Roman" w:hAnsi="Times New Roman"/>
          <w:sz w:val="24"/>
          <w:szCs w:val="24"/>
        </w:rPr>
        <w:t>França</w:t>
      </w:r>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b/>
          <w:sz w:val="24"/>
          <w:szCs w:val="24"/>
        </w:rPr>
      </w:pPr>
      <w:r w:rsidRPr="00413879">
        <w:rPr>
          <w:rFonts w:ascii="Times New Roman" w:hAnsi="Times New Roman"/>
          <w:b/>
          <w:sz w:val="24"/>
          <w:szCs w:val="24"/>
        </w:rPr>
        <w:t>Grupo de Trabalho</w:t>
      </w:r>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i/>
          <w:sz w:val="24"/>
          <w:szCs w:val="24"/>
        </w:rPr>
      </w:pPr>
      <w:r w:rsidRPr="00413879">
        <w:rPr>
          <w:rFonts w:ascii="Times New Roman" w:hAnsi="Times New Roman"/>
          <w:i/>
          <w:sz w:val="24"/>
          <w:szCs w:val="24"/>
        </w:rPr>
        <w:t>Centro de Pesquisas e Análises Tecnológicas</w:t>
      </w:r>
    </w:p>
    <w:p w:rsidR="00DC3A87" w:rsidRPr="00413879" w:rsidRDefault="00DC3A87"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Guilherme Vianna de Melo Jacintho</w:t>
      </w:r>
    </w:p>
    <w:p w:rsidR="00DC3A87" w:rsidRPr="00413879" w:rsidRDefault="00DC3A87"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Maristela Lopes Silva Melo</w:t>
      </w:r>
    </w:p>
    <w:p w:rsidR="00DC3A87" w:rsidRPr="00413879" w:rsidRDefault="00DC3A87"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Paulo Roberto Rodrigues de Matos</w:t>
      </w:r>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i/>
          <w:sz w:val="24"/>
          <w:szCs w:val="24"/>
        </w:rPr>
      </w:pPr>
      <w:r w:rsidRPr="00413879">
        <w:rPr>
          <w:rFonts w:ascii="Times New Roman" w:hAnsi="Times New Roman"/>
          <w:i/>
          <w:sz w:val="24"/>
          <w:szCs w:val="24"/>
        </w:rPr>
        <w:t>Superintendência de Biocombustíveis e Qualidade de Produtos</w:t>
      </w:r>
    </w:p>
    <w:p w:rsidR="00DC3A87" w:rsidRPr="00413879" w:rsidRDefault="00DC3A87" w:rsidP="00DC3A87">
      <w:pPr>
        <w:autoSpaceDE w:val="0"/>
        <w:autoSpaceDN w:val="0"/>
        <w:adjustRightInd w:val="0"/>
        <w:spacing w:after="0" w:line="240" w:lineRule="auto"/>
        <w:rPr>
          <w:rFonts w:ascii="Times New Roman" w:hAnsi="Times New Roman"/>
          <w:sz w:val="24"/>
          <w:szCs w:val="24"/>
        </w:rPr>
      </w:pPr>
      <w:proofErr w:type="spellStart"/>
      <w:r w:rsidRPr="00413879">
        <w:rPr>
          <w:rFonts w:ascii="Times New Roman" w:hAnsi="Times New Roman"/>
          <w:sz w:val="24"/>
          <w:szCs w:val="24"/>
        </w:rPr>
        <w:t>Celma</w:t>
      </w:r>
      <w:proofErr w:type="spellEnd"/>
      <w:r w:rsidRPr="00413879">
        <w:rPr>
          <w:rFonts w:ascii="Times New Roman" w:hAnsi="Times New Roman"/>
          <w:sz w:val="24"/>
          <w:szCs w:val="24"/>
        </w:rPr>
        <w:t xml:space="preserve"> da Silva </w:t>
      </w:r>
      <w:proofErr w:type="spellStart"/>
      <w:r w:rsidRPr="00413879">
        <w:rPr>
          <w:rFonts w:ascii="Times New Roman" w:hAnsi="Times New Roman"/>
          <w:sz w:val="24"/>
          <w:szCs w:val="24"/>
        </w:rPr>
        <w:t>Anastacio</w:t>
      </w:r>
      <w:proofErr w:type="spellEnd"/>
      <w:r w:rsidRPr="00413879">
        <w:rPr>
          <w:rFonts w:ascii="Times New Roman" w:hAnsi="Times New Roman"/>
          <w:sz w:val="24"/>
          <w:szCs w:val="24"/>
        </w:rPr>
        <w:t xml:space="preserve"> Rocco</w:t>
      </w:r>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b/>
          <w:sz w:val="24"/>
          <w:szCs w:val="24"/>
        </w:rPr>
      </w:pPr>
    </w:p>
    <w:p w:rsidR="00DC3A87" w:rsidRPr="00413879" w:rsidRDefault="00DC3A87" w:rsidP="00DC3A87">
      <w:pPr>
        <w:autoSpaceDE w:val="0"/>
        <w:autoSpaceDN w:val="0"/>
        <w:adjustRightInd w:val="0"/>
        <w:spacing w:after="0" w:line="240" w:lineRule="auto"/>
        <w:rPr>
          <w:rFonts w:ascii="Times New Roman" w:hAnsi="Times New Roman"/>
          <w:b/>
          <w:sz w:val="24"/>
          <w:szCs w:val="24"/>
        </w:rPr>
      </w:pPr>
      <w:r w:rsidRPr="00413879">
        <w:rPr>
          <w:rFonts w:ascii="Times New Roman" w:hAnsi="Times New Roman"/>
          <w:b/>
          <w:sz w:val="24"/>
          <w:szCs w:val="24"/>
        </w:rPr>
        <w:t>Colaboradores</w:t>
      </w:r>
    </w:p>
    <w:p w:rsidR="00B2474A" w:rsidRPr="00413879" w:rsidRDefault="00B357FA"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 xml:space="preserve">Delia Rodrigo </w:t>
      </w:r>
      <w:proofErr w:type="spellStart"/>
      <w:r w:rsidRPr="00413879">
        <w:rPr>
          <w:rFonts w:ascii="Times New Roman" w:hAnsi="Times New Roman"/>
          <w:sz w:val="24"/>
          <w:szCs w:val="24"/>
        </w:rPr>
        <w:t>Enriquez</w:t>
      </w:r>
      <w:proofErr w:type="spellEnd"/>
      <w:r w:rsidRPr="00413879">
        <w:rPr>
          <w:rFonts w:ascii="Times New Roman" w:hAnsi="Times New Roman"/>
          <w:sz w:val="24"/>
          <w:szCs w:val="24"/>
        </w:rPr>
        <w:t xml:space="preserve"> (Consultora </w:t>
      </w:r>
      <w:r w:rsidR="005E4FED" w:rsidRPr="00413879">
        <w:rPr>
          <w:rFonts w:ascii="Times New Roman" w:hAnsi="Times New Roman"/>
          <w:sz w:val="24"/>
          <w:szCs w:val="24"/>
        </w:rPr>
        <w:t xml:space="preserve">– Casa Civil </w:t>
      </w:r>
      <w:r w:rsidRPr="00413879">
        <w:rPr>
          <w:rFonts w:ascii="Times New Roman" w:hAnsi="Times New Roman"/>
          <w:sz w:val="24"/>
          <w:szCs w:val="24"/>
        </w:rPr>
        <w:t>– PRO-REG)</w:t>
      </w:r>
    </w:p>
    <w:p w:rsidR="00DC3A87" w:rsidRPr="00413879" w:rsidRDefault="00652C43"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 xml:space="preserve">Eduardo Antônio Pires do Carmo </w:t>
      </w:r>
      <w:r w:rsidR="00DC3A87" w:rsidRPr="00413879">
        <w:rPr>
          <w:rFonts w:ascii="Times New Roman" w:hAnsi="Times New Roman"/>
          <w:sz w:val="24"/>
          <w:szCs w:val="24"/>
        </w:rPr>
        <w:t>(</w:t>
      </w:r>
      <w:r w:rsidR="005E4FED" w:rsidRPr="00413879">
        <w:rPr>
          <w:rFonts w:ascii="Times New Roman" w:hAnsi="Times New Roman"/>
          <w:sz w:val="24"/>
          <w:szCs w:val="24"/>
        </w:rPr>
        <w:t xml:space="preserve">ANP - </w:t>
      </w:r>
      <w:r w:rsidR="00DC3A87" w:rsidRPr="00413879">
        <w:rPr>
          <w:rFonts w:ascii="Times New Roman" w:hAnsi="Times New Roman"/>
          <w:sz w:val="24"/>
          <w:szCs w:val="24"/>
        </w:rPr>
        <w:t>SAB)</w:t>
      </w:r>
    </w:p>
    <w:p w:rsidR="009A471C" w:rsidRPr="00413879" w:rsidRDefault="009A471C"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Jackson da Silva Albuquerque (</w:t>
      </w:r>
      <w:r w:rsidR="005E4FED" w:rsidRPr="00413879">
        <w:rPr>
          <w:rFonts w:ascii="Times New Roman" w:hAnsi="Times New Roman"/>
          <w:sz w:val="24"/>
          <w:szCs w:val="24"/>
        </w:rPr>
        <w:t xml:space="preserve">ANP - </w:t>
      </w:r>
      <w:r w:rsidRPr="00413879">
        <w:rPr>
          <w:rFonts w:ascii="Times New Roman" w:hAnsi="Times New Roman"/>
          <w:sz w:val="24"/>
          <w:szCs w:val="24"/>
        </w:rPr>
        <w:t>SBQ)</w:t>
      </w:r>
    </w:p>
    <w:p w:rsidR="00DC3A87" w:rsidRPr="00413879" w:rsidRDefault="00DC3A87"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Rita Capra Vieira (</w:t>
      </w:r>
      <w:r w:rsidR="005E4FED" w:rsidRPr="00413879">
        <w:rPr>
          <w:rFonts w:ascii="Times New Roman" w:hAnsi="Times New Roman"/>
          <w:sz w:val="24"/>
          <w:szCs w:val="24"/>
        </w:rPr>
        <w:t xml:space="preserve">ANP - </w:t>
      </w:r>
      <w:r w:rsidRPr="00413879">
        <w:rPr>
          <w:rFonts w:ascii="Times New Roman" w:hAnsi="Times New Roman"/>
          <w:sz w:val="24"/>
          <w:szCs w:val="24"/>
        </w:rPr>
        <w:t>SBQ)</w:t>
      </w:r>
    </w:p>
    <w:p w:rsidR="00DC3A87" w:rsidRPr="00413879" w:rsidRDefault="00DC3A87" w:rsidP="00DC3A87">
      <w:pPr>
        <w:autoSpaceDE w:val="0"/>
        <w:autoSpaceDN w:val="0"/>
        <w:adjustRightInd w:val="0"/>
        <w:spacing w:after="0" w:line="240" w:lineRule="auto"/>
        <w:rPr>
          <w:rFonts w:ascii="Times New Roman" w:hAnsi="Times New Roman"/>
          <w:sz w:val="24"/>
          <w:szCs w:val="24"/>
        </w:rPr>
      </w:pPr>
      <w:r w:rsidRPr="00413879">
        <w:rPr>
          <w:rFonts w:ascii="Times New Roman" w:hAnsi="Times New Roman"/>
          <w:sz w:val="24"/>
          <w:szCs w:val="24"/>
        </w:rPr>
        <w:t>Silvio Roberto Pereira da Costa (</w:t>
      </w:r>
      <w:r w:rsidR="005E4FED" w:rsidRPr="00413879">
        <w:rPr>
          <w:rFonts w:ascii="Times New Roman" w:hAnsi="Times New Roman"/>
          <w:sz w:val="24"/>
          <w:szCs w:val="24"/>
        </w:rPr>
        <w:t xml:space="preserve">ANP - </w:t>
      </w:r>
      <w:r w:rsidRPr="00413879">
        <w:rPr>
          <w:rFonts w:ascii="Times New Roman" w:hAnsi="Times New Roman"/>
          <w:sz w:val="24"/>
          <w:szCs w:val="24"/>
        </w:rPr>
        <w:t>SBQ)</w:t>
      </w:r>
    </w:p>
    <w:p w:rsidR="00E15EE4" w:rsidRPr="00413879" w:rsidRDefault="00E15EE4" w:rsidP="00652C43">
      <w:pPr>
        <w:autoSpaceDE w:val="0"/>
        <w:autoSpaceDN w:val="0"/>
        <w:adjustRightInd w:val="0"/>
        <w:spacing w:after="120"/>
        <w:jc w:val="both"/>
        <w:rPr>
          <w:rFonts w:ascii="Times New Roman" w:hAnsi="Times New Roman"/>
          <w:sz w:val="24"/>
          <w:szCs w:val="24"/>
        </w:rPr>
      </w:pPr>
    </w:p>
    <w:p w:rsidR="00AB7118" w:rsidRPr="00413879" w:rsidRDefault="00AB7118">
      <w:pPr>
        <w:rPr>
          <w:rFonts w:ascii="Times New Roman" w:hAnsi="Times New Roman"/>
          <w:sz w:val="24"/>
          <w:szCs w:val="24"/>
        </w:rPr>
      </w:pPr>
      <w:r w:rsidRPr="00413879">
        <w:rPr>
          <w:rFonts w:ascii="Times New Roman" w:hAnsi="Times New Roman"/>
          <w:sz w:val="24"/>
          <w:szCs w:val="24"/>
        </w:rPr>
        <w:br w:type="page"/>
      </w:r>
    </w:p>
    <w:p w:rsidR="00652C43" w:rsidRPr="00413879" w:rsidRDefault="00652C43" w:rsidP="00652C43">
      <w:pPr>
        <w:autoSpaceDE w:val="0"/>
        <w:autoSpaceDN w:val="0"/>
        <w:adjustRightInd w:val="0"/>
        <w:spacing w:after="120"/>
        <w:jc w:val="both"/>
        <w:rPr>
          <w:rFonts w:ascii="Times New Roman" w:hAnsi="Times New Roman"/>
          <w:sz w:val="24"/>
          <w:szCs w:val="24"/>
        </w:rPr>
      </w:pPr>
      <w:r w:rsidRPr="00413879">
        <w:rPr>
          <w:rFonts w:ascii="Times New Roman" w:hAnsi="Times New Roman"/>
          <w:sz w:val="24"/>
          <w:szCs w:val="24"/>
        </w:rPr>
        <w:lastRenderedPageBreak/>
        <w:t xml:space="preserve">Nota Técnica n. º </w:t>
      </w:r>
      <w:r w:rsidR="007C0798">
        <w:rPr>
          <w:rFonts w:ascii="Times New Roman" w:hAnsi="Times New Roman"/>
          <w:sz w:val="24"/>
          <w:szCs w:val="24"/>
        </w:rPr>
        <w:t>86</w:t>
      </w:r>
      <w:r w:rsidRPr="00413879">
        <w:rPr>
          <w:rFonts w:ascii="Times New Roman" w:hAnsi="Times New Roman"/>
          <w:sz w:val="24"/>
          <w:szCs w:val="24"/>
        </w:rPr>
        <w:t>/2013/CPT/DF</w:t>
      </w:r>
    </w:p>
    <w:p w:rsidR="00652C43" w:rsidRPr="00413879" w:rsidRDefault="00652C43" w:rsidP="00652C43">
      <w:pPr>
        <w:autoSpaceDE w:val="0"/>
        <w:autoSpaceDN w:val="0"/>
        <w:adjustRightInd w:val="0"/>
        <w:spacing w:after="120"/>
        <w:jc w:val="both"/>
        <w:rPr>
          <w:rFonts w:ascii="Times New Roman" w:hAnsi="Times New Roman"/>
          <w:sz w:val="24"/>
          <w:szCs w:val="24"/>
        </w:rPr>
      </w:pPr>
    </w:p>
    <w:p w:rsidR="00652C43" w:rsidRPr="00413879" w:rsidRDefault="00652C43" w:rsidP="00CE643D">
      <w:pPr>
        <w:spacing w:after="120" w:line="360" w:lineRule="auto"/>
        <w:ind w:left="992" w:hanging="992"/>
        <w:jc w:val="both"/>
        <w:rPr>
          <w:rFonts w:ascii="Times New Roman" w:hAnsi="Times New Roman"/>
          <w:sz w:val="24"/>
          <w:szCs w:val="24"/>
        </w:rPr>
      </w:pPr>
      <w:r w:rsidRPr="00413879">
        <w:rPr>
          <w:rFonts w:ascii="Times New Roman" w:hAnsi="Times New Roman"/>
          <w:sz w:val="24"/>
          <w:szCs w:val="24"/>
        </w:rPr>
        <w:t xml:space="preserve">Assunto: Relatório </w:t>
      </w:r>
      <w:r w:rsidR="00E83C80" w:rsidRPr="00413879">
        <w:rPr>
          <w:rFonts w:ascii="Times New Roman" w:hAnsi="Times New Roman"/>
          <w:sz w:val="24"/>
          <w:szCs w:val="24"/>
        </w:rPr>
        <w:t xml:space="preserve">Final </w:t>
      </w:r>
      <w:r w:rsidRPr="00413879">
        <w:rPr>
          <w:rFonts w:ascii="Times New Roman" w:hAnsi="Times New Roman"/>
          <w:sz w:val="24"/>
          <w:szCs w:val="24"/>
        </w:rPr>
        <w:t>da Avaliação de Impacto Regulatório referente ao registro de óleos lubrificantes - Revisão da Resolução ANP nº 10/2007</w:t>
      </w:r>
      <w:r w:rsidRPr="00413879">
        <w:rPr>
          <w:rFonts w:ascii="Times New Roman" w:hAnsi="Times New Roman"/>
          <w:b/>
          <w:sz w:val="24"/>
          <w:szCs w:val="24"/>
        </w:rPr>
        <w:t>.</w:t>
      </w:r>
    </w:p>
    <w:p w:rsidR="00652C43" w:rsidRPr="00413879" w:rsidRDefault="00652C43" w:rsidP="00652C43">
      <w:pPr>
        <w:spacing w:before="120" w:after="120" w:line="360" w:lineRule="auto"/>
        <w:ind w:firstLine="567"/>
        <w:jc w:val="center"/>
        <w:rPr>
          <w:rFonts w:ascii="Times New Roman" w:hAnsi="Times New Roman"/>
          <w:b/>
          <w:sz w:val="24"/>
          <w:szCs w:val="24"/>
        </w:rPr>
      </w:pPr>
    </w:p>
    <w:p w:rsidR="00652C43" w:rsidRPr="00413879" w:rsidRDefault="00652C43" w:rsidP="00DC00AB">
      <w:pPr>
        <w:pStyle w:val="PargrafodaLista"/>
        <w:numPr>
          <w:ilvl w:val="0"/>
          <w:numId w:val="8"/>
        </w:numPr>
        <w:spacing w:before="120" w:after="120" w:line="360" w:lineRule="auto"/>
        <w:contextualSpacing w:val="0"/>
        <w:jc w:val="both"/>
        <w:rPr>
          <w:rFonts w:ascii="Times New Roman" w:hAnsi="Times New Roman"/>
          <w:b/>
          <w:sz w:val="24"/>
          <w:szCs w:val="24"/>
          <w:lang w:val="pt-BR"/>
        </w:rPr>
      </w:pPr>
      <w:r w:rsidRPr="00413879">
        <w:rPr>
          <w:rFonts w:ascii="Times New Roman" w:hAnsi="Times New Roman"/>
          <w:b/>
          <w:sz w:val="24"/>
          <w:szCs w:val="24"/>
          <w:lang w:val="pt-BR"/>
        </w:rPr>
        <w:t>DO PROBLEMA</w:t>
      </w:r>
    </w:p>
    <w:p w:rsidR="00652C43" w:rsidRPr="00413879" w:rsidRDefault="003C5FA7" w:rsidP="00DC00AB">
      <w:pPr>
        <w:pStyle w:val="PargrafodaLista"/>
        <w:numPr>
          <w:ilvl w:val="1"/>
          <w:numId w:val="8"/>
        </w:numPr>
        <w:spacing w:before="120" w:after="120" w:line="360" w:lineRule="auto"/>
        <w:contextualSpacing w:val="0"/>
        <w:jc w:val="both"/>
        <w:rPr>
          <w:rFonts w:ascii="Times New Roman" w:hAnsi="Times New Roman"/>
          <w:b/>
          <w:sz w:val="24"/>
          <w:szCs w:val="24"/>
          <w:lang w:val="pt-BR"/>
        </w:rPr>
      </w:pPr>
      <w:r w:rsidRPr="00413879">
        <w:rPr>
          <w:rFonts w:ascii="Times New Roman" w:hAnsi="Times New Roman"/>
          <w:b/>
          <w:sz w:val="24"/>
          <w:szCs w:val="24"/>
          <w:lang w:val="pt-BR"/>
        </w:rPr>
        <w:t>Descrição</w:t>
      </w:r>
    </w:p>
    <w:p w:rsidR="00B73D64" w:rsidRPr="00413879" w:rsidRDefault="00652C43" w:rsidP="002B72C5">
      <w:pPr>
        <w:spacing w:before="120" w:after="120" w:line="360" w:lineRule="auto"/>
        <w:ind w:firstLine="1134"/>
        <w:jc w:val="both"/>
        <w:rPr>
          <w:rFonts w:ascii="Times New Roman" w:hAnsi="Times New Roman"/>
          <w:sz w:val="24"/>
          <w:szCs w:val="24"/>
        </w:rPr>
      </w:pPr>
      <w:r w:rsidRPr="00413879">
        <w:rPr>
          <w:rFonts w:ascii="Times New Roman" w:hAnsi="Times New Roman"/>
          <w:sz w:val="24"/>
          <w:szCs w:val="24"/>
        </w:rPr>
        <w:t xml:space="preserve">Desde a década de 70, </w:t>
      </w:r>
      <w:r w:rsidR="00193FC1" w:rsidRPr="00413879">
        <w:rPr>
          <w:rFonts w:ascii="Times New Roman" w:hAnsi="Times New Roman"/>
          <w:sz w:val="24"/>
          <w:szCs w:val="24"/>
        </w:rPr>
        <w:t>os lubrificantes acabados vêm</w:t>
      </w:r>
      <w:r w:rsidR="00674C54" w:rsidRPr="00413879">
        <w:rPr>
          <w:rFonts w:ascii="Times New Roman" w:hAnsi="Times New Roman"/>
          <w:sz w:val="24"/>
          <w:szCs w:val="24"/>
        </w:rPr>
        <w:t xml:space="preserve"> sendo </w:t>
      </w:r>
      <w:r w:rsidRPr="00413879">
        <w:rPr>
          <w:rFonts w:ascii="Times New Roman" w:hAnsi="Times New Roman"/>
          <w:sz w:val="24"/>
          <w:szCs w:val="24"/>
        </w:rPr>
        <w:t>regulados pela instituição competente do setor de petróleo</w:t>
      </w:r>
      <w:r w:rsidR="00674C54" w:rsidRPr="00413879">
        <w:rPr>
          <w:rFonts w:ascii="Times New Roman" w:hAnsi="Times New Roman"/>
          <w:sz w:val="24"/>
          <w:szCs w:val="24"/>
        </w:rPr>
        <w:t>, à época o Conselho Nacional do Petróleo (CNP)</w:t>
      </w:r>
      <w:r w:rsidR="004476A1" w:rsidRPr="00413879">
        <w:rPr>
          <w:rFonts w:ascii="Times New Roman" w:hAnsi="Times New Roman"/>
          <w:sz w:val="24"/>
          <w:szCs w:val="24"/>
        </w:rPr>
        <w:t>.</w:t>
      </w:r>
      <w:r w:rsidRPr="00413879">
        <w:rPr>
          <w:rFonts w:ascii="Times New Roman" w:hAnsi="Times New Roman"/>
          <w:sz w:val="24"/>
          <w:szCs w:val="24"/>
        </w:rPr>
        <w:t xml:space="preserve"> A primeira legislação que tratou desse tema foi a Resolução CNP n° 8, de 27/8/1970 e, dentre as suas principais regras, constavam a obrigatoriedade do registro prévio dos produtos e a submissão das especificações físi</w:t>
      </w:r>
      <w:r w:rsidR="00B73D64" w:rsidRPr="00413879">
        <w:rPr>
          <w:rFonts w:ascii="Times New Roman" w:hAnsi="Times New Roman"/>
          <w:sz w:val="24"/>
          <w:szCs w:val="24"/>
        </w:rPr>
        <w:t>co-químicas no ato do registro.</w:t>
      </w:r>
    </w:p>
    <w:p w:rsidR="00B73D64" w:rsidRPr="00413879" w:rsidRDefault="00BE4BD1" w:rsidP="002B72C5">
      <w:pPr>
        <w:spacing w:before="120" w:after="120" w:line="360" w:lineRule="auto"/>
        <w:ind w:firstLine="1134"/>
        <w:jc w:val="both"/>
        <w:rPr>
          <w:rFonts w:ascii="Times New Roman" w:hAnsi="Times New Roman"/>
          <w:sz w:val="24"/>
          <w:szCs w:val="24"/>
        </w:rPr>
      </w:pPr>
      <w:r w:rsidRPr="00413879">
        <w:rPr>
          <w:rFonts w:ascii="Times New Roman" w:hAnsi="Times New Roman"/>
          <w:sz w:val="24"/>
          <w:szCs w:val="24"/>
        </w:rPr>
        <w:t>Já o</w:t>
      </w:r>
      <w:r w:rsidR="00B73D64" w:rsidRPr="00413879">
        <w:rPr>
          <w:rFonts w:ascii="Times New Roman" w:hAnsi="Times New Roman"/>
          <w:sz w:val="24"/>
          <w:szCs w:val="24"/>
        </w:rPr>
        <w:t xml:space="preserve">s aditivos </w:t>
      </w:r>
      <w:r w:rsidR="00167BC8" w:rsidRPr="00413879">
        <w:rPr>
          <w:rFonts w:ascii="Times New Roman" w:hAnsi="Times New Roman"/>
          <w:sz w:val="24"/>
          <w:szCs w:val="24"/>
        </w:rPr>
        <w:t xml:space="preserve">em frasco, conhecidos como </w:t>
      </w:r>
      <w:proofErr w:type="spellStart"/>
      <w:r w:rsidR="00DE1725" w:rsidRPr="00413879">
        <w:rPr>
          <w:rFonts w:ascii="Times New Roman" w:hAnsi="Times New Roman"/>
          <w:i/>
          <w:sz w:val="24"/>
          <w:szCs w:val="24"/>
        </w:rPr>
        <w:t>aftermarket</w:t>
      </w:r>
      <w:proofErr w:type="spellEnd"/>
      <w:r w:rsidR="00BF29BB" w:rsidRPr="00413879">
        <w:rPr>
          <w:rStyle w:val="Refdenotaderodap"/>
          <w:rFonts w:ascii="Times New Roman" w:hAnsi="Times New Roman"/>
          <w:i/>
          <w:sz w:val="24"/>
          <w:szCs w:val="24"/>
        </w:rPr>
        <w:footnoteReference w:id="1"/>
      </w:r>
      <w:r w:rsidR="00B73D64" w:rsidRPr="00413879">
        <w:rPr>
          <w:rFonts w:ascii="Times New Roman" w:hAnsi="Times New Roman"/>
          <w:sz w:val="24"/>
          <w:szCs w:val="24"/>
        </w:rPr>
        <w:t xml:space="preserve"> para aplicação em óleos lubrificantes acabados são registrados desde 1976, </w:t>
      </w:r>
      <w:r w:rsidR="00996A93" w:rsidRPr="00413879">
        <w:rPr>
          <w:rFonts w:ascii="Times New Roman" w:hAnsi="Times New Roman"/>
          <w:sz w:val="24"/>
          <w:szCs w:val="24"/>
        </w:rPr>
        <w:t xml:space="preserve">conforme a </w:t>
      </w:r>
      <w:r w:rsidR="00B73D64" w:rsidRPr="00413879">
        <w:rPr>
          <w:rFonts w:ascii="Times New Roman" w:hAnsi="Times New Roman"/>
          <w:sz w:val="24"/>
          <w:szCs w:val="24"/>
        </w:rPr>
        <w:t>Resolução CNP nº 08</w:t>
      </w:r>
      <w:r w:rsidR="00996A93" w:rsidRPr="00413879">
        <w:rPr>
          <w:rStyle w:val="Refdenotaderodap"/>
          <w:rFonts w:ascii="Times New Roman" w:hAnsi="Times New Roman"/>
          <w:sz w:val="24"/>
          <w:szCs w:val="24"/>
        </w:rPr>
        <w:footnoteReference w:id="2"/>
      </w:r>
      <w:r w:rsidR="00996A93" w:rsidRPr="00413879">
        <w:rPr>
          <w:rFonts w:ascii="Times New Roman" w:hAnsi="Times New Roman"/>
          <w:sz w:val="24"/>
          <w:szCs w:val="24"/>
        </w:rPr>
        <w:t xml:space="preserve"> de 29/06/19</w:t>
      </w:r>
      <w:r w:rsidR="007841C0" w:rsidRPr="00413879">
        <w:rPr>
          <w:rFonts w:ascii="Times New Roman" w:hAnsi="Times New Roman"/>
          <w:sz w:val="24"/>
          <w:szCs w:val="24"/>
        </w:rPr>
        <w:t>76</w:t>
      </w:r>
      <w:r w:rsidR="00B73D64" w:rsidRPr="00413879">
        <w:rPr>
          <w:rFonts w:ascii="Times New Roman" w:hAnsi="Times New Roman"/>
          <w:sz w:val="24"/>
          <w:szCs w:val="24"/>
        </w:rPr>
        <w:t>, definido</w:t>
      </w:r>
      <w:r w:rsidR="008022BC" w:rsidRPr="00413879">
        <w:rPr>
          <w:rFonts w:ascii="Times New Roman" w:hAnsi="Times New Roman"/>
          <w:sz w:val="24"/>
          <w:szCs w:val="24"/>
        </w:rPr>
        <w:t xml:space="preserve">s </w:t>
      </w:r>
      <w:r w:rsidR="00B73D64" w:rsidRPr="00413879">
        <w:rPr>
          <w:rFonts w:ascii="Times New Roman" w:hAnsi="Times New Roman"/>
          <w:sz w:val="24"/>
          <w:szCs w:val="24"/>
        </w:rPr>
        <w:t>como produto</w:t>
      </w:r>
      <w:r w:rsidR="00384BB3" w:rsidRPr="00413879">
        <w:rPr>
          <w:rFonts w:ascii="Times New Roman" w:hAnsi="Times New Roman"/>
          <w:sz w:val="24"/>
          <w:szCs w:val="24"/>
        </w:rPr>
        <w:t>s</w:t>
      </w:r>
      <w:r w:rsidR="00B73D64" w:rsidRPr="00413879">
        <w:rPr>
          <w:rFonts w:ascii="Times New Roman" w:hAnsi="Times New Roman"/>
          <w:sz w:val="24"/>
          <w:szCs w:val="24"/>
        </w:rPr>
        <w:t xml:space="preserve"> </w:t>
      </w:r>
      <w:r w:rsidR="005E4FED" w:rsidRPr="00413879">
        <w:rPr>
          <w:rFonts w:ascii="Times New Roman" w:hAnsi="Times New Roman"/>
          <w:sz w:val="24"/>
          <w:szCs w:val="24"/>
        </w:rPr>
        <w:t xml:space="preserve">a </w:t>
      </w:r>
      <w:r w:rsidR="008022BC" w:rsidRPr="00413879">
        <w:rPr>
          <w:rFonts w:ascii="Times New Roman" w:hAnsi="Times New Roman"/>
          <w:sz w:val="24"/>
          <w:szCs w:val="24"/>
        </w:rPr>
        <w:t>serem adicionados</w:t>
      </w:r>
      <w:r w:rsidR="00996A93" w:rsidRPr="00413879">
        <w:rPr>
          <w:rFonts w:ascii="Times New Roman" w:hAnsi="Times New Roman"/>
          <w:sz w:val="24"/>
          <w:szCs w:val="24"/>
        </w:rPr>
        <w:t>, pelos co</w:t>
      </w:r>
      <w:r w:rsidR="00B73D64" w:rsidRPr="00413879">
        <w:rPr>
          <w:rFonts w:ascii="Times New Roman" w:hAnsi="Times New Roman"/>
          <w:sz w:val="24"/>
          <w:szCs w:val="24"/>
        </w:rPr>
        <w:t xml:space="preserve">nsumidores, a </w:t>
      </w:r>
      <w:r w:rsidR="00384BB3" w:rsidRPr="00413879">
        <w:rPr>
          <w:rFonts w:ascii="Times New Roman" w:hAnsi="Times New Roman"/>
          <w:sz w:val="24"/>
          <w:szCs w:val="24"/>
        </w:rPr>
        <w:t xml:space="preserve">lubrificantes </w:t>
      </w:r>
      <w:r w:rsidR="00B73D64" w:rsidRPr="00413879">
        <w:rPr>
          <w:rFonts w:ascii="Times New Roman" w:hAnsi="Times New Roman"/>
          <w:sz w:val="24"/>
          <w:szCs w:val="24"/>
        </w:rPr>
        <w:t>acabados, derivados do petróleo, com finalidades diversas, indicadas nos rótulos. Em geral</w:t>
      </w:r>
      <w:r w:rsidR="00C4171B" w:rsidRPr="00413879">
        <w:rPr>
          <w:rFonts w:ascii="Times New Roman" w:hAnsi="Times New Roman"/>
          <w:sz w:val="24"/>
          <w:szCs w:val="24"/>
        </w:rPr>
        <w:t>,</w:t>
      </w:r>
      <w:r w:rsidR="00384BB3" w:rsidRPr="00413879">
        <w:rPr>
          <w:rFonts w:ascii="Times New Roman" w:hAnsi="Times New Roman"/>
          <w:sz w:val="24"/>
          <w:szCs w:val="24"/>
        </w:rPr>
        <w:t xml:space="preserve"> na</w:t>
      </w:r>
      <w:r w:rsidR="00B73D64" w:rsidRPr="00413879">
        <w:rPr>
          <w:rFonts w:ascii="Times New Roman" w:hAnsi="Times New Roman"/>
          <w:sz w:val="24"/>
          <w:szCs w:val="24"/>
        </w:rPr>
        <w:t xml:space="preserve"> sua aplicação</w:t>
      </w:r>
      <w:r w:rsidR="003A6026" w:rsidRPr="00413879">
        <w:rPr>
          <w:rFonts w:ascii="Times New Roman" w:hAnsi="Times New Roman"/>
          <w:sz w:val="24"/>
          <w:szCs w:val="24"/>
        </w:rPr>
        <w:t>,</w:t>
      </w:r>
      <w:r w:rsidR="00B73D64" w:rsidRPr="00413879">
        <w:rPr>
          <w:rFonts w:ascii="Times New Roman" w:hAnsi="Times New Roman"/>
          <w:sz w:val="24"/>
          <w:szCs w:val="24"/>
        </w:rPr>
        <w:t xml:space="preserve"> se propunha complementar características dos óleos lubrificantes automotivos ou </w:t>
      </w:r>
      <w:r w:rsidR="00952B57" w:rsidRPr="00413879">
        <w:rPr>
          <w:rFonts w:ascii="Times New Roman" w:hAnsi="Times New Roman"/>
          <w:sz w:val="24"/>
          <w:szCs w:val="24"/>
        </w:rPr>
        <w:t xml:space="preserve">contornar problemas de </w:t>
      </w:r>
      <w:r w:rsidR="00B73D64" w:rsidRPr="00413879">
        <w:rPr>
          <w:rFonts w:ascii="Times New Roman" w:hAnsi="Times New Roman"/>
          <w:sz w:val="24"/>
          <w:szCs w:val="24"/>
        </w:rPr>
        <w:t xml:space="preserve">folgas nos motores, reduzir emissão de fumaça </w:t>
      </w:r>
      <w:r w:rsidR="008022BC" w:rsidRPr="00413879">
        <w:rPr>
          <w:rFonts w:ascii="Times New Roman" w:hAnsi="Times New Roman"/>
          <w:sz w:val="24"/>
          <w:szCs w:val="24"/>
        </w:rPr>
        <w:t>etc.</w:t>
      </w:r>
    </w:p>
    <w:p w:rsidR="003D605E" w:rsidRPr="00413879" w:rsidRDefault="00652C43" w:rsidP="002B72C5">
      <w:pPr>
        <w:spacing w:before="120" w:after="120" w:line="360" w:lineRule="auto"/>
        <w:ind w:firstLine="1134"/>
        <w:jc w:val="both"/>
        <w:rPr>
          <w:rFonts w:ascii="Times New Roman" w:hAnsi="Times New Roman"/>
          <w:sz w:val="24"/>
          <w:szCs w:val="24"/>
        </w:rPr>
      </w:pPr>
      <w:r w:rsidRPr="00413879">
        <w:rPr>
          <w:rFonts w:ascii="Times New Roman" w:hAnsi="Times New Roman"/>
          <w:sz w:val="24"/>
          <w:szCs w:val="24"/>
        </w:rPr>
        <w:t xml:space="preserve">Em seguida, </w:t>
      </w:r>
      <w:r w:rsidR="00BE4BD1" w:rsidRPr="00413879">
        <w:rPr>
          <w:rFonts w:ascii="Times New Roman" w:hAnsi="Times New Roman"/>
          <w:sz w:val="24"/>
          <w:szCs w:val="24"/>
        </w:rPr>
        <w:t xml:space="preserve">a Resolução CNP n° 8 de 1970 </w:t>
      </w:r>
      <w:r w:rsidRPr="00413879">
        <w:rPr>
          <w:rFonts w:ascii="Times New Roman" w:hAnsi="Times New Roman"/>
          <w:sz w:val="24"/>
          <w:szCs w:val="24"/>
        </w:rPr>
        <w:t>foi substituíd</w:t>
      </w:r>
      <w:r w:rsidR="00BE4BD1" w:rsidRPr="00413879">
        <w:rPr>
          <w:rFonts w:ascii="Times New Roman" w:hAnsi="Times New Roman"/>
          <w:sz w:val="24"/>
          <w:szCs w:val="24"/>
        </w:rPr>
        <w:t>a</w:t>
      </w:r>
      <w:r w:rsidRPr="00413879">
        <w:rPr>
          <w:rFonts w:ascii="Times New Roman" w:hAnsi="Times New Roman"/>
          <w:sz w:val="24"/>
          <w:szCs w:val="24"/>
        </w:rPr>
        <w:t xml:space="preserve"> pela Resolução CNP n° 9, de 10/8/1982, que trouxe algumas atualizações à legislação anterior. Já na década de 90, após a extinção do Conselho Nacional do Petróleo, foi publicada em 31/7/1990 </w:t>
      </w:r>
      <w:r w:rsidR="00674C54" w:rsidRPr="00413879">
        <w:rPr>
          <w:rFonts w:ascii="Times New Roman" w:hAnsi="Times New Roman"/>
          <w:sz w:val="24"/>
          <w:szCs w:val="24"/>
        </w:rPr>
        <w:t xml:space="preserve">a </w:t>
      </w:r>
      <w:r w:rsidRPr="00413879">
        <w:rPr>
          <w:rFonts w:ascii="Times New Roman" w:hAnsi="Times New Roman"/>
          <w:sz w:val="24"/>
          <w:szCs w:val="24"/>
        </w:rPr>
        <w:t xml:space="preserve">Portaria do Ministério da </w:t>
      </w:r>
      <w:proofErr w:type="spellStart"/>
      <w:r w:rsidRPr="00413879">
        <w:rPr>
          <w:rFonts w:ascii="Times New Roman" w:hAnsi="Times New Roman"/>
          <w:sz w:val="24"/>
          <w:szCs w:val="24"/>
        </w:rPr>
        <w:t>Infraestrutura</w:t>
      </w:r>
      <w:proofErr w:type="spellEnd"/>
      <w:r w:rsidRPr="00413879">
        <w:rPr>
          <w:rFonts w:ascii="Times New Roman" w:hAnsi="Times New Roman"/>
          <w:sz w:val="24"/>
          <w:szCs w:val="24"/>
        </w:rPr>
        <w:t xml:space="preserve"> </w:t>
      </w:r>
      <w:r w:rsidR="00952B57" w:rsidRPr="00413879">
        <w:rPr>
          <w:rFonts w:ascii="Times New Roman" w:hAnsi="Times New Roman"/>
          <w:sz w:val="24"/>
          <w:szCs w:val="24"/>
        </w:rPr>
        <w:t>n°</w:t>
      </w:r>
      <w:r w:rsidR="00384BB3" w:rsidRPr="00413879">
        <w:rPr>
          <w:rFonts w:ascii="Times New Roman" w:hAnsi="Times New Roman"/>
          <w:sz w:val="24"/>
          <w:szCs w:val="24"/>
        </w:rPr>
        <w:t xml:space="preserve"> </w:t>
      </w:r>
      <w:r w:rsidR="00267C4B" w:rsidRPr="00413879">
        <w:rPr>
          <w:rFonts w:ascii="Times New Roman" w:hAnsi="Times New Roman"/>
          <w:sz w:val="24"/>
          <w:szCs w:val="24"/>
        </w:rPr>
        <w:t>726</w:t>
      </w:r>
      <w:r w:rsidR="00952B57" w:rsidRPr="00413879">
        <w:rPr>
          <w:rFonts w:ascii="Times New Roman" w:hAnsi="Times New Roman"/>
          <w:sz w:val="24"/>
          <w:szCs w:val="24"/>
        </w:rPr>
        <w:t xml:space="preserve"> </w:t>
      </w:r>
      <w:r w:rsidRPr="00413879">
        <w:rPr>
          <w:rFonts w:ascii="Times New Roman" w:hAnsi="Times New Roman"/>
          <w:sz w:val="24"/>
          <w:szCs w:val="24"/>
        </w:rPr>
        <w:t xml:space="preserve">que substituía a legislação anterior. Dentre as inovações, constava a autorização prévia de atividade de produção a qualquer agente interessado, desde que </w:t>
      </w:r>
      <w:r w:rsidR="00FA7180" w:rsidRPr="00413879">
        <w:rPr>
          <w:rFonts w:ascii="Times New Roman" w:hAnsi="Times New Roman"/>
          <w:sz w:val="24"/>
          <w:szCs w:val="24"/>
        </w:rPr>
        <w:t>o mesmo de</w:t>
      </w:r>
      <w:r w:rsidRPr="00413879">
        <w:rPr>
          <w:rFonts w:ascii="Times New Roman" w:hAnsi="Times New Roman"/>
          <w:sz w:val="24"/>
          <w:szCs w:val="24"/>
        </w:rPr>
        <w:t>tivesse o registro do produto, e exigências de informações m</w:t>
      </w:r>
      <w:r w:rsidR="003D605E" w:rsidRPr="00413879">
        <w:rPr>
          <w:rFonts w:ascii="Times New Roman" w:hAnsi="Times New Roman"/>
          <w:sz w:val="24"/>
          <w:szCs w:val="24"/>
        </w:rPr>
        <w:t>ínimas na rotulagem.</w:t>
      </w:r>
    </w:p>
    <w:p w:rsidR="00652C43" w:rsidRPr="00413879" w:rsidRDefault="00652C43" w:rsidP="002B72C5">
      <w:pPr>
        <w:spacing w:before="120" w:after="120" w:line="360" w:lineRule="auto"/>
        <w:ind w:firstLine="1134"/>
        <w:jc w:val="both"/>
        <w:rPr>
          <w:rFonts w:ascii="Times New Roman" w:hAnsi="Times New Roman"/>
          <w:sz w:val="24"/>
          <w:szCs w:val="24"/>
        </w:rPr>
      </w:pPr>
      <w:r w:rsidRPr="00413879">
        <w:rPr>
          <w:rFonts w:ascii="Times New Roman" w:hAnsi="Times New Roman"/>
          <w:sz w:val="24"/>
          <w:szCs w:val="24"/>
        </w:rPr>
        <w:t>Após a criação da Agência Nacional do Petróleo, Gás Natural e Biocombustíveis</w:t>
      </w:r>
      <w:r w:rsidR="00952B57" w:rsidRPr="00413879">
        <w:rPr>
          <w:rFonts w:ascii="Times New Roman" w:hAnsi="Times New Roman"/>
          <w:sz w:val="24"/>
          <w:szCs w:val="24"/>
        </w:rPr>
        <w:t xml:space="preserve"> – </w:t>
      </w:r>
      <w:r w:rsidRPr="00413879">
        <w:rPr>
          <w:rFonts w:ascii="Times New Roman" w:hAnsi="Times New Roman"/>
          <w:sz w:val="24"/>
          <w:szCs w:val="24"/>
        </w:rPr>
        <w:t xml:space="preserve">ANP, entrou em vigor a Portaria ANP nº 131, de 30/7/1999, </w:t>
      </w:r>
      <w:r w:rsidR="00AC04B3" w:rsidRPr="00413879">
        <w:rPr>
          <w:rFonts w:ascii="Times New Roman" w:hAnsi="Times New Roman"/>
          <w:sz w:val="24"/>
          <w:szCs w:val="24"/>
        </w:rPr>
        <w:t>revog</w:t>
      </w:r>
      <w:r w:rsidR="00C8699E" w:rsidRPr="00413879">
        <w:rPr>
          <w:rFonts w:ascii="Times New Roman" w:hAnsi="Times New Roman"/>
          <w:sz w:val="24"/>
          <w:szCs w:val="24"/>
        </w:rPr>
        <w:t>ando</w:t>
      </w:r>
      <w:r w:rsidR="00BE4BD1" w:rsidRPr="00413879">
        <w:rPr>
          <w:rFonts w:ascii="Times New Roman" w:hAnsi="Times New Roman"/>
          <w:sz w:val="24"/>
          <w:szCs w:val="24"/>
        </w:rPr>
        <w:t xml:space="preserve"> a Resolução CNP nº 08</w:t>
      </w:r>
      <w:r w:rsidR="004532BD" w:rsidRPr="00413879">
        <w:rPr>
          <w:rFonts w:ascii="Times New Roman" w:hAnsi="Times New Roman"/>
          <w:sz w:val="24"/>
          <w:szCs w:val="24"/>
        </w:rPr>
        <w:t>/</w:t>
      </w:r>
      <w:r w:rsidR="00BE4BD1" w:rsidRPr="00413879">
        <w:rPr>
          <w:rFonts w:ascii="Times New Roman" w:hAnsi="Times New Roman"/>
          <w:sz w:val="24"/>
          <w:szCs w:val="24"/>
        </w:rPr>
        <w:t>76</w:t>
      </w:r>
      <w:r w:rsidR="00C8699E" w:rsidRPr="00413879">
        <w:rPr>
          <w:rFonts w:ascii="Times New Roman" w:hAnsi="Times New Roman"/>
          <w:sz w:val="24"/>
          <w:szCs w:val="24"/>
        </w:rPr>
        <w:t xml:space="preserve"> e a Portaria </w:t>
      </w:r>
      <w:proofErr w:type="spellStart"/>
      <w:r w:rsidR="00C8699E" w:rsidRPr="00413879">
        <w:rPr>
          <w:rFonts w:ascii="Times New Roman" w:hAnsi="Times New Roman"/>
          <w:sz w:val="24"/>
          <w:szCs w:val="24"/>
        </w:rPr>
        <w:t>Minfra</w:t>
      </w:r>
      <w:proofErr w:type="spellEnd"/>
      <w:r w:rsidR="00C8699E" w:rsidRPr="00413879">
        <w:rPr>
          <w:rFonts w:ascii="Times New Roman" w:hAnsi="Times New Roman"/>
          <w:sz w:val="24"/>
          <w:szCs w:val="24"/>
        </w:rPr>
        <w:t xml:space="preserve"> n°</w:t>
      </w:r>
      <w:r w:rsidR="009914EE" w:rsidRPr="00413879">
        <w:rPr>
          <w:rFonts w:ascii="Times New Roman" w:hAnsi="Times New Roman"/>
          <w:sz w:val="24"/>
          <w:szCs w:val="24"/>
        </w:rPr>
        <w:t xml:space="preserve"> </w:t>
      </w:r>
      <w:r w:rsidR="00C8699E" w:rsidRPr="00413879">
        <w:rPr>
          <w:rFonts w:ascii="Times New Roman" w:hAnsi="Times New Roman"/>
          <w:sz w:val="24"/>
          <w:szCs w:val="24"/>
        </w:rPr>
        <w:t>726/90</w:t>
      </w:r>
      <w:r w:rsidR="004532BD" w:rsidRPr="00413879">
        <w:rPr>
          <w:rFonts w:ascii="Times New Roman" w:hAnsi="Times New Roman"/>
          <w:sz w:val="24"/>
          <w:szCs w:val="24"/>
        </w:rPr>
        <w:t>,</w:t>
      </w:r>
      <w:r w:rsidR="00BE4BD1" w:rsidRPr="00413879">
        <w:rPr>
          <w:rFonts w:ascii="Times New Roman" w:hAnsi="Times New Roman"/>
          <w:sz w:val="24"/>
          <w:szCs w:val="24"/>
        </w:rPr>
        <w:t xml:space="preserve"> </w:t>
      </w:r>
      <w:r w:rsidR="00AC04B3" w:rsidRPr="00413879">
        <w:rPr>
          <w:rFonts w:ascii="Times New Roman" w:hAnsi="Times New Roman"/>
          <w:sz w:val="24"/>
          <w:szCs w:val="24"/>
        </w:rPr>
        <w:t>que tratava</w:t>
      </w:r>
      <w:r w:rsidR="00C8699E" w:rsidRPr="00413879">
        <w:rPr>
          <w:rFonts w:ascii="Times New Roman" w:hAnsi="Times New Roman"/>
          <w:sz w:val="24"/>
          <w:szCs w:val="24"/>
        </w:rPr>
        <w:t>m, respectivamente,</w:t>
      </w:r>
      <w:r w:rsidR="004532BD" w:rsidRPr="00413879">
        <w:rPr>
          <w:rFonts w:ascii="Times New Roman" w:hAnsi="Times New Roman"/>
          <w:sz w:val="24"/>
          <w:szCs w:val="24"/>
        </w:rPr>
        <w:t xml:space="preserve"> </w:t>
      </w:r>
      <w:r w:rsidR="00952B57" w:rsidRPr="00413879">
        <w:rPr>
          <w:rFonts w:ascii="Times New Roman" w:hAnsi="Times New Roman"/>
          <w:sz w:val="24"/>
          <w:szCs w:val="24"/>
        </w:rPr>
        <w:t xml:space="preserve">de aditivos </w:t>
      </w:r>
      <w:proofErr w:type="spellStart"/>
      <w:r w:rsidR="00DE1725" w:rsidRPr="00413879">
        <w:rPr>
          <w:rFonts w:ascii="Times New Roman" w:hAnsi="Times New Roman"/>
          <w:i/>
          <w:sz w:val="24"/>
          <w:szCs w:val="24"/>
        </w:rPr>
        <w:t>aftermarket</w:t>
      </w:r>
      <w:proofErr w:type="spellEnd"/>
      <w:r w:rsidR="00C8699E" w:rsidRPr="00413879">
        <w:rPr>
          <w:rFonts w:ascii="Times New Roman" w:hAnsi="Times New Roman"/>
          <w:sz w:val="24"/>
          <w:szCs w:val="24"/>
        </w:rPr>
        <w:t xml:space="preserve"> e</w:t>
      </w:r>
      <w:r w:rsidR="004532BD" w:rsidRPr="00413879">
        <w:rPr>
          <w:rFonts w:ascii="Times New Roman" w:hAnsi="Times New Roman"/>
          <w:sz w:val="24"/>
          <w:szCs w:val="24"/>
        </w:rPr>
        <w:t xml:space="preserve"> de lubrificantes. A Portaria </w:t>
      </w:r>
      <w:r w:rsidR="00D30142" w:rsidRPr="00413879">
        <w:rPr>
          <w:rFonts w:ascii="Times New Roman" w:hAnsi="Times New Roman"/>
          <w:sz w:val="24"/>
          <w:szCs w:val="24"/>
        </w:rPr>
        <w:t xml:space="preserve">ANP </w:t>
      </w:r>
      <w:r w:rsidR="004532BD" w:rsidRPr="00413879">
        <w:rPr>
          <w:rFonts w:ascii="Times New Roman" w:hAnsi="Times New Roman"/>
          <w:sz w:val="24"/>
          <w:szCs w:val="24"/>
        </w:rPr>
        <w:t>nº 131/99 passou a tratar</w:t>
      </w:r>
      <w:r w:rsidR="00FA7180" w:rsidRPr="00413879">
        <w:rPr>
          <w:rFonts w:ascii="Times New Roman" w:hAnsi="Times New Roman"/>
          <w:sz w:val="24"/>
          <w:szCs w:val="24"/>
        </w:rPr>
        <w:t>,</w:t>
      </w:r>
      <w:r w:rsidR="004532BD" w:rsidRPr="00413879">
        <w:rPr>
          <w:rFonts w:ascii="Times New Roman" w:hAnsi="Times New Roman"/>
          <w:sz w:val="24"/>
          <w:szCs w:val="24"/>
        </w:rPr>
        <w:t xml:space="preserve"> então</w:t>
      </w:r>
      <w:r w:rsidR="00FA7180" w:rsidRPr="00413879">
        <w:rPr>
          <w:rFonts w:ascii="Times New Roman" w:hAnsi="Times New Roman"/>
          <w:sz w:val="24"/>
          <w:szCs w:val="24"/>
        </w:rPr>
        <w:t>,</w:t>
      </w:r>
      <w:r w:rsidR="004532BD" w:rsidRPr="00413879">
        <w:rPr>
          <w:rFonts w:ascii="Times New Roman" w:hAnsi="Times New Roman"/>
          <w:sz w:val="24"/>
          <w:szCs w:val="24"/>
        </w:rPr>
        <w:t xml:space="preserve"> do </w:t>
      </w:r>
      <w:r w:rsidR="00BE4BD1" w:rsidRPr="00413879">
        <w:rPr>
          <w:rFonts w:ascii="Times New Roman" w:hAnsi="Times New Roman"/>
          <w:sz w:val="24"/>
          <w:szCs w:val="24"/>
        </w:rPr>
        <w:t xml:space="preserve">registro de aditivos </w:t>
      </w:r>
      <w:proofErr w:type="spellStart"/>
      <w:r w:rsidR="00DE1725" w:rsidRPr="00413879">
        <w:rPr>
          <w:rFonts w:ascii="Times New Roman" w:hAnsi="Times New Roman"/>
          <w:i/>
          <w:sz w:val="24"/>
          <w:szCs w:val="24"/>
        </w:rPr>
        <w:lastRenderedPageBreak/>
        <w:t>aftermarket</w:t>
      </w:r>
      <w:proofErr w:type="spellEnd"/>
      <w:r w:rsidR="00BE4BD1" w:rsidRPr="00413879">
        <w:rPr>
          <w:rFonts w:ascii="Times New Roman" w:hAnsi="Times New Roman"/>
          <w:sz w:val="24"/>
          <w:szCs w:val="24"/>
        </w:rPr>
        <w:t xml:space="preserve"> </w:t>
      </w:r>
      <w:r w:rsidR="004532BD" w:rsidRPr="00413879">
        <w:rPr>
          <w:rFonts w:ascii="Times New Roman" w:hAnsi="Times New Roman"/>
          <w:sz w:val="24"/>
          <w:szCs w:val="24"/>
        </w:rPr>
        <w:t xml:space="preserve">e de </w:t>
      </w:r>
      <w:r w:rsidR="00BE4BD1" w:rsidRPr="00413879">
        <w:rPr>
          <w:rFonts w:ascii="Times New Roman" w:hAnsi="Times New Roman"/>
          <w:sz w:val="24"/>
          <w:szCs w:val="24"/>
        </w:rPr>
        <w:t>lubrificantes acabados</w:t>
      </w:r>
      <w:r w:rsidRPr="00413879">
        <w:rPr>
          <w:rFonts w:ascii="Times New Roman" w:hAnsi="Times New Roman"/>
          <w:sz w:val="24"/>
          <w:szCs w:val="24"/>
        </w:rPr>
        <w:t>, inclui</w:t>
      </w:r>
      <w:r w:rsidR="004532BD" w:rsidRPr="00413879">
        <w:rPr>
          <w:rFonts w:ascii="Times New Roman" w:hAnsi="Times New Roman"/>
          <w:sz w:val="24"/>
          <w:szCs w:val="24"/>
        </w:rPr>
        <w:t xml:space="preserve">ndo </w:t>
      </w:r>
      <w:r w:rsidRPr="00413879">
        <w:rPr>
          <w:rFonts w:ascii="Times New Roman" w:hAnsi="Times New Roman"/>
          <w:sz w:val="24"/>
          <w:szCs w:val="24"/>
        </w:rPr>
        <w:t>novos ensaios nas especificações dos produtos e estabeleceu</w:t>
      </w:r>
      <w:r w:rsidR="003A6026" w:rsidRPr="00413879">
        <w:rPr>
          <w:rFonts w:ascii="Times New Roman" w:hAnsi="Times New Roman"/>
          <w:sz w:val="24"/>
          <w:szCs w:val="24"/>
        </w:rPr>
        <w:t>,</w:t>
      </w:r>
      <w:r w:rsidRPr="00413879">
        <w:rPr>
          <w:rFonts w:ascii="Times New Roman" w:hAnsi="Times New Roman"/>
          <w:sz w:val="24"/>
          <w:szCs w:val="24"/>
        </w:rPr>
        <w:t xml:space="preserve"> pela primeira vez</w:t>
      </w:r>
      <w:r w:rsidR="003A6026" w:rsidRPr="00413879">
        <w:rPr>
          <w:rFonts w:ascii="Times New Roman" w:hAnsi="Times New Roman"/>
          <w:sz w:val="24"/>
          <w:szCs w:val="24"/>
        </w:rPr>
        <w:t>,</w:t>
      </w:r>
      <w:r w:rsidRPr="00413879">
        <w:rPr>
          <w:rFonts w:ascii="Times New Roman" w:hAnsi="Times New Roman"/>
          <w:sz w:val="24"/>
          <w:szCs w:val="24"/>
        </w:rPr>
        <w:t xml:space="preserve"> níveis de desempenho</w:t>
      </w:r>
      <w:r w:rsidRPr="00413879">
        <w:rPr>
          <w:rStyle w:val="Refdenotaderodap"/>
          <w:rFonts w:ascii="Times New Roman" w:hAnsi="Times New Roman"/>
          <w:i/>
          <w:sz w:val="24"/>
          <w:szCs w:val="24"/>
        </w:rPr>
        <w:footnoteReference w:id="3"/>
      </w:r>
      <w:r w:rsidRPr="00413879">
        <w:rPr>
          <w:rFonts w:ascii="Times New Roman" w:hAnsi="Times New Roman"/>
          <w:sz w:val="24"/>
          <w:szCs w:val="24"/>
        </w:rPr>
        <w:t xml:space="preserve"> mínimos para os lubrificantes comercializados no país.</w:t>
      </w:r>
    </w:p>
    <w:p w:rsidR="00652C43" w:rsidRPr="00413879" w:rsidRDefault="00652C43" w:rsidP="002B72C5">
      <w:pPr>
        <w:spacing w:before="120" w:after="120" w:line="360" w:lineRule="auto"/>
        <w:ind w:firstLine="1134"/>
        <w:jc w:val="both"/>
        <w:rPr>
          <w:rFonts w:ascii="Times New Roman" w:hAnsi="Times New Roman"/>
          <w:sz w:val="24"/>
          <w:szCs w:val="24"/>
        </w:rPr>
      </w:pPr>
      <w:r w:rsidRPr="00413879">
        <w:rPr>
          <w:rFonts w:ascii="Times New Roman" w:hAnsi="Times New Roman"/>
          <w:sz w:val="24"/>
          <w:szCs w:val="24"/>
        </w:rPr>
        <w:t>Por fim, foi publicada em 2007 a Resolução ANP nº 10, de 7/3/2007 que elevou os níveis de desempenho mínimos</w:t>
      </w:r>
      <w:r w:rsidRPr="00413879">
        <w:rPr>
          <w:rFonts w:ascii="Times New Roman" w:hAnsi="Times New Roman"/>
          <w:i/>
          <w:sz w:val="24"/>
          <w:szCs w:val="24"/>
        </w:rPr>
        <w:t xml:space="preserve"> </w:t>
      </w:r>
      <w:r w:rsidRPr="00413879">
        <w:rPr>
          <w:rFonts w:ascii="Times New Roman" w:hAnsi="Times New Roman"/>
          <w:sz w:val="24"/>
          <w:szCs w:val="24"/>
        </w:rPr>
        <w:t xml:space="preserve">estabelecidos na extinta Portaria ANP nº 131/99. Atualmente, a Resolução ANP nº 10/2007 é a norma em vigor que estabelece os critérios para concessão do registro dos lubrificantes acabados frente às especificações de cada produto e as obrigações para os produtores, importadores e </w:t>
      </w:r>
      <w:proofErr w:type="spellStart"/>
      <w:r w:rsidRPr="00413879">
        <w:rPr>
          <w:rFonts w:ascii="Times New Roman" w:hAnsi="Times New Roman"/>
          <w:sz w:val="24"/>
          <w:szCs w:val="24"/>
        </w:rPr>
        <w:t>terceirizadores</w:t>
      </w:r>
      <w:proofErr w:type="spellEnd"/>
      <w:r w:rsidRPr="00413879">
        <w:rPr>
          <w:rStyle w:val="Refdenotaderodap"/>
          <w:rFonts w:ascii="Times New Roman" w:hAnsi="Times New Roman"/>
          <w:sz w:val="24"/>
          <w:szCs w:val="24"/>
        </w:rPr>
        <w:footnoteReference w:id="4"/>
      </w:r>
      <w:r w:rsidRPr="00413879">
        <w:rPr>
          <w:rFonts w:ascii="Times New Roman" w:hAnsi="Times New Roman"/>
          <w:sz w:val="24"/>
          <w:szCs w:val="24"/>
        </w:rPr>
        <w:t>.</w:t>
      </w:r>
    </w:p>
    <w:p w:rsidR="00652C43" w:rsidRPr="00413879" w:rsidRDefault="00652C43" w:rsidP="002B72C5">
      <w:pPr>
        <w:spacing w:before="120" w:after="120" w:line="360" w:lineRule="auto"/>
        <w:ind w:firstLine="1134"/>
        <w:jc w:val="both"/>
        <w:rPr>
          <w:rFonts w:ascii="Times New Roman" w:hAnsi="Times New Roman"/>
          <w:sz w:val="24"/>
          <w:szCs w:val="24"/>
        </w:rPr>
      </w:pPr>
      <w:r w:rsidRPr="00413879">
        <w:rPr>
          <w:rFonts w:ascii="Times New Roman" w:hAnsi="Times New Roman"/>
          <w:sz w:val="24"/>
          <w:szCs w:val="24"/>
        </w:rPr>
        <w:t xml:space="preserve">Os níveis de desempenho são estabelecidos por diversas entidades internacionais como a </w:t>
      </w:r>
      <w:proofErr w:type="spellStart"/>
      <w:r w:rsidRPr="00413879">
        <w:rPr>
          <w:rFonts w:ascii="Times New Roman" w:hAnsi="Times New Roman"/>
          <w:i/>
          <w:sz w:val="24"/>
          <w:szCs w:val="24"/>
        </w:rPr>
        <w:t>American</w:t>
      </w:r>
      <w:proofErr w:type="spellEnd"/>
      <w:r w:rsidRPr="00413879">
        <w:rPr>
          <w:rFonts w:ascii="Times New Roman" w:hAnsi="Times New Roman"/>
          <w:i/>
          <w:sz w:val="24"/>
          <w:szCs w:val="24"/>
        </w:rPr>
        <w:t xml:space="preserve"> </w:t>
      </w:r>
      <w:proofErr w:type="spellStart"/>
      <w:r w:rsidRPr="00413879">
        <w:rPr>
          <w:rFonts w:ascii="Times New Roman" w:hAnsi="Times New Roman"/>
          <w:i/>
          <w:sz w:val="24"/>
          <w:szCs w:val="24"/>
        </w:rPr>
        <w:t>Petroleum</w:t>
      </w:r>
      <w:proofErr w:type="spellEnd"/>
      <w:r w:rsidRPr="00413879">
        <w:rPr>
          <w:rFonts w:ascii="Times New Roman" w:hAnsi="Times New Roman"/>
          <w:i/>
          <w:sz w:val="24"/>
          <w:szCs w:val="24"/>
        </w:rPr>
        <w:t xml:space="preserve"> </w:t>
      </w:r>
      <w:proofErr w:type="spellStart"/>
      <w:r w:rsidRPr="00413879">
        <w:rPr>
          <w:rFonts w:ascii="Times New Roman" w:hAnsi="Times New Roman"/>
          <w:i/>
          <w:sz w:val="24"/>
          <w:szCs w:val="24"/>
        </w:rPr>
        <w:t>Institute</w:t>
      </w:r>
      <w:proofErr w:type="spellEnd"/>
      <w:r w:rsidRPr="00413879">
        <w:rPr>
          <w:rFonts w:ascii="Times New Roman" w:hAnsi="Times New Roman"/>
          <w:i/>
          <w:sz w:val="24"/>
          <w:szCs w:val="24"/>
        </w:rPr>
        <w:t xml:space="preserve"> – </w:t>
      </w:r>
      <w:r w:rsidRPr="00413879">
        <w:rPr>
          <w:rFonts w:ascii="Times New Roman" w:hAnsi="Times New Roman"/>
          <w:sz w:val="24"/>
          <w:szCs w:val="24"/>
        </w:rPr>
        <w:t>API (</w:t>
      </w:r>
      <w:r w:rsidR="00384BB3" w:rsidRPr="00413879">
        <w:rPr>
          <w:rFonts w:ascii="Times New Roman" w:hAnsi="Times New Roman"/>
          <w:sz w:val="24"/>
          <w:szCs w:val="24"/>
        </w:rPr>
        <w:t>A</w:t>
      </w:r>
      <w:r w:rsidRPr="00413879">
        <w:rPr>
          <w:rFonts w:ascii="Times New Roman" w:hAnsi="Times New Roman"/>
          <w:sz w:val="24"/>
          <w:szCs w:val="24"/>
        </w:rPr>
        <w:t xml:space="preserve">nexo I), </w:t>
      </w:r>
      <w:proofErr w:type="spellStart"/>
      <w:r w:rsidR="00194272">
        <w:rPr>
          <w:rFonts w:ascii="Times New Roman" w:hAnsi="Times New Roman"/>
          <w:i/>
          <w:sz w:val="24"/>
          <w:szCs w:val="24"/>
        </w:rPr>
        <w:t>Association</w:t>
      </w:r>
      <w:proofErr w:type="spellEnd"/>
      <w:r w:rsidR="00194272">
        <w:rPr>
          <w:rFonts w:ascii="Times New Roman" w:hAnsi="Times New Roman"/>
          <w:i/>
          <w:sz w:val="24"/>
          <w:szCs w:val="24"/>
        </w:rPr>
        <w:t xml:space="preserve"> </w:t>
      </w:r>
      <w:proofErr w:type="spellStart"/>
      <w:r w:rsidR="00194272">
        <w:rPr>
          <w:rFonts w:ascii="Times New Roman" w:hAnsi="Times New Roman"/>
          <w:i/>
          <w:sz w:val="24"/>
          <w:szCs w:val="24"/>
        </w:rPr>
        <w:t>des</w:t>
      </w:r>
      <w:proofErr w:type="spellEnd"/>
      <w:r w:rsidR="00194272">
        <w:rPr>
          <w:rFonts w:ascii="Times New Roman" w:hAnsi="Times New Roman"/>
          <w:i/>
          <w:sz w:val="24"/>
          <w:szCs w:val="24"/>
        </w:rPr>
        <w:t xml:space="preserve"> </w:t>
      </w:r>
      <w:proofErr w:type="spellStart"/>
      <w:r w:rsidR="00194272">
        <w:rPr>
          <w:rFonts w:ascii="Times New Roman" w:hAnsi="Times New Roman"/>
          <w:i/>
          <w:sz w:val="24"/>
          <w:szCs w:val="24"/>
        </w:rPr>
        <w:t>Constructeurs</w:t>
      </w:r>
      <w:proofErr w:type="spellEnd"/>
      <w:r w:rsidR="00194272">
        <w:rPr>
          <w:rFonts w:ascii="Times New Roman" w:hAnsi="Times New Roman"/>
          <w:i/>
          <w:sz w:val="24"/>
          <w:szCs w:val="24"/>
        </w:rPr>
        <w:t xml:space="preserve"> </w:t>
      </w:r>
      <w:proofErr w:type="spellStart"/>
      <w:r w:rsidR="00194272">
        <w:rPr>
          <w:rFonts w:ascii="Times New Roman" w:hAnsi="Times New Roman"/>
          <w:i/>
          <w:sz w:val="24"/>
          <w:szCs w:val="24"/>
        </w:rPr>
        <w:t>Européens</w:t>
      </w:r>
      <w:proofErr w:type="spellEnd"/>
      <w:r w:rsidR="00194272">
        <w:rPr>
          <w:rFonts w:ascii="Times New Roman" w:hAnsi="Times New Roman"/>
          <w:i/>
          <w:sz w:val="24"/>
          <w:szCs w:val="24"/>
        </w:rPr>
        <w:t xml:space="preserve"> d'</w:t>
      </w:r>
      <w:proofErr w:type="spellStart"/>
      <w:r w:rsidR="00194272">
        <w:rPr>
          <w:rFonts w:ascii="Times New Roman" w:hAnsi="Times New Roman"/>
          <w:i/>
          <w:sz w:val="24"/>
          <w:szCs w:val="24"/>
        </w:rPr>
        <w:t>Automobiles</w:t>
      </w:r>
      <w:proofErr w:type="spellEnd"/>
      <w:r w:rsidR="00194272">
        <w:rPr>
          <w:rFonts w:ascii="Times New Roman" w:hAnsi="Times New Roman"/>
          <w:sz w:val="24"/>
          <w:szCs w:val="24"/>
        </w:rPr>
        <w:t xml:space="preserve"> – ACEA, </w:t>
      </w:r>
      <w:proofErr w:type="spellStart"/>
      <w:r w:rsidR="00194272">
        <w:rPr>
          <w:rFonts w:ascii="Times New Roman" w:hAnsi="Times New Roman"/>
          <w:i/>
          <w:sz w:val="24"/>
          <w:szCs w:val="24"/>
        </w:rPr>
        <w:t>Japan</w:t>
      </w:r>
      <w:proofErr w:type="spellEnd"/>
      <w:r w:rsidR="00194272">
        <w:rPr>
          <w:rFonts w:ascii="Times New Roman" w:hAnsi="Times New Roman"/>
          <w:i/>
          <w:sz w:val="24"/>
          <w:szCs w:val="24"/>
        </w:rPr>
        <w:t xml:space="preserve"> </w:t>
      </w:r>
      <w:proofErr w:type="spellStart"/>
      <w:r w:rsidR="00194272">
        <w:rPr>
          <w:rFonts w:ascii="Times New Roman" w:hAnsi="Times New Roman"/>
          <w:i/>
          <w:sz w:val="24"/>
          <w:szCs w:val="24"/>
        </w:rPr>
        <w:t>Automobile</w:t>
      </w:r>
      <w:proofErr w:type="spellEnd"/>
      <w:r w:rsidR="00194272">
        <w:rPr>
          <w:rFonts w:ascii="Times New Roman" w:hAnsi="Times New Roman"/>
          <w:i/>
          <w:sz w:val="24"/>
          <w:szCs w:val="24"/>
        </w:rPr>
        <w:t xml:space="preserve"> Standard </w:t>
      </w:r>
      <w:proofErr w:type="spellStart"/>
      <w:r w:rsidR="00194272">
        <w:rPr>
          <w:rFonts w:ascii="Times New Roman" w:hAnsi="Times New Roman"/>
          <w:i/>
          <w:sz w:val="24"/>
          <w:szCs w:val="24"/>
        </w:rPr>
        <w:t>Organization</w:t>
      </w:r>
      <w:proofErr w:type="spellEnd"/>
      <w:r w:rsidR="00194272">
        <w:rPr>
          <w:rFonts w:ascii="Times New Roman" w:hAnsi="Times New Roman"/>
          <w:sz w:val="24"/>
          <w:szCs w:val="24"/>
        </w:rPr>
        <w:t xml:space="preserve"> – JASO, </w:t>
      </w:r>
      <w:proofErr w:type="spellStart"/>
      <w:r w:rsidR="00194272">
        <w:rPr>
          <w:rFonts w:ascii="Times New Roman" w:hAnsi="Times New Roman"/>
          <w:i/>
          <w:sz w:val="24"/>
          <w:szCs w:val="24"/>
        </w:rPr>
        <w:t>National</w:t>
      </w:r>
      <w:proofErr w:type="spellEnd"/>
      <w:r w:rsidR="00194272">
        <w:rPr>
          <w:rFonts w:ascii="Times New Roman" w:hAnsi="Times New Roman"/>
          <w:i/>
          <w:sz w:val="24"/>
          <w:szCs w:val="24"/>
        </w:rPr>
        <w:t xml:space="preserve"> Marine </w:t>
      </w:r>
      <w:proofErr w:type="spellStart"/>
      <w:r w:rsidR="00194272">
        <w:rPr>
          <w:rFonts w:ascii="Times New Roman" w:hAnsi="Times New Roman"/>
          <w:i/>
          <w:sz w:val="24"/>
          <w:szCs w:val="24"/>
        </w:rPr>
        <w:t>Manufacturers</w:t>
      </w:r>
      <w:proofErr w:type="spellEnd"/>
      <w:r w:rsidR="00194272">
        <w:rPr>
          <w:rFonts w:ascii="Times New Roman" w:hAnsi="Times New Roman"/>
          <w:i/>
          <w:sz w:val="24"/>
          <w:szCs w:val="24"/>
        </w:rPr>
        <w:t xml:space="preserve"> </w:t>
      </w:r>
      <w:proofErr w:type="spellStart"/>
      <w:r w:rsidR="00194272">
        <w:rPr>
          <w:rFonts w:ascii="Times New Roman" w:hAnsi="Times New Roman"/>
          <w:i/>
          <w:sz w:val="24"/>
          <w:szCs w:val="24"/>
        </w:rPr>
        <w:t>Association</w:t>
      </w:r>
      <w:proofErr w:type="spellEnd"/>
      <w:r w:rsidR="00194272">
        <w:rPr>
          <w:rFonts w:ascii="Times New Roman" w:hAnsi="Times New Roman"/>
          <w:sz w:val="24"/>
          <w:szCs w:val="24"/>
        </w:rPr>
        <w:t xml:space="preserve"> – NMMA, além dos especificados pelas montadoras unilateralmente.</w:t>
      </w:r>
    </w:p>
    <w:p w:rsidR="00652C43" w:rsidRPr="00413879" w:rsidRDefault="00194272" w:rsidP="002B72C5">
      <w:pPr>
        <w:spacing w:before="120" w:after="120" w:line="360" w:lineRule="auto"/>
        <w:ind w:firstLine="1134"/>
        <w:jc w:val="both"/>
        <w:rPr>
          <w:rFonts w:ascii="Times New Roman" w:hAnsi="Times New Roman"/>
          <w:sz w:val="24"/>
          <w:szCs w:val="24"/>
        </w:rPr>
      </w:pPr>
      <w:r>
        <w:rPr>
          <w:rFonts w:ascii="Times New Roman" w:hAnsi="Times New Roman"/>
          <w:sz w:val="24"/>
          <w:szCs w:val="24"/>
        </w:rPr>
        <w:t>Atualmente, encontram-se disponíveis no mercado brasileiro, lubrificantes automotivos de tecnologia obsoleta, indicados para motores desenvolvidos na década de 80 (motores de ciclo Otto</w:t>
      </w:r>
      <w:r>
        <w:rPr>
          <w:rStyle w:val="Refdenotaderodap"/>
          <w:rFonts w:ascii="Times New Roman" w:hAnsi="Times New Roman"/>
          <w:sz w:val="24"/>
          <w:szCs w:val="24"/>
        </w:rPr>
        <w:footnoteReference w:id="5"/>
      </w:r>
      <w:r w:rsidRPr="00194272">
        <w:rPr>
          <w:rFonts w:ascii="Times New Roman" w:hAnsi="Times New Roman"/>
          <w:sz w:val="24"/>
          <w:szCs w:val="24"/>
        </w:rPr>
        <w:t>) e na década de 90 (motores de ciclo Diesel), conforme pode se observar no Sistema de Classificação de níveis de desempenho da API, Anexo I. A Resolução supracitada estabelece que os níveis de desempenho mínimos dos óleos lubrificantes no Brasil sejam baseados nos padrões da API, sendo API SF</w:t>
      </w:r>
      <w:r>
        <w:rPr>
          <w:rStyle w:val="Refdenotaderodap"/>
          <w:rFonts w:ascii="Times New Roman" w:hAnsi="Times New Roman"/>
          <w:sz w:val="24"/>
          <w:szCs w:val="24"/>
        </w:rPr>
        <w:footnoteReference w:id="6"/>
      </w:r>
      <w:r w:rsidRPr="00194272">
        <w:rPr>
          <w:rFonts w:ascii="Times New Roman" w:hAnsi="Times New Roman"/>
          <w:sz w:val="24"/>
          <w:szCs w:val="24"/>
        </w:rPr>
        <w:t xml:space="preserve"> para uso em motores ciclo Otto e API CF</w:t>
      </w:r>
      <w:r>
        <w:rPr>
          <w:rStyle w:val="Refdenotaderodap"/>
          <w:rFonts w:ascii="Times New Roman" w:hAnsi="Times New Roman"/>
          <w:sz w:val="24"/>
          <w:szCs w:val="24"/>
        </w:rPr>
        <w:footnoteReference w:id="7"/>
      </w:r>
      <w:r w:rsidRPr="00194272">
        <w:rPr>
          <w:rFonts w:ascii="Times New Roman" w:hAnsi="Times New Roman"/>
          <w:sz w:val="24"/>
          <w:szCs w:val="24"/>
        </w:rPr>
        <w:t xml:space="preserve"> para uso em motores ciclo Diesel. </w:t>
      </w:r>
    </w:p>
    <w:p w:rsidR="00652C43" w:rsidRPr="00413879" w:rsidRDefault="00194272" w:rsidP="007E68D5">
      <w:pPr>
        <w:spacing w:before="120" w:after="120" w:line="360" w:lineRule="auto"/>
        <w:ind w:firstLine="1134"/>
        <w:jc w:val="both"/>
        <w:rPr>
          <w:rFonts w:ascii="Times New Roman" w:hAnsi="Times New Roman"/>
          <w:sz w:val="24"/>
          <w:szCs w:val="24"/>
        </w:rPr>
      </w:pPr>
      <w:r w:rsidRPr="00194272">
        <w:rPr>
          <w:rFonts w:ascii="Times New Roman" w:hAnsi="Times New Roman"/>
          <w:sz w:val="24"/>
          <w:szCs w:val="24"/>
        </w:rPr>
        <w:lastRenderedPageBreak/>
        <w:t xml:space="preserve">O problema da presença no mercado desses produtos considerados obsoletos é o da </w:t>
      </w:r>
      <w:proofErr w:type="spellStart"/>
      <w:r w:rsidRPr="00194272">
        <w:rPr>
          <w:rFonts w:ascii="Times New Roman" w:hAnsi="Times New Roman"/>
          <w:sz w:val="24"/>
          <w:szCs w:val="24"/>
        </w:rPr>
        <w:t>sublubrificação</w:t>
      </w:r>
      <w:proofErr w:type="spellEnd"/>
      <w:r w:rsidRPr="00194272">
        <w:rPr>
          <w:rFonts w:ascii="Times New Roman" w:hAnsi="Times New Roman"/>
          <w:sz w:val="24"/>
          <w:szCs w:val="24"/>
        </w:rPr>
        <w:t xml:space="preserve"> dos motores automotivos, que ocorre quando há utilização de lubrificantes que não atendem de maneira satisfatória às exigências dos novos motores, que têm evoluído para condições mais severas de compressão, temperatura e rotação. A </w:t>
      </w:r>
      <w:proofErr w:type="spellStart"/>
      <w:r w:rsidRPr="00194272">
        <w:rPr>
          <w:rFonts w:ascii="Times New Roman" w:hAnsi="Times New Roman"/>
          <w:sz w:val="24"/>
          <w:szCs w:val="24"/>
        </w:rPr>
        <w:t>sublubrificação</w:t>
      </w:r>
      <w:proofErr w:type="spellEnd"/>
      <w:r w:rsidRPr="00194272">
        <w:rPr>
          <w:rFonts w:ascii="Times New Roman" w:hAnsi="Times New Roman"/>
          <w:sz w:val="24"/>
          <w:szCs w:val="24"/>
        </w:rPr>
        <w:t xml:space="preserve"> de um motor diminui sua vida útil, podendo, em alguns casos, causar sérios danos com grande prejuízo econômico ao consumidor.</w:t>
      </w:r>
    </w:p>
    <w:p w:rsidR="00652C43" w:rsidRPr="00413879" w:rsidRDefault="00194272" w:rsidP="002B72C5">
      <w:pPr>
        <w:spacing w:before="120" w:after="120" w:line="360" w:lineRule="auto"/>
        <w:ind w:firstLine="1134"/>
        <w:jc w:val="both"/>
        <w:rPr>
          <w:rFonts w:ascii="Times New Roman" w:hAnsi="Times New Roman"/>
          <w:sz w:val="24"/>
          <w:szCs w:val="24"/>
        </w:rPr>
      </w:pPr>
      <w:r w:rsidRPr="00194272">
        <w:rPr>
          <w:rFonts w:ascii="Times New Roman" w:hAnsi="Times New Roman"/>
          <w:sz w:val="24"/>
          <w:szCs w:val="24"/>
        </w:rPr>
        <w:t>Neste contexto, a Resolução ANP nº 10/2007 não atende mais de maneira satisfatória a um de seus objetivos, que é o de manter no mercado os produtos de tecnologia mais recente (não obsoletos). O avanço tecnológico dos lubrificantes nas últimas décadas tem sido intensamente demandado pelos novos desenvolvimentos da indústria automobilística, que por sua vez atende às crescentes exigências por melhor desempenho, maior economia de combustível e redução de emissões dos veículos.</w:t>
      </w:r>
    </w:p>
    <w:p w:rsidR="00652C43" w:rsidRPr="00413879" w:rsidRDefault="00194272" w:rsidP="002B72C5">
      <w:pPr>
        <w:spacing w:before="120" w:after="120" w:line="360" w:lineRule="auto"/>
        <w:ind w:firstLine="1134"/>
        <w:jc w:val="both"/>
        <w:rPr>
          <w:rFonts w:ascii="Times New Roman" w:hAnsi="Times New Roman"/>
          <w:sz w:val="24"/>
          <w:szCs w:val="24"/>
        </w:rPr>
      </w:pPr>
      <w:r w:rsidRPr="00194272">
        <w:rPr>
          <w:rFonts w:ascii="Times New Roman" w:hAnsi="Times New Roman"/>
          <w:sz w:val="24"/>
          <w:szCs w:val="24"/>
        </w:rPr>
        <w:t xml:space="preserve">Outro problema a ser tratado é o da obrigatoriedade de registro dos aditivos de lubrificantes automotivos em frasco, conhecidos como </w:t>
      </w:r>
      <w:proofErr w:type="spellStart"/>
      <w:r w:rsidRPr="00194272">
        <w:rPr>
          <w:rFonts w:ascii="Times New Roman" w:hAnsi="Times New Roman"/>
          <w:i/>
          <w:sz w:val="24"/>
          <w:szCs w:val="24"/>
        </w:rPr>
        <w:t>aftermarket</w:t>
      </w:r>
      <w:proofErr w:type="spellEnd"/>
      <w:r w:rsidRPr="00194272">
        <w:rPr>
          <w:rFonts w:ascii="Times New Roman" w:hAnsi="Times New Roman"/>
          <w:sz w:val="24"/>
          <w:szCs w:val="24"/>
        </w:rPr>
        <w:t xml:space="preserve"> e de alguns lubrificantes industriais. Em levantamento feito pelo Centro de Pesquisas e Análises Tecnológicas (CPT) da ANP em outros mercados sobre o uso dos produtos </w:t>
      </w:r>
      <w:proofErr w:type="spellStart"/>
      <w:r w:rsidRPr="00194272">
        <w:rPr>
          <w:rFonts w:ascii="Times New Roman" w:hAnsi="Times New Roman"/>
          <w:i/>
          <w:sz w:val="24"/>
          <w:szCs w:val="24"/>
        </w:rPr>
        <w:t>aftermarket</w:t>
      </w:r>
      <w:proofErr w:type="spellEnd"/>
      <w:r w:rsidRPr="00194272">
        <w:rPr>
          <w:rFonts w:ascii="Times New Roman" w:hAnsi="Times New Roman"/>
          <w:sz w:val="24"/>
          <w:szCs w:val="24"/>
        </w:rPr>
        <w:t>, constatou-se que esses não são essenciais para o bom funcionamento do motor. O uso desses aditivos destina-se a um nicho de mercado muito restrito em que os usuários buscam desempenhos diferenciados declarados nos rótulos desses produtos.</w:t>
      </w:r>
    </w:p>
    <w:p w:rsidR="00652C43" w:rsidRPr="00413879" w:rsidRDefault="00194272" w:rsidP="002B72C5">
      <w:pPr>
        <w:spacing w:before="120" w:after="120" w:line="360" w:lineRule="auto"/>
        <w:ind w:firstLine="1134"/>
        <w:jc w:val="both"/>
        <w:rPr>
          <w:rFonts w:ascii="Times New Roman" w:hAnsi="Times New Roman"/>
          <w:sz w:val="24"/>
          <w:szCs w:val="24"/>
        </w:rPr>
      </w:pPr>
      <w:r w:rsidRPr="00194272">
        <w:rPr>
          <w:rFonts w:ascii="Times New Roman" w:hAnsi="Times New Roman"/>
          <w:sz w:val="24"/>
          <w:szCs w:val="24"/>
        </w:rPr>
        <w:t>Quanto aos lubrificantes industriais, de modo geral, há uma relação direta entre consumidor e produtor, com maior equilíbrio técnico entre as partes, pois o usuário do produto tem amplo conhecimento acerca do tipo de especificações, além de ter condições de avaliar/requerer informações técnicas sobre o produto (ex: laudo técnico que acompanha o lote de fabricação). Assim, torna-se necessário reavaliar a necessidade da ANP manter o registro obrigatório para esses produtos.</w:t>
      </w:r>
    </w:p>
    <w:p w:rsidR="00F666F9" w:rsidRPr="00413879" w:rsidRDefault="00194272" w:rsidP="00FD503B">
      <w:pPr>
        <w:spacing w:before="120" w:after="120" w:line="360" w:lineRule="auto"/>
        <w:ind w:firstLine="1134"/>
        <w:jc w:val="both"/>
        <w:rPr>
          <w:rFonts w:ascii="Times New Roman" w:hAnsi="Times New Roman"/>
          <w:sz w:val="24"/>
          <w:szCs w:val="24"/>
        </w:rPr>
      </w:pPr>
      <w:r w:rsidRPr="00194272">
        <w:rPr>
          <w:rFonts w:ascii="Times New Roman" w:hAnsi="Times New Roman"/>
          <w:sz w:val="24"/>
          <w:szCs w:val="24"/>
        </w:rPr>
        <w:t xml:space="preserve">Portanto, o presente Relatório tem por objetivo analisar as opções regulatórias para cada uma das questões colocadas acima: atualização dos níveis mínimos de desempenho dos óleos lubrificantes e reavaliação da obrigatoriedade de registro de alguns óleos industriais e dos aditivos </w:t>
      </w:r>
      <w:proofErr w:type="spellStart"/>
      <w:r w:rsidRPr="00194272">
        <w:rPr>
          <w:rFonts w:ascii="Times New Roman" w:hAnsi="Times New Roman"/>
          <w:i/>
          <w:sz w:val="24"/>
          <w:szCs w:val="24"/>
        </w:rPr>
        <w:t>aftermarket</w:t>
      </w:r>
      <w:proofErr w:type="spellEnd"/>
      <w:r w:rsidRPr="00194272">
        <w:rPr>
          <w:rFonts w:ascii="Times New Roman" w:hAnsi="Times New Roman"/>
          <w:sz w:val="24"/>
          <w:szCs w:val="24"/>
        </w:rPr>
        <w:t>.</w:t>
      </w:r>
    </w:p>
    <w:p w:rsidR="00FD503B" w:rsidRPr="00413879" w:rsidRDefault="00FD503B" w:rsidP="00FD503B">
      <w:pPr>
        <w:ind w:firstLine="1068"/>
        <w:jc w:val="both"/>
        <w:rPr>
          <w:rFonts w:ascii="Times New Roman" w:hAnsi="Times New Roman"/>
          <w:sz w:val="24"/>
          <w:szCs w:val="24"/>
        </w:rPr>
      </w:pPr>
    </w:p>
    <w:p w:rsidR="00FB516F" w:rsidRPr="00413879" w:rsidRDefault="00FB516F" w:rsidP="00FD503B">
      <w:pPr>
        <w:ind w:firstLine="1068"/>
        <w:jc w:val="both"/>
        <w:rPr>
          <w:rFonts w:ascii="Times New Roman" w:hAnsi="Times New Roman"/>
          <w:sz w:val="24"/>
          <w:szCs w:val="24"/>
        </w:rPr>
      </w:pPr>
    </w:p>
    <w:p w:rsidR="00652C43" w:rsidRPr="00413879" w:rsidRDefault="00194272" w:rsidP="00DC00AB">
      <w:pPr>
        <w:pStyle w:val="PargrafodaLista"/>
        <w:numPr>
          <w:ilvl w:val="1"/>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lastRenderedPageBreak/>
        <w:t>Histórico</w:t>
      </w:r>
    </w:p>
    <w:p w:rsidR="00652C43" w:rsidRPr="00413879" w:rsidRDefault="00194272" w:rsidP="002B72C5">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Desde a última década, o mercado de lubrificantes brasileiro tem evoluído bastante, graças a ações tomadas pela ANP e à mobilização dos agentes econômicos. Isto tem resultado em um mercado mais competitivo e que exige de seus agentes maior capacitação técnica suficiente para garantir a qualidade dos produtos comercializados. Neste contexto, foram realizadas revisões nas legislações ANP referentes à comercialização e às autorizações das atividades da área de lubrificantes, dispostas nas seguintes Resoluções:</w:t>
      </w:r>
    </w:p>
    <w:p w:rsidR="00652C43" w:rsidRPr="00413879" w:rsidRDefault="00194272" w:rsidP="001D1C34">
      <w:pPr>
        <w:pStyle w:val="PargrafodaLista"/>
        <w:spacing w:before="120" w:after="120" w:line="240" w:lineRule="auto"/>
        <w:ind w:left="1134"/>
        <w:contextualSpacing w:val="0"/>
        <w:jc w:val="both"/>
        <w:rPr>
          <w:rFonts w:ascii="Times New Roman" w:hAnsi="Times New Roman"/>
          <w:sz w:val="24"/>
          <w:szCs w:val="24"/>
          <w:lang w:val="pt-BR"/>
        </w:rPr>
      </w:pPr>
      <w:r w:rsidRPr="00194272">
        <w:rPr>
          <w:rFonts w:ascii="Times New Roman" w:hAnsi="Times New Roman"/>
          <w:sz w:val="24"/>
          <w:szCs w:val="24"/>
          <w:lang w:val="pt-BR"/>
        </w:rPr>
        <w:t>- Resolução ANP nº 16/2009 – regras para comercialização de óleos básicos (insumos de lubrificantes acabados) e cadastro de produtor e importador desses produtos;</w:t>
      </w:r>
    </w:p>
    <w:p w:rsidR="00652C43" w:rsidRPr="00413879" w:rsidRDefault="00194272" w:rsidP="001D1C34">
      <w:pPr>
        <w:pStyle w:val="PargrafodaLista"/>
        <w:spacing w:before="120" w:after="120" w:line="240" w:lineRule="auto"/>
        <w:ind w:left="1134"/>
        <w:contextualSpacing w:val="0"/>
        <w:jc w:val="both"/>
        <w:rPr>
          <w:rFonts w:ascii="Times New Roman" w:hAnsi="Times New Roman"/>
          <w:sz w:val="24"/>
          <w:szCs w:val="24"/>
          <w:lang w:val="pt-BR"/>
        </w:rPr>
      </w:pPr>
      <w:r w:rsidRPr="00194272">
        <w:rPr>
          <w:rFonts w:ascii="Times New Roman" w:hAnsi="Times New Roman"/>
          <w:sz w:val="24"/>
          <w:szCs w:val="24"/>
          <w:lang w:val="pt-BR"/>
        </w:rPr>
        <w:t>- Resolução ANP nº 17/2009 – requisitos necessários à autorização para o exercício da atividade de importação de óleo lubrificante acabado;</w:t>
      </w:r>
    </w:p>
    <w:p w:rsidR="00652C43" w:rsidRPr="00413879" w:rsidRDefault="00194272" w:rsidP="001D1C34">
      <w:pPr>
        <w:pStyle w:val="PargrafodaLista"/>
        <w:spacing w:before="120" w:after="120" w:line="240" w:lineRule="auto"/>
        <w:ind w:left="1134"/>
        <w:contextualSpacing w:val="0"/>
        <w:jc w:val="both"/>
        <w:rPr>
          <w:rFonts w:ascii="Times New Roman" w:hAnsi="Times New Roman"/>
          <w:sz w:val="24"/>
          <w:szCs w:val="24"/>
          <w:lang w:val="pt-BR"/>
        </w:rPr>
      </w:pPr>
      <w:r w:rsidRPr="00194272">
        <w:rPr>
          <w:rFonts w:ascii="Times New Roman" w:hAnsi="Times New Roman"/>
          <w:sz w:val="24"/>
          <w:szCs w:val="24"/>
          <w:lang w:val="pt-BR"/>
        </w:rPr>
        <w:t>- Resolução ANP nº 18/2009 – requisitos necessários à autorização para o exercício da atividade de produção de óleo lubrificante acabado;</w:t>
      </w:r>
    </w:p>
    <w:p w:rsidR="00652C43" w:rsidRPr="00413879" w:rsidRDefault="00194272" w:rsidP="001D1C34">
      <w:pPr>
        <w:pStyle w:val="PargrafodaLista"/>
        <w:spacing w:before="120" w:after="120" w:line="240" w:lineRule="auto"/>
        <w:ind w:left="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 Resolução ANP nº 19/2009 – requisitos necessários à autorização para o exercício da atividade de </w:t>
      </w:r>
      <w:proofErr w:type="spellStart"/>
      <w:r w:rsidRPr="00194272">
        <w:rPr>
          <w:rFonts w:ascii="Times New Roman" w:hAnsi="Times New Roman"/>
          <w:sz w:val="24"/>
          <w:szCs w:val="24"/>
          <w:lang w:val="pt-BR"/>
        </w:rPr>
        <w:t>rerrefino</w:t>
      </w:r>
      <w:proofErr w:type="spellEnd"/>
      <w:r w:rsidRPr="00194272">
        <w:rPr>
          <w:rFonts w:ascii="Times New Roman" w:hAnsi="Times New Roman"/>
          <w:sz w:val="24"/>
          <w:szCs w:val="24"/>
          <w:lang w:val="pt-BR"/>
        </w:rPr>
        <w:t xml:space="preserve"> de óleo lubrificante usado ou contaminado;</w:t>
      </w:r>
    </w:p>
    <w:p w:rsidR="00652C43" w:rsidRPr="00413879" w:rsidRDefault="00194272" w:rsidP="001D1C34">
      <w:pPr>
        <w:pStyle w:val="PargrafodaLista"/>
        <w:spacing w:before="120" w:after="240" w:line="240" w:lineRule="auto"/>
        <w:ind w:left="1134"/>
        <w:contextualSpacing w:val="0"/>
        <w:jc w:val="both"/>
        <w:rPr>
          <w:rFonts w:ascii="Times New Roman" w:hAnsi="Times New Roman"/>
          <w:sz w:val="24"/>
          <w:szCs w:val="24"/>
          <w:lang w:val="pt-BR"/>
        </w:rPr>
      </w:pPr>
      <w:r w:rsidRPr="00194272">
        <w:rPr>
          <w:rFonts w:ascii="Times New Roman" w:hAnsi="Times New Roman"/>
          <w:sz w:val="24"/>
          <w:szCs w:val="24"/>
          <w:lang w:val="pt-BR"/>
        </w:rPr>
        <w:t>- Resolução ANP nº 20/2009 – requisitos necessários à autorização para o exercício da atividade de coleta de óleo lubrificante usado ou contaminado.</w:t>
      </w:r>
    </w:p>
    <w:p w:rsidR="00652C43" w:rsidRPr="00413879" w:rsidRDefault="00194272" w:rsidP="002B72C5">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No mesmo sentido, outras ações que podem ser citadas são: a intensificação da fiscalização de produtores de lubrificantes ocorrida em 2010 e a organização de força-tarefa para eliminação do passivo de processos de autuação de produtores de lubrificantes. A despeito de todo esse avanço, a ANP ainda detecta no mercado a presença de alguns produtores de baixa capacidade técnica (instalações e recursos humanos).</w:t>
      </w:r>
    </w:p>
    <w:p w:rsidR="00652C43" w:rsidRPr="00413879" w:rsidRDefault="00194272" w:rsidP="002B72C5">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Em 2012, o monitoramento de lubrificantes realizado pela Agência indicou que cerca de 40 produtores de lubrificantes ainda apresentam problemas de qualidade em mais de 20% das amostras coletadas, alguns deles chegando a apresentar não conformidade em todas as amostras. Outro aspecto bastante preocupante quanto a esse grupo de produtos é que grande parte dele apresenta elevado índice de reincidência em qualidade desde 2007, quando esse levantamento foi iniciado. Este fato mostra que as empresas estariam agindo, no mínimo, com negligência. A participação delas no mercado de lubrificantes é baixa e estima-se que sejam responsáveis por, aproximadamente, 5% do volume comercializado no País. Em vista dessa situação, a ANP tem intensificado ações para eliminar práticas desleais no mercado de lubrificantes brasileiro.</w:t>
      </w:r>
    </w:p>
    <w:p w:rsidR="00CE643D" w:rsidRPr="00413879" w:rsidRDefault="00CE643D" w:rsidP="002B72C5">
      <w:pPr>
        <w:pStyle w:val="PargrafodaLista"/>
        <w:spacing w:before="120" w:after="120" w:line="360" w:lineRule="auto"/>
        <w:ind w:left="0" w:firstLine="1134"/>
        <w:contextualSpacing w:val="0"/>
        <w:jc w:val="both"/>
        <w:rPr>
          <w:rFonts w:ascii="Times New Roman" w:hAnsi="Times New Roman"/>
          <w:sz w:val="24"/>
          <w:szCs w:val="24"/>
          <w:lang w:val="pt-BR"/>
        </w:rPr>
      </w:pPr>
    </w:p>
    <w:p w:rsidR="00652C43" w:rsidRPr="00413879" w:rsidRDefault="00194272" w:rsidP="00DC00AB">
      <w:pPr>
        <w:pStyle w:val="PargrafodaLista"/>
        <w:numPr>
          <w:ilvl w:val="1"/>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lastRenderedPageBreak/>
        <w:t>Fundamentação legal</w:t>
      </w:r>
    </w:p>
    <w:p w:rsidR="00652C43" w:rsidRPr="00413879" w:rsidRDefault="00194272" w:rsidP="002B72C5">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Tendo em vista as disposições da Lei nº </w:t>
      </w:r>
      <w:hyperlink r:id="rId13" w:history="1">
        <w:r w:rsidR="00AC04B3" w:rsidRPr="00413879">
          <w:rPr>
            <w:rFonts w:ascii="Times New Roman" w:hAnsi="Times New Roman"/>
            <w:iCs/>
            <w:sz w:val="24"/>
            <w:szCs w:val="24"/>
            <w:lang w:val="pt-BR"/>
          </w:rPr>
          <w:t>9.478</w:t>
        </w:r>
      </w:hyperlink>
      <w:r w:rsidR="00652C43" w:rsidRPr="00413879">
        <w:rPr>
          <w:rFonts w:ascii="Times New Roman" w:hAnsi="Times New Roman"/>
          <w:sz w:val="24"/>
          <w:szCs w:val="24"/>
          <w:lang w:val="pt-BR"/>
        </w:rPr>
        <w:t xml:space="preserve">, de 6 de agosto de 1997, alterada pela Lei nº </w:t>
      </w:r>
      <w:hyperlink r:id="rId14" w:history="1">
        <w:r w:rsidR="00AC04B3" w:rsidRPr="00413879">
          <w:rPr>
            <w:rFonts w:ascii="Times New Roman" w:hAnsi="Times New Roman"/>
            <w:iCs/>
            <w:sz w:val="24"/>
            <w:szCs w:val="24"/>
            <w:lang w:val="pt-BR"/>
          </w:rPr>
          <w:t>11.097</w:t>
        </w:r>
      </w:hyperlink>
      <w:r w:rsidR="00652C43" w:rsidRPr="00413879">
        <w:rPr>
          <w:rFonts w:ascii="Times New Roman" w:hAnsi="Times New Roman"/>
          <w:sz w:val="24"/>
          <w:szCs w:val="24"/>
          <w:lang w:val="pt-BR"/>
        </w:rPr>
        <w:t>, de 13 de janeiro de 2005, compete à ANP regular e fiscalizar o setor de lubrificantes no país.</w:t>
      </w:r>
    </w:p>
    <w:p w:rsidR="00652C43" w:rsidRPr="00413879" w:rsidRDefault="00194272" w:rsidP="00DC00AB">
      <w:pPr>
        <w:pStyle w:val="PargrafodaLista"/>
        <w:numPr>
          <w:ilvl w:val="1"/>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t>Agentes envolvidos/grupos afetados</w:t>
      </w:r>
    </w:p>
    <w:p w:rsidR="00652C43" w:rsidRPr="00413879" w:rsidRDefault="00194272" w:rsidP="002B72C5">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Considerando os objetivos desta Avaliação de Impacto Regulatório, dentre os grupos afetados pela proposta de elevação do nível de desempenho mínimo, podemos destacar:</w:t>
      </w:r>
    </w:p>
    <w:p w:rsidR="00652C43" w:rsidRPr="00413879" w:rsidRDefault="00652C43" w:rsidP="002B72C5">
      <w:pPr>
        <w:pStyle w:val="PargrafodaLista"/>
        <w:numPr>
          <w:ilvl w:val="0"/>
          <w:numId w:val="9"/>
        </w:numPr>
        <w:spacing w:before="120" w:after="120" w:line="360" w:lineRule="auto"/>
        <w:jc w:val="both"/>
        <w:rPr>
          <w:rFonts w:ascii="Times New Roman" w:hAnsi="Times New Roman"/>
          <w:sz w:val="24"/>
          <w:szCs w:val="24"/>
          <w:lang w:val="pt-BR"/>
        </w:rPr>
      </w:pPr>
      <w:r w:rsidRPr="00413879">
        <w:rPr>
          <w:rFonts w:ascii="Times New Roman" w:hAnsi="Times New Roman"/>
          <w:sz w:val="24"/>
          <w:szCs w:val="24"/>
          <w:lang w:val="pt-BR"/>
        </w:rPr>
        <w:t>Os produtores/importadores de lubrificante acabado terão de descontinuar seus produtos com níveis de desempenho obsoletos, deslocando</w:t>
      </w:r>
      <w:r w:rsidR="00674C54" w:rsidRPr="00413879">
        <w:rPr>
          <w:rFonts w:ascii="Times New Roman" w:hAnsi="Times New Roman"/>
          <w:sz w:val="24"/>
          <w:szCs w:val="24"/>
          <w:lang w:val="pt-BR"/>
        </w:rPr>
        <w:t xml:space="preserve">-os </w:t>
      </w:r>
      <w:r w:rsidRPr="00413879">
        <w:rPr>
          <w:rFonts w:ascii="Times New Roman" w:hAnsi="Times New Roman"/>
          <w:sz w:val="24"/>
          <w:szCs w:val="24"/>
          <w:lang w:val="pt-BR"/>
        </w:rPr>
        <w:t>no mercado para os novos níveis mínimos. Dentro desse grupo, alguns pequenos produtores/importadores tendem ser mais afetados, por possuírem óleos de nível de desempenho obsoleto com maior participação no total de suas vendas do que outros produtores/importadores que focam no segmento de tecnologias mais recentes.</w:t>
      </w:r>
    </w:p>
    <w:p w:rsidR="00652C43" w:rsidRPr="00413879" w:rsidRDefault="00652C43" w:rsidP="002B72C5">
      <w:pPr>
        <w:pStyle w:val="PargrafodaLista"/>
        <w:numPr>
          <w:ilvl w:val="0"/>
          <w:numId w:val="9"/>
        </w:numPr>
        <w:spacing w:before="120" w:after="120" w:line="360" w:lineRule="auto"/>
        <w:jc w:val="both"/>
        <w:rPr>
          <w:rFonts w:ascii="Times New Roman" w:hAnsi="Times New Roman"/>
          <w:sz w:val="24"/>
          <w:szCs w:val="24"/>
          <w:lang w:val="pt-BR"/>
        </w:rPr>
      </w:pPr>
      <w:r w:rsidRPr="00413879">
        <w:rPr>
          <w:rFonts w:ascii="Times New Roman" w:hAnsi="Times New Roman"/>
          <w:sz w:val="24"/>
          <w:szCs w:val="24"/>
          <w:lang w:val="pt-BR"/>
        </w:rPr>
        <w:t xml:space="preserve">Os terceirizadores de produção, que terão de rever os contratos, caso </w:t>
      </w:r>
      <w:r w:rsidR="00935BA4" w:rsidRPr="00413879">
        <w:rPr>
          <w:rFonts w:ascii="Times New Roman" w:hAnsi="Times New Roman"/>
          <w:sz w:val="24"/>
          <w:szCs w:val="24"/>
          <w:lang w:val="pt-BR"/>
        </w:rPr>
        <w:t>existam produtos com nível desempenho diferente do permitido</w:t>
      </w:r>
      <w:r w:rsidR="003C77A5" w:rsidRPr="00413879">
        <w:rPr>
          <w:rFonts w:ascii="Times New Roman" w:hAnsi="Times New Roman"/>
          <w:sz w:val="24"/>
          <w:szCs w:val="24"/>
          <w:lang w:val="pt-BR"/>
        </w:rPr>
        <w:t>.</w:t>
      </w:r>
    </w:p>
    <w:p w:rsidR="00652C43" w:rsidRPr="00413879" w:rsidRDefault="00F26E0C" w:rsidP="002B72C5">
      <w:pPr>
        <w:pStyle w:val="PargrafodaLista"/>
        <w:numPr>
          <w:ilvl w:val="0"/>
          <w:numId w:val="9"/>
        </w:numPr>
        <w:spacing w:before="120" w:after="120" w:line="360" w:lineRule="auto"/>
        <w:jc w:val="both"/>
        <w:rPr>
          <w:rFonts w:ascii="Times New Roman" w:hAnsi="Times New Roman"/>
          <w:sz w:val="24"/>
          <w:szCs w:val="24"/>
          <w:lang w:val="pt-BR"/>
        </w:rPr>
      </w:pPr>
      <w:r w:rsidRPr="00413879">
        <w:rPr>
          <w:rFonts w:ascii="Times New Roman" w:hAnsi="Times New Roman"/>
          <w:sz w:val="24"/>
          <w:szCs w:val="24"/>
          <w:lang w:val="pt-BR"/>
        </w:rPr>
        <w:t>Os distribuidores e revendedores de lubrificantes, que estarão impedidos de comercializar produtos obsoletos</w:t>
      </w:r>
      <w:r w:rsidR="00741018" w:rsidRPr="00413879">
        <w:rPr>
          <w:rFonts w:ascii="Times New Roman" w:hAnsi="Times New Roman"/>
          <w:sz w:val="24"/>
          <w:szCs w:val="24"/>
          <w:lang w:val="pt-BR"/>
        </w:rPr>
        <w:t>. Entre os revendedores de lubrificantes, devido à sua enorme capilaridade</w:t>
      </w:r>
      <w:r w:rsidRPr="00413879">
        <w:rPr>
          <w:rFonts w:ascii="Times New Roman" w:hAnsi="Times New Roman"/>
          <w:sz w:val="24"/>
          <w:szCs w:val="24"/>
          <w:lang w:val="pt-BR"/>
        </w:rPr>
        <w:t xml:space="preserve">, </w:t>
      </w:r>
      <w:r w:rsidR="00741018" w:rsidRPr="00413879">
        <w:rPr>
          <w:rFonts w:ascii="Times New Roman" w:hAnsi="Times New Roman"/>
          <w:sz w:val="24"/>
          <w:szCs w:val="24"/>
          <w:lang w:val="pt-BR"/>
        </w:rPr>
        <w:t>poderá haver agentes desinformados sobre as novas exigências e proibições da legislação em revisão</w:t>
      </w:r>
      <w:r w:rsidRPr="00413879">
        <w:rPr>
          <w:rFonts w:ascii="Times New Roman" w:hAnsi="Times New Roman"/>
          <w:sz w:val="24"/>
          <w:szCs w:val="24"/>
          <w:lang w:val="pt-BR"/>
        </w:rPr>
        <w:t>, podendo inadvertidamente manter a revenda de lubrificantes</w:t>
      </w:r>
      <w:r w:rsidR="00741018" w:rsidRPr="00413879">
        <w:rPr>
          <w:rFonts w:ascii="Times New Roman" w:hAnsi="Times New Roman"/>
          <w:sz w:val="24"/>
          <w:szCs w:val="24"/>
          <w:lang w:val="pt-BR"/>
        </w:rPr>
        <w:t xml:space="preserve"> obsoletos</w:t>
      </w:r>
      <w:r w:rsidRPr="00413879">
        <w:rPr>
          <w:rFonts w:ascii="Times New Roman" w:hAnsi="Times New Roman"/>
          <w:sz w:val="24"/>
          <w:szCs w:val="24"/>
          <w:lang w:val="pt-BR"/>
        </w:rPr>
        <w:t>, mesmo após sua proibição.</w:t>
      </w:r>
    </w:p>
    <w:p w:rsidR="00652C43" w:rsidRPr="00413879" w:rsidRDefault="00652C43" w:rsidP="002B72C5">
      <w:pPr>
        <w:pStyle w:val="PargrafodaLista"/>
        <w:numPr>
          <w:ilvl w:val="0"/>
          <w:numId w:val="9"/>
        </w:numPr>
        <w:spacing w:before="120" w:after="120" w:line="360" w:lineRule="auto"/>
        <w:jc w:val="both"/>
        <w:rPr>
          <w:rFonts w:ascii="Times New Roman" w:hAnsi="Times New Roman"/>
          <w:sz w:val="24"/>
          <w:szCs w:val="24"/>
          <w:lang w:val="pt-BR"/>
        </w:rPr>
      </w:pPr>
      <w:r w:rsidRPr="00413879">
        <w:rPr>
          <w:rFonts w:ascii="Times New Roman" w:hAnsi="Times New Roman"/>
          <w:sz w:val="24"/>
          <w:szCs w:val="24"/>
          <w:lang w:val="pt-BR"/>
        </w:rPr>
        <w:t>Os produtores/importadores de aditivos para formulação de lubrificantes, que deslocarão o volume de venda de insumos para</w:t>
      </w:r>
      <w:r w:rsidR="00864F55" w:rsidRPr="00413879">
        <w:rPr>
          <w:rFonts w:ascii="Times New Roman" w:hAnsi="Times New Roman"/>
          <w:sz w:val="24"/>
          <w:szCs w:val="24"/>
          <w:lang w:val="pt-BR"/>
        </w:rPr>
        <w:t xml:space="preserve"> os</w:t>
      </w:r>
      <w:r w:rsidRPr="00413879">
        <w:rPr>
          <w:rFonts w:ascii="Times New Roman" w:hAnsi="Times New Roman"/>
          <w:sz w:val="24"/>
          <w:szCs w:val="24"/>
          <w:lang w:val="pt-BR"/>
        </w:rPr>
        <w:t xml:space="preserve"> aditivos </w:t>
      </w:r>
      <w:r w:rsidR="00864F55" w:rsidRPr="00413879">
        <w:rPr>
          <w:rFonts w:ascii="Times New Roman" w:hAnsi="Times New Roman"/>
          <w:sz w:val="24"/>
          <w:szCs w:val="24"/>
          <w:lang w:val="pt-BR"/>
        </w:rPr>
        <w:t>com tecnolog</w:t>
      </w:r>
      <w:r w:rsidR="00611027" w:rsidRPr="00413879">
        <w:rPr>
          <w:rFonts w:ascii="Times New Roman" w:hAnsi="Times New Roman"/>
          <w:sz w:val="24"/>
          <w:szCs w:val="24"/>
          <w:lang w:val="pt-BR"/>
        </w:rPr>
        <w:t>i</w:t>
      </w:r>
      <w:r w:rsidR="00864F55" w:rsidRPr="00413879">
        <w:rPr>
          <w:rFonts w:ascii="Times New Roman" w:hAnsi="Times New Roman"/>
          <w:sz w:val="24"/>
          <w:szCs w:val="24"/>
          <w:lang w:val="pt-BR"/>
        </w:rPr>
        <w:t xml:space="preserve">as </w:t>
      </w:r>
      <w:r w:rsidRPr="00413879">
        <w:rPr>
          <w:rFonts w:ascii="Times New Roman" w:hAnsi="Times New Roman"/>
          <w:sz w:val="24"/>
          <w:szCs w:val="24"/>
          <w:lang w:val="pt-BR"/>
        </w:rPr>
        <w:t>mais recentes.</w:t>
      </w:r>
    </w:p>
    <w:p w:rsidR="00652C43" w:rsidRPr="00413879" w:rsidRDefault="00652C43" w:rsidP="002B72C5">
      <w:pPr>
        <w:pStyle w:val="PargrafodaLista"/>
        <w:numPr>
          <w:ilvl w:val="0"/>
          <w:numId w:val="9"/>
        </w:numPr>
        <w:spacing w:before="120" w:after="120" w:line="360" w:lineRule="auto"/>
        <w:jc w:val="both"/>
        <w:rPr>
          <w:rFonts w:ascii="Times New Roman" w:hAnsi="Times New Roman"/>
          <w:sz w:val="24"/>
          <w:szCs w:val="24"/>
          <w:lang w:val="pt-BR"/>
        </w:rPr>
      </w:pPr>
      <w:r w:rsidRPr="00413879">
        <w:rPr>
          <w:rFonts w:ascii="Times New Roman" w:hAnsi="Times New Roman"/>
          <w:sz w:val="24"/>
          <w:szCs w:val="24"/>
          <w:lang w:val="pt-BR"/>
        </w:rPr>
        <w:t>Os consumidores usuários de veículos mais antigos que deverão migrar para os óleos lubrificantes com os novos níveis mínimos de desempenho. Inicialmente</w:t>
      </w:r>
      <w:r w:rsidR="002B7333" w:rsidRPr="00413879">
        <w:rPr>
          <w:rFonts w:ascii="Times New Roman" w:hAnsi="Times New Roman"/>
          <w:sz w:val="24"/>
          <w:szCs w:val="24"/>
          <w:lang w:val="pt-BR"/>
        </w:rPr>
        <w:t>,</w:t>
      </w:r>
      <w:r w:rsidRPr="00413879">
        <w:rPr>
          <w:rFonts w:ascii="Times New Roman" w:hAnsi="Times New Roman"/>
          <w:sz w:val="24"/>
          <w:szCs w:val="24"/>
          <w:lang w:val="pt-BR"/>
        </w:rPr>
        <w:t xml:space="preserve"> </w:t>
      </w:r>
      <w:r w:rsidR="009752B5" w:rsidRPr="00413879">
        <w:rPr>
          <w:rFonts w:ascii="Times New Roman" w:hAnsi="Times New Roman"/>
          <w:sz w:val="24"/>
          <w:szCs w:val="24"/>
          <w:lang w:val="pt-BR"/>
        </w:rPr>
        <w:t xml:space="preserve">poderá haver </w:t>
      </w:r>
      <w:r w:rsidRPr="00413879">
        <w:rPr>
          <w:rFonts w:ascii="Times New Roman" w:hAnsi="Times New Roman"/>
          <w:sz w:val="24"/>
          <w:szCs w:val="24"/>
          <w:lang w:val="pt-BR"/>
        </w:rPr>
        <w:t>um impacto no preço devido ao custo superior do produto.</w:t>
      </w:r>
    </w:p>
    <w:p w:rsidR="00652C43" w:rsidRPr="00413879" w:rsidRDefault="00652C43" w:rsidP="002B72C5">
      <w:pPr>
        <w:pStyle w:val="PargrafodaLista"/>
        <w:numPr>
          <w:ilvl w:val="0"/>
          <w:numId w:val="9"/>
        </w:numPr>
        <w:spacing w:before="120" w:after="120" w:line="360" w:lineRule="auto"/>
        <w:jc w:val="both"/>
        <w:rPr>
          <w:rFonts w:ascii="Times New Roman" w:hAnsi="Times New Roman"/>
          <w:sz w:val="24"/>
          <w:szCs w:val="24"/>
          <w:lang w:val="pt-BR"/>
        </w:rPr>
      </w:pPr>
      <w:r w:rsidRPr="00413879">
        <w:rPr>
          <w:rFonts w:ascii="Times New Roman" w:hAnsi="Times New Roman"/>
          <w:sz w:val="24"/>
          <w:szCs w:val="24"/>
          <w:lang w:val="pt-BR"/>
        </w:rPr>
        <w:t xml:space="preserve">Os fabricantes de veículos automotivos, que eventualmente poderão recomendar nível de desempenho que tenham sido retirados de circulação. Vale ressaltar que, em geral, nos manuais de veículos automotivos a recomendação para o </w:t>
      </w:r>
      <w:r w:rsidRPr="00413879">
        <w:rPr>
          <w:rFonts w:ascii="Times New Roman" w:hAnsi="Times New Roman"/>
          <w:sz w:val="24"/>
          <w:szCs w:val="24"/>
          <w:lang w:val="pt-BR"/>
        </w:rPr>
        <w:lastRenderedPageBreak/>
        <w:t xml:space="preserve">lubrificante a ser utilizado </w:t>
      </w:r>
      <w:r w:rsidR="008354AB" w:rsidRPr="00413879">
        <w:rPr>
          <w:rFonts w:ascii="Times New Roman" w:hAnsi="Times New Roman"/>
          <w:sz w:val="24"/>
          <w:szCs w:val="24"/>
          <w:lang w:val="pt-BR"/>
        </w:rPr>
        <w:t>prevê o</w:t>
      </w:r>
      <w:r w:rsidRPr="00413879">
        <w:rPr>
          <w:rFonts w:ascii="Times New Roman" w:hAnsi="Times New Roman"/>
          <w:sz w:val="24"/>
          <w:szCs w:val="24"/>
          <w:lang w:val="pt-BR"/>
        </w:rPr>
        <w:t xml:space="preserve"> de desempenho acompanhado do termo “ou superior”.</w:t>
      </w:r>
    </w:p>
    <w:p w:rsidR="00652C43" w:rsidRPr="00413879" w:rsidRDefault="00652C43" w:rsidP="002B72C5">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 xml:space="preserve">Quanto à proposta de isenção de registro para aditivos </w:t>
      </w:r>
      <w:proofErr w:type="spellStart"/>
      <w:r w:rsidR="00DE1725" w:rsidRPr="00413879">
        <w:rPr>
          <w:rFonts w:ascii="Times New Roman" w:hAnsi="Times New Roman"/>
          <w:i/>
          <w:sz w:val="24"/>
          <w:szCs w:val="24"/>
          <w:lang w:val="pt-BR"/>
        </w:rPr>
        <w:t>aftermarket</w:t>
      </w:r>
      <w:proofErr w:type="spellEnd"/>
      <w:r w:rsidRPr="00413879">
        <w:rPr>
          <w:rFonts w:ascii="Times New Roman" w:hAnsi="Times New Roman"/>
          <w:sz w:val="24"/>
          <w:szCs w:val="24"/>
          <w:lang w:val="pt-BR"/>
        </w:rPr>
        <w:t xml:space="preserve"> e de outros produtos industriais, os principais grupos afetados </w:t>
      </w:r>
      <w:r w:rsidR="00194272" w:rsidRPr="00194272">
        <w:rPr>
          <w:rFonts w:ascii="Times New Roman" w:hAnsi="Times New Roman"/>
          <w:sz w:val="24"/>
          <w:szCs w:val="24"/>
          <w:lang w:val="pt-BR"/>
        </w:rPr>
        <w:t>são:</w:t>
      </w:r>
    </w:p>
    <w:p w:rsidR="00652C43" w:rsidRPr="00413879" w:rsidRDefault="00652C43" w:rsidP="002B72C5">
      <w:pPr>
        <w:pStyle w:val="PargrafodaLista"/>
        <w:numPr>
          <w:ilvl w:val="0"/>
          <w:numId w:val="10"/>
        </w:numPr>
        <w:spacing w:before="120" w:after="120" w:line="360" w:lineRule="auto"/>
        <w:jc w:val="both"/>
        <w:rPr>
          <w:rFonts w:ascii="Times New Roman" w:hAnsi="Times New Roman"/>
          <w:sz w:val="24"/>
          <w:szCs w:val="24"/>
          <w:lang w:val="pt-BR"/>
        </w:rPr>
      </w:pPr>
      <w:r w:rsidRPr="00413879">
        <w:rPr>
          <w:rFonts w:ascii="Times New Roman" w:hAnsi="Times New Roman"/>
          <w:sz w:val="24"/>
          <w:szCs w:val="24"/>
          <w:lang w:val="pt-BR"/>
        </w:rPr>
        <w:t xml:space="preserve">Produtores/importadores de aditivos </w:t>
      </w:r>
      <w:proofErr w:type="spellStart"/>
      <w:r w:rsidR="00DE1725" w:rsidRPr="00413879">
        <w:rPr>
          <w:rFonts w:ascii="Times New Roman" w:hAnsi="Times New Roman"/>
          <w:sz w:val="24"/>
          <w:szCs w:val="24"/>
          <w:lang w:val="pt-BR"/>
        </w:rPr>
        <w:t>aftermarket</w:t>
      </w:r>
      <w:proofErr w:type="spellEnd"/>
      <w:r w:rsidR="00864F55" w:rsidRPr="00413879">
        <w:rPr>
          <w:rFonts w:ascii="Times New Roman" w:hAnsi="Times New Roman"/>
          <w:sz w:val="24"/>
          <w:szCs w:val="24"/>
          <w:lang w:val="pt-BR"/>
        </w:rPr>
        <w:t>,</w:t>
      </w:r>
      <w:r w:rsidRPr="00413879">
        <w:rPr>
          <w:rFonts w:ascii="Times New Roman" w:hAnsi="Times New Roman"/>
          <w:sz w:val="24"/>
          <w:szCs w:val="24"/>
          <w:lang w:val="pt-BR"/>
        </w:rPr>
        <w:t xml:space="preserve"> que terão seu mercado alterado por novas regras que </w:t>
      </w:r>
      <w:r w:rsidR="008354AB" w:rsidRPr="00413879">
        <w:rPr>
          <w:rFonts w:ascii="Times New Roman" w:hAnsi="Times New Roman"/>
          <w:sz w:val="24"/>
          <w:szCs w:val="24"/>
          <w:lang w:val="pt-BR"/>
        </w:rPr>
        <w:t xml:space="preserve">poderão </w:t>
      </w:r>
      <w:r w:rsidRPr="00413879">
        <w:rPr>
          <w:rFonts w:ascii="Times New Roman" w:hAnsi="Times New Roman"/>
          <w:sz w:val="24"/>
          <w:szCs w:val="24"/>
          <w:lang w:val="pt-BR"/>
        </w:rPr>
        <w:t>resultar na entrada de novos agentes nesse restrito mercado.</w:t>
      </w:r>
    </w:p>
    <w:p w:rsidR="00652C43" w:rsidRPr="00413879" w:rsidRDefault="00652C43" w:rsidP="002B72C5">
      <w:pPr>
        <w:pStyle w:val="PargrafodaLista"/>
        <w:numPr>
          <w:ilvl w:val="0"/>
          <w:numId w:val="10"/>
        </w:numPr>
        <w:spacing w:before="120" w:after="120" w:line="360" w:lineRule="auto"/>
        <w:jc w:val="both"/>
        <w:rPr>
          <w:rFonts w:ascii="Times New Roman" w:hAnsi="Times New Roman"/>
          <w:sz w:val="24"/>
          <w:szCs w:val="24"/>
          <w:lang w:val="pt-BR"/>
        </w:rPr>
      </w:pPr>
      <w:r w:rsidRPr="00413879">
        <w:rPr>
          <w:rFonts w:ascii="Times New Roman" w:hAnsi="Times New Roman"/>
          <w:sz w:val="24"/>
          <w:szCs w:val="24"/>
          <w:lang w:val="pt-BR"/>
        </w:rPr>
        <w:t xml:space="preserve">Consumidores de aditivos </w:t>
      </w:r>
      <w:proofErr w:type="spellStart"/>
      <w:r w:rsidR="00DE1725" w:rsidRPr="00413879">
        <w:rPr>
          <w:rFonts w:ascii="Times New Roman" w:hAnsi="Times New Roman"/>
          <w:i/>
          <w:sz w:val="24"/>
          <w:szCs w:val="24"/>
          <w:lang w:val="pt-BR"/>
        </w:rPr>
        <w:t>aftermarket</w:t>
      </w:r>
      <w:proofErr w:type="spellEnd"/>
      <w:r w:rsidR="00864F55" w:rsidRPr="00413879">
        <w:rPr>
          <w:rFonts w:ascii="Times New Roman" w:hAnsi="Times New Roman"/>
          <w:sz w:val="24"/>
          <w:szCs w:val="24"/>
          <w:lang w:val="pt-BR"/>
        </w:rPr>
        <w:t xml:space="preserve">, </w:t>
      </w:r>
      <w:r w:rsidR="0068584E" w:rsidRPr="00413879">
        <w:rPr>
          <w:rFonts w:ascii="Times New Roman" w:hAnsi="Times New Roman"/>
          <w:sz w:val="24"/>
          <w:szCs w:val="24"/>
          <w:lang w:val="pt-BR"/>
        </w:rPr>
        <w:t>deverão estar mais atentos as informações indicadas nos rótulos dos produtos ofertados nos mercado</w:t>
      </w:r>
      <w:r w:rsidR="003C77A5" w:rsidRPr="00413879">
        <w:rPr>
          <w:rFonts w:ascii="Times New Roman" w:hAnsi="Times New Roman"/>
          <w:sz w:val="24"/>
          <w:szCs w:val="24"/>
          <w:lang w:val="pt-BR"/>
        </w:rPr>
        <w:t>.</w:t>
      </w:r>
    </w:p>
    <w:p w:rsidR="00652C43" w:rsidRPr="00413879" w:rsidRDefault="00652C43" w:rsidP="002B72C5">
      <w:pPr>
        <w:pStyle w:val="PargrafodaLista"/>
        <w:numPr>
          <w:ilvl w:val="0"/>
          <w:numId w:val="10"/>
        </w:numPr>
        <w:spacing w:before="120" w:after="120" w:line="360" w:lineRule="auto"/>
        <w:jc w:val="both"/>
        <w:rPr>
          <w:rFonts w:ascii="Times New Roman" w:hAnsi="Times New Roman"/>
          <w:sz w:val="24"/>
          <w:szCs w:val="24"/>
          <w:lang w:val="pt-BR"/>
        </w:rPr>
      </w:pPr>
      <w:r w:rsidRPr="00413879">
        <w:rPr>
          <w:rFonts w:ascii="Times New Roman" w:hAnsi="Times New Roman"/>
          <w:sz w:val="24"/>
          <w:szCs w:val="24"/>
          <w:lang w:val="pt-BR"/>
        </w:rPr>
        <w:t>Produtores/importadores de lubrificantes industriais, que não t</w:t>
      </w:r>
      <w:r w:rsidR="00DD7E31" w:rsidRPr="00413879">
        <w:rPr>
          <w:rFonts w:ascii="Times New Roman" w:hAnsi="Times New Roman"/>
          <w:sz w:val="24"/>
          <w:szCs w:val="24"/>
          <w:lang w:val="pt-BR"/>
        </w:rPr>
        <w:t>erão mais alguns de seus produt</w:t>
      </w:r>
      <w:r w:rsidR="00756B9D" w:rsidRPr="00413879">
        <w:rPr>
          <w:rFonts w:ascii="Times New Roman" w:hAnsi="Times New Roman"/>
          <w:sz w:val="24"/>
          <w:szCs w:val="24"/>
          <w:lang w:val="pt-BR"/>
        </w:rPr>
        <w:t>o</w:t>
      </w:r>
      <w:r w:rsidRPr="00413879">
        <w:rPr>
          <w:rFonts w:ascii="Times New Roman" w:hAnsi="Times New Roman"/>
          <w:sz w:val="24"/>
          <w:szCs w:val="24"/>
          <w:lang w:val="pt-BR"/>
        </w:rPr>
        <w:t>s registrados pela ANP</w:t>
      </w:r>
      <w:r w:rsidR="00741018" w:rsidRPr="00413879">
        <w:rPr>
          <w:rFonts w:ascii="Times New Roman" w:hAnsi="Times New Roman"/>
          <w:sz w:val="24"/>
          <w:szCs w:val="24"/>
          <w:lang w:val="pt-BR"/>
        </w:rPr>
        <w:t>.</w:t>
      </w:r>
    </w:p>
    <w:p w:rsidR="00652C43" w:rsidRPr="00413879" w:rsidRDefault="00652C43" w:rsidP="002B72C5">
      <w:pPr>
        <w:pStyle w:val="PargrafodaLista"/>
        <w:numPr>
          <w:ilvl w:val="0"/>
          <w:numId w:val="10"/>
        </w:numPr>
        <w:spacing w:before="120" w:after="120" w:line="360" w:lineRule="auto"/>
        <w:jc w:val="both"/>
        <w:rPr>
          <w:rFonts w:ascii="Times New Roman" w:hAnsi="Times New Roman"/>
          <w:sz w:val="24"/>
          <w:szCs w:val="24"/>
          <w:lang w:val="pt-BR"/>
        </w:rPr>
      </w:pPr>
      <w:r w:rsidRPr="00413879">
        <w:rPr>
          <w:rFonts w:ascii="Times New Roman" w:hAnsi="Times New Roman"/>
          <w:sz w:val="24"/>
          <w:szCs w:val="24"/>
          <w:lang w:val="pt-BR"/>
        </w:rPr>
        <w:t>Consumidores de lubrificantes industriais que passarão a ter relação direta com o produtor para avaliação do produto.</w:t>
      </w:r>
    </w:p>
    <w:p w:rsidR="00A65B13" w:rsidRPr="00413879" w:rsidRDefault="00652C43" w:rsidP="00F666F9">
      <w:pPr>
        <w:pStyle w:val="PargrafodaLista"/>
        <w:numPr>
          <w:ilvl w:val="0"/>
          <w:numId w:val="10"/>
        </w:numPr>
        <w:spacing w:before="120" w:after="0" w:line="360" w:lineRule="auto"/>
        <w:ind w:left="1281" w:hanging="357"/>
        <w:jc w:val="both"/>
        <w:rPr>
          <w:rFonts w:ascii="Times New Roman" w:hAnsi="Times New Roman"/>
          <w:sz w:val="24"/>
          <w:szCs w:val="24"/>
          <w:lang w:val="pt-BR"/>
        </w:rPr>
      </w:pPr>
      <w:r w:rsidRPr="00413879">
        <w:rPr>
          <w:rFonts w:ascii="Times New Roman" w:hAnsi="Times New Roman"/>
          <w:sz w:val="24"/>
          <w:szCs w:val="24"/>
          <w:lang w:val="pt-BR"/>
        </w:rPr>
        <w:t>A ANP, que deixará de ser demandada para registrar esses produtos que somam uma parcela considerável das solicitações de registro.</w:t>
      </w:r>
    </w:p>
    <w:p w:rsidR="00652C43" w:rsidRPr="00413879" w:rsidRDefault="003C5FA7" w:rsidP="00DC00AB">
      <w:pPr>
        <w:pStyle w:val="PargrafodaLista"/>
        <w:numPr>
          <w:ilvl w:val="1"/>
          <w:numId w:val="8"/>
        </w:numPr>
        <w:spacing w:before="120" w:after="120" w:line="360" w:lineRule="auto"/>
        <w:contextualSpacing w:val="0"/>
        <w:jc w:val="both"/>
        <w:rPr>
          <w:rFonts w:ascii="Times New Roman" w:hAnsi="Times New Roman"/>
          <w:b/>
          <w:sz w:val="24"/>
          <w:szCs w:val="24"/>
          <w:lang w:val="pt-BR"/>
        </w:rPr>
      </w:pPr>
      <w:r w:rsidRPr="00413879">
        <w:rPr>
          <w:rFonts w:ascii="Times New Roman" w:hAnsi="Times New Roman"/>
          <w:b/>
          <w:sz w:val="24"/>
          <w:szCs w:val="24"/>
          <w:lang w:val="pt-BR"/>
        </w:rPr>
        <w:t>Áreas de interface na ANP</w:t>
      </w:r>
    </w:p>
    <w:p w:rsidR="00652C43" w:rsidRPr="00413879" w:rsidRDefault="00194272" w:rsidP="00E107A4">
      <w:pPr>
        <w:spacing w:before="120" w:after="120" w:line="360" w:lineRule="auto"/>
        <w:ind w:firstLine="1134"/>
        <w:jc w:val="both"/>
        <w:rPr>
          <w:rFonts w:ascii="Times New Roman" w:hAnsi="Times New Roman"/>
          <w:sz w:val="24"/>
          <w:szCs w:val="24"/>
        </w:rPr>
      </w:pPr>
      <w:r w:rsidRPr="00194272">
        <w:rPr>
          <w:rFonts w:ascii="Times New Roman" w:hAnsi="Times New Roman"/>
          <w:sz w:val="24"/>
          <w:szCs w:val="24"/>
        </w:rPr>
        <w:t>A Superintendência de Biocombustíveis e Qualidade de Produtos (SBQ) é a responsável pela revisão da Resolução ANP nº 10/2007. Além da SBQ, também estão diretamente envolvidas no assunto as Superintendências de Abastecimento (SAB) e a de Fiscalização do Abastecimento (SFI). À primeira, no que concerne aos lubrificantes, cabe autorizar os agentes econômicos para o exercício da atividade de produção e importação de lubrificantes, além de controlar a movimentação dos produtos acabados e seus insumos, bem como a coleta de óleos lubrificantes usados ou contaminados – OLUC. Já à SFI, com a cooperação da SBQ, cabe fiscalizar o cumprimento das exigências após a concessão do registro estabelecido pela Resolução ANP nº 10/2007.</w:t>
      </w:r>
    </w:p>
    <w:p w:rsidR="00652C43" w:rsidRPr="00413879" w:rsidRDefault="00194272" w:rsidP="00B96146">
      <w:pPr>
        <w:pStyle w:val="PargrafodaLista"/>
        <w:numPr>
          <w:ilvl w:val="0"/>
          <w:numId w:val="8"/>
        </w:numPr>
        <w:spacing w:before="240" w:after="240" w:line="360" w:lineRule="auto"/>
        <w:ind w:left="357" w:hanging="357"/>
        <w:contextualSpacing w:val="0"/>
        <w:jc w:val="both"/>
        <w:rPr>
          <w:rFonts w:ascii="Times New Roman" w:hAnsi="Times New Roman"/>
          <w:b/>
          <w:sz w:val="24"/>
          <w:szCs w:val="24"/>
          <w:lang w:val="pt-BR"/>
        </w:rPr>
      </w:pPr>
      <w:r w:rsidRPr="00194272">
        <w:rPr>
          <w:rFonts w:ascii="Times New Roman" w:hAnsi="Times New Roman"/>
          <w:b/>
          <w:sz w:val="24"/>
          <w:szCs w:val="24"/>
          <w:lang w:val="pt-BR"/>
        </w:rPr>
        <w:t>DO OBJETIVO DA INTERVENÇÃO REGULATÓRIA</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O objetivo da intervenção regulatória é identificar a melhor opção para aprimorar dois aspectos da legislação atual, são eles: a eliminação de produtos com tecnologia obsoleta e a desregulamentação de produtos atualmente sob a tutela da ANP. Desse modo, a intervenção regulatória resultará na modernização do instrumento legal de modo que ele atenda à realidade do setor de lubrificantes no País.</w:t>
      </w:r>
    </w:p>
    <w:p w:rsidR="00652C43" w:rsidRPr="00413879" w:rsidRDefault="00194272" w:rsidP="00DC00AB">
      <w:pPr>
        <w:pStyle w:val="PargrafodaLista"/>
        <w:numPr>
          <w:ilvl w:val="1"/>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lastRenderedPageBreak/>
        <w:t>Da análise das opções</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Para as alterações da legislação objetivadas pela intervenção regulatória tem-se a opção de manter-se a situação atual ou promover a alteração proposta.</w:t>
      </w:r>
    </w:p>
    <w:p w:rsidR="00652C43" w:rsidRPr="00413879" w:rsidRDefault="00194272" w:rsidP="00DC00AB">
      <w:pPr>
        <w:pStyle w:val="PargrafodaLista"/>
        <w:numPr>
          <w:ilvl w:val="2"/>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t>A elevação do nível de desempenho mínimo</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Em relação à definição de novo nível de desempenho mínimo para lubrificantes automotivos, caso se opte por não realizar alteração nos níveis mínimos atuais, continuarão disponíveis no mercado níveis de desempenho hoje considerados de tecnologia obsoleta, indicados para motores desenvolvidos na década de 80 (ciclo Otto) e na década de 90 (ciclo Diesel). </w:t>
      </w:r>
      <w:proofErr w:type="spellStart"/>
      <w:r w:rsidRPr="00194272">
        <w:rPr>
          <w:rFonts w:ascii="Times New Roman" w:hAnsi="Times New Roman"/>
          <w:sz w:val="24"/>
          <w:szCs w:val="24"/>
          <w:lang w:val="pt-BR"/>
        </w:rPr>
        <w:t>Consequentemente</w:t>
      </w:r>
      <w:proofErr w:type="spellEnd"/>
      <w:r w:rsidRPr="00194272">
        <w:rPr>
          <w:rFonts w:ascii="Times New Roman" w:hAnsi="Times New Roman"/>
          <w:sz w:val="24"/>
          <w:szCs w:val="24"/>
          <w:lang w:val="pt-BR"/>
        </w:rPr>
        <w:t xml:space="preserve"> persistirá o risco da </w:t>
      </w:r>
      <w:proofErr w:type="spellStart"/>
      <w:r w:rsidRPr="00194272">
        <w:rPr>
          <w:rFonts w:ascii="Times New Roman" w:hAnsi="Times New Roman"/>
          <w:sz w:val="24"/>
          <w:szCs w:val="24"/>
          <w:lang w:val="pt-BR"/>
        </w:rPr>
        <w:t>sublubrificação</w:t>
      </w:r>
      <w:proofErr w:type="spellEnd"/>
      <w:r w:rsidRPr="00194272">
        <w:rPr>
          <w:rFonts w:ascii="Times New Roman" w:hAnsi="Times New Roman"/>
          <w:sz w:val="24"/>
          <w:szCs w:val="24"/>
          <w:lang w:val="pt-BR"/>
        </w:rPr>
        <w:t>, que além de causar danos aos motores, poderá ocasionar problemas de cunho ambiental. Devido às características do público consumidor brasileiro, que tende a considerar fatores como: preço, marketing, tradição e recomendação do atendente ao escolher o produto que será utilizado, há a possibilidade de utilização de um produto que esteja em desacordo com a especificação recomendada para o motor. A Resolução ANP nº 10/2007 atualmente obriga a inscrição da frase “Siga as recomendações do fabricante do veículo” no rótulo de lubrificantes, de modo que o consumidor consulte no manual quais as especificações recomendadas pelo fabricante do veículo. Em parte, a assimetria de informação ainda se mantém, uma vez que a grande variedade de níveis de desempenho (dentre eles os obsoletos) tende a confundir o usuário comum.</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Por outro lado, a saída desses produtos do mercado elimina, em grande parte, o risco de que a escolha incorreta seja feita pelo consumidor, resultando na </w:t>
      </w:r>
      <w:proofErr w:type="spellStart"/>
      <w:r w:rsidRPr="00194272">
        <w:rPr>
          <w:rFonts w:ascii="Times New Roman" w:hAnsi="Times New Roman"/>
          <w:sz w:val="24"/>
          <w:szCs w:val="24"/>
          <w:lang w:val="pt-BR"/>
        </w:rPr>
        <w:t>sublubrificação</w:t>
      </w:r>
      <w:proofErr w:type="spellEnd"/>
      <w:r w:rsidRPr="00194272">
        <w:rPr>
          <w:rFonts w:ascii="Times New Roman" w:hAnsi="Times New Roman"/>
          <w:sz w:val="24"/>
          <w:szCs w:val="24"/>
          <w:lang w:val="pt-BR"/>
        </w:rPr>
        <w:t xml:space="preserve"> do motor de seu veículo, como comentado anteriormente. Uma opção que poderia diminuir essa dificuldade seria a promoção de campanhas de informação ao consumidor, a exemplo do que é feito no exterior, tanto por algumas empresas de lubrificantes quanto por órgãos sem fins lucrativos como a API.</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Todavia, as duas ações associadas, a retirada de níveis de desempenho obsoletos e a realização de campanhas de informação aos consumidores seriam mais eficientes na resolução do problema da </w:t>
      </w:r>
      <w:proofErr w:type="spellStart"/>
      <w:r w:rsidRPr="00194272">
        <w:rPr>
          <w:rFonts w:ascii="Times New Roman" w:hAnsi="Times New Roman"/>
          <w:sz w:val="24"/>
          <w:szCs w:val="24"/>
          <w:lang w:val="pt-BR"/>
        </w:rPr>
        <w:t>sublubrificação</w:t>
      </w:r>
      <w:proofErr w:type="spellEnd"/>
      <w:r w:rsidRPr="00194272">
        <w:rPr>
          <w:rFonts w:ascii="Times New Roman" w:hAnsi="Times New Roman"/>
          <w:sz w:val="24"/>
          <w:szCs w:val="24"/>
          <w:lang w:val="pt-BR"/>
        </w:rPr>
        <w:t>.</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Atualmente, a Resolução ANP n° 10/2007 estabelece como níveis mínimos de desempenho o API SF para motores ciclo Otto e o API CF para motores ciclo Diesel. Como proposta sugere-se que os níveis de desempenho sejam elevados em um primeiro momento </w:t>
      </w:r>
      <w:r w:rsidRPr="00194272">
        <w:rPr>
          <w:rFonts w:ascii="Times New Roman" w:hAnsi="Times New Roman"/>
          <w:sz w:val="24"/>
          <w:szCs w:val="24"/>
          <w:lang w:val="pt-BR"/>
        </w:rPr>
        <w:lastRenderedPageBreak/>
        <w:t>para API SJ e CG-4 e em um segundo momento para API SL e CH-4, com um prazo mais dilatado.</w:t>
      </w:r>
    </w:p>
    <w:p w:rsidR="00652C43" w:rsidRPr="00413879" w:rsidRDefault="00194272" w:rsidP="00DC00AB">
      <w:pPr>
        <w:pStyle w:val="PargrafodaLista"/>
        <w:numPr>
          <w:ilvl w:val="2"/>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t xml:space="preserve">Isenção da obrigatoriedade de registro </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Quanto à proposta de isenção da obrigatoriedade de registro prévio perante a ANP para certos produtos, caso se opte por manter a obrigatoriedade de registro para alguns lubrificantes industriais, a Agência continuará a despender consideráveis esforços para controlar produtos que não têm apresentado problemas relevantes e que têm respondido por grande parte das solicitações de registro neste Órgão. Tal isenção justifica-se pelo fato desse mercado ser capaz de se </w:t>
      </w:r>
      <w:proofErr w:type="spellStart"/>
      <w:r w:rsidRPr="00194272">
        <w:rPr>
          <w:rFonts w:ascii="Times New Roman" w:hAnsi="Times New Roman"/>
          <w:sz w:val="24"/>
          <w:szCs w:val="24"/>
          <w:lang w:val="pt-BR"/>
        </w:rPr>
        <w:t>autorregular</w:t>
      </w:r>
      <w:proofErr w:type="spellEnd"/>
      <w:r w:rsidRPr="00194272">
        <w:rPr>
          <w:rFonts w:ascii="Times New Roman" w:hAnsi="Times New Roman"/>
          <w:sz w:val="24"/>
          <w:szCs w:val="24"/>
          <w:lang w:val="pt-BR"/>
        </w:rPr>
        <w:t>, pois os usuários de alguns tipos de lubrificantes industriais têm condições de exigir e verificar a qualidade do produto, não havendo assimetria de informação entre fornecedor e consumidor. Outro aspecto relevante é a habitualidade com que seus produtores atualizam os registros devido à mudança na formulação do produto para melhor ajuste à aplicação do consumidor.</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No caso dos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a isenção de registro justifica-se por esses produtos não serem considerados essenciais para o bom funcionamento do motor. Deixar de exigir o registro prévio desses produtos propiciaria à ANP focar suas ações na garantia da qualidade de produtos que nitidamente necessitam de maior controle, como o caso dos óleos lubrificantes e os combustíveis automotivos. Adiante, tratamos dos problemas que podem ser causados ao motor do veículo pelo uso desse tipo de produto.</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A lista proposta de novos produtos industriais isentos de registro encontra-se no Anexo III.</w:t>
      </w:r>
    </w:p>
    <w:p w:rsidR="00652C43" w:rsidRPr="00413879" w:rsidRDefault="00194272" w:rsidP="003C5FA7">
      <w:pPr>
        <w:pStyle w:val="PargrafodaLista"/>
        <w:numPr>
          <w:ilvl w:val="1"/>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t>Informações técnicas e avaliação de impacto regulatório</w:t>
      </w:r>
    </w:p>
    <w:p w:rsidR="00652C43" w:rsidRPr="00413879" w:rsidRDefault="00194272" w:rsidP="003C5FA7">
      <w:pPr>
        <w:pStyle w:val="PargrafodaLista"/>
        <w:numPr>
          <w:ilvl w:val="2"/>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t>Elevação dos Níveis de Desempenho</w:t>
      </w:r>
    </w:p>
    <w:p w:rsidR="00652C43" w:rsidRPr="00413879" w:rsidRDefault="00194272" w:rsidP="003C5FA7">
      <w:pPr>
        <w:pStyle w:val="PargrafodaLista"/>
        <w:numPr>
          <w:ilvl w:val="3"/>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t>Impactos positivos</w:t>
      </w:r>
    </w:p>
    <w:p w:rsidR="00C7031B"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Analisando os aspectos positivos da elevação do nível de desempenho mínimo, além da maior proteção do motor e de evitar o problema da </w:t>
      </w:r>
      <w:proofErr w:type="spellStart"/>
      <w:r w:rsidRPr="00194272">
        <w:rPr>
          <w:rFonts w:ascii="Times New Roman" w:hAnsi="Times New Roman"/>
          <w:sz w:val="24"/>
          <w:szCs w:val="24"/>
          <w:lang w:val="pt-BR"/>
        </w:rPr>
        <w:t>sublubrificação</w:t>
      </w:r>
      <w:proofErr w:type="spellEnd"/>
      <w:r w:rsidRPr="00194272">
        <w:rPr>
          <w:rFonts w:ascii="Times New Roman" w:hAnsi="Times New Roman"/>
          <w:sz w:val="24"/>
          <w:szCs w:val="24"/>
          <w:lang w:val="pt-BR"/>
        </w:rPr>
        <w:t>, sob o ponto de vista ambiental, essa mudança colaboraria também para a redução no consumo de combustível e de lubrificante e para reduções das emissões de poluentes pelos veículos. Ainda nesse ponto, outro aspecto favorável à elevação do nível de desempenho é que, em geral, níveis mais elevados requerem intervalos maiores de troca, o que resulta em um consumo menor de lubrificantes e embalagens, em volume, ao longo do tempo.</w:t>
      </w:r>
    </w:p>
    <w:p w:rsidR="002D5B09" w:rsidRPr="00413879" w:rsidRDefault="00194272" w:rsidP="003C5FA7">
      <w:pPr>
        <w:pStyle w:val="PargrafodaLista"/>
        <w:numPr>
          <w:ilvl w:val="3"/>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lastRenderedPageBreak/>
        <w:t>Custos da elevação do nível de desempenho</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No intuito de se avaliar os impactos de custo da elevação dos níveis de desempenho, a ANP solicitou à Associação Brasileira de Fabricantes de Aditivos – ABRAFA, informações sobre dados de custo de insumos de acordo com a classificação API, considerando os motores ciclo Otto e ciclo Diesel.</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Os dados enviados foram consolidados em planilha que se encontra no Anexo II. Em resumo, para o caso do ciclo Otto, os dados apresentados mostram que o custo FOB</w:t>
      </w:r>
      <w:r w:rsidR="00652C43" w:rsidRPr="00413879">
        <w:rPr>
          <w:rStyle w:val="Refdenotaderodap"/>
          <w:rFonts w:ascii="Times New Roman" w:hAnsi="Times New Roman"/>
          <w:sz w:val="24"/>
          <w:szCs w:val="24"/>
          <w:lang w:val="pt-BR"/>
        </w:rPr>
        <w:footnoteReference w:id="8"/>
      </w:r>
      <w:r w:rsidR="00652C43" w:rsidRPr="00413879">
        <w:rPr>
          <w:rFonts w:ascii="Times New Roman" w:hAnsi="Times New Roman"/>
          <w:sz w:val="24"/>
          <w:szCs w:val="24"/>
          <w:lang w:val="pt-BR"/>
        </w:rPr>
        <w:t xml:space="preserve"> de insumos para formulação de um litro de óleo lubrificante com nível de desempenho API SF, sem tributos e para uma taxa de câmbio do dólar a </w:t>
      </w:r>
      <w:r w:rsidRPr="00194272">
        <w:rPr>
          <w:rFonts w:ascii="Times New Roman" w:hAnsi="Times New Roman"/>
          <w:sz w:val="24"/>
          <w:szCs w:val="24"/>
          <w:lang w:val="pt-BR"/>
        </w:rPr>
        <w:t xml:space="preserve">R$ 1,80, somaram R$ 2,07. Já para um produto API SJ, o custo seria de R$ 2,16 /L e para um API SL seria de R$ 2,26 /L. Por fim, para se avaliar o custo de maneira mais completa levou-se em conta um veículo hipotético que rode 100.000 km, com cárter com capacidade de 3 L e que os intervalos médios de troca para os níveis API SF, SJ e SL são, respectivamente, 5.000 km, 7.500 km e 10.000 km. Nessas condições, o usuário do veículo hipotético acima economizaria R$ 38,32 se migrasse de API SF para SJ e R$ 56,76 se migrasse para API SL. Da mesma forma, a redução de volume de óleos descartados ao final dos 100.000 km seria de 20 L para a migração para o API SJ e de 30 L para o API SL. </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No caso de lubrificantes para motor Diesel foram feitos cálculos semelhantes. O custo dos insumos apresentados para formulação de um litro de óleo lubrificante com nível de desempenho API CF, sem tributos e para taxa de câmbio do dólar a R$ 1,80, somaram R$ 2,11. Já para um produto API CH-4 o custo seria de R$ 2,32 /L. Por fim levou-se em conta um veículo hipotético que rode 100.000 km, com cárter de 20 L de capacidade e cujos intervalos médios de troca para os </w:t>
      </w:r>
      <w:proofErr w:type="spellStart"/>
      <w:r w:rsidRPr="00194272">
        <w:rPr>
          <w:rFonts w:ascii="Times New Roman" w:hAnsi="Times New Roman"/>
          <w:sz w:val="24"/>
          <w:szCs w:val="24"/>
          <w:lang w:val="pt-BR"/>
        </w:rPr>
        <w:t>APIs</w:t>
      </w:r>
      <w:proofErr w:type="spellEnd"/>
      <w:r w:rsidRPr="00194272">
        <w:rPr>
          <w:rFonts w:ascii="Times New Roman" w:hAnsi="Times New Roman"/>
          <w:sz w:val="24"/>
          <w:szCs w:val="24"/>
          <w:lang w:val="pt-BR"/>
        </w:rPr>
        <w:t xml:space="preserve"> CF e CH-4 são, respectivamente, 5.000 km e 10.000 km. Nessas condições o usuário do veículo hipotético acima economizaria R$ 379,08 se migrasse de API CF para CH-4 e reduziria o volume de descarte de óleo usado, ao final dos 100.000 km, em 200 L.</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Vale ressaltar que as estimativas de custo/economia mencionadas acima, levam em conta apenas os preços dos insumos com valor FOB. Em princípio, o aumento do custo dos insumos decorrente da elevação dos níveis de desempenho propostos deverá ser o principal fator que eventualmente impacte no preço final dos produtos. Na estimativa de </w:t>
      </w:r>
      <w:r w:rsidRPr="00194272">
        <w:rPr>
          <w:rFonts w:ascii="Times New Roman" w:hAnsi="Times New Roman"/>
          <w:sz w:val="24"/>
          <w:szCs w:val="24"/>
          <w:lang w:val="pt-BR"/>
        </w:rPr>
        <w:lastRenderedPageBreak/>
        <w:t xml:space="preserve">custos acima não são levados em conta fatores que impactam no preço final do produto, como o tributário, o operacional, a </w:t>
      </w:r>
      <w:proofErr w:type="spellStart"/>
      <w:r w:rsidRPr="00194272">
        <w:rPr>
          <w:rFonts w:ascii="Times New Roman" w:hAnsi="Times New Roman"/>
          <w:sz w:val="24"/>
          <w:szCs w:val="24"/>
          <w:lang w:val="pt-BR"/>
        </w:rPr>
        <w:t>infraestrutura</w:t>
      </w:r>
      <w:proofErr w:type="spellEnd"/>
      <w:r w:rsidRPr="00194272">
        <w:rPr>
          <w:rFonts w:ascii="Times New Roman" w:hAnsi="Times New Roman"/>
          <w:sz w:val="24"/>
          <w:szCs w:val="24"/>
          <w:lang w:val="pt-BR"/>
        </w:rPr>
        <w:t>, o marketing, a logística, a distribuição, dentre outros. Em princípio, os custos desses fatores não devem ser afetados pela elevação do nível de desempenho.</w:t>
      </w:r>
    </w:p>
    <w:p w:rsidR="002D5B09" w:rsidRPr="00413879" w:rsidRDefault="00194272" w:rsidP="003C5FA7">
      <w:pPr>
        <w:pStyle w:val="PargrafodaLista"/>
        <w:numPr>
          <w:ilvl w:val="3"/>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t>Aspectos de melhorias nos níveis de desempenho</w:t>
      </w:r>
    </w:p>
    <w:p w:rsidR="002D5B0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Uma forma de se visualizar melhor os avanços nas tecnologias dos níveis de desempenho de lubrificantes é por intermédio de gráficos polares, nos quais à medida que o nível de desempenho avança para as bordas do gráfico, maior é a proteção para o aspecto daquele eixo. Na Figura 1, são apresentados os níveis de desempenho para o ciclo Diesel. Vale destacar a grande diferença de proteção entre o novo nível mínimo de desempenho proposto (API CG-4) e o atual (API CF). Outro ponto a ser destacado é que somente o API CJ-4 é compatível com pós-tratamento dos gases do motor, sistema adotado nas novas tecnologias dos motores Euro 5, que visam atender aos limites de emissões adotados em diversos países, com destaque para o PROCONVE</w:t>
      </w:r>
      <w:r w:rsidR="00E576A2" w:rsidRPr="00413879">
        <w:rPr>
          <w:rStyle w:val="Refdenotaderodap"/>
          <w:rFonts w:ascii="Times New Roman" w:hAnsi="Times New Roman"/>
          <w:sz w:val="24"/>
          <w:szCs w:val="24"/>
          <w:lang w:val="pt-BR"/>
        </w:rPr>
        <w:footnoteReference w:id="9"/>
      </w:r>
      <w:r w:rsidR="00BF26D0" w:rsidRPr="00413879">
        <w:rPr>
          <w:rFonts w:ascii="Times New Roman" w:hAnsi="Times New Roman"/>
          <w:sz w:val="24"/>
          <w:szCs w:val="24"/>
          <w:lang w:val="pt-BR"/>
        </w:rPr>
        <w:t xml:space="preserve"> (Programa de </w:t>
      </w:r>
      <w:r w:rsidR="0054241A" w:rsidRPr="00413879">
        <w:rPr>
          <w:rFonts w:ascii="Times New Roman" w:hAnsi="Times New Roman"/>
          <w:sz w:val="24"/>
          <w:szCs w:val="24"/>
          <w:lang w:val="pt-BR"/>
        </w:rPr>
        <w:t>Controle de Poluição do Ar por V</w:t>
      </w:r>
      <w:r w:rsidRPr="00194272">
        <w:rPr>
          <w:rFonts w:ascii="Times New Roman" w:hAnsi="Times New Roman"/>
          <w:sz w:val="24"/>
          <w:szCs w:val="24"/>
          <w:lang w:val="pt-BR"/>
        </w:rPr>
        <w:t>eículos Automotores) no Brasil.</w:t>
      </w:r>
    </w:p>
    <w:p w:rsidR="00A67773" w:rsidRPr="00413879" w:rsidRDefault="00A67773" w:rsidP="00E107A4">
      <w:pPr>
        <w:pStyle w:val="PargrafodaLista"/>
        <w:spacing w:before="120" w:after="120" w:line="360" w:lineRule="auto"/>
        <w:ind w:left="0" w:firstLine="1134"/>
        <w:contextualSpacing w:val="0"/>
        <w:jc w:val="both"/>
        <w:rPr>
          <w:rFonts w:ascii="Times New Roman" w:hAnsi="Times New Roman"/>
          <w:sz w:val="24"/>
          <w:szCs w:val="24"/>
          <w:lang w:val="pt-BR"/>
        </w:rPr>
      </w:pPr>
      <w:r>
        <w:rPr>
          <w:rFonts w:ascii="Times New Roman" w:hAnsi="Times New Roman"/>
          <w:noProof/>
          <w:sz w:val="24"/>
          <w:szCs w:val="24"/>
          <w:lang w:val="pt-BR" w:eastAsia="pt-BR"/>
        </w:rPr>
        <w:drawing>
          <wp:inline distT="0" distB="0" distL="0" distR="0">
            <wp:extent cx="4004499" cy="2751151"/>
            <wp:effectExtent l="19050" t="19050" r="15051" b="11099"/>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009486" cy="2754577"/>
                    </a:xfrm>
                    <a:prstGeom prst="rect">
                      <a:avLst/>
                    </a:prstGeom>
                    <a:noFill/>
                    <a:ln w="9525">
                      <a:solidFill>
                        <a:schemeClr val="accent1"/>
                      </a:solidFill>
                      <a:miter lim="800000"/>
                      <a:headEnd/>
                      <a:tailEnd/>
                    </a:ln>
                  </pic:spPr>
                </pic:pic>
              </a:graphicData>
            </a:graphic>
          </wp:inline>
        </w:drawing>
      </w:r>
    </w:p>
    <w:p w:rsidR="007C5E43" w:rsidRPr="00413879" w:rsidRDefault="00194272" w:rsidP="009720B1">
      <w:pPr>
        <w:pStyle w:val="PargrafodaLista"/>
        <w:tabs>
          <w:tab w:val="left" w:pos="6521"/>
        </w:tabs>
        <w:spacing w:after="120" w:line="240" w:lineRule="auto"/>
        <w:ind w:left="0" w:right="2977"/>
        <w:contextualSpacing w:val="0"/>
        <w:jc w:val="right"/>
        <w:rPr>
          <w:rFonts w:ascii="Times New Roman" w:hAnsi="Times New Roman"/>
          <w:sz w:val="24"/>
          <w:szCs w:val="24"/>
          <w:lang w:val="pt-BR"/>
        </w:rPr>
      </w:pPr>
      <w:r w:rsidRPr="00194272">
        <w:rPr>
          <w:rFonts w:ascii="Times New Roman" w:hAnsi="Times New Roman"/>
          <w:sz w:val="20"/>
          <w:szCs w:val="20"/>
          <w:lang w:val="pt-BR"/>
        </w:rPr>
        <w:tab/>
        <w:t>Fonte: ABRAFA</w:t>
      </w:r>
    </w:p>
    <w:p w:rsidR="003F7E06" w:rsidRPr="00413879" w:rsidRDefault="00194272" w:rsidP="004619DC">
      <w:pPr>
        <w:pStyle w:val="PargrafodaLista"/>
        <w:spacing w:after="360" w:line="240" w:lineRule="auto"/>
        <w:ind w:left="0"/>
        <w:contextualSpacing w:val="0"/>
        <w:jc w:val="center"/>
        <w:rPr>
          <w:rFonts w:ascii="Times New Roman" w:hAnsi="Times New Roman"/>
          <w:lang w:val="pt-BR"/>
        </w:rPr>
      </w:pPr>
      <w:r w:rsidRPr="00194272">
        <w:rPr>
          <w:rFonts w:ascii="Times New Roman" w:hAnsi="Times New Roman"/>
          <w:b/>
          <w:lang w:val="pt-BR"/>
        </w:rPr>
        <w:t xml:space="preserve">Figura 1. </w:t>
      </w:r>
      <w:r w:rsidRPr="00194272">
        <w:rPr>
          <w:rFonts w:ascii="Times New Roman" w:hAnsi="Times New Roman"/>
          <w:lang w:val="pt-BR"/>
        </w:rPr>
        <w:t>Gráfico polar com os avanços para 13 requisitos de aprovação dos níveis de desempenho API para o ciclo Diesel.</w:t>
      </w:r>
    </w:p>
    <w:p w:rsidR="002D5B0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lastRenderedPageBreak/>
        <w:t>Na Figura 2, são apresentados os níveis de desempenho para o ciclo Otto. Pode-se observar que, exceto para o quesito corrosão, em todos os demais houve grande avanço na proteção com a evolução dos níveis de desempenho API.</w:t>
      </w:r>
    </w:p>
    <w:p w:rsidR="00A3291A" w:rsidRDefault="00A3291A" w:rsidP="00E107A4">
      <w:pPr>
        <w:pStyle w:val="PargrafodaLista"/>
        <w:spacing w:before="120" w:after="120" w:line="360" w:lineRule="auto"/>
        <w:ind w:left="0" w:firstLine="1134"/>
        <w:contextualSpacing w:val="0"/>
        <w:jc w:val="both"/>
        <w:rPr>
          <w:rFonts w:ascii="Times New Roman" w:hAnsi="Times New Roman"/>
          <w:sz w:val="24"/>
          <w:szCs w:val="24"/>
          <w:lang w:val="pt-BR"/>
        </w:rPr>
      </w:pPr>
      <w:r>
        <w:rPr>
          <w:rFonts w:ascii="Times New Roman" w:hAnsi="Times New Roman"/>
          <w:noProof/>
          <w:sz w:val="24"/>
          <w:szCs w:val="24"/>
          <w:lang w:val="pt-BR" w:eastAsia="pt-BR"/>
        </w:rPr>
        <w:drawing>
          <wp:inline distT="0" distB="0" distL="0" distR="0">
            <wp:extent cx="4255300" cy="284483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255206" cy="2844767"/>
                    </a:xfrm>
                    <a:prstGeom prst="rect">
                      <a:avLst/>
                    </a:prstGeom>
                    <a:noFill/>
                    <a:ln w="9525">
                      <a:noFill/>
                      <a:miter lim="800000"/>
                      <a:headEnd/>
                      <a:tailEnd/>
                    </a:ln>
                  </pic:spPr>
                </pic:pic>
              </a:graphicData>
            </a:graphic>
          </wp:inline>
        </w:drawing>
      </w:r>
    </w:p>
    <w:p w:rsidR="002459D5" w:rsidRPr="00413879" w:rsidRDefault="00194272" w:rsidP="004619DC">
      <w:pPr>
        <w:pStyle w:val="PargrafodaLista"/>
        <w:spacing w:after="120" w:line="240" w:lineRule="auto"/>
        <w:ind w:left="0" w:right="1134"/>
        <w:contextualSpacing w:val="0"/>
        <w:jc w:val="right"/>
        <w:rPr>
          <w:rFonts w:ascii="Times New Roman" w:hAnsi="Times New Roman"/>
          <w:sz w:val="24"/>
          <w:szCs w:val="24"/>
          <w:lang w:val="pt-BR"/>
        </w:rPr>
      </w:pPr>
      <w:r w:rsidRPr="00194272">
        <w:rPr>
          <w:rFonts w:ascii="Times New Roman" w:hAnsi="Times New Roman"/>
          <w:sz w:val="20"/>
          <w:szCs w:val="20"/>
          <w:lang w:val="pt-BR"/>
        </w:rPr>
        <w:t>Fonte: ABRAFA</w:t>
      </w:r>
    </w:p>
    <w:p w:rsidR="002755E3" w:rsidRPr="00413879" w:rsidRDefault="00194272" w:rsidP="004619DC">
      <w:pPr>
        <w:pStyle w:val="PargrafodaLista"/>
        <w:spacing w:after="360" w:line="240" w:lineRule="auto"/>
        <w:ind w:left="0"/>
        <w:contextualSpacing w:val="0"/>
        <w:jc w:val="center"/>
        <w:rPr>
          <w:rFonts w:ascii="Times New Roman" w:hAnsi="Times New Roman"/>
          <w:lang w:val="pt-BR"/>
        </w:rPr>
      </w:pPr>
      <w:r w:rsidRPr="00194272">
        <w:rPr>
          <w:rFonts w:ascii="Times New Roman" w:hAnsi="Times New Roman"/>
          <w:b/>
          <w:lang w:val="pt-BR"/>
        </w:rPr>
        <w:t>Figura 2.</w:t>
      </w:r>
      <w:r w:rsidRPr="00194272">
        <w:rPr>
          <w:rFonts w:ascii="Times New Roman" w:hAnsi="Times New Roman"/>
          <w:lang w:val="pt-BR"/>
        </w:rPr>
        <w:t xml:space="preserve"> Gráfico polar com avanços para nove requisitos de aprovação dos níveis de desempenho API ciclo Otto.</w:t>
      </w:r>
    </w:p>
    <w:p w:rsidR="00652C43" w:rsidRPr="00413879" w:rsidRDefault="00194272" w:rsidP="004619DC">
      <w:pPr>
        <w:pStyle w:val="PargrafodaLista"/>
        <w:numPr>
          <w:ilvl w:val="3"/>
          <w:numId w:val="8"/>
        </w:numPr>
        <w:spacing w:after="120" w:line="360" w:lineRule="auto"/>
        <w:ind w:left="1723" w:hanging="646"/>
        <w:contextualSpacing w:val="0"/>
        <w:jc w:val="both"/>
        <w:rPr>
          <w:rFonts w:ascii="Times New Roman" w:hAnsi="Times New Roman"/>
          <w:b/>
          <w:sz w:val="24"/>
          <w:szCs w:val="24"/>
          <w:lang w:val="pt-BR"/>
        </w:rPr>
      </w:pPr>
      <w:r w:rsidRPr="00194272">
        <w:rPr>
          <w:rFonts w:ascii="Times New Roman" w:hAnsi="Times New Roman"/>
          <w:b/>
          <w:sz w:val="24"/>
          <w:szCs w:val="24"/>
          <w:lang w:val="pt-BR"/>
        </w:rPr>
        <w:t>Participação no mercado de cada nível de desempenho</w:t>
      </w:r>
    </w:p>
    <w:p w:rsidR="00652C43" w:rsidRPr="00413879" w:rsidRDefault="00652C43"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A fim de se levantar dados para avaliar a participação de cada nível de desempenho no mercado de lubrificantes nacional, no início de junho de 2012, foram enviados</w:t>
      </w:r>
      <w:r w:rsidR="004619DC" w:rsidRPr="00413879">
        <w:rPr>
          <w:rFonts w:ascii="Times New Roman" w:hAnsi="Times New Roman"/>
          <w:sz w:val="24"/>
          <w:szCs w:val="24"/>
          <w:lang w:val="pt-BR"/>
        </w:rPr>
        <w:t>,</w:t>
      </w:r>
      <w:r w:rsidRPr="00413879">
        <w:rPr>
          <w:rFonts w:ascii="Times New Roman" w:hAnsi="Times New Roman"/>
          <w:sz w:val="24"/>
          <w:szCs w:val="24"/>
          <w:lang w:val="pt-BR"/>
        </w:rPr>
        <w:t xml:space="preserve"> pelo Centro de Pesquisas e Análises Tecnológicas (CPT), cento e </w:t>
      </w:r>
      <w:proofErr w:type="spellStart"/>
      <w:r w:rsidRPr="00413879">
        <w:rPr>
          <w:rFonts w:ascii="Times New Roman" w:hAnsi="Times New Roman"/>
          <w:sz w:val="24"/>
          <w:szCs w:val="24"/>
          <w:lang w:val="pt-BR"/>
        </w:rPr>
        <w:t>cinquenta</w:t>
      </w:r>
      <w:proofErr w:type="spellEnd"/>
      <w:r w:rsidRPr="00413879">
        <w:rPr>
          <w:rFonts w:ascii="Times New Roman" w:hAnsi="Times New Roman"/>
          <w:sz w:val="24"/>
          <w:szCs w:val="24"/>
          <w:lang w:val="pt-BR"/>
        </w:rPr>
        <w:t xml:space="preserve"> ofícios </w:t>
      </w:r>
      <w:r w:rsidR="00CD4E84" w:rsidRPr="00413879">
        <w:rPr>
          <w:rFonts w:ascii="Times New Roman" w:hAnsi="Times New Roman"/>
          <w:sz w:val="24"/>
          <w:szCs w:val="24"/>
          <w:lang w:val="pt-BR"/>
        </w:rPr>
        <w:t xml:space="preserve">requerendo </w:t>
      </w:r>
      <w:r w:rsidRPr="00413879">
        <w:rPr>
          <w:rFonts w:ascii="Times New Roman" w:hAnsi="Times New Roman"/>
          <w:sz w:val="24"/>
          <w:szCs w:val="24"/>
          <w:lang w:val="pt-BR"/>
        </w:rPr>
        <w:t>informações de mercado a empresas produtoras e importadoras de lubri</w:t>
      </w:r>
      <w:r w:rsidR="007849AA" w:rsidRPr="00413879">
        <w:rPr>
          <w:rFonts w:ascii="Times New Roman" w:hAnsi="Times New Roman"/>
          <w:sz w:val="24"/>
          <w:szCs w:val="24"/>
          <w:lang w:val="pt-BR"/>
        </w:rPr>
        <w:t>ficantes. Foram requisitados</w:t>
      </w:r>
      <w:r w:rsidRPr="00413879">
        <w:rPr>
          <w:rFonts w:ascii="Times New Roman" w:hAnsi="Times New Roman"/>
          <w:sz w:val="24"/>
          <w:szCs w:val="24"/>
          <w:lang w:val="pt-BR"/>
        </w:rPr>
        <w:t xml:space="preserve"> os dados de volume de comercialização</w:t>
      </w:r>
      <w:r w:rsidR="004619DC" w:rsidRPr="00413879">
        <w:rPr>
          <w:rFonts w:ascii="Times New Roman" w:hAnsi="Times New Roman"/>
          <w:sz w:val="24"/>
          <w:szCs w:val="24"/>
          <w:lang w:val="pt-BR"/>
        </w:rPr>
        <w:t xml:space="preserve"> de óleos lubrificantes de motor automotivo</w:t>
      </w:r>
      <w:r w:rsidRPr="00413879">
        <w:rPr>
          <w:rFonts w:ascii="Times New Roman" w:hAnsi="Times New Roman"/>
          <w:sz w:val="24"/>
          <w:szCs w:val="24"/>
          <w:lang w:val="pt-BR"/>
        </w:rPr>
        <w:t xml:space="preserve"> dentro do território nacional</w:t>
      </w:r>
      <w:r w:rsidR="003313FC" w:rsidRPr="00413879">
        <w:rPr>
          <w:rFonts w:ascii="Times New Roman" w:hAnsi="Times New Roman"/>
          <w:sz w:val="24"/>
          <w:szCs w:val="24"/>
          <w:lang w:val="pt-BR"/>
        </w:rPr>
        <w:t>,</w:t>
      </w:r>
      <w:r w:rsidRPr="00413879">
        <w:rPr>
          <w:rFonts w:ascii="Times New Roman" w:hAnsi="Times New Roman"/>
          <w:sz w:val="24"/>
          <w:szCs w:val="24"/>
          <w:lang w:val="pt-BR"/>
        </w:rPr>
        <w:t xml:space="preserve"> por produto, para o ano base 2011. Findo o prazo para a resposta do ofício, constatou-se que nem todas as empresas enviaram as informações solicitadas. Sendo assim, decidiu-se avaliar se o conjunto de dados obtidos era minimamente representativo do mercado de lubrificantes, optando-se por levantar a participação no mercado do grupo de empresas que enviaram os dados de volume de comercialização por produto.</w:t>
      </w:r>
    </w:p>
    <w:p w:rsidR="00652C43" w:rsidRPr="00413879" w:rsidRDefault="00652C43" w:rsidP="00CE643D">
      <w:pPr>
        <w:pStyle w:val="PargrafodaLista"/>
        <w:spacing w:before="120" w:after="36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Para isso, o CPT obteve junto à S</w:t>
      </w:r>
      <w:r w:rsidR="001C14ED" w:rsidRPr="00413879">
        <w:rPr>
          <w:rFonts w:ascii="Times New Roman" w:hAnsi="Times New Roman"/>
          <w:sz w:val="24"/>
          <w:szCs w:val="24"/>
          <w:lang w:val="pt-BR"/>
        </w:rPr>
        <w:t xml:space="preserve">uperintendência de </w:t>
      </w:r>
      <w:r w:rsidR="00243C06" w:rsidRPr="00413879">
        <w:rPr>
          <w:rFonts w:ascii="Times New Roman" w:hAnsi="Times New Roman"/>
          <w:sz w:val="24"/>
          <w:szCs w:val="24"/>
          <w:lang w:val="pt-BR"/>
        </w:rPr>
        <w:t>Abastecimento (SAB)</w:t>
      </w:r>
      <w:r w:rsidRPr="00413879">
        <w:rPr>
          <w:rFonts w:ascii="Times New Roman" w:hAnsi="Times New Roman"/>
          <w:sz w:val="24"/>
          <w:szCs w:val="24"/>
          <w:lang w:val="pt-BR"/>
        </w:rPr>
        <w:t xml:space="preserve"> o volume total de lubrificantes (automotivos e industriais) comercializados em todo território nacional em 2011, por empresa. Considerando-se a contribuição de todas as empresas em 2011</w:t>
      </w:r>
      <w:r w:rsidR="00C81555" w:rsidRPr="00413879">
        <w:rPr>
          <w:rFonts w:ascii="Times New Roman" w:hAnsi="Times New Roman"/>
          <w:sz w:val="24"/>
          <w:szCs w:val="24"/>
          <w:lang w:val="pt-BR"/>
        </w:rPr>
        <w:t>,</w:t>
      </w:r>
      <w:r w:rsidRPr="00413879">
        <w:rPr>
          <w:rFonts w:ascii="Times New Roman" w:hAnsi="Times New Roman"/>
          <w:sz w:val="24"/>
          <w:szCs w:val="24"/>
          <w:lang w:val="pt-BR"/>
        </w:rPr>
        <w:t xml:space="preserve"> foi comercializado no país cerca de 1,4 bilhão de litros de </w:t>
      </w:r>
      <w:r w:rsidR="00370B0A" w:rsidRPr="00413879">
        <w:rPr>
          <w:rFonts w:ascii="Times New Roman" w:hAnsi="Times New Roman"/>
          <w:sz w:val="24"/>
          <w:szCs w:val="24"/>
          <w:lang w:val="pt-BR"/>
        </w:rPr>
        <w:t xml:space="preserve">óleos </w:t>
      </w:r>
      <w:r w:rsidR="00E00A74" w:rsidRPr="00413879">
        <w:rPr>
          <w:rFonts w:ascii="Times New Roman" w:hAnsi="Times New Roman"/>
          <w:sz w:val="24"/>
          <w:szCs w:val="24"/>
          <w:lang w:val="pt-BR"/>
        </w:rPr>
        <w:t xml:space="preserve">lubrificantes </w:t>
      </w:r>
      <w:r w:rsidR="00384F0B" w:rsidRPr="00413879">
        <w:rPr>
          <w:rFonts w:ascii="Times New Roman" w:hAnsi="Times New Roman"/>
          <w:sz w:val="24"/>
          <w:szCs w:val="24"/>
          <w:lang w:val="pt-BR"/>
        </w:rPr>
        <w:lastRenderedPageBreak/>
        <w:t>automotivos e industriais</w:t>
      </w:r>
      <w:r w:rsidR="00E00A74" w:rsidRPr="00413879">
        <w:rPr>
          <w:rFonts w:ascii="Times New Roman" w:hAnsi="Times New Roman"/>
          <w:sz w:val="24"/>
          <w:szCs w:val="24"/>
          <w:lang w:val="pt-BR"/>
        </w:rPr>
        <w:t>.</w:t>
      </w:r>
      <w:r w:rsidRPr="00413879">
        <w:rPr>
          <w:rFonts w:ascii="Times New Roman" w:hAnsi="Times New Roman"/>
          <w:sz w:val="24"/>
          <w:szCs w:val="24"/>
          <w:lang w:val="pt-BR"/>
        </w:rPr>
        <w:t xml:space="preserve"> Com base nesses dados, as empresas que responderam ao ofício do CPT foram responsáveis em 2011 por 88,9</w:t>
      </w:r>
      <w:r w:rsidR="00E73179" w:rsidRPr="00413879">
        <w:rPr>
          <w:rFonts w:ascii="Times New Roman" w:hAnsi="Times New Roman"/>
          <w:sz w:val="24"/>
          <w:szCs w:val="24"/>
          <w:lang w:val="pt-BR"/>
        </w:rPr>
        <w:t xml:space="preserve"> </w:t>
      </w:r>
      <w:r w:rsidRPr="00413879">
        <w:rPr>
          <w:rFonts w:ascii="Times New Roman" w:hAnsi="Times New Roman"/>
          <w:sz w:val="24"/>
          <w:szCs w:val="24"/>
          <w:lang w:val="pt-BR"/>
        </w:rPr>
        <w:t>% do volume total de todos os tipos de lubrificantes comercializado no país.</w:t>
      </w:r>
    </w:p>
    <w:p w:rsidR="00652C43" w:rsidRPr="00413879" w:rsidRDefault="002459D5" w:rsidP="00652C43">
      <w:pPr>
        <w:spacing w:after="0" w:line="240" w:lineRule="auto"/>
        <w:jc w:val="center"/>
        <w:rPr>
          <w:rFonts w:ascii="Times New Roman" w:hAnsi="Times New Roman"/>
          <w:sz w:val="24"/>
          <w:szCs w:val="24"/>
          <w:lang w:eastAsia="pt-BR"/>
        </w:rPr>
      </w:pPr>
      <w:r w:rsidRPr="00413879">
        <w:rPr>
          <w:rFonts w:ascii="Times New Roman" w:hAnsi="Times New Roman"/>
          <w:b/>
          <w:sz w:val="24"/>
          <w:szCs w:val="24"/>
          <w:lang w:eastAsia="pt-BR"/>
        </w:rPr>
        <w:t>Quadro</w:t>
      </w:r>
      <w:r w:rsidR="00652C43" w:rsidRPr="00413879">
        <w:rPr>
          <w:rFonts w:ascii="Times New Roman" w:hAnsi="Times New Roman"/>
          <w:b/>
          <w:sz w:val="24"/>
          <w:szCs w:val="24"/>
          <w:lang w:eastAsia="pt-BR"/>
        </w:rPr>
        <w:t xml:space="preserve"> 1</w:t>
      </w:r>
      <w:r w:rsidR="00652C43" w:rsidRPr="00413879">
        <w:rPr>
          <w:rFonts w:ascii="Times New Roman" w:hAnsi="Times New Roman"/>
          <w:sz w:val="24"/>
          <w:szCs w:val="24"/>
          <w:lang w:eastAsia="pt-BR"/>
        </w:rPr>
        <w:t xml:space="preserve"> – Maiores produtoras de lubrificantes automotivos e suas respectivas </w:t>
      </w:r>
      <w:r w:rsidR="00194272" w:rsidRPr="00194272">
        <w:rPr>
          <w:rFonts w:ascii="Times New Roman" w:hAnsi="Times New Roman"/>
          <w:sz w:val="24"/>
          <w:szCs w:val="24"/>
          <w:lang w:eastAsia="pt-BR"/>
        </w:rPr>
        <w:t>participações no mercado em 2011.</w:t>
      </w:r>
    </w:p>
    <w:tbl>
      <w:tblPr>
        <w:tblW w:w="8935" w:type="dxa"/>
        <w:jc w:val="center"/>
        <w:tblInd w:w="57" w:type="dxa"/>
        <w:tblCellMar>
          <w:left w:w="70" w:type="dxa"/>
          <w:right w:w="70" w:type="dxa"/>
        </w:tblCellMar>
        <w:tblLook w:val="00A0"/>
      </w:tblPr>
      <w:tblGrid>
        <w:gridCol w:w="5220"/>
        <w:gridCol w:w="1984"/>
        <w:gridCol w:w="1731"/>
      </w:tblGrid>
      <w:tr w:rsidR="00652C43" w:rsidRPr="00413879" w:rsidTr="004619DC">
        <w:trPr>
          <w:trHeight w:val="825"/>
          <w:jc w:val="center"/>
        </w:trPr>
        <w:tc>
          <w:tcPr>
            <w:tcW w:w="5220" w:type="dxa"/>
            <w:tcBorders>
              <w:top w:val="single" w:sz="4" w:space="0" w:color="auto"/>
              <w:left w:val="single" w:sz="4" w:space="0" w:color="auto"/>
              <w:bottom w:val="single" w:sz="4" w:space="0" w:color="auto"/>
              <w:right w:val="single" w:sz="4" w:space="0" w:color="auto"/>
            </w:tcBorders>
            <w:noWrap/>
            <w:vAlign w:val="center"/>
          </w:tcPr>
          <w:p w:rsidR="00652C43" w:rsidRPr="00413879" w:rsidRDefault="00652C43" w:rsidP="00A85606">
            <w:pPr>
              <w:spacing w:after="0" w:line="240" w:lineRule="auto"/>
              <w:jc w:val="center"/>
              <w:rPr>
                <w:rFonts w:ascii="Times New Roman" w:hAnsi="Times New Roman"/>
                <w:b/>
                <w:bCs/>
                <w:color w:val="000000"/>
                <w:lang w:eastAsia="pt-BR"/>
              </w:rPr>
            </w:pPr>
            <w:r w:rsidRPr="00413879">
              <w:rPr>
                <w:rFonts w:ascii="Times New Roman" w:hAnsi="Times New Roman"/>
                <w:b/>
                <w:bCs/>
                <w:color w:val="000000"/>
                <w:vertAlign w:val="superscript"/>
                <w:lang w:eastAsia="pt-BR"/>
              </w:rPr>
              <w:t xml:space="preserve">a </w:t>
            </w:r>
            <w:r w:rsidRPr="00413879">
              <w:rPr>
                <w:rFonts w:ascii="Times New Roman" w:hAnsi="Times New Roman"/>
                <w:b/>
                <w:bCs/>
                <w:color w:val="000000"/>
                <w:lang w:eastAsia="pt-BR"/>
              </w:rPr>
              <w:t>Empresa</w:t>
            </w:r>
          </w:p>
        </w:tc>
        <w:tc>
          <w:tcPr>
            <w:tcW w:w="1984" w:type="dxa"/>
            <w:tcBorders>
              <w:top w:val="single" w:sz="4" w:space="0" w:color="auto"/>
              <w:left w:val="single" w:sz="4" w:space="0" w:color="auto"/>
              <w:bottom w:val="single" w:sz="4" w:space="0" w:color="auto"/>
              <w:right w:val="single" w:sz="4" w:space="0" w:color="auto"/>
            </w:tcBorders>
            <w:vAlign w:val="center"/>
          </w:tcPr>
          <w:p w:rsidR="00652C43" w:rsidRPr="00413879" w:rsidRDefault="00194272" w:rsidP="004619DC">
            <w:pPr>
              <w:spacing w:after="0" w:line="240" w:lineRule="auto"/>
              <w:ind w:hanging="5"/>
              <w:jc w:val="center"/>
              <w:rPr>
                <w:rFonts w:ascii="Times New Roman" w:hAnsi="Times New Roman"/>
                <w:b/>
                <w:bCs/>
                <w:color w:val="000000"/>
                <w:lang w:eastAsia="pt-BR"/>
              </w:rPr>
            </w:pPr>
            <w:r>
              <w:rPr>
                <w:rFonts w:ascii="Times New Roman" w:hAnsi="Times New Roman"/>
                <w:b/>
                <w:bCs/>
                <w:color w:val="000000"/>
                <w:vertAlign w:val="superscript"/>
                <w:lang w:eastAsia="pt-BR"/>
              </w:rPr>
              <w:t xml:space="preserve">b </w:t>
            </w:r>
            <w:r w:rsidRPr="00194272">
              <w:rPr>
                <w:rFonts w:ascii="Times New Roman" w:hAnsi="Times New Roman"/>
                <w:b/>
                <w:bCs/>
                <w:color w:val="000000"/>
                <w:lang w:eastAsia="pt-BR"/>
              </w:rPr>
              <w:t>Volume Comercializado, L</w:t>
            </w:r>
          </w:p>
        </w:tc>
        <w:tc>
          <w:tcPr>
            <w:tcW w:w="1731" w:type="dxa"/>
            <w:tcBorders>
              <w:top w:val="single" w:sz="4" w:space="0" w:color="auto"/>
              <w:left w:val="single" w:sz="4" w:space="0" w:color="auto"/>
              <w:bottom w:val="single" w:sz="4" w:space="0" w:color="auto"/>
              <w:right w:val="single" w:sz="4" w:space="0" w:color="auto"/>
            </w:tcBorders>
            <w:vAlign w:val="center"/>
          </w:tcPr>
          <w:p w:rsidR="00652C43" w:rsidRPr="00413879" w:rsidRDefault="00194272" w:rsidP="00B2474A">
            <w:pPr>
              <w:spacing w:after="0" w:line="240" w:lineRule="auto"/>
              <w:jc w:val="center"/>
              <w:rPr>
                <w:rFonts w:ascii="Times New Roman" w:hAnsi="Times New Roman"/>
                <w:b/>
                <w:bCs/>
                <w:color w:val="000000"/>
                <w:lang w:eastAsia="pt-BR"/>
              </w:rPr>
            </w:pPr>
            <w:r w:rsidRPr="00194272">
              <w:rPr>
                <w:rFonts w:ascii="Times New Roman" w:hAnsi="Times New Roman"/>
                <w:b/>
                <w:bCs/>
                <w:color w:val="000000"/>
                <w:lang w:eastAsia="pt-BR"/>
              </w:rPr>
              <w:t>Participação no mercado, %</w:t>
            </w:r>
          </w:p>
        </w:tc>
      </w:tr>
      <w:tr w:rsidR="00652C43" w:rsidRPr="00413879" w:rsidTr="004619DC">
        <w:trPr>
          <w:trHeight w:val="300"/>
          <w:jc w:val="center"/>
        </w:trPr>
        <w:tc>
          <w:tcPr>
            <w:tcW w:w="5220" w:type="dxa"/>
            <w:tcBorders>
              <w:top w:val="single" w:sz="4" w:space="0" w:color="auto"/>
              <w:left w:val="single" w:sz="4" w:space="0" w:color="auto"/>
              <w:right w:val="single" w:sz="4" w:space="0" w:color="auto"/>
            </w:tcBorders>
            <w:noWrap/>
            <w:vAlign w:val="center"/>
          </w:tcPr>
          <w:p w:rsidR="00652C43" w:rsidRPr="00413879" w:rsidRDefault="00194272" w:rsidP="00B2474A">
            <w:pPr>
              <w:spacing w:after="0" w:line="240" w:lineRule="auto"/>
              <w:ind w:firstLine="9"/>
              <w:rPr>
                <w:rFonts w:ascii="Times New Roman" w:hAnsi="Times New Roman"/>
                <w:color w:val="000000"/>
                <w:lang w:eastAsia="pt-BR"/>
              </w:rPr>
            </w:pPr>
            <w:r w:rsidRPr="00194272">
              <w:rPr>
                <w:rFonts w:ascii="Times New Roman" w:hAnsi="Times New Roman"/>
                <w:color w:val="000000"/>
                <w:lang w:eastAsia="pt-BR"/>
              </w:rPr>
              <w:t>PETROBRAS DISTRIBUIDORA S.A.</w:t>
            </w:r>
          </w:p>
        </w:tc>
        <w:tc>
          <w:tcPr>
            <w:tcW w:w="1984" w:type="dxa"/>
            <w:tcBorders>
              <w:top w:val="single" w:sz="4" w:space="0" w:color="auto"/>
              <w:left w:val="single" w:sz="4" w:space="0" w:color="auto"/>
              <w:right w:val="single" w:sz="4" w:space="0" w:color="auto"/>
            </w:tcBorders>
            <w:noWrap/>
            <w:vAlign w:val="center"/>
          </w:tcPr>
          <w:p w:rsidR="00652C43" w:rsidRPr="00413879" w:rsidRDefault="00194272" w:rsidP="00B2474A">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280.232.183</w:t>
            </w:r>
          </w:p>
        </w:tc>
        <w:tc>
          <w:tcPr>
            <w:tcW w:w="1731" w:type="dxa"/>
            <w:tcBorders>
              <w:top w:val="single" w:sz="4" w:space="0" w:color="auto"/>
              <w:left w:val="single" w:sz="4" w:space="0" w:color="auto"/>
              <w:right w:val="single" w:sz="4" w:space="0" w:color="auto"/>
            </w:tcBorders>
            <w:noWrap/>
            <w:vAlign w:val="center"/>
          </w:tcPr>
          <w:p w:rsidR="00652C43" w:rsidRPr="00413879" w:rsidRDefault="00194272" w:rsidP="004619DC">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19,9</w:t>
            </w:r>
          </w:p>
        </w:tc>
      </w:tr>
      <w:tr w:rsidR="00652C43" w:rsidRPr="00413879" w:rsidTr="004619DC">
        <w:trPr>
          <w:trHeight w:val="300"/>
          <w:jc w:val="center"/>
        </w:trPr>
        <w:tc>
          <w:tcPr>
            <w:tcW w:w="5220" w:type="dxa"/>
            <w:tcBorders>
              <w:left w:val="single" w:sz="4" w:space="0" w:color="auto"/>
              <w:right w:val="single" w:sz="4" w:space="0" w:color="auto"/>
            </w:tcBorders>
            <w:noWrap/>
            <w:vAlign w:val="center"/>
          </w:tcPr>
          <w:p w:rsidR="00652C43" w:rsidRPr="00413879" w:rsidRDefault="00194272" w:rsidP="00B2474A">
            <w:pPr>
              <w:spacing w:after="0" w:line="240" w:lineRule="auto"/>
              <w:ind w:firstLine="9"/>
              <w:rPr>
                <w:rFonts w:ascii="Times New Roman" w:hAnsi="Times New Roman"/>
                <w:color w:val="000000"/>
                <w:lang w:eastAsia="pt-BR"/>
              </w:rPr>
            </w:pPr>
            <w:r w:rsidRPr="00194272">
              <w:rPr>
                <w:rFonts w:ascii="Times New Roman" w:hAnsi="Times New Roman"/>
                <w:color w:val="000000"/>
                <w:lang w:eastAsia="pt-BR"/>
              </w:rPr>
              <w:t>COSAN LUBRIFICANTES E ESPECIALIDADES S.A.</w:t>
            </w:r>
          </w:p>
        </w:tc>
        <w:tc>
          <w:tcPr>
            <w:tcW w:w="1984" w:type="dxa"/>
            <w:tcBorders>
              <w:left w:val="single" w:sz="4" w:space="0" w:color="auto"/>
              <w:right w:val="single" w:sz="4" w:space="0" w:color="auto"/>
            </w:tcBorders>
            <w:noWrap/>
            <w:vAlign w:val="center"/>
          </w:tcPr>
          <w:p w:rsidR="00652C43" w:rsidRPr="00413879" w:rsidRDefault="00194272" w:rsidP="00B2474A">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193.241.348</w:t>
            </w:r>
          </w:p>
        </w:tc>
        <w:tc>
          <w:tcPr>
            <w:tcW w:w="1731" w:type="dxa"/>
            <w:tcBorders>
              <w:left w:val="single" w:sz="4" w:space="0" w:color="auto"/>
              <w:right w:val="single" w:sz="4" w:space="0" w:color="auto"/>
            </w:tcBorders>
            <w:noWrap/>
            <w:vAlign w:val="center"/>
          </w:tcPr>
          <w:p w:rsidR="00652C43" w:rsidRPr="00413879" w:rsidRDefault="00194272" w:rsidP="004619DC">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13,7</w:t>
            </w:r>
          </w:p>
        </w:tc>
      </w:tr>
      <w:tr w:rsidR="00652C43" w:rsidRPr="00413879" w:rsidTr="004619DC">
        <w:trPr>
          <w:trHeight w:val="300"/>
          <w:jc w:val="center"/>
        </w:trPr>
        <w:tc>
          <w:tcPr>
            <w:tcW w:w="5220" w:type="dxa"/>
            <w:tcBorders>
              <w:left w:val="single" w:sz="4" w:space="0" w:color="auto"/>
              <w:right w:val="single" w:sz="4" w:space="0" w:color="auto"/>
            </w:tcBorders>
            <w:noWrap/>
            <w:vAlign w:val="center"/>
          </w:tcPr>
          <w:p w:rsidR="00652C43" w:rsidRPr="00413879" w:rsidRDefault="00194272" w:rsidP="00B2474A">
            <w:pPr>
              <w:spacing w:after="0" w:line="240" w:lineRule="auto"/>
              <w:ind w:firstLine="9"/>
              <w:rPr>
                <w:rFonts w:ascii="Times New Roman" w:hAnsi="Times New Roman"/>
                <w:color w:val="000000"/>
                <w:lang w:eastAsia="pt-BR"/>
              </w:rPr>
            </w:pPr>
            <w:r w:rsidRPr="00194272">
              <w:rPr>
                <w:rFonts w:ascii="Times New Roman" w:hAnsi="Times New Roman"/>
                <w:color w:val="000000"/>
                <w:lang w:eastAsia="pt-BR"/>
              </w:rPr>
              <w:t>IPIRANGA PRODUTOS DE PETRÓLEO S.A.</w:t>
            </w:r>
          </w:p>
        </w:tc>
        <w:tc>
          <w:tcPr>
            <w:tcW w:w="1984" w:type="dxa"/>
            <w:tcBorders>
              <w:left w:val="single" w:sz="4" w:space="0" w:color="auto"/>
              <w:right w:val="single" w:sz="4" w:space="0" w:color="auto"/>
            </w:tcBorders>
            <w:noWrap/>
            <w:vAlign w:val="center"/>
          </w:tcPr>
          <w:p w:rsidR="00652C43" w:rsidRPr="00413879" w:rsidRDefault="00194272" w:rsidP="00B2474A">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171.983.906</w:t>
            </w:r>
          </w:p>
        </w:tc>
        <w:tc>
          <w:tcPr>
            <w:tcW w:w="1731" w:type="dxa"/>
            <w:tcBorders>
              <w:left w:val="single" w:sz="4" w:space="0" w:color="auto"/>
              <w:right w:val="single" w:sz="4" w:space="0" w:color="auto"/>
            </w:tcBorders>
            <w:noWrap/>
            <w:vAlign w:val="center"/>
          </w:tcPr>
          <w:p w:rsidR="00652C43" w:rsidRPr="00413879" w:rsidRDefault="00194272" w:rsidP="004619DC">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12,2</w:t>
            </w:r>
          </w:p>
        </w:tc>
      </w:tr>
      <w:tr w:rsidR="00652C43" w:rsidRPr="00413879" w:rsidTr="004619DC">
        <w:trPr>
          <w:trHeight w:val="300"/>
          <w:jc w:val="center"/>
        </w:trPr>
        <w:tc>
          <w:tcPr>
            <w:tcW w:w="5220" w:type="dxa"/>
            <w:tcBorders>
              <w:left w:val="single" w:sz="4" w:space="0" w:color="auto"/>
              <w:right w:val="single" w:sz="4" w:space="0" w:color="auto"/>
            </w:tcBorders>
            <w:noWrap/>
            <w:vAlign w:val="center"/>
          </w:tcPr>
          <w:p w:rsidR="00652C43" w:rsidRPr="00413879" w:rsidRDefault="00194272" w:rsidP="00B2474A">
            <w:pPr>
              <w:spacing w:after="0" w:line="240" w:lineRule="auto"/>
              <w:ind w:firstLine="9"/>
              <w:rPr>
                <w:rFonts w:ascii="Times New Roman" w:hAnsi="Times New Roman"/>
                <w:color w:val="000000"/>
                <w:lang w:eastAsia="pt-BR"/>
              </w:rPr>
            </w:pPr>
            <w:r w:rsidRPr="00194272">
              <w:rPr>
                <w:rFonts w:ascii="Times New Roman" w:hAnsi="Times New Roman"/>
                <w:color w:val="000000"/>
                <w:lang w:eastAsia="pt-BR"/>
              </w:rPr>
              <w:t>CHEVRON BRASIL LUBRIFICANTES LTDA.</w:t>
            </w:r>
          </w:p>
        </w:tc>
        <w:tc>
          <w:tcPr>
            <w:tcW w:w="1984" w:type="dxa"/>
            <w:tcBorders>
              <w:left w:val="single" w:sz="4" w:space="0" w:color="auto"/>
              <w:right w:val="single" w:sz="4" w:space="0" w:color="auto"/>
            </w:tcBorders>
            <w:noWrap/>
            <w:vAlign w:val="center"/>
          </w:tcPr>
          <w:p w:rsidR="00652C43" w:rsidRPr="00413879" w:rsidRDefault="00194272" w:rsidP="00B2474A">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167.160.795</w:t>
            </w:r>
          </w:p>
        </w:tc>
        <w:tc>
          <w:tcPr>
            <w:tcW w:w="1731" w:type="dxa"/>
            <w:tcBorders>
              <w:left w:val="single" w:sz="4" w:space="0" w:color="auto"/>
              <w:right w:val="single" w:sz="4" w:space="0" w:color="auto"/>
            </w:tcBorders>
            <w:noWrap/>
            <w:vAlign w:val="center"/>
          </w:tcPr>
          <w:p w:rsidR="00652C43" w:rsidRPr="00413879" w:rsidRDefault="00194272" w:rsidP="004619DC">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11,9</w:t>
            </w:r>
          </w:p>
        </w:tc>
      </w:tr>
      <w:tr w:rsidR="00652C43" w:rsidRPr="00413879" w:rsidTr="004619DC">
        <w:trPr>
          <w:trHeight w:val="300"/>
          <w:jc w:val="center"/>
        </w:trPr>
        <w:tc>
          <w:tcPr>
            <w:tcW w:w="5220" w:type="dxa"/>
            <w:tcBorders>
              <w:left w:val="single" w:sz="4" w:space="0" w:color="auto"/>
              <w:right w:val="single" w:sz="4" w:space="0" w:color="auto"/>
            </w:tcBorders>
            <w:noWrap/>
            <w:vAlign w:val="center"/>
          </w:tcPr>
          <w:p w:rsidR="00652C43" w:rsidRPr="00413879" w:rsidRDefault="00194272" w:rsidP="00B2474A">
            <w:pPr>
              <w:spacing w:after="0" w:line="240" w:lineRule="auto"/>
              <w:ind w:firstLine="9"/>
              <w:rPr>
                <w:rFonts w:ascii="Times New Roman" w:hAnsi="Times New Roman"/>
                <w:color w:val="000000"/>
                <w:lang w:eastAsia="pt-BR"/>
              </w:rPr>
            </w:pPr>
            <w:r w:rsidRPr="00194272">
              <w:rPr>
                <w:rFonts w:ascii="Times New Roman" w:hAnsi="Times New Roman"/>
                <w:color w:val="000000"/>
                <w:lang w:eastAsia="pt-BR"/>
              </w:rPr>
              <w:t>SHELL BRASIL LTDA.</w:t>
            </w:r>
          </w:p>
        </w:tc>
        <w:tc>
          <w:tcPr>
            <w:tcW w:w="1984" w:type="dxa"/>
            <w:tcBorders>
              <w:left w:val="single" w:sz="4" w:space="0" w:color="auto"/>
              <w:right w:val="single" w:sz="4" w:space="0" w:color="auto"/>
            </w:tcBorders>
            <w:noWrap/>
            <w:vAlign w:val="center"/>
          </w:tcPr>
          <w:p w:rsidR="00652C43" w:rsidRPr="00413879" w:rsidRDefault="00194272" w:rsidP="00B2474A">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152.299.927</w:t>
            </w:r>
          </w:p>
        </w:tc>
        <w:tc>
          <w:tcPr>
            <w:tcW w:w="1731" w:type="dxa"/>
            <w:tcBorders>
              <w:left w:val="single" w:sz="4" w:space="0" w:color="auto"/>
              <w:right w:val="single" w:sz="4" w:space="0" w:color="auto"/>
            </w:tcBorders>
            <w:noWrap/>
            <w:vAlign w:val="center"/>
          </w:tcPr>
          <w:p w:rsidR="00652C43" w:rsidRPr="00413879" w:rsidRDefault="00194272" w:rsidP="004619DC">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10,8</w:t>
            </w:r>
          </w:p>
        </w:tc>
      </w:tr>
      <w:tr w:rsidR="00652C43" w:rsidRPr="00413879" w:rsidTr="004619DC">
        <w:trPr>
          <w:trHeight w:val="300"/>
          <w:jc w:val="center"/>
        </w:trPr>
        <w:tc>
          <w:tcPr>
            <w:tcW w:w="5220" w:type="dxa"/>
            <w:tcBorders>
              <w:left w:val="single" w:sz="4" w:space="0" w:color="auto"/>
              <w:right w:val="single" w:sz="4" w:space="0" w:color="auto"/>
            </w:tcBorders>
            <w:noWrap/>
            <w:vAlign w:val="center"/>
          </w:tcPr>
          <w:p w:rsidR="00652C43" w:rsidRPr="00413879" w:rsidRDefault="00194272" w:rsidP="00B2474A">
            <w:pPr>
              <w:spacing w:after="0" w:line="240" w:lineRule="auto"/>
              <w:ind w:firstLine="9"/>
              <w:rPr>
                <w:rFonts w:ascii="Times New Roman" w:hAnsi="Times New Roman"/>
                <w:color w:val="000000"/>
                <w:lang w:eastAsia="pt-BR"/>
              </w:rPr>
            </w:pPr>
            <w:r w:rsidRPr="00194272">
              <w:rPr>
                <w:rFonts w:ascii="Times New Roman" w:hAnsi="Times New Roman"/>
                <w:color w:val="000000"/>
                <w:lang w:eastAsia="pt-BR"/>
              </w:rPr>
              <w:t>PETRONAS LUBRIFICANTES S.A.</w:t>
            </w:r>
          </w:p>
        </w:tc>
        <w:tc>
          <w:tcPr>
            <w:tcW w:w="1984" w:type="dxa"/>
            <w:tcBorders>
              <w:left w:val="single" w:sz="4" w:space="0" w:color="auto"/>
              <w:right w:val="single" w:sz="4" w:space="0" w:color="auto"/>
            </w:tcBorders>
            <w:noWrap/>
            <w:vAlign w:val="center"/>
          </w:tcPr>
          <w:p w:rsidR="00652C43" w:rsidRPr="00413879" w:rsidRDefault="00194272" w:rsidP="00B2474A">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87.927.215</w:t>
            </w:r>
          </w:p>
        </w:tc>
        <w:tc>
          <w:tcPr>
            <w:tcW w:w="1731" w:type="dxa"/>
            <w:tcBorders>
              <w:left w:val="single" w:sz="4" w:space="0" w:color="auto"/>
              <w:right w:val="single" w:sz="4" w:space="0" w:color="auto"/>
            </w:tcBorders>
            <w:noWrap/>
            <w:vAlign w:val="center"/>
          </w:tcPr>
          <w:p w:rsidR="00652C43" w:rsidRPr="00413879" w:rsidRDefault="00194272" w:rsidP="004619DC">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6,3</w:t>
            </w:r>
          </w:p>
        </w:tc>
      </w:tr>
      <w:tr w:rsidR="00652C43" w:rsidRPr="00413879" w:rsidTr="004619DC">
        <w:trPr>
          <w:trHeight w:val="300"/>
          <w:jc w:val="center"/>
        </w:trPr>
        <w:tc>
          <w:tcPr>
            <w:tcW w:w="5220" w:type="dxa"/>
            <w:tcBorders>
              <w:left w:val="single" w:sz="4" w:space="0" w:color="auto"/>
              <w:right w:val="single" w:sz="4" w:space="0" w:color="auto"/>
            </w:tcBorders>
            <w:noWrap/>
            <w:vAlign w:val="center"/>
          </w:tcPr>
          <w:p w:rsidR="00652C43" w:rsidRPr="00413879" w:rsidRDefault="00194272" w:rsidP="00B2474A">
            <w:pPr>
              <w:spacing w:after="0" w:line="240" w:lineRule="auto"/>
              <w:ind w:firstLine="9"/>
              <w:rPr>
                <w:rFonts w:ascii="Times New Roman" w:hAnsi="Times New Roman"/>
                <w:color w:val="000000"/>
                <w:lang w:eastAsia="pt-BR"/>
              </w:rPr>
            </w:pPr>
            <w:r w:rsidRPr="00194272">
              <w:rPr>
                <w:rFonts w:ascii="Times New Roman" w:hAnsi="Times New Roman"/>
                <w:color w:val="000000"/>
                <w:lang w:eastAsia="pt-BR"/>
              </w:rPr>
              <w:t>CASTROL BRASIL LTDA.</w:t>
            </w:r>
          </w:p>
        </w:tc>
        <w:tc>
          <w:tcPr>
            <w:tcW w:w="1984" w:type="dxa"/>
            <w:tcBorders>
              <w:left w:val="single" w:sz="4" w:space="0" w:color="auto"/>
              <w:right w:val="single" w:sz="4" w:space="0" w:color="auto"/>
            </w:tcBorders>
            <w:noWrap/>
            <w:vAlign w:val="center"/>
          </w:tcPr>
          <w:p w:rsidR="00652C43" w:rsidRPr="00413879" w:rsidRDefault="00194272" w:rsidP="00B2474A">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47.953.832</w:t>
            </w:r>
          </w:p>
        </w:tc>
        <w:tc>
          <w:tcPr>
            <w:tcW w:w="1731" w:type="dxa"/>
            <w:tcBorders>
              <w:left w:val="single" w:sz="4" w:space="0" w:color="auto"/>
              <w:right w:val="single" w:sz="4" w:space="0" w:color="auto"/>
            </w:tcBorders>
            <w:noWrap/>
            <w:vAlign w:val="center"/>
          </w:tcPr>
          <w:p w:rsidR="00652C43" w:rsidRPr="00413879" w:rsidRDefault="00194272" w:rsidP="004619DC">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3,4</w:t>
            </w:r>
          </w:p>
        </w:tc>
      </w:tr>
      <w:tr w:rsidR="00652C43" w:rsidRPr="00413879" w:rsidTr="004619DC">
        <w:trPr>
          <w:trHeight w:val="300"/>
          <w:jc w:val="center"/>
        </w:trPr>
        <w:tc>
          <w:tcPr>
            <w:tcW w:w="5220" w:type="dxa"/>
            <w:tcBorders>
              <w:left w:val="single" w:sz="4" w:space="0" w:color="auto"/>
              <w:right w:val="single" w:sz="4" w:space="0" w:color="auto"/>
            </w:tcBorders>
            <w:noWrap/>
            <w:vAlign w:val="center"/>
          </w:tcPr>
          <w:p w:rsidR="00652C43" w:rsidRPr="00413879" w:rsidRDefault="00194272" w:rsidP="00B2474A">
            <w:pPr>
              <w:spacing w:after="0" w:line="240" w:lineRule="auto"/>
              <w:ind w:firstLine="9"/>
              <w:rPr>
                <w:rFonts w:ascii="Times New Roman" w:hAnsi="Times New Roman"/>
                <w:color w:val="000000"/>
                <w:lang w:eastAsia="pt-BR"/>
              </w:rPr>
            </w:pPr>
            <w:r w:rsidRPr="00194272">
              <w:rPr>
                <w:rFonts w:ascii="Times New Roman" w:hAnsi="Times New Roman"/>
                <w:color w:val="000000"/>
                <w:lang w:eastAsia="pt-BR"/>
              </w:rPr>
              <w:t>YPF BRASIL COMÉRCIO DE DERIVADOS DE PETRÓLEO LTDA.</w:t>
            </w:r>
          </w:p>
        </w:tc>
        <w:tc>
          <w:tcPr>
            <w:tcW w:w="1984" w:type="dxa"/>
            <w:tcBorders>
              <w:left w:val="single" w:sz="4" w:space="0" w:color="auto"/>
              <w:right w:val="single" w:sz="4" w:space="0" w:color="auto"/>
            </w:tcBorders>
            <w:noWrap/>
            <w:vAlign w:val="center"/>
          </w:tcPr>
          <w:p w:rsidR="00652C43" w:rsidRPr="00413879" w:rsidRDefault="00194272" w:rsidP="00B2474A">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35.719.779</w:t>
            </w:r>
          </w:p>
        </w:tc>
        <w:tc>
          <w:tcPr>
            <w:tcW w:w="1731" w:type="dxa"/>
            <w:tcBorders>
              <w:left w:val="single" w:sz="4" w:space="0" w:color="auto"/>
              <w:right w:val="single" w:sz="4" w:space="0" w:color="auto"/>
            </w:tcBorders>
            <w:noWrap/>
            <w:vAlign w:val="center"/>
          </w:tcPr>
          <w:p w:rsidR="00652C43" w:rsidRPr="00413879" w:rsidRDefault="00194272" w:rsidP="004619DC">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2,5</w:t>
            </w:r>
          </w:p>
        </w:tc>
      </w:tr>
      <w:tr w:rsidR="00652C43" w:rsidRPr="00413879" w:rsidTr="004619DC">
        <w:trPr>
          <w:trHeight w:val="300"/>
          <w:jc w:val="center"/>
        </w:trPr>
        <w:tc>
          <w:tcPr>
            <w:tcW w:w="5220" w:type="dxa"/>
            <w:tcBorders>
              <w:left w:val="single" w:sz="4" w:space="0" w:color="auto"/>
              <w:right w:val="single" w:sz="4" w:space="0" w:color="auto"/>
            </w:tcBorders>
            <w:noWrap/>
            <w:vAlign w:val="center"/>
          </w:tcPr>
          <w:p w:rsidR="00652C43" w:rsidRPr="00413879" w:rsidRDefault="00194272" w:rsidP="00B2474A">
            <w:pPr>
              <w:spacing w:after="0" w:line="240" w:lineRule="auto"/>
              <w:ind w:firstLine="9"/>
              <w:rPr>
                <w:rFonts w:ascii="Times New Roman" w:hAnsi="Times New Roman"/>
                <w:color w:val="000000"/>
                <w:lang w:eastAsia="pt-BR"/>
              </w:rPr>
            </w:pPr>
            <w:r w:rsidRPr="00194272">
              <w:rPr>
                <w:rFonts w:ascii="Times New Roman" w:hAnsi="Times New Roman"/>
                <w:color w:val="000000"/>
                <w:lang w:eastAsia="pt-BR"/>
              </w:rPr>
              <w:t>TOTAL LUBRIFICANTES DO BRASIL LTDA.</w:t>
            </w:r>
          </w:p>
        </w:tc>
        <w:tc>
          <w:tcPr>
            <w:tcW w:w="1984" w:type="dxa"/>
            <w:tcBorders>
              <w:left w:val="single" w:sz="4" w:space="0" w:color="auto"/>
              <w:right w:val="single" w:sz="4" w:space="0" w:color="auto"/>
            </w:tcBorders>
            <w:noWrap/>
            <w:vAlign w:val="center"/>
          </w:tcPr>
          <w:p w:rsidR="00652C43" w:rsidRPr="00413879" w:rsidRDefault="00194272" w:rsidP="00B2474A">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26.710.620</w:t>
            </w:r>
          </w:p>
        </w:tc>
        <w:tc>
          <w:tcPr>
            <w:tcW w:w="1731" w:type="dxa"/>
            <w:tcBorders>
              <w:left w:val="single" w:sz="4" w:space="0" w:color="auto"/>
              <w:right w:val="single" w:sz="4" w:space="0" w:color="auto"/>
            </w:tcBorders>
            <w:noWrap/>
            <w:vAlign w:val="center"/>
          </w:tcPr>
          <w:p w:rsidR="00652C43" w:rsidRPr="00413879" w:rsidRDefault="00194272" w:rsidP="004619DC">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1,9</w:t>
            </w:r>
          </w:p>
        </w:tc>
      </w:tr>
      <w:tr w:rsidR="00652C43" w:rsidRPr="00413879" w:rsidTr="004619DC">
        <w:trPr>
          <w:trHeight w:val="300"/>
          <w:jc w:val="center"/>
        </w:trPr>
        <w:tc>
          <w:tcPr>
            <w:tcW w:w="5220" w:type="dxa"/>
            <w:tcBorders>
              <w:left w:val="single" w:sz="4" w:space="0" w:color="auto"/>
              <w:bottom w:val="single" w:sz="4" w:space="0" w:color="auto"/>
              <w:right w:val="single" w:sz="4" w:space="0" w:color="auto"/>
            </w:tcBorders>
            <w:noWrap/>
            <w:vAlign w:val="center"/>
          </w:tcPr>
          <w:p w:rsidR="00652C43" w:rsidRPr="00413879" w:rsidRDefault="00194272" w:rsidP="00B2474A">
            <w:pPr>
              <w:spacing w:after="0" w:line="240" w:lineRule="auto"/>
              <w:ind w:firstLine="9"/>
              <w:rPr>
                <w:rFonts w:ascii="Times New Roman" w:hAnsi="Times New Roman"/>
                <w:color w:val="000000"/>
                <w:lang w:eastAsia="pt-BR"/>
              </w:rPr>
            </w:pPr>
            <w:r w:rsidRPr="00194272">
              <w:rPr>
                <w:rFonts w:ascii="Times New Roman" w:hAnsi="Times New Roman"/>
                <w:color w:val="000000"/>
                <w:lang w:eastAsia="pt-BR"/>
              </w:rPr>
              <w:t>INGRAX INDÚSTRIA E COMÉRCIO DE GRAXAS LTDA.</w:t>
            </w:r>
            <w:r>
              <w:rPr>
                <w:rFonts w:ascii="Times New Roman" w:hAnsi="Times New Roman"/>
                <w:b/>
                <w:color w:val="000000"/>
                <w:vertAlign w:val="superscript"/>
                <w:lang w:eastAsia="pt-BR"/>
              </w:rPr>
              <w:t>C</w:t>
            </w:r>
          </w:p>
        </w:tc>
        <w:tc>
          <w:tcPr>
            <w:tcW w:w="1984" w:type="dxa"/>
            <w:tcBorders>
              <w:left w:val="single" w:sz="4" w:space="0" w:color="auto"/>
              <w:bottom w:val="single" w:sz="4" w:space="0" w:color="auto"/>
              <w:right w:val="single" w:sz="4" w:space="0" w:color="auto"/>
            </w:tcBorders>
            <w:noWrap/>
            <w:vAlign w:val="center"/>
          </w:tcPr>
          <w:p w:rsidR="00652C43" w:rsidRPr="00413879" w:rsidRDefault="00194272" w:rsidP="00B2474A">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18.924.176</w:t>
            </w:r>
          </w:p>
        </w:tc>
        <w:tc>
          <w:tcPr>
            <w:tcW w:w="1731" w:type="dxa"/>
            <w:tcBorders>
              <w:left w:val="single" w:sz="4" w:space="0" w:color="auto"/>
              <w:bottom w:val="single" w:sz="4" w:space="0" w:color="auto"/>
              <w:right w:val="single" w:sz="4" w:space="0" w:color="auto"/>
            </w:tcBorders>
            <w:noWrap/>
            <w:vAlign w:val="center"/>
          </w:tcPr>
          <w:p w:rsidR="00652C43" w:rsidRPr="00413879" w:rsidRDefault="00194272" w:rsidP="004619DC">
            <w:pPr>
              <w:spacing w:after="0" w:line="240" w:lineRule="auto"/>
              <w:jc w:val="center"/>
              <w:rPr>
                <w:rFonts w:ascii="Times New Roman" w:hAnsi="Times New Roman"/>
                <w:color w:val="000000"/>
                <w:lang w:eastAsia="pt-BR"/>
              </w:rPr>
            </w:pPr>
            <w:r w:rsidRPr="00194272">
              <w:rPr>
                <w:rFonts w:ascii="Times New Roman" w:hAnsi="Times New Roman"/>
                <w:color w:val="000000"/>
                <w:lang w:eastAsia="pt-BR"/>
              </w:rPr>
              <w:t>1,3</w:t>
            </w:r>
          </w:p>
        </w:tc>
      </w:tr>
    </w:tbl>
    <w:p w:rsidR="00652C43" w:rsidRPr="00413879" w:rsidRDefault="00194272" w:rsidP="00652C43">
      <w:pPr>
        <w:spacing w:before="120" w:after="0" w:line="240" w:lineRule="auto"/>
        <w:ind w:firstLine="567"/>
        <w:jc w:val="both"/>
        <w:rPr>
          <w:rFonts w:ascii="Times New Roman" w:hAnsi="Times New Roman"/>
          <w:sz w:val="20"/>
          <w:szCs w:val="20"/>
          <w:lang w:eastAsia="pt-BR"/>
        </w:rPr>
      </w:pPr>
      <w:r w:rsidRPr="00194272">
        <w:rPr>
          <w:rFonts w:ascii="Times New Roman" w:hAnsi="Times New Roman"/>
          <w:sz w:val="20"/>
          <w:szCs w:val="20"/>
          <w:lang w:eastAsia="pt-BR"/>
        </w:rPr>
        <w:t>Dados obtidos junto à Superintendência de Abastecimento</w:t>
      </w:r>
    </w:p>
    <w:p w:rsidR="00652C43" w:rsidRPr="00413879" w:rsidRDefault="00194272" w:rsidP="00652C43">
      <w:pPr>
        <w:spacing w:after="0" w:line="240" w:lineRule="auto"/>
        <w:ind w:firstLine="567"/>
        <w:jc w:val="both"/>
        <w:rPr>
          <w:rFonts w:ascii="Times New Roman" w:hAnsi="Times New Roman"/>
          <w:sz w:val="20"/>
          <w:szCs w:val="20"/>
          <w:lang w:eastAsia="pt-BR"/>
        </w:rPr>
      </w:pPr>
      <w:r>
        <w:rPr>
          <w:rFonts w:ascii="Times New Roman" w:hAnsi="Times New Roman"/>
          <w:sz w:val="20"/>
          <w:szCs w:val="20"/>
          <w:vertAlign w:val="superscript"/>
          <w:lang w:eastAsia="pt-BR"/>
        </w:rPr>
        <w:t>a</w:t>
      </w:r>
      <w:r w:rsidRPr="00194272">
        <w:rPr>
          <w:rFonts w:ascii="Times New Roman" w:hAnsi="Times New Roman"/>
          <w:sz w:val="20"/>
          <w:szCs w:val="20"/>
          <w:lang w:eastAsia="pt-BR"/>
        </w:rPr>
        <w:t xml:space="preserve"> Somente são mostradas as 10 maiores empresas que comercializaram lubrificantes automotivos.</w:t>
      </w:r>
    </w:p>
    <w:p w:rsidR="00652C43" w:rsidRPr="00413879" w:rsidRDefault="00194272" w:rsidP="00A85606">
      <w:pPr>
        <w:spacing w:after="0" w:line="240" w:lineRule="auto"/>
        <w:ind w:firstLine="567"/>
        <w:jc w:val="both"/>
        <w:rPr>
          <w:rFonts w:ascii="Times New Roman" w:hAnsi="Times New Roman"/>
          <w:sz w:val="20"/>
          <w:szCs w:val="20"/>
          <w:lang w:eastAsia="pt-BR"/>
        </w:rPr>
      </w:pPr>
      <w:r>
        <w:rPr>
          <w:rFonts w:ascii="Times New Roman" w:hAnsi="Times New Roman"/>
          <w:sz w:val="20"/>
          <w:szCs w:val="20"/>
          <w:vertAlign w:val="superscript"/>
          <w:lang w:eastAsia="pt-BR"/>
        </w:rPr>
        <w:t>b</w:t>
      </w:r>
      <w:r w:rsidRPr="00194272">
        <w:rPr>
          <w:rFonts w:ascii="Times New Roman" w:hAnsi="Times New Roman"/>
          <w:sz w:val="20"/>
          <w:szCs w:val="20"/>
          <w:lang w:eastAsia="pt-BR"/>
        </w:rPr>
        <w:t xml:space="preserve"> Soma de volume do total de lubrificante comercializado, compreendendo tanto óleos automotivos quanto industriais.</w:t>
      </w:r>
    </w:p>
    <w:p w:rsidR="00652C43" w:rsidRPr="00413879" w:rsidRDefault="00194272" w:rsidP="00CE643D">
      <w:pPr>
        <w:spacing w:after="360" w:line="240" w:lineRule="auto"/>
        <w:ind w:firstLine="567"/>
        <w:jc w:val="both"/>
        <w:rPr>
          <w:rFonts w:ascii="Times New Roman" w:hAnsi="Times New Roman"/>
          <w:sz w:val="20"/>
          <w:szCs w:val="20"/>
          <w:lang w:eastAsia="pt-BR"/>
        </w:rPr>
      </w:pPr>
      <w:r>
        <w:rPr>
          <w:rFonts w:ascii="Times New Roman" w:hAnsi="Times New Roman"/>
          <w:sz w:val="20"/>
          <w:szCs w:val="20"/>
          <w:vertAlign w:val="superscript"/>
          <w:lang w:eastAsia="pt-BR"/>
        </w:rPr>
        <w:t>c</w:t>
      </w:r>
      <w:r w:rsidRPr="00194272">
        <w:rPr>
          <w:rFonts w:ascii="Times New Roman" w:hAnsi="Times New Roman"/>
          <w:sz w:val="20"/>
          <w:szCs w:val="20"/>
          <w:lang w:eastAsia="pt-BR"/>
        </w:rPr>
        <w:t xml:space="preserve"> Não respondeu ao ofício do CPT.</w:t>
      </w:r>
    </w:p>
    <w:p w:rsidR="00652C43" w:rsidRPr="00413879" w:rsidRDefault="00652C43"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Considerando a representatividade dos dados informados pelas empresas que possuem 88,9</w:t>
      </w:r>
      <w:r w:rsidR="00233FA1" w:rsidRPr="00413879">
        <w:rPr>
          <w:rFonts w:ascii="Times New Roman" w:hAnsi="Times New Roman"/>
          <w:sz w:val="24"/>
          <w:szCs w:val="24"/>
          <w:lang w:val="pt-BR"/>
        </w:rPr>
        <w:t xml:space="preserve"> </w:t>
      </w:r>
      <w:r w:rsidRPr="00413879">
        <w:rPr>
          <w:rFonts w:ascii="Times New Roman" w:hAnsi="Times New Roman"/>
          <w:sz w:val="24"/>
          <w:szCs w:val="24"/>
          <w:lang w:val="pt-BR"/>
        </w:rPr>
        <w:t xml:space="preserve">% da participação do mercado nacional, </w:t>
      </w:r>
      <w:r w:rsidR="00370B0A" w:rsidRPr="00413879">
        <w:rPr>
          <w:rFonts w:ascii="Times New Roman" w:hAnsi="Times New Roman"/>
          <w:sz w:val="24"/>
          <w:szCs w:val="24"/>
          <w:lang w:val="pt-BR"/>
        </w:rPr>
        <w:t>foram compilados</w:t>
      </w:r>
      <w:r w:rsidRPr="00413879">
        <w:rPr>
          <w:rFonts w:ascii="Times New Roman" w:hAnsi="Times New Roman"/>
          <w:sz w:val="24"/>
          <w:szCs w:val="24"/>
          <w:lang w:val="pt-BR"/>
        </w:rPr>
        <w:t xml:space="preserve"> os dados de comercialização de lubrificantes automotivos para se avaliar o volume anual comercializado </w:t>
      </w:r>
      <w:r w:rsidR="00BC7A5F" w:rsidRPr="00413879">
        <w:rPr>
          <w:rFonts w:ascii="Times New Roman" w:hAnsi="Times New Roman"/>
          <w:sz w:val="24"/>
          <w:szCs w:val="24"/>
          <w:lang w:val="pt-BR"/>
        </w:rPr>
        <w:t xml:space="preserve">para </w:t>
      </w:r>
      <w:r w:rsidRPr="00413879">
        <w:rPr>
          <w:rFonts w:ascii="Times New Roman" w:hAnsi="Times New Roman"/>
          <w:sz w:val="24"/>
          <w:szCs w:val="24"/>
          <w:lang w:val="pt-BR"/>
        </w:rPr>
        <w:t>cada tipo de nível de desempenho.</w:t>
      </w:r>
    </w:p>
    <w:p w:rsidR="00652C43" w:rsidRPr="00413879" w:rsidRDefault="00652C43"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Cabe ressaltar que o universo dos dados trabalhados no presente relatório é relativo apenas a lubrificantes para uso em motor automotivo, objeto de nosso estudo, que somaram 642 milhões de litros comercializados no país em 2011.</w:t>
      </w:r>
    </w:p>
    <w:p w:rsidR="00652C43" w:rsidRPr="00413879" w:rsidRDefault="00652C43"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 xml:space="preserve">Na Figura </w:t>
      </w:r>
      <w:r w:rsidR="00370B0A" w:rsidRPr="00413879">
        <w:rPr>
          <w:rFonts w:ascii="Times New Roman" w:hAnsi="Times New Roman"/>
          <w:sz w:val="24"/>
          <w:szCs w:val="24"/>
          <w:lang w:val="pt-BR"/>
        </w:rPr>
        <w:t>3</w:t>
      </w:r>
      <w:r w:rsidR="00EF1BDC" w:rsidRPr="00413879">
        <w:rPr>
          <w:rFonts w:ascii="Times New Roman" w:hAnsi="Times New Roman"/>
          <w:sz w:val="24"/>
          <w:szCs w:val="24"/>
          <w:lang w:val="pt-BR"/>
        </w:rPr>
        <w:t>,</w:t>
      </w:r>
      <w:r w:rsidRPr="00413879">
        <w:rPr>
          <w:rFonts w:ascii="Times New Roman" w:hAnsi="Times New Roman"/>
          <w:sz w:val="24"/>
          <w:szCs w:val="24"/>
          <w:lang w:val="pt-BR"/>
        </w:rPr>
        <w:t xml:space="preserve"> pode-se verificar que o grupo de maior volume foi o multiuso</w:t>
      </w:r>
      <w:r w:rsidR="004619DC" w:rsidRPr="00413879">
        <w:rPr>
          <w:rStyle w:val="Refdenotaderodap"/>
          <w:rFonts w:ascii="Times New Roman" w:hAnsi="Times New Roman"/>
          <w:sz w:val="24"/>
          <w:szCs w:val="24"/>
          <w:lang w:val="pt-BR"/>
        </w:rPr>
        <w:footnoteReference w:id="10"/>
      </w:r>
      <w:r w:rsidRPr="00413879">
        <w:rPr>
          <w:rFonts w:ascii="Times New Roman" w:hAnsi="Times New Roman"/>
          <w:sz w:val="24"/>
          <w:szCs w:val="24"/>
          <w:lang w:val="pt-BR"/>
        </w:rPr>
        <w:t>, com cerca de 201 milhões de litros vendidos, correspondendo a 31,4% do mercado. Após os óleos multiuso, os dois níveis de desempenho seguintes em volume são níveis intermediários para motores de ciclo Otto (SL e SJ).</w:t>
      </w:r>
    </w:p>
    <w:p w:rsidR="00652C43" w:rsidRPr="00413879" w:rsidRDefault="00FB516F" w:rsidP="004C7321">
      <w:pPr>
        <w:spacing w:before="120" w:after="120" w:line="360" w:lineRule="auto"/>
        <w:jc w:val="center"/>
        <w:rPr>
          <w:rFonts w:ascii="Times New Roman" w:hAnsi="Times New Roman"/>
          <w:sz w:val="24"/>
          <w:szCs w:val="24"/>
        </w:rPr>
      </w:pPr>
      <w:r w:rsidRPr="00413879">
        <w:rPr>
          <w:rFonts w:ascii="Times New Roman" w:hAnsi="Times New Roman"/>
          <w:noProof/>
          <w:sz w:val="24"/>
          <w:szCs w:val="24"/>
          <w:lang w:eastAsia="pt-BR"/>
        </w:rPr>
        <w:lastRenderedPageBreak/>
        <w:drawing>
          <wp:inline distT="0" distB="0" distL="0" distR="0">
            <wp:extent cx="4320000" cy="2878373"/>
            <wp:effectExtent l="19050" t="0" r="2340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52C43" w:rsidRPr="00413879" w:rsidRDefault="00194272" w:rsidP="00797327">
      <w:pPr>
        <w:spacing w:after="360" w:line="240" w:lineRule="auto"/>
        <w:ind w:firstLine="567"/>
        <w:jc w:val="center"/>
        <w:rPr>
          <w:rFonts w:ascii="Times New Roman" w:hAnsi="Times New Roman"/>
        </w:rPr>
      </w:pPr>
      <w:r w:rsidRPr="00194272">
        <w:rPr>
          <w:rFonts w:ascii="Times New Roman" w:hAnsi="Times New Roman"/>
          <w:b/>
        </w:rPr>
        <w:t>Figura 3</w:t>
      </w:r>
      <w:r w:rsidRPr="00194272">
        <w:rPr>
          <w:rFonts w:ascii="Times New Roman" w:hAnsi="Times New Roman"/>
        </w:rPr>
        <w:t xml:space="preserve"> – Distribuição de todos os níveis de desempenho, por volume comercializado em 2011.</w:t>
      </w:r>
    </w:p>
    <w:p w:rsidR="00652C43" w:rsidRPr="00413879" w:rsidRDefault="00652C43" w:rsidP="00797327">
      <w:pPr>
        <w:pStyle w:val="PargrafodaLista"/>
        <w:spacing w:before="120" w:after="36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Em s</w:t>
      </w:r>
      <w:r w:rsidR="008174E8" w:rsidRPr="00413879">
        <w:rPr>
          <w:rFonts w:ascii="Times New Roman" w:hAnsi="Times New Roman"/>
          <w:sz w:val="24"/>
          <w:szCs w:val="24"/>
          <w:lang w:val="pt-BR"/>
        </w:rPr>
        <w:t>eguida, apresentamos na Figura 4</w:t>
      </w:r>
      <w:r w:rsidRPr="00413879">
        <w:rPr>
          <w:rFonts w:ascii="Times New Roman" w:hAnsi="Times New Roman"/>
          <w:sz w:val="24"/>
          <w:szCs w:val="24"/>
          <w:lang w:val="pt-BR"/>
        </w:rPr>
        <w:t xml:space="preserve"> o grupo dos multiusos desmembrado, em que o API SL/CI-4 foi responsável por 56</w:t>
      </w:r>
      <w:r w:rsidR="00C543A1" w:rsidRPr="00413879">
        <w:rPr>
          <w:rFonts w:ascii="Times New Roman" w:hAnsi="Times New Roman"/>
          <w:sz w:val="24"/>
          <w:szCs w:val="24"/>
          <w:lang w:val="pt-BR"/>
        </w:rPr>
        <w:t xml:space="preserve"> </w:t>
      </w:r>
      <w:r w:rsidRPr="00413879">
        <w:rPr>
          <w:rFonts w:ascii="Times New Roman" w:hAnsi="Times New Roman"/>
          <w:sz w:val="24"/>
          <w:szCs w:val="24"/>
          <w:lang w:val="pt-BR"/>
        </w:rPr>
        <w:t>% do volume de lubrificantes multiusos comercializados em 2011.</w:t>
      </w:r>
    </w:p>
    <w:p w:rsidR="00652C43" w:rsidRPr="00413879" w:rsidRDefault="004C7321" w:rsidP="004C7321">
      <w:pPr>
        <w:spacing w:before="120" w:after="120" w:line="360" w:lineRule="auto"/>
        <w:jc w:val="center"/>
        <w:rPr>
          <w:rFonts w:ascii="Times New Roman" w:hAnsi="Times New Roman"/>
          <w:sz w:val="24"/>
          <w:szCs w:val="24"/>
        </w:rPr>
      </w:pPr>
      <w:r w:rsidRPr="00413879">
        <w:rPr>
          <w:rFonts w:ascii="Times New Roman" w:hAnsi="Times New Roman"/>
          <w:noProof/>
          <w:sz w:val="24"/>
          <w:szCs w:val="24"/>
          <w:lang w:eastAsia="pt-BR"/>
        </w:rPr>
        <w:drawing>
          <wp:inline distT="0" distB="0" distL="0" distR="0">
            <wp:extent cx="4320000" cy="2880000"/>
            <wp:effectExtent l="19050" t="0" r="23400" b="0"/>
            <wp:docPr id="1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52C43" w:rsidRPr="00413879" w:rsidRDefault="00194272" w:rsidP="00797327">
      <w:pPr>
        <w:spacing w:before="120" w:after="360" w:line="360" w:lineRule="auto"/>
        <w:ind w:firstLine="567"/>
        <w:jc w:val="center"/>
        <w:rPr>
          <w:rFonts w:ascii="Times New Roman" w:hAnsi="Times New Roman"/>
        </w:rPr>
      </w:pPr>
      <w:r w:rsidRPr="00194272">
        <w:rPr>
          <w:rFonts w:ascii="Times New Roman" w:hAnsi="Times New Roman"/>
          <w:b/>
        </w:rPr>
        <w:t>Figura 4</w:t>
      </w:r>
      <w:r w:rsidRPr="00194272">
        <w:rPr>
          <w:rFonts w:ascii="Times New Roman" w:hAnsi="Times New Roman"/>
        </w:rPr>
        <w:t xml:space="preserve"> – Distribuição dos níveis API multiuso, por volume comercializado em 2011.</w:t>
      </w:r>
    </w:p>
    <w:p w:rsidR="00652C43" w:rsidRPr="00413879" w:rsidRDefault="008174E8" w:rsidP="00CE643D">
      <w:pPr>
        <w:pStyle w:val="PargrafodaLista"/>
        <w:spacing w:before="120" w:after="36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Na Figura 5</w:t>
      </w:r>
      <w:r w:rsidR="00652C43" w:rsidRPr="00413879">
        <w:rPr>
          <w:rFonts w:ascii="Times New Roman" w:hAnsi="Times New Roman"/>
          <w:sz w:val="24"/>
          <w:szCs w:val="24"/>
          <w:lang w:val="pt-BR"/>
        </w:rPr>
        <w:t xml:space="preserve">, observa-se a distribuição dos lubrificantes para ciclo Otto comercializados em 2011, incluídos os multiusos. O API SL multiuso foi responsável por </w:t>
      </w:r>
      <w:r w:rsidR="00652C43" w:rsidRPr="00413879">
        <w:rPr>
          <w:rFonts w:ascii="Times New Roman" w:hAnsi="Times New Roman"/>
          <w:sz w:val="24"/>
          <w:szCs w:val="24"/>
          <w:lang w:val="pt-BR"/>
        </w:rPr>
        <w:lastRenderedPageBreak/>
        <w:t xml:space="preserve">30,7% dos lubrificantes </w:t>
      </w:r>
      <w:r w:rsidR="00C81555" w:rsidRPr="00413879">
        <w:rPr>
          <w:rFonts w:ascii="Times New Roman" w:hAnsi="Times New Roman"/>
          <w:sz w:val="24"/>
          <w:szCs w:val="24"/>
          <w:lang w:val="pt-BR"/>
        </w:rPr>
        <w:t xml:space="preserve">para o </w:t>
      </w:r>
      <w:r w:rsidR="00652C43" w:rsidRPr="00413879">
        <w:rPr>
          <w:rFonts w:ascii="Times New Roman" w:hAnsi="Times New Roman"/>
          <w:sz w:val="24"/>
          <w:szCs w:val="24"/>
          <w:lang w:val="pt-BR"/>
        </w:rPr>
        <w:t>ciclo Otto (143 milhões de litros), seguido do API SL, com 15% (70 milhões de litros).</w:t>
      </w:r>
    </w:p>
    <w:p w:rsidR="00652C43" w:rsidRPr="00413879" w:rsidRDefault="009720B1" w:rsidP="009720B1">
      <w:pPr>
        <w:spacing w:before="120" w:after="120" w:line="360" w:lineRule="auto"/>
        <w:jc w:val="center"/>
        <w:rPr>
          <w:rFonts w:ascii="Times New Roman" w:hAnsi="Times New Roman"/>
          <w:sz w:val="24"/>
          <w:szCs w:val="24"/>
        </w:rPr>
      </w:pPr>
      <w:r w:rsidRPr="00413879">
        <w:rPr>
          <w:rFonts w:ascii="Times New Roman" w:hAnsi="Times New Roman"/>
          <w:noProof/>
          <w:sz w:val="24"/>
          <w:szCs w:val="24"/>
          <w:lang w:eastAsia="pt-BR"/>
        </w:rPr>
        <w:drawing>
          <wp:inline distT="0" distB="0" distL="0" distR="0">
            <wp:extent cx="4320000" cy="2878372"/>
            <wp:effectExtent l="19050" t="0" r="23400" b="0"/>
            <wp:docPr id="1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2C43" w:rsidRPr="00413879" w:rsidRDefault="00194272" w:rsidP="00652C43">
      <w:pPr>
        <w:spacing w:after="360" w:line="240" w:lineRule="auto"/>
        <w:ind w:firstLine="567"/>
        <w:jc w:val="both"/>
        <w:rPr>
          <w:rFonts w:ascii="Times New Roman" w:hAnsi="Times New Roman"/>
        </w:rPr>
      </w:pPr>
      <w:r w:rsidRPr="00194272">
        <w:rPr>
          <w:rFonts w:ascii="Times New Roman" w:hAnsi="Times New Roman"/>
          <w:b/>
        </w:rPr>
        <w:t>Figura 5</w:t>
      </w:r>
      <w:r w:rsidRPr="00194272">
        <w:rPr>
          <w:rFonts w:ascii="Times New Roman" w:hAnsi="Times New Roman"/>
        </w:rPr>
        <w:t xml:space="preserve"> – Distribuição dos níveis API de ciclo Otto, por volume comercializado em 2011.</w:t>
      </w:r>
    </w:p>
    <w:p w:rsidR="00652C43" w:rsidRPr="00413879" w:rsidRDefault="00393C05"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Por fim, reportamos na Figura 6</w:t>
      </w:r>
      <w:r w:rsidR="00652C43" w:rsidRPr="00413879">
        <w:rPr>
          <w:rFonts w:ascii="Times New Roman" w:hAnsi="Times New Roman"/>
          <w:sz w:val="24"/>
          <w:szCs w:val="24"/>
          <w:lang w:val="pt-BR"/>
        </w:rPr>
        <w:t xml:space="preserve"> a distribuição dos lubrificantes para ciclo Diesel comercializados em 2011, incluídos os lubrificantes multiuso. O API CI-4 multiuso foi responsável por 30,1% dos lubrificantes de ciclo Diesel (113 milhões de litros), seguido do API CF, com 16% (60 milhões de litros).</w:t>
      </w:r>
    </w:p>
    <w:p w:rsidR="00652C43" w:rsidRPr="00413879" w:rsidRDefault="00BC7A5F"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C</w:t>
      </w:r>
      <w:r w:rsidR="00652C43" w:rsidRPr="00413879">
        <w:rPr>
          <w:rFonts w:ascii="Times New Roman" w:hAnsi="Times New Roman"/>
          <w:sz w:val="24"/>
          <w:szCs w:val="24"/>
          <w:lang w:val="pt-BR"/>
        </w:rPr>
        <w:t>onforme pode ser observado, os níveis de desempenho obsoletos que se propõe retirar não possuem participação de maior relevância no mercado. Para motores ciclo Otto, o API SF conta com uma participação de 10,7% do mercado e para motores ciclo Diesel, o API CF responde por 16%. O API CF multiuso (14,7%) não pode ser considerado tão relevante por estar em grande parte combinado com níveis API para motores ciclo Otto mais elevados como SL e SM, sendo provável que seu uso seja majoritariamente nesses tipos de motores.</w:t>
      </w:r>
    </w:p>
    <w:p w:rsidR="00652C43" w:rsidRPr="00413879" w:rsidRDefault="004C7321" w:rsidP="004C7321">
      <w:pPr>
        <w:spacing w:before="120" w:after="120" w:line="360" w:lineRule="auto"/>
        <w:jc w:val="center"/>
        <w:rPr>
          <w:rFonts w:ascii="Times New Roman" w:hAnsi="Times New Roman"/>
          <w:sz w:val="24"/>
          <w:szCs w:val="24"/>
        </w:rPr>
      </w:pPr>
      <w:r w:rsidRPr="00413879">
        <w:rPr>
          <w:rFonts w:ascii="Times New Roman" w:hAnsi="Times New Roman"/>
          <w:noProof/>
          <w:sz w:val="24"/>
          <w:szCs w:val="24"/>
          <w:lang w:eastAsia="pt-BR"/>
        </w:rPr>
        <w:lastRenderedPageBreak/>
        <w:drawing>
          <wp:inline distT="0" distB="0" distL="0" distR="0">
            <wp:extent cx="4320000" cy="2878373"/>
            <wp:effectExtent l="19050" t="0" r="23400" b="0"/>
            <wp:docPr id="1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52C43" w:rsidRPr="00413879" w:rsidRDefault="00194272" w:rsidP="00CE643D">
      <w:pPr>
        <w:spacing w:before="120" w:after="360" w:line="240" w:lineRule="auto"/>
        <w:ind w:firstLine="567"/>
        <w:jc w:val="center"/>
        <w:rPr>
          <w:rFonts w:ascii="Times New Roman" w:hAnsi="Times New Roman"/>
        </w:rPr>
      </w:pPr>
      <w:r w:rsidRPr="00194272">
        <w:rPr>
          <w:rFonts w:ascii="Times New Roman" w:hAnsi="Times New Roman"/>
          <w:b/>
        </w:rPr>
        <w:t>Figura 6</w:t>
      </w:r>
      <w:r w:rsidRPr="00194272">
        <w:rPr>
          <w:rFonts w:ascii="Times New Roman" w:hAnsi="Times New Roman"/>
        </w:rPr>
        <w:t xml:space="preserve"> – Distribuição dos níveis API de ciclo Diesel, por volume comercial</w:t>
      </w:r>
      <w:bookmarkStart w:id="0" w:name="_GoBack"/>
      <w:bookmarkEnd w:id="0"/>
      <w:r w:rsidRPr="00194272">
        <w:rPr>
          <w:rFonts w:ascii="Times New Roman" w:hAnsi="Times New Roman"/>
        </w:rPr>
        <w:t>izado em 2011.</w:t>
      </w:r>
    </w:p>
    <w:p w:rsidR="00652C43" w:rsidRPr="00413879" w:rsidRDefault="00194272" w:rsidP="002459D5">
      <w:pPr>
        <w:pStyle w:val="PargrafodaLista"/>
        <w:numPr>
          <w:ilvl w:val="3"/>
          <w:numId w:val="8"/>
        </w:numPr>
        <w:spacing w:before="120" w:after="120" w:line="360" w:lineRule="auto"/>
        <w:contextualSpacing w:val="0"/>
        <w:jc w:val="both"/>
        <w:rPr>
          <w:rFonts w:ascii="Times New Roman" w:hAnsi="Times New Roman"/>
          <w:b/>
          <w:sz w:val="24"/>
          <w:szCs w:val="24"/>
          <w:lang w:val="pt-BR"/>
        </w:rPr>
      </w:pPr>
      <w:r w:rsidRPr="00194272">
        <w:rPr>
          <w:rFonts w:ascii="Times New Roman" w:hAnsi="Times New Roman"/>
          <w:b/>
          <w:sz w:val="24"/>
          <w:szCs w:val="24"/>
          <w:lang w:val="pt-BR"/>
        </w:rPr>
        <w:t>Últimos anos de recomendação em manual dos API obsoletos</w:t>
      </w:r>
    </w:p>
    <w:p w:rsidR="00652C43" w:rsidRPr="00413879" w:rsidRDefault="00652C43"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 xml:space="preserve">Após a compilação dos dados acima, foi solicitado à Associação Nacional dos Fabricantes de Veículos Automotores </w:t>
      </w:r>
      <w:r w:rsidR="00C56150" w:rsidRPr="00413879">
        <w:rPr>
          <w:rFonts w:ascii="Times New Roman" w:hAnsi="Times New Roman"/>
          <w:sz w:val="24"/>
          <w:szCs w:val="24"/>
          <w:lang w:val="pt-BR"/>
        </w:rPr>
        <w:t>(ANFAVEA) informar</w:t>
      </w:r>
      <w:r w:rsidRPr="00413879">
        <w:rPr>
          <w:rFonts w:ascii="Times New Roman" w:hAnsi="Times New Roman"/>
          <w:sz w:val="24"/>
          <w:szCs w:val="24"/>
          <w:lang w:val="pt-BR"/>
        </w:rPr>
        <w:t xml:space="preserve"> o último ano em que cada associado </w:t>
      </w:r>
      <w:r w:rsidR="00C81555" w:rsidRPr="00413879">
        <w:rPr>
          <w:rFonts w:ascii="Times New Roman" w:hAnsi="Times New Roman"/>
          <w:sz w:val="24"/>
          <w:szCs w:val="24"/>
          <w:lang w:val="pt-BR"/>
        </w:rPr>
        <w:t xml:space="preserve">ainda </w:t>
      </w:r>
      <w:r w:rsidRPr="00413879">
        <w:rPr>
          <w:rFonts w:ascii="Times New Roman" w:hAnsi="Times New Roman"/>
          <w:sz w:val="24"/>
          <w:szCs w:val="24"/>
          <w:lang w:val="pt-BR"/>
        </w:rPr>
        <w:t>recomendou no manual do veículo o uso de lubrificantes com níveis de desempenho API SF ou CF.</w:t>
      </w:r>
    </w:p>
    <w:p w:rsidR="00652C43" w:rsidRPr="00413879" w:rsidRDefault="00652C43"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Com base nos dados obtidos</w:t>
      </w:r>
      <w:r w:rsidR="00F844AA" w:rsidRPr="00413879">
        <w:rPr>
          <w:rFonts w:ascii="Times New Roman" w:hAnsi="Times New Roman"/>
          <w:sz w:val="24"/>
          <w:szCs w:val="24"/>
          <w:lang w:val="pt-BR"/>
        </w:rPr>
        <w:t xml:space="preserve"> </w:t>
      </w:r>
      <w:r w:rsidR="00C81555" w:rsidRPr="00413879">
        <w:rPr>
          <w:rFonts w:ascii="Times New Roman" w:hAnsi="Times New Roman"/>
          <w:sz w:val="24"/>
          <w:szCs w:val="24"/>
          <w:lang w:val="pt-BR"/>
        </w:rPr>
        <w:t xml:space="preserve">a partir da </w:t>
      </w:r>
      <w:r w:rsidRPr="00413879">
        <w:rPr>
          <w:rFonts w:ascii="Times New Roman" w:hAnsi="Times New Roman"/>
          <w:sz w:val="24"/>
          <w:szCs w:val="24"/>
          <w:lang w:val="pt-BR"/>
        </w:rPr>
        <w:t>consulta, percebeu-se que</w:t>
      </w:r>
      <w:r w:rsidR="00A468EA" w:rsidRPr="00413879">
        <w:rPr>
          <w:rFonts w:ascii="Times New Roman" w:hAnsi="Times New Roman"/>
          <w:sz w:val="24"/>
          <w:szCs w:val="24"/>
          <w:lang w:val="pt-BR"/>
        </w:rPr>
        <w:t>,</w:t>
      </w:r>
      <w:r w:rsidRPr="00413879">
        <w:rPr>
          <w:rFonts w:ascii="Times New Roman" w:hAnsi="Times New Roman"/>
          <w:sz w:val="24"/>
          <w:szCs w:val="24"/>
          <w:lang w:val="pt-BR"/>
        </w:rPr>
        <w:t xml:space="preserve"> para motores ciclo Otto</w:t>
      </w:r>
      <w:r w:rsidR="00A468EA" w:rsidRPr="00413879">
        <w:rPr>
          <w:rFonts w:ascii="Times New Roman" w:hAnsi="Times New Roman"/>
          <w:sz w:val="24"/>
          <w:szCs w:val="24"/>
          <w:lang w:val="pt-BR"/>
        </w:rPr>
        <w:t>,</w:t>
      </w:r>
      <w:r w:rsidRPr="00413879">
        <w:rPr>
          <w:rFonts w:ascii="Times New Roman" w:hAnsi="Times New Roman"/>
          <w:sz w:val="24"/>
          <w:szCs w:val="24"/>
          <w:lang w:val="pt-BR"/>
        </w:rPr>
        <w:t xml:space="preserve"> o API SF não é recomendado há mais de 10 anos. Empresas com</w:t>
      </w:r>
      <w:r w:rsidR="00230074" w:rsidRPr="00413879">
        <w:rPr>
          <w:rFonts w:ascii="Times New Roman" w:hAnsi="Times New Roman"/>
          <w:sz w:val="24"/>
          <w:szCs w:val="24"/>
          <w:lang w:val="pt-BR"/>
        </w:rPr>
        <w:t>o FIAT e Volkswagen não aconselham</w:t>
      </w:r>
      <w:r w:rsidRPr="00413879">
        <w:rPr>
          <w:rFonts w:ascii="Times New Roman" w:hAnsi="Times New Roman"/>
          <w:sz w:val="24"/>
          <w:szCs w:val="24"/>
          <w:lang w:val="pt-BR"/>
        </w:rPr>
        <w:t xml:space="preserve"> esse API para os modelos mais simples desde 1997, seguidas por GM, desde 2001, e FORD desde 2006. As demais empresas que se estabeleceram no Brasil na última década, desde seu início,</w:t>
      </w:r>
      <w:r w:rsidR="009132A0" w:rsidRPr="00413879">
        <w:rPr>
          <w:rFonts w:ascii="Times New Roman" w:hAnsi="Times New Roman"/>
          <w:sz w:val="24"/>
          <w:szCs w:val="24"/>
          <w:lang w:val="pt-BR"/>
        </w:rPr>
        <w:t xml:space="preserve"> indic</w:t>
      </w:r>
      <w:r w:rsidRPr="00413879">
        <w:rPr>
          <w:rFonts w:ascii="Times New Roman" w:hAnsi="Times New Roman"/>
          <w:sz w:val="24"/>
          <w:szCs w:val="24"/>
          <w:lang w:val="pt-BR"/>
        </w:rPr>
        <w:t>am níveis superiores ao SF, mesmo para os veículos de menor desempenho.</w:t>
      </w:r>
    </w:p>
    <w:p w:rsidR="009809C0" w:rsidRPr="00413879" w:rsidRDefault="00652C43" w:rsidP="009809C0">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Para motores ciclo Diesel</w:t>
      </w:r>
      <w:r w:rsidR="00370B0A" w:rsidRPr="00413879">
        <w:rPr>
          <w:rFonts w:ascii="Times New Roman" w:hAnsi="Times New Roman"/>
          <w:sz w:val="24"/>
          <w:szCs w:val="24"/>
          <w:lang w:val="pt-BR"/>
        </w:rPr>
        <w:t>,</w:t>
      </w:r>
      <w:r w:rsidRPr="00413879">
        <w:rPr>
          <w:rFonts w:ascii="Times New Roman" w:hAnsi="Times New Roman"/>
          <w:sz w:val="24"/>
          <w:szCs w:val="24"/>
          <w:lang w:val="pt-BR"/>
        </w:rPr>
        <w:t xml:space="preserve"> há menor uniformidade quanto aos últimos anos de recomendação do API CF. As emp</w:t>
      </w:r>
      <w:r w:rsidR="00F54BCF" w:rsidRPr="00413879">
        <w:rPr>
          <w:rFonts w:ascii="Times New Roman" w:hAnsi="Times New Roman"/>
          <w:sz w:val="24"/>
          <w:szCs w:val="24"/>
          <w:lang w:val="pt-BR"/>
        </w:rPr>
        <w:t>resas FIAT e NISSAN não sugere</w:t>
      </w:r>
      <w:r w:rsidRPr="00413879">
        <w:rPr>
          <w:rFonts w:ascii="Times New Roman" w:hAnsi="Times New Roman"/>
          <w:sz w:val="24"/>
          <w:szCs w:val="24"/>
          <w:lang w:val="pt-BR"/>
        </w:rPr>
        <w:t>m API CF desde 2002 e as montadoras FORD, GM, MAN LANTIN AMERICA e Mitsubishi desde 2006. À época da consu</w:t>
      </w:r>
      <w:r w:rsidR="00B967BF" w:rsidRPr="00413879">
        <w:rPr>
          <w:rFonts w:ascii="Times New Roman" w:hAnsi="Times New Roman"/>
          <w:sz w:val="24"/>
          <w:szCs w:val="24"/>
          <w:lang w:val="pt-BR"/>
        </w:rPr>
        <w:t>lta o último ano</w:t>
      </w:r>
      <w:r w:rsidRPr="00413879">
        <w:rPr>
          <w:rFonts w:ascii="Times New Roman" w:hAnsi="Times New Roman"/>
          <w:sz w:val="24"/>
          <w:szCs w:val="24"/>
          <w:lang w:val="pt-BR"/>
        </w:rPr>
        <w:t xml:space="preserve"> da empresa Volvo foi 2012.</w:t>
      </w:r>
      <w:r w:rsidR="002C40E2" w:rsidRPr="00413879">
        <w:rPr>
          <w:rFonts w:ascii="Times New Roman" w:hAnsi="Times New Roman"/>
          <w:sz w:val="24"/>
          <w:szCs w:val="24"/>
          <w:lang w:val="pt-BR"/>
        </w:rPr>
        <w:t xml:space="preserve"> </w:t>
      </w:r>
      <w:r w:rsidRPr="00413879">
        <w:rPr>
          <w:rFonts w:ascii="Times New Roman" w:hAnsi="Times New Roman"/>
          <w:sz w:val="24"/>
          <w:szCs w:val="24"/>
          <w:lang w:val="pt-BR"/>
        </w:rPr>
        <w:t xml:space="preserve"> A Me</w:t>
      </w:r>
      <w:r w:rsidR="00BC47EB" w:rsidRPr="00413879">
        <w:rPr>
          <w:rFonts w:ascii="Times New Roman" w:hAnsi="Times New Roman"/>
          <w:sz w:val="24"/>
          <w:szCs w:val="24"/>
          <w:lang w:val="pt-BR"/>
        </w:rPr>
        <w:t>rcedes-Benz não propõe</w:t>
      </w:r>
      <w:r w:rsidRPr="00413879">
        <w:rPr>
          <w:rFonts w:ascii="Times New Roman" w:hAnsi="Times New Roman"/>
          <w:sz w:val="24"/>
          <w:szCs w:val="24"/>
          <w:lang w:val="pt-BR"/>
        </w:rPr>
        <w:t xml:space="preserve"> nenhuma categoria API em seus manuais.</w:t>
      </w:r>
      <w:r w:rsidR="009809C0" w:rsidRPr="00413879">
        <w:rPr>
          <w:rFonts w:ascii="Times New Roman" w:hAnsi="Times New Roman"/>
          <w:sz w:val="24"/>
          <w:szCs w:val="24"/>
          <w:lang w:val="pt-BR"/>
        </w:rPr>
        <w:br w:type="page"/>
      </w:r>
    </w:p>
    <w:p w:rsidR="00652C43" w:rsidRPr="00413879" w:rsidRDefault="00652C43" w:rsidP="002459D5">
      <w:pPr>
        <w:pStyle w:val="PargrafodaLista"/>
        <w:numPr>
          <w:ilvl w:val="3"/>
          <w:numId w:val="8"/>
        </w:numPr>
        <w:spacing w:before="120" w:after="120" w:line="360" w:lineRule="auto"/>
        <w:contextualSpacing w:val="0"/>
        <w:jc w:val="both"/>
        <w:rPr>
          <w:rFonts w:ascii="Times New Roman" w:hAnsi="Times New Roman"/>
          <w:b/>
          <w:sz w:val="24"/>
          <w:szCs w:val="24"/>
          <w:lang w:val="pt-BR"/>
        </w:rPr>
      </w:pPr>
      <w:r w:rsidRPr="00413879">
        <w:rPr>
          <w:rFonts w:ascii="Times New Roman" w:hAnsi="Times New Roman"/>
          <w:b/>
          <w:sz w:val="24"/>
          <w:szCs w:val="24"/>
          <w:lang w:val="pt-BR"/>
        </w:rPr>
        <w:lastRenderedPageBreak/>
        <w:t>Frota brasileira</w:t>
      </w:r>
    </w:p>
    <w:p w:rsidR="00652C43" w:rsidRPr="00413879" w:rsidRDefault="00370B0A"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Diante do exposto</w:t>
      </w:r>
      <w:r w:rsidR="00881839" w:rsidRPr="00413879">
        <w:rPr>
          <w:rFonts w:ascii="Times New Roman" w:hAnsi="Times New Roman"/>
          <w:sz w:val="24"/>
          <w:szCs w:val="24"/>
          <w:lang w:val="pt-BR"/>
        </w:rPr>
        <w:t>, foram consultados</w:t>
      </w:r>
      <w:r w:rsidR="00415718" w:rsidRPr="00413879">
        <w:rPr>
          <w:rFonts w:ascii="Times New Roman" w:hAnsi="Times New Roman"/>
          <w:sz w:val="24"/>
          <w:szCs w:val="24"/>
          <w:lang w:val="pt-BR"/>
        </w:rPr>
        <w:t xml:space="preserve"> dois estudos que mostr</w:t>
      </w:r>
      <w:r w:rsidR="00652C43" w:rsidRPr="00413879">
        <w:rPr>
          <w:rFonts w:ascii="Times New Roman" w:hAnsi="Times New Roman"/>
          <w:sz w:val="24"/>
          <w:szCs w:val="24"/>
          <w:lang w:val="pt-BR"/>
        </w:rPr>
        <w:t xml:space="preserve">am a evolução da frota brasileira nos últimos anos. Um deles </w:t>
      </w:r>
      <w:r w:rsidRPr="00413879">
        <w:rPr>
          <w:rFonts w:ascii="Times New Roman" w:hAnsi="Times New Roman"/>
          <w:sz w:val="24"/>
          <w:szCs w:val="24"/>
          <w:lang w:val="pt-BR"/>
        </w:rPr>
        <w:t xml:space="preserve">foi </w:t>
      </w:r>
      <w:r w:rsidR="00652C43" w:rsidRPr="00413879">
        <w:rPr>
          <w:rFonts w:ascii="Times New Roman" w:hAnsi="Times New Roman"/>
          <w:sz w:val="24"/>
          <w:szCs w:val="24"/>
          <w:lang w:val="pt-BR"/>
        </w:rPr>
        <w:t xml:space="preserve">o relatório final do </w:t>
      </w:r>
      <w:r w:rsidR="00652C43" w:rsidRPr="00413879">
        <w:rPr>
          <w:rFonts w:ascii="Times New Roman" w:hAnsi="Times New Roman"/>
          <w:i/>
          <w:sz w:val="24"/>
          <w:szCs w:val="24"/>
          <w:lang w:val="pt-BR"/>
        </w:rPr>
        <w:t xml:space="preserve">1° Inventário Nacional de Emissões Atmosféricas por Veículos </w:t>
      </w:r>
      <w:r w:rsidR="00652C43" w:rsidRPr="00413879">
        <w:rPr>
          <w:rFonts w:ascii="Times New Roman" w:hAnsi="Times New Roman"/>
          <w:sz w:val="24"/>
          <w:szCs w:val="24"/>
          <w:lang w:val="pt-BR"/>
        </w:rPr>
        <w:t>Automotores</w:t>
      </w:r>
      <w:r w:rsidR="00652C43" w:rsidRPr="00413879">
        <w:rPr>
          <w:rFonts w:ascii="Times New Roman" w:hAnsi="Times New Roman"/>
          <w:i/>
          <w:sz w:val="24"/>
          <w:szCs w:val="24"/>
          <w:lang w:val="pt-BR"/>
        </w:rPr>
        <w:t xml:space="preserve"> Rodoviários</w:t>
      </w:r>
      <w:r w:rsidR="00652C43" w:rsidRPr="00413879">
        <w:rPr>
          <w:rFonts w:ascii="Times New Roman" w:hAnsi="Times New Roman"/>
          <w:sz w:val="24"/>
          <w:szCs w:val="24"/>
          <w:lang w:val="pt-BR"/>
        </w:rPr>
        <w:t xml:space="preserve"> – MMA, cuja </w:t>
      </w:r>
      <w:r w:rsidRPr="00413879">
        <w:rPr>
          <w:rFonts w:ascii="Times New Roman" w:hAnsi="Times New Roman"/>
          <w:sz w:val="24"/>
          <w:szCs w:val="24"/>
          <w:lang w:val="pt-BR"/>
        </w:rPr>
        <w:t>T</w:t>
      </w:r>
      <w:r w:rsidR="00652C43" w:rsidRPr="00413879">
        <w:rPr>
          <w:rFonts w:ascii="Times New Roman" w:hAnsi="Times New Roman"/>
          <w:sz w:val="24"/>
          <w:szCs w:val="24"/>
          <w:lang w:val="pt-BR"/>
        </w:rPr>
        <w:t xml:space="preserve">abela da evolução da frota está reproduzida no </w:t>
      </w:r>
      <w:r w:rsidR="00A85606" w:rsidRPr="00413879">
        <w:rPr>
          <w:rFonts w:ascii="Times New Roman" w:hAnsi="Times New Roman"/>
          <w:sz w:val="24"/>
          <w:szCs w:val="24"/>
          <w:lang w:val="pt-BR"/>
        </w:rPr>
        <w:t>A</w:t>
      </w:r>
      <w:r w:rsidR="00652C43" w:rsidRPr="00413879">
        <w:rPr>
          <w:rFonts w:ascii="Times New Roman" w:hAnsi="Times New Roman"/>
          <w:sz w:val="24"/>
          <w:szCs w:val="24"/>
          <w:lang w:val="pt-BR"/>
        </w:rPr>
        <w:t xml:space="preserve">nexo IV. O outro estudo trata do </w:t>
      </w:r>
      <w:r w:rsidR="00652C43" w:rsidRPr="00413879">
        <w:rPr>
          <w:rFonts w:ascii="Times New Roman" w:hAnsi="Times New Roman"/>
          <w:i/>
          <w:sz w:val="24"/>
          <w:szCs w:val="24"/>
          <w:lang w:val="pt-BR"/>
        </w:rPr>
        <w:t>Desempenho do Setor de Autopeças 2012</w:t>
      </w:r>
      <w:r w:rsidR="00652C43" w:rsidRPr="00413879">
        <w:rPr>
          <w:rFonts w:ascii="Times New Roman" w:hAnsi="Times New Roman"/>
          <w:sz w:val="24"/>
          <w:szCs w:val="24"/>
          <w:lang w:val="pt-BR"/>
        </w:rPr>
        <w:t xml:space="preserve"> – SINDIPEÇAS, cuja </w:t>
      </w:r>
      <w:r w:rsidRPr="00413879">
        <w:rPr>
          <w:rFonts w:ascii="Times New Roman" w:hAnsi="Times New Roman"/>
          <w:sz w:val="24"/>
          <w:szCs w:val="24"/>
          <w:lang w:val="pt-BR"/>
        </w:rPr>
        <w:t>T</w:t>
      </w:r>
      <w:r w:rsidR="00652C43" w:rsidRPr="00413879">
        <w:rPr>
          <w:rFonts w:ascii="Times New Roman" w:hAnsi="Times New Roman"/>
          <w:sz w:val="24"/>
          <w:szCs w:val="24"/>
          <w:lang w:val="pt-BR"/>
        </w:rPr>
        <w:t xml:space="preserve">abela da evolução da frota </w:t>
      </w:r>
      <w:r w:rsidR="007006D6" w:rsidRPr="00413879">
        <w:rPr>
          <w:rFonts w:ascii="Times New Roman" w:hAnsi="Times New Roman"/>
          <w:sz w:val="24"/>
          <w:szCs w:val="24"/>
          <w:lang w:val="pt-BR"/>
        </w:rPr>
        <w:t xml:space="preserve">encontra-se </w:t>
      </w:r>
      <w:r w:rsidR="00652C43" w:rsidRPr="00413879">
        <w:rPr>
          <w:rFonts w:ascii="Times New Roman" w:hAnsi="Times New Roman"/>
          <w:sz w:val="24"/>
          <w:szCs w:val="24"/>
          <w:lang w:val="pt-BR"/>
        </w:rPr>
        <w:t xml:space="preserve">no </w:t>
      </w:r>
      <w:r w:rsidR="00A85606" w:rsidRPr="00413879">
        <w:rPr>
          <w:rFonts w:ascii="Times New Roman" w:hAnsi="Times New Roman"/>
          <w:sz w:val="24"/>
          <w:szCs w:val="24"/>
          <w:lang w:val="pt-BR"/>
        </w:rPr>
        <w:t>A</w:t>
      </w:r>
      <w:r w:rsidR="00652C43" w:rsidRPr="00413879">
        <w:rPr>
          <w:rFonts w:ascii="Times New Roman" w:hAnsi="Times New Roman"/>
          <w:sz w:val="24"/>
          <w:szCs w:val="24"/>
          <w:lang w:val="pt-BR"/>
        </w:rPr>
        <w:t>nexo V. Ambas as fontes apresentam os dados da frota circulante</w:t>
      </w:r>
      <w:r w:rsidR="00A468EA" w:rsidRPr="00413879">
        <w:rPr>
          <w:rFonts w:ascii="Times New Roman" w:hAnsi="Times New Roman"/>
          <w:sz w:val="24"/>
          <w:szCs w:val="24"/>
          <w:lang w:val="pt-BR"/>
        </w:rPr>
        <w:t xml:space="preserve"> (obtidos por metodologias estatís</w:t>
      </w:r>
      <w:r w:rsidR="004328E3" w:rsidRPr="00413879">
        <w:rPr>
          <w:rFonts w:ascii="Times New Roman" w:hAnsi="Times New Roman"/>
          <w:sz w:val="24"/>
          <w:szCs w:val="24"/>
          <w:lang w:val="pt-BR"/>
        </w:rPr>
        <w:t>ti</w:t>
      </w:r>
      <w:r w:rsidR="00A468EA" w:rsidRPr="00413879">
        <w:rPr>
          <w:rFonts w:ascii="Times New Roman" w:hAnsi="Times New Roman"/>
          <w:sz w:val="24"/>
          <w:szCs w:val="24"/>
          <w:lang w:val="pt-BR"/>
        </w:rPr>
        <w:t>cas)</w:t>
      </w:r>
      <w:r w:rsidR="00652C43" w:rsidRPr="00413879">
        <w:rPr>
          <w:rFonts w:ascii="Times New Roman" w:hAnsi="Times New Roman"/>
          <w:sz w:val="24"/>
          <w:szCs w:val="24"/>
          <w:lang w:val="pt-BR"/>
        </w:rPr>
        <w:t xml:space="preserve"> em cada ano que o levantamento foi realizado, ficando bastante destacado grande crescimento da frota nacional ocorrido na última década.</w:t>
      </w:r>
    </w:p>
    <w:p w:rsidR="00652C43" w:rsidRPr="00413879" w:rsidRDefault="00652C43"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Em um estudo mais direcionado para sua área de</w:t>
      </w:r>
      <w:r w:rsidR="007006D6" w:rsidRPr="00413879">
        <w:rPr>
          <w:rFonts w:ascii="Times New Roman" w:hAnsi="Times New Roman"/>
          <w:sz w:val="24"/>
          <w:szCs w:val="24"/>
          <w:lang w:val="pt-BR"/>
        </w:rPr>
        <w:t xml:space="preserve"> atuação, o SINDIPEÇAS exibi</w:t>
      </w:r>
      <w:r w:rsidRPr="00413879">
        <w:rPr>
          <w:rFonts w:ascii="Times New Roman" w:hAnsi="Times New Roman"/>
          <w:sz w:val="24"/>
          <w:szCs w:val="24"/>
          <w:lang w:val="pt-BR"/>
        </w:rPr>
        <w:t xml:space="preserve">u dados mais detalhados da frota de veículos em circulação em 2011, por </w:t>
      </w:r>
      <w:r w:rsidR="003B027E" w:rsidRPr="00413879">
        <w:rPr>
          <w:rFonts w:ascii="Times New Roman" w:hAnsi="Times New Roman"/>
          <w:sz w:val="24"/>
          <w:szCs w:val="24"/>
          <w:lang w:val="pt-BR"/>
        </w:rPr>
        <w:t>idade do veículo, que será comentado</w:t>
      </w:r>
      <w:r w:rsidRPr="00413879">
        <w:rPr>
          <w:rFonts w:ascii="Times New Roman" w:hAnsi="Times New Roman"/>
          <w:sz w:val="24"/>
          <w:szCs w:val="24"/>
          <w:lang w:val="pt-BR"/>
        </w:rPr>
        <w:t xml:space="preserve"> a seguir.</w:t>
      </w:r>
    </w:p>
    <w:p w:rsidR="00652C43" w:rsidRPr="00413879" w:rsidRDefault="00652C43"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Nesse estudo, a entidade informa que a idade média de caminhões e ônibus em 2011 era de</w:t>
      </w:r>
      <w:r w:rsidR="00A468EA" w:rsidRPr="00413879">
        <w:rPr>
          <w:rFonts w:ascii="Times New Roman" w:hAnsi="Times New Roman"/>
          <w:sz w:val="24"/>
          <w:szCs w:val="24"/>
          <w:lang w:val="pt-BR"/>
        </w:rPr>
        <w:t>,</w:t>
      </w:r>
      <w:r w:rsidRPr="00413879">
        <w:rPr>
          <w:rFonts w:ascii="Times New Roman" w:hAnsi="Times New Roman"/>
          <w:sz w:val="24"/>
          <w:szCs w:val="24"/>
          <w:lang w:val="pt-BR"/>
        </w:rPr>
        <w:t xml:space="preserve"> aproximadamente</w:t>
      </w:r>
      <w:r w:rsidR="00A468EA" w:rsidRPr="00413879">
        <w:rPr>
          <w:rFonts w:ascii="Times New Roman" w:hAnsi="Times New Roman"/>
          <w:sz w:val="24"/>
          <w:szCs w:val="24"/>
          <w:lang w:val="pt-BR"/>
        </w:rPr>
        <w:t>,</w:t>
      </w:r>
      <w:r w:rsidRPr="00413879">
        <w:rPr>
          <w:rFonts w:ascii="Times New Roman" w:hAnsi="Times New Roman"/>
          <w:sz w:val="24"/>
          <w:szCs w:val="24"/>
          <w:lang w:val="pt-BR"/>
        </w:rPr>
        <w:t xml:space="preserve"> 9 anos e meio. A idade média da frota nacional de automóveis e comerciais leves, por sua vez, seria de 8 anos e </w:t>
      </w:r>
      <w:r w:rsidR="00FC27E0" w:rsidRPr="00413879">
        <w:rPr>
          <w:rFonts w:ascii="Times New Roman" w:hAnsi="Times New Roman"/>
          <w:sz w:val="24"/>
          <w:szCs w:val="24"/>
          <w:lang w:val="pt-BR"/>
        </w:rPr>
        <w:t>8</w:t>
      </w:r>
      <w:r w:rsidRPr="00413879">
        <w:rPr>
          <w:rFonts w:ascii="Times New Roman" w:hAnsi="Times New Roman"/>
          <w:sz w:val="24"/>
          <w:szCs w:val="24"/>
          <w:lang w:val="pt-BR"/>
        </w:rPr>
        <w:t xml:space="preserve"> meses e de 7 anos e 4 meses, respectivamente.</w:t>
      </w:r>
    </w:p>
    <w:p w:rsidR="00652C43" w:rsidRPr="00413879" w:rsidRDefault="00652C43" w:rsidP="00E107A4">
      <w:pPr>
        <w:pStyle w:val="PargrafodaLista"/>
        <w:spacing w:before="120" w:after="120" w:line="360" w:lineRule="auto"/>
        <w:ind w:left="0" w:firstLine="1134"/>
        <w:contextualSpacing w:val="0"/>
        <w:jc w:val="both"/>
        <w:rPr>
          <w:rFonts w:cs="Calibri"/>
          <w:sz w:val="26"/>
          <w:szCs w:val="26"/>
          <w:lang w:val="pt-BR"/>
        </w:rPr>
      </w:pPr>
      <w:r w:rsidRPr="00413879">
        <w:rPr>
          <w:rFonts w:ascii="Times New Roman" w:hAnsi="Times New Roman"/>
          <w:sz w:val="24"/>
          <w:szCs w:val="24"/>
          <w:lang w:val="pt-BR"/>
        </w:rPr>
        <w:t>De acordo com o SINDIPEÇAS, a frota circulante nacional, para o cenário 2011, era composta de cerca de 15 milhões de veículos com até 5 anos de idade, o que representaria 44% da frota brasileira de 35 milhões de veículos. Já a frot</w:t>
      </w:r>
      <w:r w:rsidR="00194272" w:rsidRPr="00194272">
        <w:rPr>
          <w:rFonts w:ascii="Times New Roman" w:hAnsi="Times New Roman"/>
          <w:sz w:val="24"/>
          <w:szCs w:val="24"/>
          <w:lang w:val="pt-BR"/>
        </w:rPr>
        <w:t>a com até 10 anos responderia por cerca de 65 % da frota. Na Tabela 1 são apresentados os percentuais da frota nacional em 2011, por idade.</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Observando que grande parte das montadoras deixou de recomendar o API SF em 2001, pode se considerar que resta no país um percentual reduzido da frota utilizando lubrificante com esse nível de desempenho, fato confirmado pelos dados de consumo em 2011 mostrados na Figura 3. Já para os veículos Diesel, vale ressaltar que a maioria das montadoras desses veículos cessou a indicação de API CF em 2006 e que, naquela data, as montadoras também recomendavam níveis API superiores ao API CF. Em 2011, a idade média da frota Diesel era de 9 anos e meio, sendo que o API CF não é indicado pela maioria das montadoras há cerca de 8 anos.</w:t>
      </w:r>
    </w:p>
    <w:p w:rsidR="009809C0" w:rsidRPr="00413879" w:rsidRDefault="00194272">
      <w:pPr>
        <w:rPr>
          <w:rFonts w:ascii="Times New Roman" w:hAnsi="Times New Roman"/>
          <w:sz w:val="24"/>
          <w:szCs w:val="24"/>
        </w:rPr>
      </w:pPr>
      <w:r w:rsidRPr="00194272">
        <w:rPr>
          <w:rFonts w:ascii="Times New Roman" w:hAnsi="Times New Roman"/>
          <w:sz w:val="24"/>
          <w:szCs w:val="24"/>
        </w:rPr>
        <w:br w:type="page"/>
      </w:r>
    </w:p>
    <w:p w:rsidR="00652C43" w:rsidRPr="00413879" w:rsidRDefault="00194272" w:rsidP="00652C43">
      <w:pPr>
        <w:spacing w:before="120" w:after="120" w:line="360" w:lineRule="auto"/>
        <w:ind w:firstLine="567"/>
        <w:jc w:val="center"/>
        <w:rPr>
          <w:rFonts w:ascii="Times New Roman" w:hAnsi="Times New Roman"/>
        </w:rPr>
      </w:pPr>
      <w:r w:rsidRPr="00194272">
        <w:rPr>
          <w:rFonts w:ascii="Times New Roman" w:hAnsi="Times New Roman"/>
          <w:b/>
        </w:rPr>
        <w:lastRenderedPageBreak/>
        <w:t>Tabela 1</w:t>
      </w:r>
      <w:r w:rsidRPr="00194272">
        <w:rPr>
          <w:rFonts w:ascii="Times New Roman" w:hAnsi="Times New Roman"/>
        </w:rPr>
        <w:t xml:space="preserve"> – Frota brasileira circulante em 2011, por idade do veículo.</w:t>
      </w:r>
    </w:p>
    <w:p w:rsidR="00652C43" w:rsidRPr="00413879" w:rsidRDefault="00652C43" w:rsidP="009809C0">
      <w:pPr>
        <w:spacing w:before="120" w:after="120" w:line="240" w:lineRule="auto"/>
        <w:ind w:firstLine="567"/>
        <w:jc w:val="center"/>
        <w:rPr>
          <w:rFonts w:ascii="Times New Roman" w:hAnsi="Times New Roman"/>
          <w:sz w:val="26"/>
          <w:szCs w:val="26"/>
        </w:rPr>
      </w:pPr>
      <w:r w:rsidRPr="00413879">
        <w:rPr>
          <w:rFonts w:ascii="Times New Roman" w:hAnsi="Times New Roman"/>
          <w:noProof/>
          <w:sz w:val="26"/>
          <w:szCs w:val="26"/>
          <w:lang w:eastAsia="pt-BR"/>
        </w:rPr>
        <w:drawing>
          <wp:inline distT="0" distB="0" distL="0" distR="0">
            <wp:extent cx="2381250" cy="3386103"/>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1" cstate="print"/>
                    <a:srcRect/>
                    <a:stretch>
                      <a:fillRect/>
                    </a:stretch>
                  </pic:blipFill>
                  <pic:spPr bwMode="auto">
                    <a:xfrm>
                      <a:off x="0" y="0"/>
                      <a:ext cx="2381501" cy="3386459"/>
                    </a:xfrm>
                    <a:prstGeom prst="rect">
                      <a:avLst/>
                    </a:prstGeom>
                    <a:noFill/>
                    <a:ln w="9525">
                      <a:noFill/>
                      <a:miter lim="800000"/>
                      <a:headEnd/>
                      <a:tailEnd/>
                    </a:ln>
                  </pic:spPr>
                </pic:pic>
              </a:graphicData>
            </a:graphic>
          </wp:inline>
        </w:drawing>
      </w:r>
    </w:p>
    <w:p w:rsidR="002459D5" w:rsidRPr="00413879" w:rsidRDefault="00194272" w:rsidP="009809C0">
      <w:pPr>
        <w:spacing w:before="120" w:after="360" w:line="240" w:lineRule="auto"/>
        <w:ind w:left="2552" w:right="2408"/>
        <w:jc w:val="right"/>
        <w:rPr>
          <w:rFonts w:ascii="Times New Roman" w:hAnsi="Times New Roman"/>
        </w:rPr>
      </w:pPr>
      <w:r w:rsidRPr="00194272">
        <w:rPr>
          <w:rFonts w:ascii="Times New Roman" w:hAnsi="Times New Roman"/>
        </w:rPr>
        <w:t xml:space="preserve">Fonte: </w:t>
      </w:r>
      <w:proofErr w:type="spellStart"/>
      <w:r w:rsidRPr="00194272">
        <w:rPr>
          <w:rFonts w:ascii="Times New Roman" w:hAnsi="Times New Roman"/>
        </w:rPr>
        <w:t>Sindipeças</w:t>
      </w:r>
      <w:proofErr w:type="spellEnd"/>
    </w:p>
    <w:p w:rsidR="002D5B09" w:rsidRPr="00413879" w:rsidRDefault="00E00A74" w:rsidP="002459D5">
      <w:pPr>
        <w:pStyle w:val="PargrafodaLista"/>
        <w:numPr>
          <w:ilvl w:val="1"/>
          <w:numId w:val="8"/>
        </w:numPr>
        <w:spacing w:before="120" w:after="120" w:line="360" w:lineRule="auto"/>
        <w:jc w:val="both"/>
        <w:rPr>
          <w:rFonts w:ascii="Times New Roman" w:hAnsi="Times New Roman"/>
          <w:b/>
          <w:sz w:val="24"/>
          <w:szCs w:val="24"/>
          <w:lang w:val="pt-BR"/>
        </w:rPr>
      </w:pPr>
      <w:r w:rsidRPr="00413879">
        <w:rPr>
          <w:rFonts w:ascii="Times New Roman" w:hAnsi="Times New Roman"/>
          <w:b/>
          <w:sz w:val="24"/>
          <w:szCs w:val="24"/>
          <w:lang w:val="pt-BR"/>
        </w:rPr>
        <w:t xml:space="preserve">Isenção de registro para os aditivos </w:t>
      </w:r>
      <w:proofErr w:type="spellStart"/>
      <w:r w:rsidR="00E3215E" w:rsidRPr="00413879">
        <w:rPr>
          <w:rFonts w:ascii="Times New Roman" w:hAnsi="Times New Roman"/>
          <w:b/>
          <w:i/>
          <w:sz w:val="24"/>
          <w:szCs w:val="24"/>
          <w:lang w:val="pt-BR"/>
        </w:rPr>
        <w:t>a</w:t>
      </w:r>
      <w:r w:rsidRPr="00413879">
        <w:rPr>
          <w:rFonts w:ascii="Times New Roman" w:hAnsi="Times New Roman"/>
          <w:b/>
          <w:i/>
          <w:sz w:val="24"/>
          <w:szCs w:val="24"/>
          <w:lang w:val="pt-BR"/>
        </w:rPr>
        <w:t>ftermarket</w:t>
      </w:r>
      <w:proofErr w:type="spellEnd"/>
    </w:p>
    <w:p w:rsidR="00652C43" w:rsidRPr="00413879" w:rsidRDefault="00652C43"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 xml:space="preserve">Quanto à proposta de isenção de registro para aditivos </w:t>
      </w:r>
      <w:proofErr w:type="spellStart"/>
      <w:r w:rsidR="00DE1725" w:rsidRPr="00413879">
        <w:rPr>
          <w:rFonts w:ascii="Times New Roman" w:hAnsi="Times New Roman"/>
          <w:i/>
          <w:sz w:val="24"/>
          <w:szCs w:val="24"/>
          <w:lang w:val="pt-BR"/>
        </w:rPr>
        <w:t>aftermarket</w:t>
      </w:r>
      <w:proofErr w:type="spellEnd"/>
      <w:r w:rsidRPr="00413879">
        <w:rPr>
          <w:rFonts w:ascii="Times New Roman" w:hAnsi="Times New Roman"/>
          <w:sz w:val="24"/>
          <w:szCs w:val="24"/>
          <w:lang w:val="pt-BR"/>
        </w:rPr>
        <w:t xml:space="preserve">, um dos principais impactos é </w:t>
      </w:r>
      <w:r w:rsidR="00194272" w:rsidRPr="00194272">
        <w:rPr>
          <w:rFonts w:ascii="Times New Roman" w:hAnsi="Times New Roman"/>
          <w:sz w:val="24"/>
          <w:szCs w:val="24"/>
          <w:lang w:val="pt-BR"/>
        </w:rPr>
        <w:t>de que os produtores/importadores desses produtos terão seu mercado parcialmente desregulado, isto é, não será mais necessário o registro prévio dos produtos para se realizar importação, produção e comercialização. Com isso, estará livre a entrada no mercado de outros agentes que não consideravam economicamente viável o investimento de realizar os testes exigidos para obtenção do registro (</w:t>
      </w:r>
      <w:proofErr w:type="spellStart"/>
      <w:r w:rsidR="00194272" w:rsidRPr="00194272">
        <w:rPr>
          <w:rFonts w:ascii="Times New Roman" w:hAnsi="Times New Roman"/>
          <w:sz w:val="24"/>
          <w:szCs w:val="24"/>
          <w:lang w:val="pt-BR"/>
        </w:rPr>
        <w:t>Sequência</w:t>
      </w:r>
      <w:proofErr w:type="spellEnd"/>
      <w:r w:rsidR="00194272" w:rsidRPr="00194272">
        <w:rPr>
          <w:rFonts w:ascii="Times New Roman" w:hAnsi="Times New Roman"/>
          <w:sz w:val="24"/>
          <w:szCs w:val="24"/>
          <w:lang w:val="pt-BR"/>
        </w:rPr>
        <w:t xml:space="preserve"> IIIF - ASTM). Outro aspecto a ser observado sobre a isenção de registro para esse tipo de produto é que este produto não é essencial para uso em veículos, como o combustível e o lubrificante o são. Nesse sentido, reproduzimos abaixo resposta da ANFAVEA a questionamentos apresentados por este CPT sobre o uso de aditivos </w:t>
      </w:r>
      <w:proofErr w:type="spellStart"/>
      <w:r w:rsidR="00194272" w:rsidRPr="00194272">
        <w:rPr>
          <w:rFonts w:ascii="Times New Roman" w:hAnsi="Times New Roman"/>
          <w:i/>
          <w:sz w:val="24"/>
          <w:szCs w:val="24"/>
          <w:lang w:val="pt-BR"/>
        </w:rPr>
        <w:t>aftermaket</w:t>
      </w:r>
      <w:proofErr w:type="spellEnd"/>
      <w:r w:rsidR="00194272" w:rsidRPr="00194272">
        <w:rPr>
          <w:rFonts w:ascii="Times New Roman" w:hAnsi="Times New Roman"/>
          <w:sz w:val="24"/>
          <w:szCs w:val="24"/>
          <w:lang w:val="pt-BR"/>
        </w:rPr>
        <w:t xml:space="preserve"> de lubrificante.</w:t>
      </w:r>
    </w:p>
    <w:p w:rsidR="00652C43" w:rsidRPr="00413879" w:rsidRDefault="00194272" w:rsidP="00E3215E">
      <w:pPr>
        <w:pStyle w:val="PargrafodaLista"/>
        <w:spacing w:before="120" w:after="120" w:line="240" w:lineRule="auto"/>
        <w:ind w:left="2410"/>
        <w:contextualSpacing w:val="0"/>
        <w:jc w:val="both"/>
        <w:rPr>
          <w:rFonts w:ascii="Times New Roman" w:hAnsi="Times New Roman"/>
          <w:i/>
          <w:sz w:val="24"/>
          <w:szCs w:val="24"/>
          <w:lang w:val="pt-BR"/>
        </w:rPr>
      </w:pPr>
      <w:r w:rsidRPr="00194272">
        <w:rPr>
          <w:rFonts w:ascii="Times New Roman" w:hAnsi="Times New Roman"/>
          <w:i/>
          <w:sz w:val="24"/>
          <w:szCs w:val="24"/>
          <w:lang w:val="pt-BR"/>
        </w:rPr>
        <w:t xml:space="preserve">CPT - Existe alguma recomendação ao usuário do veículo sobre o uso de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i/>
          <w:sz w:val="24"/>
          <w:szCs w:val="24"/>
          <w:lang w:val="pt-BR"/>
        </w:rPr>
        <w:t xml:space="preserve"> para adição ao cárter do motor (aditivo de óleo lubrificante automotivo acabado)?</w:t>
      </w:r>
    </w:p>
    <w:p w:rsidR="00652C43" w:rsidRPr="00413879" w:rsidRDefault="00194272" w:rsidP="00E3215E">
      <w:pPr>
        <w:pStyle w:val="PargrafodaLista"/>
        <w:spacing w:before="120" w:after="120" w:line="240" w:lineRule="auto"/>
        <w:ind w:left="2410"/>
        <w:contextualSpacing w:val="0"/>
        <w:jc w:val="both"/>
        <w:rPr>
          <w:rFonts w:ascii="Times New Roman" w:hAnsi="Times New Roman"/>
          <w:i/>
          <w:sz w:val="24"/>
          <w:szCs w:val="24"/>
          <w:lang w:val="pt-BR"/>
        </w:rPr>
      </w:pPr>
      <w:r w:rsidRPr="00194272">
        <w:rPr>
          <w:rFonts w:ascii="Times New Roman" w:hAnsi="Times New Roman"/>
          <w:i/>
          <w:sz w:val="24"/>
          <w:szCs w:val="24"/>
          <w:lang w:val="pt-BR"/>
        </w:rPr>
        <w:t xml:space="preserve">ANFAVEA - Em geral, no manual do proprietário, e/ou nas áreas de atendimento como rede autorizada (Concessionárias) e central de Relacionamento com o Cliente, existem recomendações para o usuário do veículo visando coibir a adição de aditivos do tipo </w:t>
      </w:r>
      <w:proofErr w:type="spellStart"/>
      <w:r w:rsidRPr="00194272">
        <w:rPr>
          <w:rFonts w:ascii="Times New Roman" w:hAnsi="Times New Roman"/>
          <w:i/>
          <w:sz w:val="24"/>
          <w:szCs w:val="24"/>
          <w:lang w:val="pt-BR"/>
        </w:rPr>
        <w:t>aftermarket</w:t>
      </w:r>
      <w:proofErr w:type="spellEnd"/>
      <w:r w:rsidRPr="00194272">
        <w:rPr>
          <w:rFonts w:ascii="Times New Roman" w:hAnsi="Times New Roman"/>
          <w:i/>
          <w:sz w:val="24"/>
          <w:szCs w:val="24"/>
          <w:lang w:val="pt-BR"/>
        </w:rPr>
        <w:t xml:space="preserve"> ao óleo lubrificante de motor produto acabado.</w:t>
      </w:r>
    </w:p>
    <w:p w:rsidR="00652C43" w:rsidRPr="00413879" w:rsidRDefault="00194272" w:rsidP="00E3215E">
      <w:pPr>
        <w:pStyle w:val="PargrafodaLista"/>
        <w:spacing w:before="120" w:after="120" w:line="240" w:lineRule="auto"/>
        <w:ind w:left="2410"/>
        <w:contextualSpacing w:val="0"/>
        <w:jc w:val="both"/>
        <w:rPr>
          <w:rFonts w:ascii="Times New Roman" w:hAnsi="Times New Roman"/>
          <w:i/>
          <w:sz w:val="24"/>
          <w:szCs w:val="24"/>
          <w:lang w:val="pt-BR"/>
        </w:rPr>
      </w:pPr>
      <w:r w:rsidRPr="00194272">
        <w:rPr>
          <w:rFonts w:ascii="Times New Roman" w:hAnsi="Times New Roman"/>
          <w:i/>
          <w:sz w:val="24"/>
          <w:szCs w:val="24"/>
          <w:lang w:val="pt-BR"/>
        </w:rPr>
        <w:lastRenderedPageBreak/>
        <w:t>CPT - Caso negativo, qual o posicionamento das montadoras sobre a utilização desse produto pelo proprietário do veículo?</w:t>
      </w:r>
    </w:p>
    <w:p w:rsidR="00652C43" w:rsidRPr="00413879" w:rsidRDefault="00194272" w:rsidP="00E3215E">
      <w:pPr>
        <w:pStyle w:val="PargrafodaLista"/>
        <w:spacing w:before="120" w:after="120" w:line="240" w:lineRule="auto"/>
        <w:ind w:left="2410"/>
        <w:contextualSpacing w:val="0"/>
        <w:jc w:val="both"/>
        <w:rPr>
          <w:rFonts w:ascii="Times New Roman" w:hAnsi="Times New Roman"/>
          <w:i/>
          <w:sz w:val="24"/>
          <w:szCs w:val="24"/>
          <w:lang w:val="pt-BR"/>
        </w:rPr>
      </w:pPr>
      <w:r w:rsidRPr="00194272">
        <w:rPr>
          <w:rFonts w:ascii="Times New Roman" w:hAnsi="Times New Roman"/>
          <w:i/>
          <w:sz w:val="24"/>
          <w:szCs w:val="24"/>
          <w:lang w:val="pt-BR"/>
        </w:rPr>
        <w:t xml:space="preserve">ANFAVEA - Danos causados por adição de aditivos do tipo </w:t>
      </w:r>
      <w:proofErr w:type="spellStart"/>
      <w:r w:rsidRPr="00194272">
        <w:rPr>
          <w:rFonts w:ascii="Times New Roman" w:hAnsi="Times New Roman"/>
          <w:i/>
          <w:sz w:val="24"/>
          <w:szCs w:val="24"/>
          <w:lang w:val="pt-BR"/>
        </w:rPr>
        <w:t>aftermarket</w:t>
      </w:r>
      <w:proofErr w:type="spellEnd"/>
      <w:r w:rsidRPr="00194272">
        <w:rPr>
          <w:rFonts w:ascii="Times New Roman" w:hAnsi="Times New Roman"/>
          <w:i/>
          <w:sz w:val="24"/>
          <w:szCs w:val="24"/>
          <w:lang w:val="pt-BR"/>
        </w:rPr>
        <w:t xml:space="preserve"> ao óleo lubrificante do motor estão excluídos da cobertura em garantia.</w:t>
      </w:r>
    </w:p>
    <w:p w:rsidR="00652C43" w:rsidRPr="00413879" w:rsidRDefault="00194272" w:rsidP="00E3215E">
      <w:pPr>
        <w:pStyle w:val="PargrafodaLista"/>
        <w:spacing w:before="120" w:after="120" w:line="240" w:lineRule="auto"/>
        <w:ind w:left="2410"/>
        <w:contextualSpacing w:val="0"/>
        <w:jc w:val="both"/>
        <w:rPr>
          <w:rFonts w:ascii="Times New Roman" w:hAnsi="Times New Roman"/>
          <w:i/>
          <w:sz w:val="24"/>
          <w:szCs w:val="24"/>
          <w:lang w:val="pt-BR"/>
        </w:rPr>
      </w:pPr>
      <w:r w:rsidRPr="00194272">
        <w:rPr>
          <w:rFonts w:ascii="Times New Roman" w:hAnsi="Times New Roman"/>
          <w:i/>
          <w:sz w:val="24"/>
          <w:szCs w:val="24"/>
          <w:lang w:val="pt-BR"/>
        </w:rPr>
        <w:t>CPT - Que implicações o seu uso traz ao consumidor?</w:t>
      </w:r>
    </w:p>
    <w:p w:rsidR="00652C43" w:rsidRPr="00413879" w:rsidRDefault="00194272" w:rsidP="00E3215E">
      <w:pPr>
        <w:pStyle w:val="PargrafodaLista"/>
        <w:spacing w:before="120" w:after="240" w:line="240" w:lineRule="auto"/>
        <w:ind w:left="2410"/>
        <w:contextualSpacing w:val="0"/>
        <w:jc w:val="both"/>
        <w:rPr>
          <w:rFonts w:ascii="Times New Roman" w:hAnsi="Times New Roman"/>
          <w:i/>
          <w:sz w:val="24"/>
          <w:szCs w:val="24"/>
          <w:lang w:val="pt-BR"/>
        </w:rPr>
      </w:pPr>
      <w:r w:rsidRPr="00194272">
        <w:rPr>
          <w:rFonts w:ascii="Times New Roman" w:hAnsi="Times New Roman"/>
          <w:i/>
          <w:sz w:val="24"/>
          <w:szCs w:val="24"/>
          <w:lang w:val="pt-BR"/>
        </w:rPr>
        <w:t xml:space="preserve">ANFAVEA - Óleos lubrificantes, recomendados e homologados pelas montadoras, são formulados com o objetivo de atender às rigorosas especificações técnicas internacionais e, </w:t>
      </w:r>
      <w:proofErr w:type="spellStart"/>
      <w:r w:rsidRPr="00194272">
        <w:rPr>
          <w:rFonts w:ascii="Times New Roman" w:hAnsi="Times New Roman"/>
          <w:i/>
          <w:sz w:val="24"/>
          <w:szCs w:val="24"/>
          <w:lang w:val="pt-BR"/>
        </w:rPr>
        <w:t>consequentemente</w:t>
      </w:r>
      <w:proofErr w:type="spellEnd"/>
      <w:r w:rsidRPr="00194272">
        <w:rPr>
          <w:rFonts w:ascii="Times New Roman" w:hAnsi="Times New Roman"/>
          <w:i/>
          <w:sz w:val="24"/>
          <w:szCs w:val="24"/>
          <w:lang w:val="pt-BR"/>
        </w:rPr>
        <w:t>, as necessidades dos motores. O uso de aditivos suplementares pode interferir no delicado balanço químico destas formulações, prejudicando a performance do pacote de aditivos. Esse desequilíbrio poderá causar efeitos colaterais como depósitos, desgaste, oxidação prematura do lubrificante, alterações na viscosidade, aumento no consumo de combustível entre outros.”</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Diante do exposto, verifica-se que o uso dos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xml:space="preserve"> de lubrificantes pode causar danos ao veículo, perda de economia, perda da garantia entre outras consequências. Ainda assim, considera-se que não cabe à ANP proibir o seu uso, ficando a cargo do usuário a escolha de utilizar ou não esse produto não-essencial, bem como assumir o risco de seu uso. Desde sua primeira regulamentação na Resolução CNP n° 8 de 1976, o órgão regulador responsável fez ressalvas a respeito de seu uso dizendo em seu art. 9°: “A efetivação de registro do aditivo não significa que o CNP julgue o mesmo imprescindível e recomende a sua utilização”.</w:t>
      </w:r>
    </w:p>
    <w:p w:rsidR="00733AEE"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Embora a utilização dos aditivos pelos consumidores já fosse questionável desde a regulamentação do registro desses produtos, à época, talvez houvesse a cultura de que os lubrificantes acabados não atendessem completamente as necessidades dos motores automotivos. Atualmente, essa não é a realidade no país. Conforme pôde ser observado nas Figuras 1 e 2, houve enorme avanço nas tecnologias dos lubrificantes automotivos para que esses atendessem as novas exigências dos motores ao longo das últimas décadas, evolução que tem sido percebida pelos usuários de veículos.</w:t>
      </w:r>
    </w:p>
    <w:p w:rsidR="003B4A3B"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Atualmente, a Resolução ANP nº 10/2007 exige para a concessão de registro de aditivo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xml:space="preserve"> que a solicitante apresente relatório de teste da mistura do aditivo com um lubrificante acabado de API SL ou API CI-4 conforme a norma ASTM D6984 - </w:t>
      </w:r>
      <w:proofErr w:type="spellStart"/>
      <w:r w:rsidRPr="00194272">
        <w:rPr>
          <w:rFonts w:ascii="Times New Roman" w:hAnsi="Times New Roman"/>
          <w:sz w:val="24"/>
          <w:szCs w:val="24"/>
          <w:lang w:val="pt-BR"/>
        </w:rPr>
        <w:t>Sequência</w:t>
      </w:r>
      <w:proofErr w:type="spellEnd"/>
      <w:r w:rsidRPr="00194272">
        <w:rPr>
          <w:rFonts w:ascii="Times New Roman" w:hAnsi="Times New Roman"/>
          <w:sz w:val="24"/>
          <w:szCs w:val="24"/>
          <w:lang w:val="pt-BR"/>
        </w:rPr>
        <w:t xml:space="preserve"> IIIF (teste em motor). Nesse teste, a amostra é introduzida para lubrificação no motor que irá operar em condições moderadamente altas de velocidade, carga e temperatura durante 80 horas, sendo coletadas amostras do lubrificante em uso a cada 10 horas de teste. Caso a </w:t>
      </w:r>
      <w:r w:rsidRPr="00194272">
        <w:rPr>
          <w:rFonts w:ascii="Times New Roman" w:hAnsi="Times New Roman"/>
          <w:sz w:val="24"/>
          <w:szCs w:val="24"/>
          <w:lang w:val="pt-BR"/>
        </w:rPr>
        <w:lastRenderedPageBreak/>
        <w:t xml:space="preserve">mistura aditivo-lubrificante acabado atenda aos limites máximos de aumento de viscosidade, formação de verniz e depósitos em pistão e consumo de óleo aceitos para aprovação de um lubrificante API SL ou API CI-4, então estará comprovado, para fins de registro, que a mistura analisada atende o critério </w:t>
      </w:r>
      <w:r w:rsidRPr="00194272">
        <w:rPr>
          <w:rFonts w:ascii="Times New Roman" w:hAnsi="Times New Roman"/>
          <w:i/>
          <w:sz w:val="24"/>
          <w:szCs w:val="24"/>
          <w:lang w:val="pt-BR"/>
        </w:rPr>
        <w:t>“NO HARM”,</w:t>
      </w:r>
      <w:r w:rsidRPr="00194272">
        <w:rPr>
          <w:rFonts w:ascii="Times New Roman" w:hAnsi="Times New Roman"/>
          <w:sz w:val="24"/>
          <w:szCs w:val="24"/>
          <w:lang w:val="pt-BR"/>
        </w:rPr>
        <w:t xml:space="preserve"> isto é, a mistura do aditivo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xml:space="preserve"> ao lubrificante acabado API SL ou CI-4 não reduz seu desempenho para os quesitos de espessamento da viscosidade, depósito de verniz, consumo de óleo e desgaste do motor.</w:t>
      </w:r>
    </w:p>
    <w:p w:rsidR="0050428B"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Tendo isso em vista, o presente critério adotado pela Resolução ANP nº 10/2007 quanto à aprovação de registro de aditivo </w:t>
      </w:r>
      <w:proofErr w:type="spellStart"/>
      <w:r w:rsidRPr="00194272">
        <w:rPr>
          <w:rFonts w:ascii="Times New Roman" w:hAnsi="Times New Roman"/>
          <w:i/>
          <w:sz w:val="24"/>
          <w:szCs w:val="24"/>
          <w:lang w:val="pt-BR"/>
        </w:rPr>
        <w:t>aftermarket</w:t>
      </w:r>
      <w:proofErr w:type="spellEnd"/>
      <w:r w:rsidRPr="00194272">
        <w:rPr>
          <w:rFonts w:ascii="Times New Roman" w:hAnsi="Times New Roman"/>
          <w:i/>
          <w:sz w:val="24"/>
          <w:szCs w:val="24"/>
          <w:lang w:val="pt-BR"/>
        </w:rPr>
        <w:t>,</w:t>
      </w:r>
      <w:r w:rsidRPr="00194272">
        <w:rPr>
          <w:rFonts w:ascii="Times New Roman" w:hAnsi="Times New Roman"/>
          <w:sz w:val="24"/>
          <w:szCs w:val="24"/>
          <w:lang w:val="pt-BR"/>
        </w:rPr>
        <w:t xml:space="preserve"> parece bastante limitado para assegurar que um dado aditivo não prejudica o desempenho quando misturado a um lubrificante acabado. Isso porque, uma vez que, para se aprovar um lubrificante em um nível de desempenho API, dezenas de ensaios são realizados, diversas </w:t>
      </w:r>
      <w:proofErr w:type="spellStart"/>
      <w:r w:rsidRPr="00194272">
        <w:rPr>
          <w:rFonts w:ascii="Times New Roman" w:hAnsi="Times New Roman"/>
          <w:sz w:val="24"/>
          <w:szCs w:val="24"/>
          <w:lang w:val="pt-BR"/>
        </w:rPr>
        <w:t>sequências</w:t>
      </w:r>
      <w:proofErr w:type="spellEnd"/>
      <w:r w:rsidRPr="00194272">
        <w:rPr>
          <w:rFonts w:ascii="Times New Roman" w:hAnsi="Times New Roman"/>
          <w:sz w:val="24"/>
          <w:szCs w:val="24"/>
          <w:lang w:val="pt-BR"/>
        </w:rPr>
        <w:t xml:space="preserve"> de motor e testes de bancada são necessários para garantir vários outros quesitos, além de resistência à oxidação/controle de viscosidade (Figuras 1 e 2). Além disso, atualmente os níveis API mais elevados são os SN e CJ-4, sendo necessário que as </w:t>
      </w:r>
      <w:proofErr w:type="spellStart"/>
      <w:r w:rsidRPr="00194272">
        <w:rPr>
          <w:rFonts w:ascii="Times New Roman" w:hAnsi="Times New Roman"/>
          <w:sz w:val="24"/>
          <w:szCs w:val="24"/>
          <w:lang w:val="pt-BR"/>
        </w:rPr>
        <w:t>sequências</w:t>
      </w:r>
      <w:proofErr w:type="spellEnd"/>
      <w:r w:rsidRPr="00194272">
        <w:rPr>
          <w:rFonts w:ascii="Times New Roman" w:hAnsi="Times New Roman"/>
          <w:sz w:val="24"/>
          <w:szCs w:val="24"/>
          <w:lang w:val="pt-BR"/>
        </w:rPr>
        <w:t xml:space="preserve"> sejam rodadas com lubrificantes dessas categorias. Outro aspecto relativo ao registro de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xml:space="preserve"> para óleos lubrificantes acabados é que o ensaio exigido pela Resolução ANP nº 10/2007 não comprova os benefícios descritos nos rótulos dos produtos. Caso fossem exigidos todos os ensaios indispensáveis para a comprovação dos benefícios ofertados por esses produtos, uma gama muito maior de ensaios deveria ser apresentada. Atualmente, apenas 6 empresas possuem 18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xml:space="preserve"> registrados na ANP.</w:t>
      </w:r>
    </w:p>
    <w:p w:rsidR="008E6837"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Assim, considerando que esses produtos não são de uso obrigatório e ainda, que não são essenciais para o funcionamento normal do veículo e seu uso é </w:t>
      </w:r>
      <w:proofErr w:type="spellStart"/>
      <w:r w:rsidRPr="00194272">
        <w:rPr>
          <w:rFonts w:ascii="Times New Roman" w:hAnsi="Times New Roman"/>
          <w:sz w:val="24"/>
          <w:szCs w:val="24"/>
          <w:lang w:val="pt-BR"/>
        </w:rPr>
        <w:t>desincentivado</w:t>
      </w:r>
      <w:proofErr w:type="spellEnd"/>
      <w:r w:rsidRPr="00194272">
        <w:rPr>
          <w:rFonts w:ascii="Times New Roman" w:hAnsi="Times New Roman"/>
          <w:sz w:val="24"/>
          <w:szCs w:val="24"/>
          <w:lang w:val="pt-BR"/>
        </w:rPr>
        <w:t xml:space="preserve"> pelos fabricantes dos veículos, esse estudo recomendava, em sua etapa preliminar, a desregulamentação dos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xml:space="preserve"> no âmbito da Resolução em revisão. </w:t>
      </w:r>
    </w:p>
    <w:p w:rsidR="008E6837"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Todavia, após publicação do estudo preliminar, em reunião com representantes de todos os segmentos do mercado de lubrificantes, houve unanimidade por parte dos agentes presentes contra a desregulamentação dos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xml:space="preserve"> proposta pela ANP. O núcleo dos argumentos contrários foi que, com a desregulamentação dos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podem surgir no mercado produtos de empresas que não realizam teste algum para avaliar o seu desempenho, podendo seu uso causar prejuízo ao consumidor.</w:t>
      </w:r>
    </w:p>
    <w:p w:rsidR="009113CC"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Dessa maneira, caso a ANP decida manter o registro de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xml:space="preserve"> na revisão da RANP n° 10/2007, será necessário atualizar as </w:t>
      </w:r>
      <w:proofErr w:type="spellStart"/>
      <w:r w:rsidRPr="00194272">
        <w:rPr>
          <w:rFonts w:ascii="Times New Roman" w:hAnsi="Times New Roman"/>
          <w:sz w:val="24"/>
          <w:szCs w:val="24"/>
          <w:lang w:val="pt-BR"/>
        </w:rPr>
        <w:t>sequências</w:t>
      </w:r>
      <w:proofErr w:type="spellEnd"/>
      <w:r w:rsidRPr="00194272">
        <w:rPr>
          <w:rFonts w:ascii="Times New Roman" w:hAnsi="Times New Roman"/>
          <w:sz w:val="24"/>
          <w:szCs w:val="24"/>
          <w:lang w:val="pt-BR"/>
        </w:rPr>
        <w:t xml:space="preserve"> de testes e </w:t>
      </w:r>
      <w:r w:rsidRPr="00194272">
        <w:rPr>
          <w:rFonts w:ascii="Times New Roman" w:hAnsi="Times New Roman"/>
          <w:sz w:val="24"/>
          <w:szCs w:val="24"/>
          <w:lang w:val="pt-BR"/>
        </w:rPr>
        <w:lastRenderedPageBreak/>
        <w:t>comprovações de benefícios a serem exigidas para fins de registro, tanto para novos registros quanto para os já concedidos.</w:t>
      </w:r>
    </w:p>
    <w:p w:rsidR="00652C43" w:rsidRPr="00413879" w:rsidRDefault="00194272" w:rsidP="001106A1">
      <w:pPr>
        <w:pStyle w:val="PargrafodaLista"/>
        <w:numPr>
          <w:ilvl w:val="1"/>
          <w:numId w:val="8"/>
        </w:numPr>
        <w:spacing w:before="120" w:after="120" w:line="360" w:lineRule="auto"/>
        <w:ind w:left="788" w:hanging="431"/>
        <w:jc w:val="both"/>
        <w:rPr>
          <w:rFonts w:ascii="Times New Roman" w:hAnsi="Times New Roman"/>
          <w:sz w:val="24"/>
          <w:szCs w:val="24"/>
          <w:lang w:val="pt-BR"/>
        </w:rPr>
      </w:pPr>
      <w:r w:rsidRPr="00194272">
        <w:rPr>
          <w:rFonts w:ascii="Times New Roman" w:hAnsi="Times New Roman"/>
          <w:b/>
          <w:sz w:val="24"/>
          <w:szCs w:val="24"/>
          <w:lang w:val="pt-BR"/>
        </w:rPr>
        <w:t xml:space="preserve">Isenção de registro para </w:t>
      </w:r>
      <w:r w:rsidR="00652C43" w:rsidRPr="00413879">
        <w:rPr>
          <w:rFonts w:ascii="Times New Roman" w:hAnsi="Times New Roman"/>
          <w:b/>
          <w:sz w:val="24"/>
          <w:szCs w:val="24"/>
          <w:lang w:val="pt-BR"/>
        </w:rPr>
        <w:t>alguns lubrificantes industriais</w:t>
      </w:r>
    </w:p>
    <w:p w:rsidR="00652C43"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A respeito da proposta de isenção de registro para alguns tipos de lubrificantes industriais de uso bastante específico (Anexo III), considera-se que haverá impacto positivo para seus produtores, que constantemente têm de rever sua formulação e atualizar o registro junto à ANP, o que representa um custo administrativo para a empresa. Para os consumidores desses lubrificantes, não haverá grandes impactos uma vez que o usuário possui capacidade técnica para avaliar os produtos que utiliza. Há situações, inclusive, em que os produtos são desenvolvidos para atender necessidades específicas dos consumidores industriais. Para a ANP, convém não criar barreiras para um mercado consolidado e que pode se auto ajustar.</w:t>
      </w:r>
    </w:p>
    <w:p w:rsidR="00652C43" w:rsidRPr="00413879" w:rsidRDefault="00194272" w:rsidP="00B96146">
      <w:pPr>
        <w:pStyle w:val="PargrafodaLista"/>
        <w:numPr>
          <w:ilvl w:val="0"/>
          <w:numId w:val="8"/>
        </w:numPr>
        <w:spacing w:before="240" w:after="240" w:line="360" w:lineRule="auto"/>
        <w:ind w:left="357" w:hanging="357"/>
        <w:contextualSpacing w:val="0"/>
        <w:jc w:val="both"/>
        <w:rPr>
          <w:rFonts w:ascii="Times New Roman" w:hAnsi="Times New Roman"/>
          <w:b/>
          <w:sz w:val="24"/>
          <w:szCs w:val="24"/>
          <w:lang w:val="pt-BR"/>
        </w:rPr>
      </w:pPr>
      <w:r w:rsidRPr="00194272">
        <w:rPr>
          <w:rFonts w:ascii="Times New Roman" w:hAnsi="Times New Roman"/>
          <w:b/>
          <w:sz w:val="24"/>
          <w:szCs w:val="24"/>
          <w:lang w:val="pt-BR"/>
        </w:rPr>
        <w:t>DA CONSULTA AOS GRUPOS AFETADOS</w:t>
      </w:r>
    </w:p>
    <w:p w:rsidR="000C28DB" w:rsidRPr="00413879" w:rsidRDefault="00194272" w:rsidP="002B72C5">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Desde 2010, a ANP tem discutido com o mercado a respeito de pontos importantes da revisão da Resolução ANP nº 10/2007. </w:t>
      </w:r>
    </w:p>
    <w:p w:rsidR="006F50C3" w:rsidRPr="00413879" w:rsidRDefault="00194272" w:rsidP="004C7321">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Além de diversas consultas específicas por ofício, a ANP colocou em consulta em seu sítio na internet o Relatório Preliminar de Avaliação do Impacto Regulatório que, em grande parte, continha as informações deste relatório final, bem como encaminhou aos agentes econômicos afetados questionamentos adicionais a respeito do presente estudo (Anexo VI). Houve poucas sugestões de alteração no texto do relatório e diversos posicionamentos de setores envolvidos. As contribuições resultantes da consulta pública foram compiladas e encontram-se no sítio da ANP, juntamente com o posicionamento do grupo de trabalho sobre cada item.</w:t>
      </w:r>
    </w:p>
    <w:p w:rsidR="008513F6" w:rsidRPr="00413879" w:rsidRDefault="00194272"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 xml:space="preserve">Cabe destacar que quase todos os agentes se posicionaram contra a proposta inicial deste relatório relativa à isenção de registro para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xml:space="preserve">, alegando que o consumidor ficaria a mercê de produtos que poderiam prejudicar o uso no veículo. De certa maneira, o próprio mercado parece ter a visão de que é necessária uma ação mais reguladora do Estado do que a própria Agência considerou inicialmente. Ficou claro o receio dos agentes econômicos sobre a possibilidade da entrada de produtos de baixa qualidade que prejudiquem a boa concorrência nesse restrito mercado. Uma opção é que a ANP opte por postergar a desregulamentação sem, no entanto, deixar de revisar os requisitos de ensaios e testes para </w:t>
      </w:r>
      <w:r w:rsidRPr="00194272">
        <w:rPr>
          <w:rFonts w:ascii="Times New Roman" w:hAnsi="Times New Roman"/>
          <w:sz w:val="24"/>
          <w:szCs w:val="24"/>
          <w:lang w:val="pt-BR"/>
        </w:rPr>
        <w:lastRenderedPageBreak/>
        <w:t>fins de registro, já que, conforme item 2.3 desta nota, as exigências atuais da RANP n° 10/2007 estão desatualizadas.</w:t>
      </w:r>
    </w:p>
    <w:p w:rsidR="001106A1" w:rsidRPr="00413879" w:rsidRDefault="001106A1" w:rsidP="00E107A4">
      <w:pPr>
        <w:pStyle w:val="PargrafodaLista"/>
        <w:spacing w:before="120" w:after="120" w:line="360" w:lineRule="auto"/>
        <w:ind w:left="0" w:firstLine="1134"/>
        <w:contextualSpacing w:val="0"/>
        <w:jc w:val="both"/>
        <w:rPr>
          <w:rFonts w:ascii="Times New Roman" w:hAnsi="Times New Roman"/>
          <w:sz w:val="24"/>
          <w:szCs w:val="24"/>
          <w:lang w:val="pt-BR"/>
        </w:rPr>
      </w:pPr>
    </w:p>
    <w:p w:rsidR="002D5B09" w:rsidRPr="00413879" w:rsidRDefault="00194272" w:rsidP="00B96146">
      <w:pPr>
        <w:pStyle w:val="PargrafodaLista"/>
        <w:numPr>
          <w:ilvl w:val="0"/>
          <w:numId w:val="8"/>
        </w:numPr>
        <w:spacing w:before="240" w:after="240" w:line="360" w:lineRule="auto"/>
        <w:ind w:left="357" w:hanging="357"/>
        <w:contextualSpacing w:val="0"/>
        <w:jc w:val="both"/>
        <w:rPr>
          <w:rFonts w:ascii="Times New Roman" w:hAnsi="Times New Roman"/>
          <w:b/>
          <w:sz w:val="24"/>
          <w:szCs w:val="24"/>
          <w:lang w:val="pt-BR"/>
        </w:rPr>
      </w:pPr>
      <w:r w:rsidRPr="00194272">
        <w:rPr>
          <w:rFonts w:ascii="Times New Roman" w:hAnsi="Times New Roman"/>
          <w:b/>
          <w:sz w:val="24"/>
          <w:szCs w:val="24"/>
          <w:lang w:val="pt-BR"/>
        </w:rPr>
        <w:t>DA CONSULTA À COORDENADORIA DE DEFESA DA CONCORRÊNCIA</w:t>
      </w:r>
    </w:p>
    <w:p w:rsidR="00F80285" w:rsidRPr="00413879" w:rsidRDefault="00F80285" w:rsidP="00E107A4">
      <w:pPr>
        <w:pStyle w:val="PargrafodaLista"/>
        <w:spacing w:before="120" w:after="120" w:line="360" w:lineRule="auto"/>
        <w:ind w:left="0" w:firstLine="1134"/>
        <w:contextualSpacing w:val="0"/>
        <w:jc w:val="both"/>
        <w:rPr>
          <w:rFonts w:ascii="Times New Roman" w:eastAsiaTheme="minorHAnsi" w:hAnsi="Times New Roman"/>
          <w:color w:val="000000"/>
          <w:sz w:val="24"/>
          <w:szCs w:val="24"/>
          <w:lang w:val="pt-BR"/>
        </w:rPr>
      </w:pPr>
      <w:r w:rsidRPr="00413879">
        <w:rPr>
          <w:rFonts w:ascii="Times New Roman" w:eastAsiaTheme="minorHAnsi" w:hAnsi="Times New Roman"/>
          <w:color w:val="000000"/>
          <w:sz w:val="24"/>
          <w:szCs w:val="24"/>
          <w:lang w:val="pt-BR"/>
        </w:rPr>
        <w:t>Em atendimento à solicitação de manifestação em relação</w:t>
      </w:r>
      <w:r w:rsidR="005A4278" w:rsidRPr="00413879">
        <w:rPr>
          <w:rFonts w:ascii="Times New Roman" w:eastAsiaTheme="minorHAnsi" w:hAnsi="Times New Roman"/>
          <w:color w:val="000000"/>
          <w:sz w:val="24"/>
          <w:szCs w:val="24"/>
          <w:lang w:val="pt-BR"/>
        </w:rPr>
        <w:t xml:space="preserve"> à revisão </w:t>
      </w:r>
      <w:r w:rsidR="00C87B83" w:rsidRPr="00413879">
        <w:rPr>
          <w:rFonts w:ascii="Times New Roman" w:eastAsiaTheme="minorHAnsi" w:hAnsi="Times New Roman"/>
          <w:color w:val="000000"/>
          <w:sz w:val="24"/>
          <w:szCs w:val="24"/>
          <w:lang w:val="pt-BR"/>
        </w:rPr>
        <w:t>d</w:t>
      </w:r>
      <w:r w:rsidR="002935CE" w:rsidRPr="00413879">
        <w:rPr>
          <w:rFonts w:ascii="Times New Roman" w:eastAsiaTheme="minorHAnsi" w:hAnsi="Times New Roman"/>
          <w:color w:val="000000"/>
          <w:sz w:val="24"/>
          <w:szCs w:val="24"/>
          <w:lang w:val="pt-BR"/>
        </w:rPr>
        <w:t>a</w:t>
      </w:r>
      <w:r w:rsidR="00C87B83" w:rsidRPr="00413879">
        <w:rPr>
          <w:rFonts w:ascii="Times New Roman" w:eastAsiaTheme="minorHAnsi" w:hAnsi="Times New Roman"/>
          <w:color w:val="000000"/>
          <w:sz w:val="24"/>
          <w:szCs w:val="24"/>
          <w:lang w:val="pt-BR"/>
        </w:rPr>
        <w:t xml:space="preserve"> resolução </w:t>
      </w:r>
      <w:r w:rsidR="005A4278" w:rsidRPr="00413879">
        <w:rPr>
          <w:rFonts w:ascii="Times New Roman" w:eastAsiaTheme="minorHAnsi" w:hAnsi="Times New Roman"/>
          <w:color w:val="000000"/>
          <w:sz w:val="24"/>
          <w:szCs w:val="24"/>
          <w:lang w:val="pt-BR"/>
        </w:rPr>
        <w:t>em questão</w:t>
      </w:r>
      <w:r w:rsidR="00C87B83" w:rsidRPr="00413879">
        <w:rPr>
          <w:rFonts w:ascii="Times New Roman" w:eastAsiaTheme="minorHAnsi" w:hAnsi="Times New Roman"/>
          <w:color w:val="000000"/>
          <w:sz w:val="24"/>
          <w:szCs w:val="24"/>
          <w:lang w:val="pt-BR"/>
        </w:rPr>
        <w:t>,</w:t>
      </w:r>
      <w:r w:rsidR="007A1E33" w:rsidRPr="00413879">
        <w:rPr>
          <w:rFonts w:ascii="Times New Roman" w:eastAsiaTheme="minorHAnsi" w:hAnsi="Times New Roman"/>
          <w:color w:val="000000"/>
          <w:sz w:val="24"/>
          <w:szCs w:val="24"/>
          <w:lang w:val="pt-BR"/>
        </w:rPr>
        <w:t xml:space="preserve"> a </w:t>
      </w:r>
      <w:r w:rsidR="00716FAD" w:rsidRPr="00413879">
        <w:rPr>
          <w:rFonts w:ascii="Times New Roman" w:eastAsiaTheme="minorHAnsi" w:hAnsi="Times New Roman"/>
          <w:color w:val="000000"/>
          <w:sz w:val="24"/>
          <w:szCs w:val="24"/>
          <w:lang w:val="pt-BR"/>
        </w:rPr>
        <w:t xml:space="preserve">Coordenadoria </w:t>
      </w:r>
      <w:r w:rsidR="00CC76BD" w:rsidRPr="00413879">
        <w:rPr>
          <w:rFonts w:ascii="Times New Roman" w:eastAsiaTheme="minorHAnsi" w:hAnsi="Times New Roman"/>
          <w:color w:val="000000"/>
          <w:sz w:val="24"/>
          <w:szCs w:val="24"/>
          <w:lang w:val="pt-BR"/>
        </w:rPr>
        <w:t>de Defesa da Concorrência</w:t>
      </w:r>
      <w:r w:rsidR="006F50C3" w:rsidRPr="00413879">
        <w:rPr>
          <w:rFonts w:ascii="Times New Roman" w:eastAsiaTheme="minorHAnsi" w:hAnsi="Times New Roman"/>
          <w:color w:val="000000"/>
          <w:sz w:val="24"/>
          <w:szCs w:val="24"/>
          <w:lang w:val="pt-BR"/>
        </w:rPr>
        <w:t xml:space="preserve"> (CDC)</w:t>
      </w:r>
      <w:r w:rsidR="00CC76BD" w:rsidRPr="00413879">
        <w:rPr>
          <w:rFonts w:ascii="Times New Roman" w:eastAsiaTheme="minorHAnsi" w:hAnsi="Times New Roman"/>
          <w:color w:val="000000"/>
          <w:sz w:val="24"/>
          <w:szCs w:val="24"/>
          <w:lang w:val="pt-BR"/>
        </w:rPr>
        <w:t>, que</w:t>
      </w:r>
      <w:r w:rsidRPr="00413879">
        <w:rPr>
          <w:rFonts w:ascii="Times New Roman" w:eastAsiaTheme="minorHAnsi" w:hAnsi="Times New Roman"/>
          <w:color w:val="000000"/>
          <w:sz w:val="24"/>
          <w:szCs w:val="24"/>
          <w:lang w:val="pt-BR"/>
        </w:rPr>
        <w:t xml:space="preserve"> </w:t>
      </w:r>
      <w:r w:rsidR="00302DB9" w:rsidRPr="00413879">
        <w:rPr>
          <w:rFonts w:ascii="Times New Roman" w:eastAsiaTheme="minorHAnsi" w:hAnsi="Times New Roman"/>
          <w:color w:val="000000"/>
          <w:sz w:val="24"/>
          <w:szCs w:val="24"/>
          <w:lang w:val="pt-BR"/>
        </w:rPr>
        <w:t xml:space="preserve">visa avaliar a estrutura dos mercados afetados pelas </w:t>
      </w:r>
      <w:r w:rsidR="00302DB9" w:rsidRPr="00413879">
        <w:rPr>
          <w:rFonts w:ascii="Times New Roman" w:hAnsi="Times New Roman"/>
          <w:sz w:val="24"/>
          <w:szCs w:val="24"/>
          <w:lang w:val="pt-BR"/>
        </w:rPr>
        <w:t>alterações</w:t>
      </w:r>
      <w:r w:rsidR="00302DB9" w:rsidRPr="00413879">
        <w:rPr>
          <w:rFonts w:ascii="Times New Roman" w:eastAsiaTheme="minorHAnsi" w:hAnsi="Times New Roman"/>
          <w:color w:val="000000"/>
          <w:sz w:val="24"/>
          <w:szCs w:val="24"/>
          <w:lang w:val="pt-BR"/>
        </w:rPr>
        <w:t xml:space="preserve"> regulatórias</w:t>
      </w:r>
      <w:r w:rsidR="009F07D1" w:rsidRPr="00413879">
        <w:rPr>
          <w:rFonts w:ascii="Times New Roman" w:eastAsiaTheme="minorHAnsi" w:hAnsi="Times New Roman"/>
          <w:color w:val="000000"/>
          <w:sz w:val="24"/>
          <w:szCs w:val="24"/>
          <w:lang w:val="pt-BR"/>
        </w:rPr>
        <w:t xml:space="preserve"> apresentou suas considerações</w:t>
      </w:r>
      <w:r w:rsidR="008C45E3" w:rsidRPr="00413879">
        <w:rPr>
          <w:rFonts w:ascii="Times New Roman" w:eastAsiaTheme="minorHAnsi" w:hAnsi="Times New Roman"/>
          <w:color w:val="000000"/>
          <w:sz w:val="24"/>
          <w:szCs w:val="24"/>
          <w:lang w:val="pt-BR"/>
        </w:rPr>
        <w:t xml:space="preserve"> sobre uma primeira versão</w:t>
      </w:r>
      <w:r w:rsidR="003913E6" w:rsidRPr="00413879">
        <w:rPr>
          <w:rFonts w:ascii="Times New Roman" w:eastAsiaTheme="minorHAnsi" w:hAnsi="Times New Roman"/>
          <w:color w:val="000000"/>
          <w:sz w:val="24"/>
          <w:szCs w:val="24"/>
          <w:lang w:val="pt-BR"/>
        </w:rPr>
        <w:t xml:space="preserve"> desta Avaliação de Impacto Regulatório (Nota Técnica n° 41/2013/CPT/DF) que foi publicada em </w:t>
      </w:r>
      <w:r w:rsidR="006C52CD" w:rsidRPr="00413879">
        <w:rPr>
          <w:rFonts w:ascii="Times New Roman" w:eastAsiaTheme="minorHAnsi" w:hAnsi="Times New Roman"/>
          <w:color w:val="000000"/>
          <w:sz w:val="24"/>
          <w:szCs w:val="24"/>
          <w:lang w:val="pt-BR"/>
        </w:rPr>
        <w:t>9 de julho de 2013</w:t>
      </w:r>
      <w:r w:rsidR="003913E6" w:rsidRPr="00413879">
        <w:rPr>
          <w:rFonts w:ascii="Times New Roman" w:eastAsiaTheme="minorHAnsi" w:hAnsi="Times New Roman"/>
          <w:color w:val="000000"/>
          <w:sz w:val="24"/>
          <w:szCs w:val="24"/>
          <w:lang w:val="pt-BR"/>
        </w:rPr>
        <w:t xml:space="preserve"> no site da ANP na Internet</w:t>
      </w:r>
      <w:r w:rsidR="009F07D1" w:rsidRPr="00413879">
        <w:rPr>
          <w:rFonts w:ascii="Times New Roman" w:eastAsiaTheme="minorHAnsi" w:hAnsi="Times New Roman"/>
          <w:color w:val="000000"/>
          <w:sz w:val="24"/>
          <w:szCs w:val="24"/>
          <w:lang w:val="pt-BR"/>
        </w:rPr>
        <w:t>.</w:t>
      </w:r>
    </w:p>
    <w:p w:rsidR="005815BA" w:rsidRPr="00413879" w:rsidRDefault="00716FAD"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 xml:space="preserve">Em resumo, a CDC afirmou em </w:t>
      </w:r>
      <w:r w:rsidR="00661D59" w:rsidRPr="00413879">
        <w:rPr>
          <w:rFonts w:ascii="Times New Roman" w:hAnsi="Times New Roman"/>
          <w:sz w:val="24"/>
          <w:szCs w:val="24"/>
          <w:lang w:val="pt-BR"/>
        </w:rPr>
        <w:t>seu parecer</w:t>
      </w:r>
      <w:r w:rsidR="009B7C9C" w:rsidRPr="00413879">
        <w:rPr>
          <w:rFonts w:ascii="Times New Roman" w:hAnsi="Times New Roman"/>
          <w:sz w:val="24"/>
          <w:szCs w:val="24"/>
          <w:lang w:val="pt-BR"/>
        </w:rPr>
        <w:t xml:space="preserve"> (Anexo VI</w:t>
      </w:r>
      <w:r w:rsidR="004C7321" w:rsidRPr="00413879">
        <w:rPr>
          <w:rFonts w:ascii="Times New Roman" w:hAnsi="Times New Roman"/>
          <w:sz w:val="24"/>
          <w:szCs w:val="24"/>
          <w:lang w:val="pt-BR"/>
        </w:rPr>
        <w:t>I</w:t>
      </w:r>
      <w:r w:rsidR="009B7C9C" w:rsidRPr="00413879">
        <w:rPr>
          <w:rFonts w:ascii="Times New Roman" w:hAnsi="Times New Roman"/>
          <w:sz w:val="24"/>
          <w:szCs w:val="24"/>
          <w:lang w:val="pt-BR"/>
        </w:rPr>
        <w:t>)</w:t>
      </w:r>
      <w:r w:rsidRPr="00413879">
        <w:rPr>
          <w:rFonts w:ascii="Times New Roman" w:hAnsi="Times New Roman"/>
          <w:sz w:val="24"/>
          <w:szCs w:val="24"/>
          <w:lang w:val="pt-BR"/>
        </w:rPr>
        <w:t xml:space="preserve"> que, </w:t>
      </w:r>
      <w:r w:rsidR="00661D59" w:rsidRPr="00413879">
        <w:rPr>
          <w:rFonts w:ascii="Times New Roman" w:hAnsi="Times New Roman"/>
          <w:sz w:val="24"/>
          <w:szCs w:val="24"/>
          <w:lang w:val="pt-BR"/>
        </w:rPr>
        <w:t>avaliando</w:t>
      </w:r>
      <w:r w:rsidRPr="00413879">
        <w:rPr>
          <w:rFonts w:ascii="Times New Roman" w:hAnsi="Times New Roman"/>
          <w:sz w:val="24"/>
          <w:szCs w:val="24"/>
          <w:lang w:val="pt-BR"/>
        </w:rPr>
        <w:t xml:space="preserve"> </w:t>
      </w:r>
      <w:r w:rsidR="00D05FEF" w:rsidRPr="00413879">
        <w:rPr>
          <w:rFonts w:ascii="Times New Roman" w:hAnsi="Times New Roman"/>
          <w:sz w:val="24"/>
          <w:szCs w:val="24"/>
          <w:lang w:val="pt-BR"/>
        </w:rPr>
        <w:t>os aspectos estritamente concorrenciais,</w:t>
      </w:r>
      <w:r w:rsidRPr="00413879">
        <w:rPr>
          <w:rFonts w:ascii="Times New Roman" w:hAnsi="Times New Roman"/>
          <w:sz w:val="24"/>
          <w:szCs w:val="24"/>
          <w:lang w:val="pt-BR"/>
        </w:rPr>
        <w:t xml:space="preserve"> e com base nas informações fornecidas,</w:t>
      </w:r>
      <w:r w:rsidR="00D05FEF" w:rsidRPr="00413879">
        <w:rPr>
          <w:rFonts w:ascii="Times New Roman" w:hAnsi="Times New Roman"/>
          <w:sz w:val="24"/>
          <w:szCs w:val="24"/>
          <w:lang w:val="pt-BR"/>
        </w:rPr>
        <w:t xml:space="preserve"> entende não se poder</w:t>
      </w:r>
      <w:r w:rsidR="00EC3DD9" w:rsidRPr="00413879">
        <w:rPr>
          <w:rFonts w:ascii="Times New Roman" w:hAnsi="Times New Roman"/>
          <w:sz w:val="24"/>
          <w:szCs w:val="24"/>
          <w:lang w:val="pt-BR"/>
        </w:rPr>
        <w:t xml:space="preserve"> afirmar que as alterações propostas prejudicariam a concorrência nos mercados</w:t>
      </w:r>
      <w:r w:rsidR="00707B44" w:rsidRPr="00413879">
        <w:rPr>
          <w:rFonts w:ascii="Times New Roman" w:hAnsi="Times New Roman"/>
          <w:sz w:val="24"/>
          <w:szCs w:val="24"/>
          <w:lang w:val="pt-BR"/>
        </w:rPr>
        <w:t xml:space="preserve"> e que as propostas, em tese, reduziriam as barreiras regulatórias nos mercados de aditivos </w:t>
      </w:r>
      <w:proofErr w:type="spellStart"/>
      <w:r w:rsidR="00707B44" w:rsidRPr="00413879">
        <w:rPr>
          <w:rFonts w:ascii="Times New Roman" w:hAnsi="Times New Roman"/>
          <w:sz w:val="24"/>
          <w:szCs w:val="24"/>
          <w:lang w:val="pt-BR"/>
        </w:rPr>
        <w:t>aftermarket</w:t>
      </w:r>
      <w:proofErr w:type="spellEnd"/>
      <w:r w:rsidR="00707B44" w:rsidRPr="00413879">
        <w:rPr>
          <w:rFonts w:ascii="Times New Roman" w:hAnsi="Times New Roman"/>
          <w:sz w:val="24"/>
          <w:szCs w:val="24"/>
          <w:lang w:val="pt-BR"/>
        </w:rPr>
        <w:t xml:space="preserve"> e de lubrificantes industriais.</w:t>
      </w:r>
    </w:p>
    <w:p w:rsidR="00396F82" w:rsidRPr="00413879" w:rsidRDefault="005815BA" w:rsidP="00E107A4">
      <w:pPr>
        <w:pStyle w:val="PargrafodaLista"/>
        <w:spacing w:before="120" w:after="120" w:line="360" w:lineRule="auto"/>
        <w:ind w:left="0" w:firstLine="1134"/>
        <w:contextualSpacing w:val="0"/>
        <w:jc w:val="both"/>
        <w:rPr>
          <w:rFonts w:ascii="Times New Roman" w:hAnsi="Times New Roman"/>
          <w:sz w:val="24"/>
          <w:szCs w:val="24"/>
          <w:lang w:val="pt-BR"/>
        </w:rPr>
      </w:pPr>
      <w:r w:rsidRPr="00413879">
        <w:rPr>
          <w:rFonts w:ascii="Times New Roman" w:hAnsi="Times New Roman"/>
          <w:sz w:val="24"/>
          <w:szCs w:val="24"/>
          <w:lang w:val="pt-BR"/>
        </w:rPr>
        <w:t>Quanto ao mercado de lubrificantes automotivos</w:t>
      </w:r>
      <w:r w:rsidR="00537A9E" w:rsidRPr="00413879">
        <w:rPr>
          <w:rFonts w:ascii="Times New Roman" w:hAnsi="Times New Roman"/>
          <w:sz w:val="24"/>
          <w:szCs w:val="24"/>
          <w:lang w:val="pt-BR"/>
        </w:rPr>
        <w:t>, considerando que os níveis de desempenho dos óleos lubrificantes automotivos estão relacionados aos avanços da indústria automobilística</w:t>
      </w:r>
      <w:r w:rsidRPr="00413879">
        <w:rPr>
          <w:rFonts w:ascii="Times New Roman" w:hAnsi="Times New Roman"/>
          <w:sz w:val="24"/>
          <w:szCs w:val="24"/>
          <w:lang w:val="pt-BR"/>
        </w:rPr>
        <w:t xml:space="preserve">, julga que, </w:t>
      </w:r>
      <w:r w:rsidR="00716FAD" w:rsidRPr="00413879">
        <w:rPr>
          <w:rFonts w:ascii="Times New Roman" w:hAnsi="Times New Roman"/>
          <w:sz w:val="24"/>
          <w:szCs w:val="24"/>
          <w:lang w:val="pt-BR"/>
        </w:rPr>
        <w:t xml:space="preserve">em </w:t>
      </w:r>
      <w:r w:rsidRPr="00413879">
        <w:rPr>
          <w:rFonts w:ascii="Times New Roman" w:hAnsi="Times New Roman"/>
          <w:sz w:val="24"/>
          <w:szCs w:val="24"/>
          <w:lang w:val="pt-BR"/>
        </w:rPr>
        <w:t>princípio, eventual prejuízo à concorrência seria amplamente compensado pelo aumento de eficiência do produto</w:t>
      </w:r>
      <w:r w:rsidR="0052788B" w:rsidRPr="00413879">
        <w:rPr>
          <w:rFonts w:ascii="Times New Roman" w:hAnsi="Times New Roman"/>
          <w:sz w:val="24"/>
          <w:szCs w:val="24"/>
          <w:lang w:val="pt-BR"/>
        </w:rPr>
        <w:t>, redução do impacto ambiental e pela proteç</w:t>
      </w:r>
      <w:r w:rsidR="00537A9E" w:rsidRPr="00413879">
        <w:rPr>
          <w:rFonts w:ascii="Times New Roman" w:hAnsi="Times New Roman"/>
          <w:sz w:val="24"/>
          <w:szCs w:val="24"/>
          <w:lang w:val="pt-BR"/>
        </w:rPr>
        <w:t>ão dos interesses do consumidor</w:t>
      </w:r>
      <w:r w:rsidR="003C2D44" w:rsidRPr="00413879">
        <w:rPr>
          <w:rFonts w:ascii="Times New Roman" w:hAnsi="Times New Roman"/>
          <w:sz w:val="24"/>
          <w:szCs w:val="24"/>
          <w:lang w:val="pt-BR"/>
        </w:rPr>
        <w:t>.</w:t>
      </w:r>
      <w:r w:rsidR="00707B44" w:rsidRPr="00413879">
        <w:rPr>
          <w:rFonts w:ascii="Times New Roman" w:hAnsi="Times New Roman"/>
          <w:sz w:val="24"/>
          <w:szCs w:val="24"/>
          <w:lang w:val="pt-BR"/>
        </w:rPr>
        <w:t xml:space="preserve"> </w:t>
      </w:r>
    </w:p>
    <w:p w:rsidR="002D5B09" w:rsidRPr="00413879" w:rsidRDefault="00E00A74" w:rsidP="00B96146">
      <w:pPr>
        <w:pStyle w:val="PargrafodaLista"/>
        <w:numPr>
          <w:ilvl w:val="0"/>
          <w:numId w:val="8"/>
        </w:numPr>
        <w:spacing w:before="240" w:after="240" w:line="360" w:lineRule="auto"/>
        <w:ind w:left="357" w:hanging="357"/>
        <w:contextualSpacing w:val="0"/>
        <w:jc w:val="both"/>
        <w:rPr>
          <w:rFonts w:ascii="Times New Roman" w:hAnsi="Times New Roman"/>
          <w:b/>
          <w:sz w:val="24"/>
          <w:szCs w:val="24"/>
          <w:lang w:val="pt-BR"/>
        </w:rPr>
      </w:pPr>
      <w:r w:rsidRPr="00413879">
        <w:rPr>
          <w:rFonts w:ascii="Times New Roman" w:hAnsi="Times New Roman"/>
          <w:b/>
          <w:sz w:val="24"/>
          <w:szCs w:val="24"/>
          <w:lang w:val="pt-BR"/>
        </w:rPr>
        <w:t>CONCLUSÃO</w:t>
      </w:r>
    </w:p>
    <w:p w:rsidR="001F64F7" w:rsidRPr="00413879" w:rsidRDefault="00194272" w:rsidP="001F64F7">
      <w:pPr>
        <w:pStyle w:val="PargrafodaLista"/>
        <w:spacing w:before="120" w:after="120" w:line="360" w:lineRule="auto"/>
        <w:ind w:left="0" w:firstLine="1134"/>
        <w:contextualSpacing w:val="0"/>
        <w:jc w:val="both"/>
        <w:rPr>
          <w:rFonts w:ascii="Times New Roman" w:hAnsi="Times New Roman"/>
          <w:sz w:val="24"/>
          <w:szCs w:val="24"/>
          <w:lang w:val="pt-BR"/>
        </w:rPr>
      </w:pPr>
      <w:r w:rsidRPr="00194272">
        <w:rPr>
          <w:rFonts w:ascii="Times New Roman" w:hAnsi="Times New Roman"/>
          <w:sz w:val="24"/>
          <w:szCs w:val="24"/>
          <w:lang w:val="pt-BR"/>
        </w:rPr>
        <w:t>Após avaliação de todas as informações adquiridas pelo grupo, da consulta pública do relatório preliminar e das reuniões com os agentes afetados, pode-se concluir que:</w:t>
      </w:r>
    </w:p>
    <w:p w:rsidR="001F64F7" w:rsidRPr="00413879" w:rsidRDefault="00194272" w:rsidP="001F64F7">
      <w:pPr>
        <w:pStyle w:val="PargrafodaLista"/>
        <w:numPr>
          <w:ilvl w:val="0"/>
          <w:numId w:val="4"/>
        </w:numPr>
        <w:spacing w:before="120" w:after="120" w:line="360" w:lineRule="auto"/>
        <w:jc w:val="both"/>
        <w:rPr>
          <w:rFonts w:ascii="Times New Roman" w:hAnsi="Times New Roman"/>
          <w:sz w:val="24"/>
          <w:szCs w:val="24"/>
          <w:lang w:val="pt-BR"/>
        </w:rPr>
      </w:pPr>
      <w:r w:rsidRPr="00194272">
        <w:rPr>
          <w:rFonts w:ascii="Times New Roman" w:hAnsi="Times New Roman"/>
          <w:sz w:val="24"/>
          <w:szCs w:val="24"/>
          <w:lang w:val="pt-BR"/>
        </w:rPr>
        <w:t>o percentual de consumo no mercado atual para os níveis API SF e CF não apresenta relevância expressiva frente a outros níveis de desempenho mais elevados;</w:t>
      </w:r>
    </w:p>
    <w:p w:rsidR="001F64F7" w:rsidRPr="00413879" w:rsidRDefault="00194272" w:rsidP="001F64F7">
      <w:pPr>
        <w:pStyle w:val="PargrafodaLista"/>
        <w:numPr>
          <w:ilvl w:val="0"/>
          <w:numId w:val="4"/>
        </w:numPr>
        <w:spacing w:after="0" w:line="360" w:lineRule="auto"/>
        <w:jc w:val="both"/>
        <w:rPr>
          <w:rFonts w:ascii="Times New Roman" w:hAnsi="Times New Roman"/>
          <w:sz w:val="24"/>
          <w:szCs w:val="24"/>
          <w:lang w:val="pt-BR"/>
        </w:rPr>
      </w:pPr>
      <w:r w:rsidRPr="00194272">
        <w:rPr>
          <w:rFonts w:ascii="Times New Roman" w:hAnsi="Times New Roman"/>
          <w:sz w:val="24"/>
          <w:szCs w:val="24"/>
          <w:lang w:val="pt-BR"/>
        </w:rPr>
        <w:t>os dados de frota brasileira circulante no País indicam grande renovação, sendo que 44% possui até 5 anos de idade e 65% possui até 10 anos;</w:t>
      </w:r>
    </w:p>
    <w:p w:rsidR="001F64F7" w:rsidRPr="00413879" w:rsidRDefault="00194272" w:rsidP="001F64F7">
      <w:pPr>
        <w:pStyle w:val="PargrafodaLista"/>
        <w:numPr>
          <w:ilvl w:val="0"/>
          <w:numId w:val="4"/>
        </w:numPr>
        <w:spacing w:after="0" w:line="360" w:lineRule="auto"/>
        <w:jc w:val="both"/>
        <w:rPr>
          <w:rFonts w:ascii="Times New Roman" w:hAnsi="Times New Roman"/>
          <w:sz w:val="24"/>
          <w:szCs w:val="24"/>
          <w:lang w:val="pt-BR"/>
        </w:rPr>
      </w:pPr>
      <w:r w:rsidRPr="00194272">
        <w:rPr>
          <w:rFonts w:ascii="Times New Roman" w:hAnsi="Times New Roman"/>
          <w:sz w:val="24"/>
          <w:szCs w:val="24"/>
          <w:lang w:val="pt-BR"/>
        </w:rPr>
        <w:t>a maior parte das montadoras não recomenda o API SF desde 2001 e o API CF desde 2006;</w:t>
      </w:r>
    </w:p>
    <w:p w:rsidR="001F64F7" w:rsidRPr="00413879" w:rsidRDefault="00194272" w:rsidP="001F64F7">
      <w:pPr>
        <w:pStyle w:val="PargrafodaLista"/>
        <w:numPr>
          <w:ilvl w:val="0"/>
          <w:numId w:val="4"/>
        </w:numPr>
        <w:spacing w:after="0" w:line="360" w:lineRule="auto"/>
        <w:jc w:val="both"/>
        <w:rPr>
          <w:rFonts w:ascii="Times New Roman" w:hAnsi="Times New Roman"/>
          <w:sz w:val="24"/>
          <w:szCs w:val="24"/>
          <w:lang w:val="pt-BR"/>
        </w:rPr>
      </w:pPr>
      <w:r w:rsidRPr="00194272">
        <w:rPr>
          <w:rFonts w:ascii="Times New Roman" w:hAnsi="Times New Roman"/>
          <w:sz w:val="24"/>
          <w:szCs w:val="24"/>
          <w:lang w:val="pt-BR"/>
        </w:rPr>
        <w:lastRenderedPageBreak/>
        <w:t>o uso de produtos com níveis API superiores ao indicado para o veículo não o prejudica, atendendo e superando todas as exigências do motor;</w:t>
      </w:r>
    </w:p>
    <w:p w:rsidR="001F64F7" w:rsidRPr="00413879" w:rsidRDefault="00194272" w:rsidP="001F64F7">
      <w:pPr>
        <w:pStyle w:val="PargrafodaLista"/>
        <w:numPr>
          <w:ilvl w:val="0"/>
          <w:numId w:val="4"/>
        </w:numPr>
        <w:spacing w:after="0" w:line="360" w:lineRule="auto"/>
        <w:jc w:val="both"/>
        <w:rPr>
          <w:rFonts w:ascii="Times New Roman" w:hAnsi="Times New Roman"/>
          <w:sz w:val="24"/>
          <w:szCs w:val="24"/>
          <w:lang w:val="pt-BR"/>
        </w:rPr>
      </w:pPr>
      <w:r w:rsidRPr="00194272">
        <w:rPr>
          <w:rFonts w:ascii="Times New Roman" w:hAnsi="Times New Roman"/>
          <w:sz w:val="24"/>
          <w:szCs w:val="24"/>
          <w:lang w:val="pt-BR"/>
        </w:rPr>
        <w:t>dentre os benefícios da elevação do nível mínimo de desempenho constam a redução de emissões dos poluentes veiculares, economia de combustível, maior proteção ao motor, além de redução do volume gerado de óleo lubrificante usado ou contaminado (OLUC) e de embalagens;</w:t>
      </w:r>
    </w:p>
    <w:p w:rsidR="001F64F7" w:rsidRPr="00413879" w:rsidRDefault="00194272" w:rsidP="001F64F7">
      <w:pPr>
        <w:pStyle w:val="PargrafodaLista"/>
        <w:numPr>
          <w:ilvl w:val="0"/>
          <w:numId w:val="4"/>
        </w:numPr>
        <w:spacing w:after="0" w:line="360" w:lineRule="auto"/>
        <w:jc w:val="both"/>
        <w:rPr>
          <w:rFonts w:ascii="Times New Roman" w:hAnsi="Times New Roman"/>
          <w:sz w:val="24"/>
          <w:szCs w:val="24"/>
          <w:lang w:val="pt-BR"/>
        </w:rPr>
      </w:pPr>
      <w:r w:rsidRPr="00194272">
        <w:rPr>
          <w:rFonts w:ascii="Times New Roman" w:hAnsi="Times New Roman"/>
          <w:sz w:val="24"/>
          <w:szCs w:val="24"/>
          <w:lang w:val="pt-BR"/>
        </w:rPr>
        <w:t>o aumento de custo dos insumos decorrente da elevação do nível de desempenho mínimo fica entre R$ 0,10 e R$ 0,20 por litro como informado pelos fabricantes de aditivos para formulação de lubrificantes acabados.</w:t>
      </w:r>
    </w:p>
    <w:p w:rsidR="001F64F7" w:rsidRPr="00413879" w:rsidRDefault="00194272" w:rsidP="001F64F7">
      <w:pPr>
        <w:pStyle w:val="PargrafodaLista"/>
        <w:numPr>
          <w:ilvl w:val="0"/>
          <w:numId w:val="4"/>
        </w:numPr>
        <w:spacing w:after="0" w:line="360" w:lineRule="auto"/>
        <w:jc w:val="both"/>
        <w:rPr>
          <w:rFonts w:ascii="Times New Roman" w:hAnsi="Times New Roman"/>
          <w:sz w:val="24"/>
          <w:szCs w:val="24"/>
          <w:lang w:val="pt-BR"/>
        </w:rPr>
      </w:pPr>
      <w:r w:rsidRPr="00194272">
        <w:rPr>
          <w:rFonts w:ascii="Times New Roman" w:hAnsi="Times New Roman"/>
          <w:sz w:val="24"/>
          <w:szCs w:val="24"/>
          <w:lang w:val="pt-BR"/>
        </w:rPr>
        <w:t>é praticamente unânime entre os agentes do mercado e os produtores de veículos a necessidade de se elevar o nível mínimo de desempenho dos lubrificantes automotivos no País;</w:t>
      </w:r>
    </w:p>
    <w:p w:rsidR="001F64F7" w:rsidRPr="00413879" w:rsidRDefault="00194272" w:rsidP="001F64F7">
      <w:pPr>
        <w:pStyle w:val="PargrafodaLista"/>
        <w:numPr>
          <w:ilvl w:val="0"/>
          <w:numId w:val="4"/>
        </w:numPr>
        <w:spacing w:after="0" w:line="360" w:lineRule="auto"/>
        <w:jc w:val="both"/>
        <w:rPr>
          <w:rFonts w:ascii="Times New Roman" w:hAnsi="Times New Roman"/>
          <w:sz w:val="24"/>
          <w:szCs w:val="24"/>
          <w:lang w:val="pt-BR"/>
        </w:rPr>
      </w:pPr>
      <w:r w:rsidRPr="00194272">
        <w:rPr>
          <w:rFonts w:ascii="Times New Roman" w:hAnsi="Times New Roman"/>
          <w:sz w:val="24"/>
          <w:szCs w:val="24"/>
          <w:lang w:val="pt-BR"/>
        </w:rPr>
        <w:t>os fabricantes de veículos automotivos recomendam que seus usuários não utilizem aditivos em frascos, afirmando que os mesmos podem causar danos ao veículo, sem cobertura de garantia;</w:t>
      </w:r>
    </w:p>
    <w:p w:rsidR="001F64F7" w:rsidRPr="00413879" w:rsidRDefault="00194272" w:rsidP="001F64F7">
      <w:pPr>
        <w:pStyle w:val="PargrafodaLista"/>
        <w:numPr>
          <w:ilvl w:val="0"/>
          <w:numId w:val="4"/>
        </w:numPr>
        <w:spacing w:after="0" w:line="360" w:lineRule="auto"/>
        <w:jc w:val="both"/>
        <w:rPr>
          <w:rFonts w:ascii="Times New Roman" w:hAnsi="Times New Roman"/>
          <w:sz w:val="24"/>
          <w:szCs w:val="24"/>
          <w:lang w:val="pt-BR"/>
        </w:rPr>
      </w:pPr>
      <w:r w:rsidRPr="00194272">
        <w:rPr>
          <w:rFonts w:ascii="Times New Roman" w:hAnsi="Times New Roman"/>
          <w:sz w:val="24"/>
          <w:szCs w:val="24"/>
          <w:lang w:val="pt-BR"/>
        </w:rPr>
        <w:t>as tecnologias de óleos lubrificantes acabados disponíveis no mercado brasileiro atendem integralmente as exigências dos motores, quando usados conforme indicado pelo fabricante do veículo;</w:t>
      </w:r>
    </w:p>
    <w:p w:rsidR="001F64F7" w:rsidRPr="00413879" w:rsidRDefault="00194272" w:rsidP="001F64F7">
      <w:pPr>
        <w:pStyle w:val="PargrafodaLista"/>
        <w:numPr>
          <w:ilvl w:val="0"/>
          <w:numId w:val="4"/>
        </w:numPr>
        <w:spacing w:after="0" w:line="360" w:lineRule="auto"/>
        <w:jc w:val="both"/>
        <w:rPr>
          <w:rFonts w:ascii="Times New Roman" w:hAnsi="Times New Roman"/>
          <w:sz w:val="24"/>
          <w:szCs w:val="24"/>
          <w:lang w:val="pt-BR"/>
        </w:rPr>
      </w:pPr>
      <w:r w:rsidRPr="00194272">
        <w:rPr>
          <w:rFonts w:ascii="Times New Roman" w:hAnsi="Times New Roman"/>
          <w:sz w:val="24"/>
          <w:szCs w:val="24"/>
          <w:lang w:val="pt-BR"/>
        </w:rPr>
        <w:t xml:space="preserve">parte dos agentes econômicos não estão de acordo com a isenção do registro para os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xml:space="preserve"> por considerarem que há a possibilidade de surgir no mercado produtos de baixa qualidade, sem testes de benefícios e "NO HARM", que podem prejudicar tanto o consumidor quanto a concorrência;</w:t>
      </w:r>
    </w:p>
    <w:p w:rsidR="001F64F7" w:rsidRPr="00413879" w:rsidRDefault="00194272" w:rsidP="001F64F7">
      <w:pPr>
        <w:pStyle w:val="PargrafodaLista"/>
        <w:numPr>
          <w:ilvl w:val="0"/>
          <w:numId w:val="4"/>
        </w:numPr>
        <w:spacing w:after="0" w:line="360" w:lineRule="auto"/>
        <w:jc w:val="both"/>
        <w:rPr>
          <w:rFonts w:ascii="Times New Roman" w:hAnsi="Times New Roman"/>
          <w:sz w:val="24"/>
          <w:szCs w:val="24"/>
          <w:lang w:val="pt-BR"/>
        </w:rPr>
      </w:pPr>
      <w:r w:rsidRPr="00194272">
        <w:rPr>
          <w:rFonts w:ascii="Times New Roman" w:hAnsi="Times New Roman"/>
          <w:sz w:val="24"/>
          <w:szCs w:val="24"/>
          <w:lang w:val="pt-BR"/>
        </w:rPr>
        <w:t xml:space="preserve">a Resolução ANP n° 10/2007 está desatualizada quanto às exigências para fins de registro dos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szCs w:val="24"/>
          <w:lang w:val="pt-BR"/>
        </w:rPr>
        <w:t xml:space="preserve">, pois não prevê todas as </w:t>
      </w:r>
      <w:proofErr w:type="spellStart"/>
      <w:r w:rsidRPr="00194272">
        <w:rPr>
          <w:rFonts w:ascii="Times New Roman" w:hAnsi="Times New Roman"/>
          <w:sz w:val="24"/>
          <w:szCs w:val="24"/>
          <w:lang w:val="pt-BR"/>
        </w:rPr>
        <w:t>sequências</w:t>
      </w:r>
      <w:proofErr w:type="spellEnd"/>
      <w:r w:rsidRPr="00194272">
        <w:rPr>
          <w:rFonts w:ascii="Times New Roman" w:hAnsi="Times New Roman"/>
          <w:sz w:val="24"/>
          <w:szCs w:val="24"/>
          <w:lang w:val="pt-BR"/>
        </w:rPr>
        <w:t xml:space="preserve"> necessárias de testes de motor (comprovação "NO HARM") e de testes de benefícios do produto. Assim, a ANP não pode chancelar esse tipo de produto da forma como está regulamentado atualmente;</w:t>
      </w:r>
    </w:p>
    <w:p w:rsidR="001F64F7" w:rsidRPr="00413879" w:rsidRDefault="00194272" w:rsidP="007E4C00">
      <w:pPr>
        <w:pStyle w:val="PargrafodaLista"/>
        <w:numPr>
          <w:ilvl w:val="0"/>
          <w:numId w:val="4"/>
        </w:numPr>
        <w:spacing w:after="0" w:line="360" w:lineRule="auto"/>
        <w:jc w:val="both"/>
        <w:rPr>
          <w:rFonts w:ascii="Times New Roman" w:hAnsi="Times New Roman"/>
          <w:sz w:val="24"/>
          <w:szCs w:val="24"/>
          <w:lang w:val="pt-BR"/>
        </w:rPr>
      </w:pPr>
      <w:r w:rsidRPr="00194272">
        <w:rPr>
          <w:rFonts w:ascii="Times New Roman" w:hAnsi="Times New Roman"/>
          <w:sz w:val="24"/>
          <w:szCs w:val="24"/>
          <w:lang w:val="pt-BR"/>
        </w:rPr>
        <w:t>os agentes econômicos entenderam que os óleos lubrificantes industriais tratados nesta Nota Técnica não necessitam de intervenção regulatória, no que se refere a obrigatoriedade de registro junto à ANP, confirmando a proposição do grupo de que há maior equilíbrio de informações e capacidade técnica na relação de consumo entre produtor e consumidor de grande parte dos lubrificantes industriais.</w:t>
      </w:r>
    </w:p>
    <w:p w:rsidR="00D20200" w:rsidRPr="00413879" w:rsidRDefault="00D20200" w:rsidP="00D20200">
      <w:pPr>
        <w:pStyle w:val="PargrafodaLista"/>
        <w:spacing w:after="0" w:line="360" w:lineRule="auto"/>
        <w:ind w:left="1080"/>
        <w:jc w:val="both"/>
        <w:rPr>
          <w:rFonts w:ascii="Times New Roman" w:hAnsi="Times New Roman"/>
          <w:sz w:val="24"/>
          <w:szCs w:val="24"/>
          <w:lang w:val="pt-BR"/>
        </w:rPr>
      </w:pPr>
    </w:p>
    <w:p w:rsidR="001F64F7" w:rsidRPr="00413879" w:rsidRDefault="00194272" w:rsidP="001F64F7">
      <w:pPr>
        <w:pStyle w:val="PargrafodaLista"/>
        <w:numPr>
          <w:ilvl w:val="0"/>
          <w:numId w:val="8"/>
        </w:numPr>
        <w:spacing w:before="240" w:after="240" w:line="360" w:lineRule="auto"/>
        <w:ind w:left="357" w:hanging="357"/>
        <w:contextualSpacing w:val="0"/>
        <w:jc w:val="both"/>
        <w:rPr>
          <w:rFonts w:ascii="Times New Roman" w:hAnsi="Times New Roman"/>
          <w:b/>
          <w:sz w:val="24"/>
          <w:szCs w:val="24"/>
          <w:lang w:val="pt-BR"/>
        </w:rPr>
      </w:pPr>
      <w:r w:rsidRPr="00194272">
        <w:rPr>
          <w:rFonts w:ascii="Times New Roman" w:hAnsi="Times New Roman"/>
          <w:b/>
          <w:sz w:val="24"/>
          <w:szCs w:val="24"/>
          <w:lang w:val="pt-BR"/>
        </w:rPr>
        <w:lastRenderedPageBreak/>
        <w:t>RECOMENDAÇÕES</w:t>
      </w:r>
    </w:p>
    <w:p w:rsidR="001F64F7" w:rsidRPr="00413879" w:rsidRDefault="00194272" w:rsidP="001F64F7">
      <w:pPr>
        <w:pStyle w:val="PargrafodaLista"/>
        <w:spacing w:before="120" w:after="120" w:line="360" w:lineRule="auto"/>
        <w:ind w:left="0" w:firstLine="1134"/>
        <w:contextualSpacing w:val="0"/>
        <w:jc w:val="both"/>
        <w:rPr>
          <w:rFonts w:ascii="Times New Roman" w:hAnsi="Times New Roman"/>
          <w:sz w:val="24"/>
          <w:lang w:val="pt-BR"/>
        </w:rPr>
      </w:pPr>
      <w:r w:rsidRPr="00194272">
        <w:rPr>
          <w:rFonts w:ascii="Times New Roman" w:hAnsi="Times New Roman"/>
          <w:sz w:val="24"/>
          <w:lang w:val="pt-BR"/>
        </w:rPr>
        <w:t>Com base nas informações levantadas junto aos agentes afetados, aliadas com a análise de custo benefício que subsidiaram esta Nota Técnica, o grupo de trabalho recomenda a elevação dos níveis mínimos de desempenho em duas etapas: uma em 2014 passando de API SF e CF para API SJ e CG-4, respectivamente, e outra em 2016 passando para API SL e CH-4.</w:t>
      </w:r>
    </w:p>
    <w:p w:rsidR="001F64F7" w:rsidRPr="00413879" w:rsidRDefault="00194272" w:rsidP="000B420E">
      <w:pPr>
        <w:pStyle w:val="PargrafodaLista"/>
        <w:spacing w:before="120" w:after="120" w:line="360" w:lineRule="auto"/>
        <w:ind w:left="0" w:firstLine="1134"/>
        <w:contextualSpacing w:val="0"/>
        <w:jc w:val="both"/>
        <w:rPr>
          <w:rFonts w:ascii="Times New Roman" w:hAnsi="Times New Roman"/>
          <w:sz w:val="24"/>
          <w:lang w:val="pt-BR"/>
        </w:rPr>
      </w:pPr>
      <w:r w:rsidRPr="00194272">
        <w:rPr>
          <w:rFonts w:ascii="Times New Roman" w:hAnsi="Times New Roman"/>
          <w:sz w:val="24"/>
          <w:lang w:val="pt-BR"/>
        </w:rPr>
        <w:t xml:space="preserve">Em relação à obrigatoriedade de registro dos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lang w:val="pt-BR"/>
        </w:rPr>
        <w:t xml:space="preserve">, o grupo de trabalho sugere não isentá-los nesse momento, sendo que, a partir de 2014, esse mercado deverá ser mais detalhadamente monitorado. Dessa forma, na revisão da Resolução ANP n° 10/2007 para aditivos </w:t>
      </w:r>
      <w:proofErr w:type="spellStart"/>
      <w:r w:rsidRPr="00194272">
        <w:rPr>
          <w:rFonts w:ascii="Times New Roman" w:hAnsi="Times New Roman"/>
          <w:i/>
          <w:sz w:val="24"/>
          <w:szCs w:val="24"/>
          <w:lang w:val="pt-BR"/>
        </w:rPr>
        <w:t>aftermarket</w:t>
      </w:r>
      <w:proofErr w:type="spellEnd"/>
      <w:r w:rsidRPr="00194272">
        <w:rPr>
          <w:rFonts w:ascii="Times New Roman" w:hAnsi="Times New Roman"/>
          <w:sz w:val="24"/>
          <w:lang w:val="pt-BR"/>
        </w:rPr>
        <w:t>, propõe-se atualizar os requisitos de testes para aprovações de novos registros e revisar aqueles já existentes, até que se estude melhor o funcionamento desse mercado com a finalidade de avaliar a retirada da obrigatoriedade de registro desses produtos junto à ANP.</w:t>
      </w:r>
    </w:p>
    <w:p w:rsidR="00105E3C" w:rsidRPr="00413879" w:rsidRDefault="00194272" w:rsidP="001F64F7">
      <w:pPr>
        <w:pStyle w:val="PargrafodaLista"/>
        <w:spacing w:before="120" w:after="120" w:line="360" w:lineRule="auto"/>
        <w:ind w:left="0" w:firstLine="1134"/>
        <w:contextualSpacing w:val="0"/>
        <w:jc w:val="both"/>
        <w:rPr>
          <w:rFonts w:ascii="Times New Roman" w:hAnsi="Times New Roman"/>
          <w:sz w:val="24"/>
          <w:lang w:val="pt-BR"/>
        </w:rPr>
      </w:pPr>
      <w:r w:rsidRPr="00194272">
        <w:rPr>
          <w:rFonts w:ascii="Times New Roman" w:hAnsi="Times New Roman"/>
          <w:sz w:val="24"/>
          <w:lang w:val="pt-BR"/>
        </w:rPr>
        <w:t>No que se refere aos lubrificantes industriais, a proposta inicial do grupo de trabalho foi integralmente acatada pelos agentes econômicos. Portanto, recomenda-se isentar de registro os lubrificantes industriais constantes no Anexo III.</w:t>
      </w:r>
    </w:p>
    <w:p w:rsidR="00105E3C" w:rsidRPr="00413879" w:rsidRDefault="00105E3C" w:rsidP="001F64F7">
      <w:pPr>
        <w:pStyle w:val="PargrafodaLista"/>
        <w:spacing w:before="120" w:after="120" w:line="360" w:lineRule="auto"/>
        <w:ind w:left="0" w:firstLine="1134"/>
        <w:contextualSpacing w:val="0"/>
        <w:jc w:val="both"/>
        <w:rPr>
          <w:rFonts w:ascii="Times New Roman" w:hAnsi="Times New Roman"/>
          <w:sz w:val="24"/>
          <w:lang w:val="pt-BR"/>
        </w:rPr>
        <w:sectPr w:rsidR="00105E3C" w:rsidRPr="00413879" w:rsidSect="00DC00AB">
          <w:headerReference w:type="even" r:id="rId22"/>
          <w:headerReference w:type="default" r:id="rId23"/>
          <w:headerReference w:type="first" r:id="rId24"/>
          <w:pgSz w:w="11906" w:h="16838" w:code="9"/>
          <w:pgMar w:top="1701" w:right="1134" w:bottom="1134" w:left="1701" w:header="1021" w:footer="1021" w:gutter="0"/>
          <w:cols w:space="708"/>
          <w:docGrid w:linePitch="360"/>
        </w:sectPr>
      </w:pPr>
    </w:p>
    <w:p w:rsidR="00652C43" w:rsidRPr="00413879" w:rsidRDefault="00652C43" w:rsidP="002B27F4">
      <w:pPr>
        <w:spacing w:after="0"/>
        <w:jc w:val="center"/>
        <w:rPr>
          <w:rFonts w:ascii="Times New Roman" w:hAnsi="Times New Roman"/>
          <w:b/>
          <w:bCs/>
          <w:sz w:val="24"/>
          <w:szCs w:val="24"/>
        </w:rPr>
      </w:pPr>
      <w:r w:rsidRPr="00413879">
        <w:rPr>
          <w:rFonts w:ascii="Times New Roman" w:hAnsi="Times New Roman"/>
          <w:b/>
          <w:bCs/>
          <w:sz w:val="24"/>
          <w:szCs w:val="24"/>
        </w:rPr>
        <w:lastRenderedPageBreak/>
        <w:t>Anexo I</w:t>
      </w:r>
    </w:p>
    <w:p w:rsidR="00652C43" w:rsidRPr="00413879" w:rsidRDefault="00194272" w:rsidP="00652C43">
      <w:pPr>
        <w:pBdr>
          <w:bottom w:val="single" w:sz="4" w:space="1" w:color="002060"/>
        </w:pBdr>
        <w:jc w:val="center"/>
        <w:rPr>
          <w:rFonts w:ascii="Times New Roman" w:hAnsi="Times New Roman"/>
          <w:b/>
          <w:sz w:val="24"/>
          <w:szCs w:val="24"/>
        </w:rPr>
      </w:pPr>
      <w:r w:rsidRPr="00194272">
        <w:rPr>
          <w:rFonts w:ascii="Times New Roman" w:hAnsi="Times New Roman"/>
          <w:b/>
          <w:sz w:val="24"/>
          <w:szCs w:val="24"/>
        </w:rPr>
        <w:t>Sistema de Classificação API para Óleos Automotivos Motores Ciclo Otto*</w:t>
      </w:r>
    </w:p>
    <w:tbl>
      <w:tblPr>
        <w:tblW w:w="10236" w:type="dxa"/>
        <w:jc w:val="center"/>
        <w:tblLook w:val="00A0"/>
      </w:tblPr>
      <w:tblGrid>
        <w:gridCol w:w="994"/>
        <w:gridCol w:w="1056"/>
        <w:gridCol w:w="8186"/>
      </w:tblGrid>
      <w:tr w:rsidR="00652C43" w:rsidRPr="00413879">
        <w:trPr>
          <w:trHeight w:val="729"/>
          <w:jc w:val="center"/>
        </w:trPr>
        <w:tc>
          <w:tcPr>
            <w:tcW w:w="918" w:type="dxa"/>
            <w:shd w:val="pct5" w:color="B8CCE4" w:fill="B8CCE4"/>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Categoria</w:t>
            </w:r>
          </w:p>
        </w:tc>
        <w:tc>
          <w:tcPr>
            <w:tcW w:w="1057" w:type="dxa"/>
            <w:shd w:val="pct5" w:color="B8CCE4" w:fill="B8CCE4"/>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Status</w:t>
            </w:r>
          </w:p>
        </w:tc>
        <w:tc>
          <w:tcPr>
            <w:tcW w:w="8261" w:type="dxa"/>
            <w:shd w:val="pct5" w:color="B8CCE4" w:fill="B8CCE4"/>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Serviço</w:t>
            </w:r>
          </w:p>
        </w:tc>
      </w:tr>
      <w:tr w:rsidR="00652C43" w:rsidRPr="00413879">
        <w:trPr>
          <w:trHeight w:val="1064"/>
          <w:jc w:val="center"/>
        </w:trPr>
        <w:tc>
          <w:tcPr>
            <w:tcW w:w="918" w:type="dxa"/>
            <w:tcBorders>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SN</w:t>
            </w:r>
          </w:p>
        </w:tc>
        <w:tc>
          <w:tcPr>
            <w:tcW w:w="1057" w:type="dxa"/>
            <w:tcBorders>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Corrente</w:t>
            </w:r>
          </w:p>
        </w:tc>
        <w:tc>
          <w:tcPr>
            <w:tcW w:w="8261" w:type="dxa"/>
            <w:tcBorders>
              <w:bottom w:val="single" w:sz="4" w:space="0" w:color="auto"/>
            </w:tcBorders>
            <w:vAlign w:val="center"/>
          </w:tcPr>
          <w:p w:rsidR="00652C43" w:rsidRPr="00413879" w:rsidRDefault="00194272" w:rsidP="00B2474A">
            <w:pPr>
              <w:autoSpaceDE w:val="0"/>
              <w:autoSpaceDN w:val="0"/>
              <w:adjustRightInd w:val="0"/>
              <w:spacing w:before="120" w:after="120"/>
              <w:jc w:val="both"/>
              <w:rPr>
                <w:rFonts w:ascii="Times New Roman" w:hAnsi="Times New Roman"/>
                <w:sz w:val="20"/>
                <w:szCs w:val="20"/>
                <w:lang w:eastAsia="pt-BR"/>
              </w:rPr>
            </w:pPr>
            <w:r w:rsidRPr="00194272">
              <w:rPr>
                <w:rFonts w:ascii="Times New Roman" w:hAnsi="Times New Roman"/>
                <w:sz w:val="20"/>
                <w:szCs w:val="20"/>
                <w:lang w:eastAsia="pt-BR"/>
              </w:rPr>
              <w:t xml:space="preserve">Introduzido em outubro de 2010 para veículos de 2011 e mais antigos. Desenvolvido para desempenhar maior proteção a formação de depósitos a altas temperaturas no pistão, controle mais severo de formação de borra e maior compatibilidade com elastômeros. O nível de desempenho API SN, com </w:t>
            </w:r>
            <w:proofErr w:type="spellStart"/>
            <w:r w:rsidRPr="00194272">
              <w:rPr>
                <w:rFonts w:ascii="Times New Roman" w:hAnsi="Times New Roman"/>
                <w:i/>
                <w:sz w:val="20"/>
                <w:szCs w:val="20"/>
                <w:lang w:eastAsia="pt-BR"/>
              </w:rPr>
              <w:t>Resource</w:t>
            </w:r>
            <w:proofErr w:type="spellEnd"/>
            <w:r w:rsidRPr="00194272">
              <w:rPr>
                <w:rFonts w:ascii="Times New Roman" w:hAnsi="Times New Roman"/>
                <w:i/>
                <w:sz w:val="20"/>
                <w:szCs w:val="20"/>
                <w:lang w:eastAsia="pt-BR"/>
              </w:rPr>
              <w:t xml:space="preserve"> </w:t>
            </w:r>
            <w:proofErr w:type="spellStart"/>
            <w:r w:rsidRPr="00194272">
              <w:rPr>
                <w:rFonts w:ascii="Times New Roman" w:hAnsi="Times New Roman"/>
                <w:i/>
                <w:sz w:val="20"/>
                <w:szCs w:val="20"/>
                <w:lang w:eastAsia="pt-BR"/>
              </w:rPr>
              <w:t>Conserving</w:t>
            </w:r>
            <w:proofErr w:type="spellEnd"/>
            <w:r w:rsidRPr="00194272">
              <w:rPr>
                <w:rFonts w:ascii="Times New Roman" w:hAnsi="Times New Roman"/>
                <w:sz w:val="20"/>
                <w:szCs w:val="20"/>
                <w:lang w:eastAsia="pt-BR"/>
              </w:rPr>
              <w:t xml:space="preserve">, atinge ILSAC GF-5 pela combinação da performance do API SN com a melhoria da economia de combustível, da proteção </w:t>
            </w:r>
            <w:proofErr w:type="spellStart"/>
            <w:r w:rsidRPr="00194272">
              <w:rPr>
                <w:rFonts w:ascii="Times New Roman" w:hAnsi="Times New Roman"/>
                <w:i/>
                <w:sz w:val="20"/>
                <w:szCs w:val="20"/>
                <w:lang w:eastAsia="pt-BR"/>
              </w:rPr>
              <w:t>turbocharger</w:t>
            </w:r>
            <w:proofErr w:type="spellEnd"/>
            <w:r w:rsidRPr="00194272">
              <w:rPr>
                <w:rFonts w:ascii="Times New Roman" w:hAnsi="Times New Roman"/>
                <w:sz w:val="20"/>
                <w:szCs w:val="20"/>
                <w:lang w:eastAsia="pt-BR"/>
              </w:rPr>
              <w:t>, da compatibilidade do sistema de controle de emissão e da proteção de motores operando com combustíveis contendo até 85% de etanol.</w:t>
            </w:r>
          </w:p>
        </w:tc>
      </w:tr>
      <w:tr w:rsidR="00652C43" w:rsidRPr="00413879">
        <w:trPr>
          <w:jc w:val="center"/>
        </w:trPr>
        <w:tc>
          <w:tcPr>
            <w:tcW w:w="918"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SM</w:t>
            </w:r>
          </w:p>
        </w:tc>
        <w:tc>
          <w:tcPr>
            <w:tcW w:w="1057"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Corrente</w:t>
            </w:r>
          </w:p>
        </w:tc>
        <w:tc>
          <w:tcPr>
            <w:tcW w:w="8261" w:type="dxa"/>
            <w:tcBorders>
              <w:top w:val="single" w:sz="4" w:space="0" w:color="auto"/>
              <w:bottom w:val="single" w:sz="4" w:space="0" w:color="auto"/>
            </w:tcBorders>
            <w:vAlign w:val="center"/>
          </w:tcPr>
          <w:p w:rsidR="00652C43" w:rsidRPr="00413879" w:rsidRDefault="00194272" w:rsidP="00B2474A">
            <w:pPr>
              <w:spacing w:before="120" w:after="120"/>
              <w:jc w:val="both"/>
              <w:rPr>
                <w:rFonts w:ascii="Times New Roman" w:hAnsi="Times New Roman"/>
                <w:sz w:val="20"/>
                <w:szCs w:val="20"/>
              </w:rPr>
            </w:pPr>
            <w:r w:rsidRPr="00194272">
              <w:rPr>
                <w:rFonts w:ascii="Times New Roman" w:hAnsi="Times New Roman"/>
                <w:sz w:val="20"/>
                <w:szCs w:val="20"/>
              </w:rPr>
              <w:t>Para motores automotivos de 2010 e mais antigos.</w:t>
            </w:r>
          </w:p>
        </w:tc>
      </w:tr>
      <w:tr w:rsidR="00652C43" w:rsidRPr="00413879">
        <w:trPr>
          <w:jc w:val="center"/>
        </w:trPr>
        <w:tc>
          <w:tcPr>
            <w:tcW w:w="918"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SL</w:t>
            </w:r>
          </w:p>
        </w:tc>
        <w:tc>
          <w:tcPr>
            <w:tcW w:w="1057"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Corrente</w:t>
            </w:r>
          </w:p>
        </w:tc>
        <w:tc>
          <w:tcPr>
            <w:tcW w:w="8261" w:type="dxa"/>
            <w:tcBorders>
              <w:top w:val="single" w:sz="4" w:space="0" w:color="auto"/>
              <w:bottom w:val="single" w:sz="4" w:space="0" w:color="auto"/>
            </w:tcBorders>
            <w:vAlign w:val="center"/>
          </w:tcPr>
          <w:p w:rsidR="00652C43" w:rsidRPr="00413879" w:rsidRDefault="00194272" w:rsidP="00B2474A">
            <w:pPr>
              <w:spacing w:before="120" w:after="120"/>
              <w:jc w:val="both"/>
              <w:rPr>
                <w:rFonts w:ascii="Times New Roman" w:hAnsi="Times New Roman"/>
                <w:sz w:val="20"/>
                <w:szCs w:val="20"/>
              </w:rPr>
            </w:pPr>
            <w:r w:rsidRPr="00194272">
              <w:rPr>
                <w:rFonts w:ascii="Times New Roman" w:hAnsi="Times New Roman"/>
                <w:sz w:val="20"/>
                <w:szCs w:val="20"/>
              </w:rPr>
              <w:t>Para motores automotivos de 2004 e mais antigos.</w:t>
            </w:r>
          </w:p>
        </w:tc>
      </w:tr>
      <w:tr w:rsidR="00652C43" w:rsidRPr="00413879">
        <w:trPr>
          <w:jc w:val="center"/>
        </w:trPr>
        <w:tc>
          <w:tcPr>
            <w:tcW w:w="918"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SJ</w:t>
            </w:r>
          </w:p>
        </w:tc>
        <w:tc>
          <w:tcPr>
            <w:tcW w:w="1057"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Corrente</w:t>
            </w:r>
          </w:p>
        </w:tc>
        <w:tc>
          <w:tcPr>
            <w:tcW w:w="8261" w:type="dxa"/>
            <w:tcBorders>
              <w:top w:val="single" w:sz="4" w:space="0" w:color="auto"/>
              <w:bottom w:val="single" w:sz="4" w:space="0" w:color="auto"/>
            </w:tcBorders>
            <w:vAlign w:val="center"/>
          </w:tcPr>
          <w:p w:rsidR="00652C43" w:rsidRPr="00413879" w:rsidRDefault="00194272" w:rsidP="00B2474A">
            <w:pPr>
              <w:spacing w:before="120" w:after="120"/>
              <w:jc w:val="both"/>
              <w:rPr>
                <w:rFonts w:ascii="Times New Roman" w:hAnsi="Times New Roman"/>
                <w:sz w:val="20"/>
                <w:szCs w:val="20"/>
              </w:rPr>
            </w:pPr>
            <w:r w:rsidRPr="00194272">
              <w:rPr>
                <w:rFonts w:ascii="Times New Roman" w:hAnsi="Times New Roman"/>
                <w:sz w:val="20"/>
                <w:szCs w:val="20"/>
              </w:rPr>
              <w:t>Para motores automotivos de 2001 e mais antigos.</w:t>
            </w:r>
          </w:p>
        </w:tc>
      </w:tr>
      <w:tr w:rsidR="00652C43" w:rsidRPr="00413879">
        <w:trPr>
          <w:jc w:val="center"/>
        </w:trPr>
        <w:tc>
          <w:tcPr>
            <w:tcW w:w="918"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SH</w:t>
            </w:r>
          </w:p>
        </w:tc>
        <w:tc>
          <w:tcPr>
            <w:tcW w:w="1057"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Obsoleto</w:t>
            </w:r>
          </w:p>
        </w:tc>
        <w:tc>
          <w:tcPr>
            <w:tcW w:w="8261" w:type="dxa"/>
            <w:tcBorders>
              <w:top w:val="single" w:sz="4" w:space="0" w:color="auto"/>
              <w:bottom w:val="single" w:sz="4" w:space="0" w:color="auto"/>
            </w:tcBorders>
            <w:vAlign w:val="center"/>
          </w:tcPr>
          <w:p w:rsidR="00652C43" w:rsidRPr="00413879" w:rsidRDefault="00652C43" w:rsidP="00B2474A">
            <w:pPr>
              <w:spacing w:before="120" w:after="120"/>
              <w:jc w:val="both"/>
              <w:rPr>
                <w:rFonts w:ascii="Times New Roman" w:hAnsi="Times New Roman"/>
                <w:sz w:val="20"/>
                <w:szCs w:val="20"/>
              </w:rPr>
            </w:pPr>
          </w:p>
        </w:tc>
      </w:tr>
      <w:tr w:rsidR="00652C43" w:rsidRPr="00413879">
        <w:trPr>
          <w:jc w:val="center"/>
        </w:trPr>
        <w:tc>
          <w:tcPr>
            <w:tcW w:w="918"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SG</w:t>
            </w:r>
          </w:p>
        </w:tc>
        <w:tc>
          <w:tcPr>
            <w:tcW w:w="1057"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Obsoleto</w:t>
            </w:r>
          </w:p>
        </w:tc>
        <w:tc>
          <w:tcPr>
            <w:tcW w:w="8261" w:type="dxa"/>
            <w:tcBorders>
              <w:top w:val="single" w:sz="4" w:space="0" w:color="auto"/>
              <w:bottom w:val="single" w:sz="4" w:space="0" w:color="auto"/>
            </w:tcBorders>
            <w:vAlign w:val="center"/>
          </w:tcPr>
          <w:p w:rsidR="00652C43" w:rsidRPr="00413879" w:rsidRDefault="00652C43" w:rsidP="00B2474A">
            <w:pPr>
              <w:spacing w:before="120" w:after="120"/>
              <w:jc w:val="both"/>
              <w:rPr>
                <w:rFonts w:ascii="Times New Roman" w:hAnsi="Times New Roman"/>
                <w:sz w:val="20"/>
                <w:szCs w:val="20"/>
              </w:rPr>
            </w:pPr>
          </w:p>
        </w:tc>
      </w:tr>
      <w:tr w:rsidR="00652C43" w:rsidRPr="00413879">
        <w:trPr>
          <w:jc w:val="center"/>
        </w:trPr>
        <w:tc>
          <w:tcPr>
            <w:tcW w:w="918"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SF</w:t>
            </w:r>
          </w:p>
        </w:tc>
        <w:tc>
          <w:tcPr>
            <w:tcW w:w="1057"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Obsoleto</w:t>
            </w:r>
          </w:p>
        </w:tc>
        <w:tc>
          <w:tcPr>
            <w:tcW w:w="8261" w:type="dxa"/>
            <w:tcBorders>
              <w:top w:val="single" w:sz="4" w:space="0" w:color="auto"/>
              <w:bottom w:val="single" w:sz="4" w:space="0" w:color="auto"/>
            </w:tcBorders>
            <w:vAlign w:val="center"/>
          </w:tcPr>
          <w:p w:rsidR="00652C43" w:rsidRPr="00413879" w:rsidRDefault="00652C43" w:rsidP="00B2474A">
            <w:pPr>
              <w:spacing w:before="120" w:after="120"/>
              <w:jc w:val="both"/>
              <w:rPr>
                <w:rFonts w:ascii="Times New Roman" w:hAnsi="Times New Roman"/>
                <w:sz w:val="20"/>
                <w:szCs w:val="20"/>
              </w:rPr>
            </w:pPr>
          </w:p>
        </w:tc>
      </w:tr>
      <w:tr w:rsidR="00652C43" w:rsidRPr="00413879">
        <w:trPr>
          <w:jc w:val="center"/>
        </w:trPr>
        <w:tc>
          <w:tcPr>
            <w:tcW w:w="918"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SE</w:t>
            </w:r>
          </w:p>
        </w:tc>
        <w:tc>
          <w:tcPr>
            <w:tcW w:w="1057"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Obsoleto</w:t>
            </w:r>
          </w:p>
        </w:tc>
        <w:tc>
          <w:tcPr>
            <w:tcW w:w="8261" w:type="dxa"/>
            <w:tcBorders>
              <w:top w:val="single" w:sz="4" w:space="0" w:color="auto"/>
              <w:bottom w:val="single" w:sz="4" w:space="0" w:color="auto"/>
            </w:tcBorders>
            <w:vAlign w:val="center"/>
          </w:tcPr>
          <w:p w:rsidR="00652C43" w:rsidRPr="00413879" w:rsidRDefault="00194272" w:rsidP="00B2474A">
            <w:pPr>
              <w:spacing w:before="120" w:after="120"/>
              <w:jc w:val="both"/>
              <w:rPr>
                <w:rFonts w:ascii="Times New Roman" w:hAnsi="Times New Roman"/>
                <w:sz w:val="20"/>
                <w:szCs w:val="20"/>
              </w:rPr>
            </w:pPr>
            <w:r w:rsidRPr="00194272">
              <w:rPr>
                <w:rFonts w:ascii="Times New Roman" w:hAnsi="Times New Roman"/>
                <w:bCs/>
                <w:sz w:val="20"/>
                <w:szCs w:val="20"/>
              </w:rPr>
              <w:t xml:space="preserve">Atenção: Não é adequado para uso em motores a gasolina construídos após </w:t>
            </w:r>
            <w:r w:rsidRPr="00194272">
              <w:rPr>
                <w:rFonts w:ascii="Times New Roman" w:hAnsi="Times New Roman"/>
                <w:sz w:val="20"/>
                <w:szCs w:val="20"/>
              </w:rPr>
              <w:t>1979.</w:t>
            </w:r>
          </w:p>
        </w:tc>
      </w:tr>
      <w:tr w:rsidR="00652C43" w:rsidRPr="00413879">
        <w:trPr>
          <w:jc w:val="center"/>
        </w:trPr>
        <w:tc>
          <w:tcPr>
            <w:tcW w:w="918"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SD</w:t>
            </w:r>
          </w:p>
        </w:tc>
        <w:tc>
          <w:tcPr>
            <w:tcW w:w="1057"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Obsoleto</w:t>
            </w:r>
          </w:p>
        </w:tc>
        <w:tc>
          <w:tcPr>
            <w:tcW w:w="8261" w:type="dxa"/>
            <w:tcBorders>
              <w:top w:val="single" w:sz="4" w:space="0" w:color="auto"/>
              <w:bottom w:val="single" w:sz="4" w:space="0" w:color="auto"/>
            </w:tcBorders>
            <w:vAlign w:val="center"/>
          </w:tcPr>
          <w:p w:rsidR="00652C43" w:rsidRPr="00413879" w:rsidRDefault="00194272" w:rsidP="00B2474A">
            <w:pPr>
              <w:autoSpaceDE w:val="0"/>
              <w:autoSpaceDN w:val="0"/>
              <w:adjustRightInd w:val="0"/>
              <w:spacing w:before="120" w:after="120"/>
              <w:rPr>
                <w:rFonts w:ascii="Times New Roman" w:hAnsi="Times New Roman"/>
                <w:bCs/>
                <w:sz w:val="20"/>
                <w:szCs w:val="20"/>
              </w:rPr>
            </w:pPr>
            <w:r w:rsidRPr="00194272">
              <w:rPr>
                <w:rFonts w:ascii="Times New Roman" w:hAnsi="Times New Roman"/>
                <w:bCs/>
                <w:sz w:val="20"/>
                <w:szCs w:val="20"/>
              </w:rPr>
              <w:t>Atenção: Não é adequado para uso em motores a gasolina construídos após 1971. O uso em motores mais modernos pode causar desempenho insatisfatório ou dano ao equipamento.</w:t>
            </w:r>
          </w:p>
        </w:tc>
      </w:tr>
      <w:tr w:rsidR="00652C43" w:rsidRPr="00413879">
        <w:trPr>
          <w:jc w:val="center"/>
        </w:trPr>
        <w:tc>
          <w:tcPr>
            <w:tcW w:w="918"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SC</w:t>
            </w:r>
          </w:p>
        </w:tc>
        <w:tc>
          <w:tcPr>
            <w:tcW w:w="1057"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Obsoleto</w:t>
            </w:r>
          </w:p>
        </w:tc>
        <w:tc>
          <w:tcPr>
            <w:tcW w:w="8261" w:type="dxa"/>
            <w:tcBorders>
              <w:top w:val="single" w:sz="4" w:space="0" w:color="auto"/>
              <w:bottom w:val="single" w:sz="4" w:space="0" w:color="auto"/>
            </w:tcBorders>
            <w:vAlign w:val="center"/>
          </w:tcPr>
          <w:p w:rsidR="00652C43" w:rsidRPr="00413879" w:rsidRDefault="00194272" w:rsidP="00B2474A">
            <w:pPr>
              <w:autoSpaceDE w:val="0"/>
              <w:autoSpaceDN w:val="0"/>
              <w:adjustRightInd w:val="0"/>
              <w:spacing w:before="120" w:after="120"/>
              <w:rPr>
                <w:rFonts w:ascii="Times New Roman" w:hAnsi="Times New Roman"/>
                <w:bCs/>
                <w:sz w:val="20"/>
                <w:szCs w:val="20"/>
              </w:rPr>
            </w:pPr>
            <w:r w:rsidRPr="00194272">
              <w:rPr>
                <w:rFonts w:ascii="Times New Roman" w:hAnsi="Times New Roman"/>
                <w:bCs/>
                <w:sz w:val="20"/>
                <w:szCs w:val="20"/>
              </w:rPr>
              <w:t>Atenção: Não é adequado para uso em motores a gasolina construídos após 1967. O uso em motores mais modernos pode causar desempenho insatisfatório ou dano ao equipamento.</w:t>
            </w:r>
          </w:p>
        </w:tc>
      </w:tr>
      <w:tr w:rsidR="00652C43" w:rsidRPr="00413879">
        <w:trPr>
          <w:jc w:val="center"/>
        </w:trPr>
        <w:tc>
          <w:tcPr>
            <w:tcW w:w="918"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SB</w:t>
            </w:r>
          </w:p>
        </w:tc>
        <w:tc>
          <w:tcPr>
            <w:tcW w:w="1057"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Obsoleto</w:t>
            </w:r>
          </w:p>
        </w:tc>
        <w:tc>
          <w:tcPr>
            <w:tcW w:w="8261" w:type="dxa"/>
            <w:tcBorders>
              <w:top w:val="single" w:sz="4" w:space="0" w:color="auto"/>
              <w:bottom w:val="single" w:sz="4" w:space="0" w:color="auto"/>
            </w:tcBorders>
            <w:vAlign w:val="center"/>
          </w:tcPr>
          <w:p w:rsidR="00652C43" w:rsidRPr="00413879" w:rsidRDefault="00194272" w:rsidP="00B2474A">
            <w:pPr>
              <w:autoSpaceDE w:val="0"/>
              <w:autoSpaceDN w:val="0"/>
              <w:adjustRightInd w:val="0"/>
              <w:spacing w:before="120" w:after="120"/>
              <w:rPr>
                <w:rFonts w:ascii="Times New Roman" w:hAnsi="Times New Roman"/>
                <w:bCs/>
                <w:sz w:val="20"/>
                <w:szCs w:val="20"/>
              </w:rPr>
            </w:pPr>
            <w:r w:rsidRPr="00194272">
              <w:rPr>
                <w:rFonts w:ascii="Times New Roman" w:hAnsi="Times New Roman"/>
                <w:bCs/>
                <w:sz w:val="20"/>
                <w:szCs w:val="20"/>
              </w:rPr>
              <w:t>Atenção: Não é adequado para uso em motores a gasolina construídos após 1951. O uso em motores mais modernos pode causar desempenho insatisfatório ou dano ao equipamento.</w:t>
            </w:r>
          </w:p>
        </w:tc>
      </w:tr>
      <w:tr w:rsidR="00652C43" w:rsidRPr="00413879">
        <w:trPr>
          <w:jc w:val="center"/>
        </w:trPr>
        <w:tc>
          <w:tcPr>
            <w:tcW w:w="918"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SA</w:t>
            </w:r>
          </w:p>
        </w:tc>
        <w:tc>
          <w:tcPr>
            <w:tcW w:w="1057" w:type="dxa"/>
            <w:tcBorders>
              <w:top w:val="single" w:sz="4" w:space="0" w:color="auto"/>
              <w:bottom w:val="single" w:sz="4" w:space="0" w:color="auto"/>
            </w:tcBorders>
            <w:vAlign w:val="center"/>
          </w:tcPr>
          <w:p w:rsidR="00652C43" w:rsidRPr="00413879" w:rsidRDefault="00194272" w:rsidP="00B2474A">
            <w:pPr>
              <w:spacing w:before="120" w:after="120"/>
              <w:jc w:val="center"/>
              <w:rPr>
                <w:rFonts w:ascii="Times New Roman" w:hAnsi="Times New Roman"/>
                <w:sz w:val="20"/>
                <w:szCs w:val="20"/>
              </w:rPr>
            </w:pPr>
            <w:r w:rsidRPr="00194272">
              <w:rPr>
                <w:rFonts w:ascii="Times New Roman" w:hAnsi="Times New Roman"/>
                <w:sz w:val="20"/>
                <w:szCs w:val="20"/>
              </w:rPr>
              <w:t>Obsoleto</w:t>
            </w:r>
          </w:p>
        </w:tc>
        <w:tc>
          <w:tcPr>
            <w:tcW w:w="8261" w:type="dxa"/>
            <w:tcBorders>
              <w:top w:val="single" w:sz="4" w:space="0" w:color="auto"/>
              <w:bottom w:val="single" w:sz="4" w:space="0" w:color="auto"/>
            </w:tcBorders>
            <w:vAlign w:val="center"/>
          </w:tcPr>
          <w:p w:rsidR="00652C43" w:rsidRPr="00413879" w:rsidRDefault="00194272" w:rsidP="00B2474A">
            <w:pPr>
              <w:autoSpaceDE w:val="0"/>
              <w:autoSpaceDN w:val="0"/>
              <w:adjustRightInd w:val="0"/>
              <w:spacing w:before="120" w:after="120"/>
              <w:rPr>
                <w:rFonts w:ascii="Times New Roman" w:hAnsi="Times New Roman"/>
                <w:bCs/>
                <w:sz w:val="20"/>
                <w:szCs w:val="20"/>
              </w:rPr>
            </w:pPr>
            <w:r w:rsidRPr="00194272">
              <w:rPr>
                <w:rFonts w:ascii="Times New Roman" w:hAnsi="Times New Roman"/>
                <w:bCs/>
                <w:sz w:val="20"/>
                <w:szCs w:val="20"/>
              </w:rPr>
              <w:t>Atenção: Não contém aditivos. Não é adequado para uso em motores a gasolina construídos após 1930. O uso em motores mais modernos pode causar desempenho insatisfatório ou dano ao equipamento.</w:t>
            </w:r>
          </w:p>
        </w:tc>
      </w:tr>
    </w:tbl>
    <w:p w:rsidR="00481977" w:rsidRPr="00413879" w:rsidRDefault="00194272" w:rsidP="00481977">
      <w:pPr>
        <w:spacing w:before="240" w:after="0"/>
      </w:pPr>
      <w:r w:rsidRPr="00194272">
        <w:rPr>
          <w:rFonts w:ascii="Times New Roman" w:hAnsi="Times New Roman"/>
          <w:b/>
          <w:sz w:val="20"/>
          <w:szCs w:val="20"/>
        </w:rPr>
        <w:t>*</w:t>
      </w:r>
      <w:r w:rsidRPr="00194272">
        <w:rPr>
          <w:rFonts w:ascii="Times New Roman" w:hAnsi="Times New Roman"/>
          <w:sz w:val="20"/>
          <w:szCs w:val="20"/>
        </w:rPr>
        <w:t xml:space="preserve">Livre tradução do </w:t>
      </w:r>
      <w:r w:rsidRPr="00194272">
        <w:rPr>
          <w:rFonts w:ascii="Times New Roman" w:hAnsi="Times New Roman"/>
          <w:iCs/>
          <w:sz w:val="20"/>
          <w:szCs w:val="20"/>
        </w:rPr>
        <w:t>Guia de Óleos Lubrificantes de Motor da API</w:t>
      </w:r>
      <w:r w:rsidRPr="00194272">
        <w:t xml:space="preserve"> </w:t>
      </w:r>
      <w:r w:rsidRPr="00194272">
        <w:br w:type="page"/>
      </w:r>
    </w:p>
    <w:p w:rsidR="00652C43" w:rsidRPr="00413879" w:rsidRDefault="00194272" w:rsidP="0064444F">
      <w:pPr>
        <w:jc w:val="center"/>
        <w:rPr>
          <w:rFonts w:ascii="Times New Roman" w:hAnsi="Times New Roman"/>
          <w:b/>
          <w:sz w:val="24"/>
          <w:szCs w:val="24"/>
        </w:rPr>
      </w:pPr>
      <w:r w:rsidRPr="00194272">
        <w:rPr>
          <w:rFonts w:ascii="Times New Roman" w:hAnsi="Times New Roman"/>
          <w:b/>
          <w:sz w:val="24"/>
          <w:szCs w:val="24"/>
        </w:rPr>
        <w:lastRenderedPageBreak/>
        <w:t>Sistema de Classificação API para Óleos Automotivos Motores Ciclo Diesel*</w:t>
      </w:r>
    </w:p>
    <w:tbl>
      <w:tblPr>
        <w:tblW w:w="10609" w:type="dxa"/>
        <w:jc w:val="center"/>
        <w:tblInd w:w="-446" w:type="dxa"/>
        <w:tblLayout w:type="fixed"/>
        <w:tblLook w:val="00A0"/>
      </w:tblPr>
      <w:tblGrid>
        <w:gridCol w:w="1124"/>
        <w:gridCol w:w="993"/>
        <w:gridCol w:w="8492"/>
      </w:tblGrid>
      <w:tr w:rsidR="00652C43" w:rsidRPr="00413879">
        <w:trPr>
          <w:trHeight w:val="617"/>
          <w:jc w:val="center"/>
        </w:trPr>
        <w:tc>
          <w:tcPr>
            <w:tcW w:w="1124" w:type="dxa"/>
            <w:tcBorders>
              <w:top w:val="single" w:sz="4" w:space="0" w:color="auto"/>
              <w:bottom w:val="single" w:sz="4" w:space="0" w:color="auto"/>
            </w:tcBorders>
            <w:shd w:val="pct10" w:color="B8CCE4" w:fill="B8CCE4"/>
            <w:vAlign w:val="center"/>
          </w:tcPr>
          <w:p w:rsidR="00652C43" w:rsidRPr="00413879" w:rsidRDefault="00194272" w:rsidP="00B2474A">
            <w:pPr>
              <w:spacing w:after="0"/>
              <w:jc w:val="center"/>
              <w:rPr>
                <w:rFonts w:ascii="Times New Roman" w:hAnsi="Times New Roman"/>
                <w:b/>
                <w:bCs/>
                <w:color w:val="365F91"/>
                <w:sz w:val="18"/>
                <w:szCs w:val="18"/>
              </w:rPr>
            </w:pPr>
            <w:r w:rsidRPr="00194272">
              <w:rPr>
                <w:rFonts w:ascii="Times New Roman" w:hAnsi="Times New Roman"/>
                <w:sz w:val="18"/>
                <w:szCs w:val="18"/>
              </w:rPr>
              <w:t>Categoria</w:t>
            </w:r>
          </w:p>
        </w:tc>
        <w:tc>
          <w:tcPr>
            <w:tcW w:w="993" w:type="dxa"/>
            <w:tcBorders>
              <w:top w:val="single" w:sz="4" w:space="0" w:color="auto"/>
              <w:bottom w:val="single" w:sz="4" w:space="0" w:color="auto"/>
            </w:tcBorders>
            <w:shd w:val="pct10" w:color="B8CCE4" w:fill="B8CCE4"/>
            <w:vAlign w:val="center"/>
          </w:tcPr>
          <w:p w:rsidR="00652C43" w:rsidRPr="00413879" w:rsidRDefault="00194272" w:rsidP="00B2474A">
            <w:pPr>
              <w:spacing w:after="0"/>
              <w:jc w:val="center"/>
              <w:rPr>
                <w:rFonts w:ascii="Times New Roman" w:hAnsi="Times New Roman"/>
                <w:b/>
                <w:bCs/>
                <w:color w:val="365F91"/>
                <w:sz w:val="18"/>
                <w:szCs w:val="18"/>
              </w:rPr>
            </w:pPr>
            <w:r w:rsidRPr="00194272">
              <w:rPr>
                <w:rFonts w:ascii="Times New Roman" w:hAnsi="Times New Roman"/>
                <w:sz w:val="18"/>
                <w:szCs w:val="18"/>
              </w:rPr>
              <w:t>Status</w:t>
            </w:r>
          </w:p>
        </w:tc>
        <w:tc>
          <w:tcPr>
            <w:tcW w:w="8492" w:type="dxa"/>
            <w:tcBorders>
              <w:top w:val="single" w:sz="4" w:space="0" w:color="auto"/>
              <w:bottom w:val="single" w:sz="4" w:space="0" w:color="auto"/>
            </w:tcBorders>
            <w:shd w:val="pct10" w:color="B8CCE4" w:fill="B8CCE4"/>
            <w:vAlign w:val="center"/>
          </w:tcPr>
          <w:p w:rsidR="00652C43" w:rsidRPr="00413879" w:rsidRDefault="00194272" w:rsidP="00B2474A">
            <w:pPr>
              <w:spacing w:before="60" w:after="60"/>
              <w:jc w:val="center"/>
              <w:rPr>
                <w:rFonts w:ascii="Times New Roman" w:hAnsi="Times New Roman"/>
                <w:b/>
                <w:bCs/>
                <w:color w:val="365F91"/>
                <w:sz w:val="18"/>
                <w:szCs w:val="18"/>
              </w:rPr>
            </w:pPr>
            <w:r w:rsidRPr="00194272">
              <w:rPr>
                <w:rFonts w:ascii="Times New Roman" w:hAnsi="Times New Roman"/>
                <w:sz w:val="18"/>
                <w:szCs w:val="18"/>
              </w:rPr>
              <w:t>Serviço</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CJ-4</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Corrente</w:t>
            </w:r>
          </w:p>
        </w:tc>
        <w:tc>
          <w:tcPr>
            <w:tcW w:w="8492" w:type="dxa"/>
            <w:tcBorders>
              <w:top w:val="single" w:sz="4" w:space="0" w:color="auto"/>
              <w:bottom w:val="single" w:sz="4" w:space="0" w:color="auto"/>
            </w:tcBorders>
            <w:vAlign w:val="center"/>
          </w:tcPr>
          <w:p w:rsidR="00652C43" w:rsidRPr="00413879" w:rsidRDefault="00194272" w:rsidP="00B2474A">
            <w:pPr>
              <w:autoSpaceDE w:val="0"/>
              <w:autoSpaceDN w:val="0"/>
              <w:adjustRightInd w:val="0"/>
              <w:spacing w:before="60" w:after="60"/>
              <w:ind w:left="176" w:right="163"/>
              <w:jc w:val="both"/>
              <w:rPr>
                <w:rFonts w:ascii="Times New Roman" w:hAnsi="Times New Roman"/>
                <w:sz w:val="18"/>
                <w:szCs w:val="18"/>
              </w:rPr>
            </w:pPr>
            <w:r w:rsidRPr="00194272">
              <w:rPr>
                <w:rFonts w:ascii="Times New Roman" w:hAnsi="Times New Roman"/>
                <w:sz w:val="18"/>
                <w:szCs w:val="18"/>
              </w:rPr>
              <w:t xml:space="preserve">Para uso em motores 4 tempos de alta rotação foi desenvolvido para atender os limites de emissões americano do ano modelo 2010 para veículos rodoviários e </w:t>
            </w:r>
            <w:proofErr w:type="spellStart"/>
            <w:r w:rsidRPr="00194272">
              <w:rPr>
                <w:rFonts w:ascii="Times New Roman" w:hAnsi="Times New Roman"/>
                <w:sz w:val="18"/>
                <w:szCs w:val="18"/>
              </w:rPr>
              <w:t>Tier</w:t>
            </w:r>
            <w:proofErr w:type="spellEnd"/>
            <w:r w:rsidRPr="00194272">
              <w:rPr>
                <w:rFonts w:ascii="Times New Roman" w:hAnsi="Times New Roman"/>
                <w:sz w:val="18"/>
                <w:szCs w:val="18"/>
              </w:rPr>
              <w:t xml:space="preserve"> 4 para veículos não rodoviários, assim como os motores Diesel de anos modelos anteriores. Esses óleos são formulados para uso em todas as aplicações que utilizem Diesel com teor de enxofre de até 500 </w:t>
            </w:r>
            <w:proofErr w:type="spellStart"/>
            <w:r w:rsidRPr="00194272">
              <w:rPr>
                <w:rFonts w:ascii="Times New Roman" w:hAnsi="Times New Roman"/>
                <w:sz w:val="18"/>
                <w:szCs w:val="18"/>
              </w:rPr>
              <w:t>mg</w:t>
            </w:r>
            <w:proofErr w:type="spellEnd"/>
            <w:r w:rsidRPr="00194272">
              <w:rPr>
                <w:rFonts w:ascii="Times New Roman" w:hAnsi="Times New Roman"/>
                <w:sz w:val="18"/>
                <w:szCs w:val="18"/>
              </w:rPr>
              <w:t xml:space="preserve">/kg (0,05% m/m). Entretanto, o uso desses óleos em motores que utilizam Diesel com teor de enxofre superior a 15 </w:t>
            </w:r>
            <w:proofErr w:type="spellStart"/>
            <w:r w:rsidRPr="00194272">
              <w:rPr>
                <w:rFonts w:ascii="Times New Roman" w:hAnsi="Times New Roman"/>
                <w:sz w:val="18"/>
                <w:szCs w:val="18"/>
              </w:rPr>
              <w:t>mg</w:t>
            </w:r>
            <w:proofErr w:type="spellEnd"/>
            <w:r w:rsidRPr="00194272">
              <w:rPr>
                <w:rFonts w:ascii="Times New Roman" w:hAnsi="Times New Roman"/>
                <w:sz w:val="18"/>
                <w:szCs w:val="18"/>
              </w:rPr>
              <w:t xml:space="preserve">/Kg (0,0015% m/m) pode impactar a durabilidade do sistema de pós-tratamento de exaustão e/ou o intervalo de troca do óleo. Óleos API CJ-4 são especialmente efetivos em manter a durabilidade do sistema de controle de emissão em que sistema de filtros de particulados e outros sistemas avançados de pós-tratamento são utilizados. Fornece excelente proteção contra o controle do envenenamento de catalisador, bloqueio do filtro de particulado, desgaste do motor, depósitos no pistão, estabilidade a baixa e altas temperatura, propriedades de fuligem, espessamento </w:t>
            </w:r>
            <w:proofErr w:type="spellStart"/>
            <w:r w:rsidRPr="00194272">
              <w:rPr>
                <w:rFonts w:ascii="Times New Roman" w:hAnsi="Times New Roman"/>
                <w:sz w:val="18"/>
                <w:szCs w:val="18"/>
              </w:rPr>
              <w:t>oxidativo</w:t>
            </w:r>
            <w:proofErr w:type="spellEnd"/>
            <w:r w:rsidRPr="00194272">
              <w:rPr>
                <w:rFonts w:ascii="Times New Roman" w:hAnsi="Times New Roman"/>
                <w:sz w:val="18"/>
                <w:szCs w:val="18"/>
              </w:rPr>
              <w:t xml:space="preserve">, formação de espuma e perda de viscosidade devido ao cisalhamento. Óleos API CJ-4 excedem os critérios de desempenho dos níveis de desempenho API CI-4 PLUS, CI-4, CH-4, CG-4 e CF-4 e podem lubrificar com eficiência motores que requeiram óleos lubrificantes com esses níveis de desempenho. Quando usando óleos API CJ-4 com combustíveis com teor de enxofre superior a 15 </w:t>
            </w:r>
            <w:proofErr w:type="spellStart"/>
            <w:r w:rsidRPr="00194272">
              <w:rPr>
                <w:rFonts w:ascii="Times New Roman" w:hAnsi="Times New Roman"/>
                <w:sz w:val="18"/>
                <w:szCs w:val="18"/>
              </w:rPr>
              <w:t>mg</w:t>
            </w:r>
            <w:proofErr w:type="spellEnd"/>
            <w:r w:rsidRPr="00194272">
              <w:rPr>
                <w:rFonts w:ascii="Times New Roman" w:hAnsi="Times New Roman"/>
                <w:sz w:val="18"/>
                <w:szCs w:val="18"/>
              </w:rPr>
              <w:t>/Kg (0,0015% m/m), consulte o produtor do motor sobre o intervalo de manutenção/revisão.</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CI-4</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Corrente</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 xml:space="preserve">Introduzido em 2002. Para uso em motores 4 tempos de alta rotação foi desenvolvido para atender os limites de emissões estabelecidos para 2004 nos EUA e implementados em 2002. Formulado para garantir a durabilidade dos motores que utilizam a recirculação dos gases de escape (EGR) e indicado para uso com Diesel com teor de enxofre de até 5.000 </w:t>
            </w:r>
            <w:proofErr w:type="spellStart"/>
            <w:r w:rsidRPr="00194272">
              <w:rPr>
                <w:rFonts w:ascii="Times New Roman" w:hAnsi="Times New Roman"/>
                <w:sz w:val="18"/>
                <w:szCs w:val="18"/>
              </w:rPr>
              <w:t>mg</w:t>
            </w:r>
            <w:proofErr w:type="spellEnd"/>
            <w:r w:rsidRPr="00194272">
              <w:rPr>
                <w:rFonts w:ascii="Times New Roman" w:hAnsi="Times New Roman"/>
                <w:sz w:val="18"/>
                <w:szCs w:val="18"/>
              </w:rPr>
              <w:t>/kg (0,5% m/m). Pode ser usado em substituição às categorias CD, CE, CF-4, CG-4 e CH-4. Alguns óleos CI-4 podem se qualificar para a designação CI-4 PLUS.</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CH-4</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Corrente</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 xml:space="preserve">Introduzido em 1998. Para uso em motores 4 tempos de alta rotação foi desenvolvido para atender aos limites de emissões estabelecidos nos EUA para 1998. Óleos CH-4 são especificamente formulados para uso de Diesel com teor de enxofre de até 5.000 </w:t>
            </w:r>
            <w:proofErr w:type="spellStart"/>
            <w:r w:rsidRPr="00194272">
              <w:rPr>
                <w:rFonts w:ascii="Times New Roman" w:hAnsi="Times New Roman"/>
                <w:sz w:val="18"/>
                <w:szCs w:val="18"/>
              </w:rPr>
              <w:t>mg</w:t>
            </w:r>
            <w:proofErr w:type="spellEnd"/>
            <w:r w:rsidRPr="00194272">
              <w:rPr>
                <w:rFonts w:ascii="Times New Roman" w:hAnsi="Times New Roman"/>
                <w:sz w:val="18"/>
                <w:szCs w:val="18"/>
              </w:rPr>
              <w:t>/kg (0,5% m/m). Pode ser usado em substituição às categorias CD, CE, CF-4 e CG-4.</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CG-4</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Obsoleto</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 xml:space="preserve">Introduzido em 1995. Para uso em motores 4 tempos de alta rotação e em serviço severo que utilizem combustível com teor de enxofre de até 5.000 </w:t>
            </w:r>
            <w:proofErr w:type="spellStart"/>
            <w:r w:rsidRPr="00194272">
              <w:rPr>
                <w:rFonts w:ascii="Times New Roman" w:hAnsi="Times New Roman"/>
                <w:sz w:val="18"/>
                <w:szCs w:val="18"/>
              </w:rPr>
              <w:t>mg</w:t>
            </w:r>
            <w:proofErr w:type="spellEnd"/>
            <w:r w:rsidRPr="00194272">
              <w:rPr>
                <w:rFonts w:ascii="Times New Roman" w:hAnsi="Times New Roman"/>
                <w:sz w:val="18"/>
                <w:szCs w:val="18"/>
              </w:rPr>
              <w:t>/kg (0,5% m/m). Óleos CG-4 são requeridos por motores que atendem os limites de emissão americano de 1994. Pode ser usado em substituição às categorias CD, CE e CF-4.</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CF-4</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Obsoleto</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Introduzido em 1990. Para uso em motores 4 tempos de alta rotação naturalmente aspirados ou turbo-alimentados. Pode ser usado em substituição às categorias CD e CE.</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CF-2</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Obsoleto</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Introduzido em 1994. Para uso em motores 2 tempos e em serviço severo. Pode ser usado em substituição à categoria CD-II.</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CF</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Obsoleto</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 xml:space="preserve">Introduzido em 1994. Para uso em motores de veículos </w:t>
            </w:r>
            <w:proofErr w:type="spellStart"/>
            <w:r w:rsidRPr="00194272">
              <w:rPr>
                <w:rFonts w:ascii="Times New Roman" w:hAnsi="Times New Roman"/>
                <w:i/>
                <w:sz w:val="18"/>
                <w:szCs w:val="18"/>
              </w:rPr>
              <w:t>off-road</w:t>
            </w:r>
            <w:proofErr w:type="spellEnd"/>
            <w:r w:rsidRPr="00194272">
              <w:rPr>
                <w:rFonts w:ascii="Times New Roman" w:hAnsi="Times New Roman"/>
                <w:sz w:val="18"/>
                <w:szCs w:val="18"/>
              </w:rPr>
              <w:t xml:space="preserve">, com injeção indireta e outros motores incluindo os que utilizam combustíveis com teor de enxofre acima de 5.000 </w:t>
            </w:r>
            <w:proofErr w:type="spellStart"/>
            <w:r w:rsidRPr="00194272">
              <w:rPr>
                <w:rFonts w:ascii="Times New Roman" w:hAnsi="Times New Roman"/>
                <w:sz w:val="18"/>
                <w:szCs w:val="18"/>
              </w:rPr>
              <w:t>mg</w:t>
            </w:r>
            <w:proofErr w:type="spellEnd"/>
            <w:r w:rsidRPr="00194272">
              <w:rPr>
                <w:rFonts w:ascii="Times New Roman" w:hAnsi="Times New Roman"/>
                <w:sz w:val="18"/>
                <w:szCs w:val="18"/>
              </w:rPr>
              <w:t>/kg (0,5% m/m). Pode ser usado em substituição à categoria CD.</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CE</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Obsoleto</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Introduzido em 1985. Para uso em motores 4 tempos de alta rotação naturalmente aspirados ou turbo-alimentados. Pode ser usado em substituição às categorias CC e CD.</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CD-II</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Obsoleto</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Introduzido em 1985. Para motores 2 tempos.</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CD</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Obsoleto</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Introduzido em 1955. Para certos motores naturalmente aspirados ou turbo-alimentados.</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CC</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Obsoleto</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Atenção: não é adequado para uso em motores a Diesel construídos após 1990.</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CB</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Obsoleto</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Atenção: não é adequado para uso em motores a Diesel construídos após 1961.</w:t>
            </w:r>
          </w:p>
        </w:tc>
      </w:tr>
      <w:tr w:rsidR="00652C43" w:rsidRPr="00413879">
        <w:trPr>
          <w:jc w:val="center"/>
        </w:trPr>
        <w:tc>
          <w:tcPr>
            <w:tcW w:w="1124"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CA</w:t>
            </w:r>
          </w:p>
        </w:tc>
        <w:tc>
          <w:tcPr>
            <w:tcW w:w="993" w:type="dxa"/>
            <w:tcBorders>
              <w:top w:val="single" w:sz="4" w:space="0" w:color="auto"/>
              <w:bottom w:val="single" w:sz="4" w:space="0" w:color="auto"/>
            </w:tcBorders>
            <w:vAlign w:val="center"/>
          </w:tcPr>
          <w:p w:rsidR="00652C43" w:rsidRPr="00413879" w:rsidRDefault="00194272" w:rsidP="00B2474A">
            <w:pPr>
              <w:spacing w:after="0"/>
              <w:jc w:val="center"/>
              <w:rPr>
                <w:rFonts w:ascii="Times New Roman" w:hAnsi="Times New Roman"/>
                <w:sz w:val="18"/>
                <w:szCs w:val="18"/>
              </w:rPr>
            </w:pPr>
            <w:r w:rsidRPr="00194272">
              <w:rPr>
                <w:rFonts w:ascii="Times New Roman" w:hAnsi="Times New Roman"/>
                <w:sz w:val="18"/>
                <w:szCs w:val="18"/>
              </w:rPr>
              <w:t>Obsoleto</w:t>
            </w:r>
          </w:p>
        </w:tc>
        <w:tc>
          <w:tcPr>
            <w:tcW w:w="8492" w:type="dxa"/>
            <w:tcBorders>
              <w:top w:val="single" w:sz="4" w:space="0" w:color="auto"/>
              <w:bottom w:val="single" w:sz="4" w:space="0" w:color="auto"/>
            </w:tcBorders>
            <w:vAlign w:val="center"/>
          </w:tcPr>
          <w:p w:rsidR="00652C43" w:rsidRPr="00413879" w:rsidRDefault="00194272" w:rsidP="00B2474A">
            <w:pPr>
              <w:spacing w:before="60" w:after="60"/>
              <w:ind w:left="176" w:right="163"/>
              <w:jc w:val="both"/>
              <w:rPr>
                <w:rFonts w:ascii="Times New Roman" w:hAnsi="Times New Roman"/>
                <w:sz w:val="18"/>
                <w:szCs w:val="18"/>
              </w:rPr>
            </w:pPr>
            <w:r w:rsidRPr="00194272">
              <w:rPr>
                <w:rFonts w:ascii="Times New Roman" w:hAnsi="Times New Roman"/>
                <w:sz w:val="18"/>
                <w:szCs w:val="18"/>
              </w:rPr>
              <w:t>Atenção: não é adequado para uso em motores a Diesel construídos após 1959.</w:t>
            </w:r>
          </w:p>
        </w:tc>
      </w:tr>
    </w:tbl>
    <w:p w:rsidR="00652C43" w:rsidRPr="00413879" w:rsidRDefault="00652C43" w:rsidP="00652C43">
      <w:pPr>
        <w:pStyle w:val="PargrafodaLista"/>
        <w:spacing w:before="120" w:after="0"/>
        <w:ind w:left="0"/>
        <w:contextualSpacing w:val="0"/>
        <w:rPr>
          <w:rFonts w:ascii="Times New Roman" w:hAnsi="Times New Roman"/>
          <w:sz w:val="20"/>
          <w:szCs w:val="20"/>
          <w:lang w:val="pt-BR"/>
        </w:rPr>
      </w:pPr>
      <w:r w:rsidRPr="00413879">
        <w:rPr>
          <w:rFonts w:ascii="Times New Roman" w:hAnsi="Times New Roman"/>
          <w:b/>
          <w:sz w:val="20"/>
          <w:szCs w:val="20"/>
          <w:lang w:val="pt-BR"/>
        </w:rPr>
        <w:t>*</w:t>
      </w:r>
      <w:r w:rsidRPr="00413879">
        <w:rPr>
          <w:rFonts w:ascii="Times New Roman" w:hAnsi="Times New Roman"/>
          <w:sz w:val="20"/>
          <w:szCs w:val="20"/>
          <w:lang w:val="pt-BR"/>
        </w:rPr>
        <w:t xml:space="preserve">Livre tradução do </w:t>
      </w:r>
      <w:r w:rsidRPr="00413879">
        <w:rPr>
          <w:rFonts w:ascii="Times New Roman" w:hAnsi="Times New Roman"/>
          <w:iCs/>
          <w:sz w:val="20"/>
          <w:szCs w:val="20"/>
          <w:lang w:val="pt-BR"/>
        </w:rPr>
        <w:t>Guia de Óleos Lubrificantes de Motor da API</w:t>
      </w:r>
    </w:p>
    <w:p w:rsidR="00652C43" w:rsidRPr="00413879" w:rsidRDefault="00652C43" w:rsidP="00652C43">
      <w:pPr>
        <w:pStyle w:val="PargrafodaLista"/>
        <w:spacing w:before="60" w:after="0"/>
        <w:ind w:left="0"/>
        <w:contextualSpacing w:val="0"/>
        <w:rPr>
          <w:sz w:val="18"/>
          <w:szCs w:val="18"/>
          <w:lang w:val="pt-BR"/>
        </w:rPr>
      </w:pPr>
    </w:p>
    <w:p w:rsidR="00652C43" w:rsidRPr="00413879" w:rsidRDefault="00652C43" w:rsidP="00652C43">
      <w:pPr>
        <w:pStyle w:val="PargrafodaLista"/>
        <w:spacing w:before="60" w:after="0"/>
        <w:ind w:left="0"/>
        <w:contextualSpacing w:val="0"/>
        <w:rPr>
          <w:sz w:val="18"/>
          <w:szCs w:val="18"/>
          <w:lang w:val="pt-BR"/>
        </w:rPr>
        <w:sectPr w:rsidR="00652C43" w:rsidRPr="00413879" w:rsidSect="00105E3C">
          <w:pgSz w:w="11906" w:h="16838" w:code="9"/>
          <w:pgMar w:top="720" w:right="720" w:bottom="720" w:left="720" w:header="1021" w:footer="1021" w:gutter="0"/>
          <w:cols w:space="708"/>
          <w:docGrid w:linePitch="360"/>
        </w:sectPr>
      </w:pPr>
    </w:p>
    <w:p w:rsidR="00105E3C" w:rsidRPr="00413879" w:rsidRDefault="00105E3C" w:rsidP="00652C43">
      <w:pPr>
        <w:ind w:firstLine="414"/>
        <w:jc w:val="center"/>
        <w:rPr>
          <w:rFonts w:ascii="Times New Roman" w:hAnsi="Times New Roman"/>
          <w:b/>
          <w:sz w:val="24"/>
          <w:szCs w:val="24"/>
        </w:rPr>
      </w:pPr>
    </w:p>
    <w:p w:rsidR="0064444F" w:rsidRPr="00413879" w:rsidRDefault="00194272" w:rsidP="002B27F4">
      <w:pPr>
        <w:spacing w:after="0"/>
        <w:ind w:firstLine="414"/>
        <w:jc w:val="center"/>
        <w:rPr>
          <w:rFonts w:ascii="Times New Roman" w:hAnsi="Times New Roman"/>
          <w:b/>
          <w:sz w:val="24"/>
          <w:szCs w:val="24"/>
        </w:rPr>
      </w:pPr>
      <w:r w:rsidRPr="00194272">
        <w:rPr>
          <w:rFonts w:ascii="Times New Roman" w:hAnsi="Times New Roman"/>
          <w:b/>
          <w:sz w:val="24"/>
          <w:szCs w:val="24"/>
        </w:rPr>
        <w:t>Anexo II</w:t>
      </w:r>
    </w:p>
    <w:p w:rsidR="0064444F" w:rsidRPr="00413879" w:rsidRDefault="00194272" w:rsidP="00105E3C">
      <w:pPr>
        <w:jc w:val="center"/>
        <w:rPr>
          <w:rFonts w:ascii="Times New Roman" w:hAnsi="Times New Roman"/>
          <w:b/>
          <w:sz w:val="20"/>
          <w:szCs w:val="20"/>
        </w:rPr>
      </w:pPr>
      <w:r w:rsidRPr="00194272">
        <w:rPr>
          <w:rFonts w:ascii="Times New Roman" w:hAnsi="Times New Roman"/>
          <w:b/>
          <w:sz w:val="24"/>
          <w:szCs w:val="24"/>
        </w:rPr>
        <w:t>Impacto no custo dos insumos decorrentes da elevação dos níveis de desempenho</w:t>
      </w:r>
      <w:r w:rsidR="00652C43" w:rsidRPr="00413879">
        <w:rPr>
          <w:noProof/>
          <w:lang w:eastAsia="pt-BR"/>
        </w:rPr>
        <w:drawing>
          <wp:inline distT="0" distB="0" distL="0" distR="0">
            <wp:extent cx="7920000" cy="5400135"/>
            <wp:effectExtent l="19050" t="0" r="4800" b="0"/>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25" cstate="print"/>
                    <a:srcRect/>
                    <a:stretch>
                      <a:fillRect/>
                    </a:stretch>
                  </pic:blipFill>
                  <pic:spPr bwMode="auto">
                    <a:xfrm>
                      <a:off x="0" y="0"/>
                      <a:ext cx="7920000" cy="5400135"/>
                    </a:xfrm>
                    <a:prstGeom prst="rect">
                      <a:avLst/>
                    </a:prstGeom>
                    <a:noFill/>
                    <a:ln w="9525">
                      <a:noFill/>
                      <a:miter lim="800000"/>
                      <a:headEnd/>
                      <a:tailEnd/>
                    </a:ln>
                  </pic:spPr>
                </pic:pic>
              </a:graphicData>
            </a:graphic>
          </wp:inline>
        </w:drawing>
      </w:r>
      <w:r w:rsidR="0064444F" w:rsidRPr="00413879">
        <w:rPr>
          <w:b/>
          <w:sz w:val="24"/>
          <w:szCs w:val="24"/>
        </w:rPr>
        <w:t xml:space="preserve"> </w:t>
      </w:r>
    </w:p>
    <w:p w:rsidR="00652C43" w:rsidRPr="00413879" w:rsidRDefault="00194272" w:rsidP="00D74953">
      <w:pPr>
        <w:tabs>
          <w:tab w:val="left" w:pos="14317"/>
        </w:tabs>
        <w:ind w:right="1811" w:firstLine="414"/>
        <w:jc w:val="right"/>
        <w:rPr>
          <w:rFonts w:ascii="Times New Roman" w:hAnsi="Times New Roman"/>
        </w:rPr>
      </w:pPr>
      <w:r w:rsidRPr="00194272">
        <w:rPr>
          <w:rFonts w:ascii="Times New Roman" w:hAnsi="Times New Roman"/>
        </w:rPr>
        <w:t>Fonte: ABRAFA</w:t>
      </w:r>
    </w:p>
    <w:p w:rsidR="00105E3C" w:rsidRPr="00413879" w:rsidRDefault="00105E3C" w:rsidP="00D74953">
      <w:pPr>
        <w:tabs>
          <w:tab w:val="left" w:pos="14317"/>
        </w:tabs>
        <w:ind w:right="1811" w:firstLine="414"/>
        <w:jc w:val="right"/>
        <w:rPr>
          <w:rFonts w:ascii="Times New Roman" w:hAnsi="Times New Roman"/>
        </w:rPr>
      </w:pPr>
    </w:p>
    <w:p w:rsidR="00105E3C" w:rsidRPr="00413879" w:rsidRDefault="00105E3C" w:rsidP="00D74953">
      <w:pPr>
        <w:tabs>
          <w:tab w:val="left" w:pos="14317"/>
        </w:tabs>
        <w:ind w:right="1811" w:firstLine="414"/>
        <w:jc w:val="right"/>
        <w:rPr>
          <w:rFonts w:ascii="Times New Roman" w:hAnsi="Times New Roman"/>
        </w:rPr>
      </w:pPr>
    </w:p>
    <w:p w:rsidR="00652C43" w:rsidRPr="00413879" w:rsidRDefault="00652C43" w:rsidP="00105E3C">
      <w:pPr>
        <w:jc w:val="center"/>
      </w:pPr>
      <w:r w:rsidRPr="00413879">
        <w:rPr>
          <w:noProof/>
          <w:lang w:eastAsia="pt-BR"/>
        </w:rPr>
        <w:drawing>
          <wp:inline distT="0" distB="0" distL="0" distR="0">
            <wp:extent cx="7920000" cy="5400136"/>
            <wp:effectExtent l="19050" t="0" r="4800" b="0"/>
            <wp:docPr id="7"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preferRelativeResize="0">
                      <a:picLocks noChangeAspect="1" noChangeArrowheads="1"/>
                    </pic:cNvPicPr>
                  </pic:nvPicPr>
                  <pic:blipFill>
                    <a:blip r:embed="rId26" cstate="print"/>
                    <a:srcRect/>
                    <a:stretch>
                      <a:fillRect/>
                    </a:stretch>
                  </pic:blipFill>
                  <pic:spPr bwMode="auto">
                    <a:xfrm>
                      <a:off x="0" y="0"/>
                      <a:ext cx="7920000" cy="5400136"/>
                    </a:xfrm>
                    <a:prstGeom prst="rect">
                      <a:avLst/>
                    </a:prstGeom>
                    <a:noFill/>
                    <a:ln w="9525">
                      <a:noFill/>
                      <a:miter lim="800000"/>
                      <a:headEnd/>
                      <a:tailEnd/>
                    </a:ln>
                  </pic:spPr>
                </pic:pic>
              </a:graphicData>
            </a:graphic>
          </wp:inline>
        </w:drawing>
      </w:r>
    </w:p>
    <w:p w:rsidR="0064444F" w:rsidRPr="00413879" w:rsidRDefault="0064444F" w:rsidP="0064444F">
      <w:pPr>
        <w:ind w:right="1811" w:firstLine="414"/>
        <w:jc w:val="right"/>
        <w:rPr>
          <w:rFonts w:ascii="Times New Roman" w:hAnsi="Times New Roman"/>
        </w:rPr>
      </w:pPr>
      <w:r w:rsidRPr="00413879">
        <w:rPr>
          <w:rFonts w:ascii="Times New Roman" w:hAnsi="Times New Roman"/>
        </w:rPr>
        <w:t>Fonte: ABRAFA</w:t>
      </w:r>
    </w:p>
    <w:p w:rsidR="0064444F" w:rsidRPr="00413879" w:rsidRDefault="0064444F" w:rsidP="00652C43">
      <w:pPr>
        <w:ind w:firstLine="414"/>
        <w:jc w:val="center"/>
      </w:pPr>
    </w:p>
    <w:p w:rsidR="00652C43" w:rsidRPr="00413879" w:rsidRDefault="00652C43" w:rsidP="00652C43">
      <w:pPr>
        <w:ind w:firstLine="414"/>
        <w:jc w:val="center"/>
        <w:sectPr w:rsidR="00652C43" w:rsidRPr="00413879" w:rsidSect="009A5FC2">
          <w:pgSz w:w="16838" w:h="11906" w:orient="landscape"/>
          <w:pgMar w:top="159" w:right="426" w:bottom="426" w:left="142" w:header="142" w:footer="708" w:gutter="0"/>
          <w:cols w:space="708"/>
          <w:docGrid w:linePitch="360"/>
        </w:sectPr>
      </w:pPr>
    </w:p>
    <w:p w:rsidR="0064444F" w:rsidRPr="00413879" w:rsidRDefault="00194272" w:rsidP="002B27F4">
      <w:pPr>
        <w:pStyle w:val="PargrafodaLista"/>
        <w:spacing w:before="240" w:after="0"/>
        <w:ind w:left="0"/>
        <w:contextualSpacing w:val="0"/>
        <w:jc w:val="center"/>
        <w:rPr>
          <w:rFonts w:ascii="Times New Roman" w:hAnsi="Times New Roman"/>
          <w:b/>
          <w:sz w:val="24"/>
          <w:szCs w:val="24"/>
          <w:lang w:val="pt-BR"/>
        </w:rPr>
      </w:pPr>
      <w:r w:rsidRPr="00194272">
        <w:rPr>
          <w:rFonts w:ascii="Times New Roman" w:hAnsi="Times New Roman"/>
          <w:b/>
          <w:sz w:val="24"/>
          <w:szCs w:val="24"/>
          <w:lang w:val="pt-BR"/>
        </w:rPr>
        <w:lastRenderedPageBreak/>
        <w:t>Anexo III</w:t>
      </w:r>
    </w:p>
    <w:p w:rsidR="00652C43" w:rsidRPr="00413879" w:rsidRDefault="00194272" w:rsidP="002B27F4">
      <w:pPr>
        <w:pStyle w:val="PargrafodaLista"/>
        <w:spacing w:after="240"/>
        <w:ind w:left="0"/>
        <w:contextualSpacing w:val="0"/>
        <w:jc w:val="center"/>
        <w:rPr>
          <w:rFonts w:ascii="Times New Roman" w:hAnsi="Times New Roman"/>
          <w:b/>
          <w:sz w:val="24"/>
          <w:szCs w:val="24"/>
          <w:lang w:val="pt-BR"/>
        </w:rPr>
      </w:pPr>
      <w:r w:rsidRPr="00194272">
        <w:rPr>
          <w:rFonts w:ascii="Times New Roman" w:hAnsi="Times New Roman"/>
          <w:b/>
          <w:sz w:val="24"/>
          <w:szCs w:val="24"/>
          <w:lang w:val="pt-BR"/>
        </w:rPr>
        <w:t>Proposta da lista de produtos isentos de registro</w:t>
      </w:r>
    </w:p>
    <w:p w:rsidR="00652C43" w:rsidRPr="00413879" w:rsidRDefault="00194272" w:rsidP="00652C43">
      <w:pPr>
        <w:pStyle w:val="PargrafodaLista"/>
        <w:spacing w:after="0"/>
        <w:ind w:left="0"/>
        <w:jc w:val="both"/>
        <w:rPr>
          <w:rFonts w:ascii="Times New Roman" w:hAnsi="Times New Roman"/>
          <w:sz w:val="24"/>
          <w:szCs w:val="24"/>
          <w:lang w:val="pt-BR"/>
        </w:rPr>
      </w:pPr>
      <w:r w:rsidRPr="00194272">
        <w:rPr>
          <w:rFonts w:ascii="Times New Roman" w:hAnsi="Times New Roman"/>
          <w:sz w:val="24"/>
          <w:szCs w:val="24"/>
          <w:lang w:val="pt-BR"/>
        </w:rPr>
        <w:t>São isentos de registro os produtos que sejam destinados somente a:</w:t>
      </w:r>
    </w:p>
    <w:p w:rsidR="00652C43" w:rsidRPr="00413879" w:rsidRDefault="00652C43" w:rsidP="00652C43">
      <w:pPr>
        <w:pStyle w:val="PargrafodaLista"/>
        <w:spacing w:after="0"/>
        <w:ind w:left="0"/>
        <w:jc w:val="both"/>
        <w:rPr>
          <w:rFonts w:ascii="Times New Roman" w:hAnsi="Times New Roman"/>
          <w:sz w:val="24"/>
          <w:szCs w:val="24"/>
          <w:lang w:val="pt-BR"/>
        </w:rPr>
      </w:pP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Auxílio para montagem de peças;</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proteção contra corrosão;</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amaciamento e impregnação de fibras;</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lubrificação de fios têxteis;</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tratamento de couro, tecidos e peles;</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transferência de calor;</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utilização em radiadores;</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pulverização agrícola;</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selagem de gasômetro;</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 xml:space="preserve">tratamento térmico (têmpera e </w:t>
      </w:r>
      <w:proofErr w:type="spellStart"/>
      <w:r w:rsidRPr="00194272">
        <w:rPr>
          <w:rFonts w:ascii="Times New Roman" w:hAnsi="Times New Roman"/>
          <w:sz w:val="24"/>
          <w:szCs w:val="24"/>
        </w:rPr>
        <w:t>revenimento</w:t>
      </w:r>
      <w:proofErr w:type="spellEnd"/>
      <w:r w:rsidRPr="00194272">
        <w:rPr>
          <w:rFonts w:ascii="Times New Roman" w:hAnsi="Times New Roman"/>
          <w:sz w:val="24"/>
          <w:szCs w:val="24"/>
        </w:rPr>
        <w:t>);</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acabamento (</w:t>
      </w:r>
      <w:proofErr w:type="spellStart"/>
      <w:r w:rsidRPr="00194272">
        <w:rPr>
          <w:rFonts w:ascii="Times New Roman" w:hAnsi="Times New Roman"/>
          <w:sz w:val="24"/>
          <w:szCs w:val="24"/>
        </w:rPr>
        <w:t>esmerilhamento</w:t>
      </w:r>
      <w:proofErr w:type="spellEnd"/>
      <w:r w:rsidRPr="00194272">
        <w:rPr>
          <w:rFonts w:ascii="Times New Roman" w:hAnsi="Times New Roman"/>
          <w:sz w:val="24"/>
          <w:szCs w:val="24"/>
        </w:rPr>
        <w:t>, afiação, dobragem e polimento);</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 xml:space="preserve">revestimento (estanhagem, </w:t>
      </w:r>
      <w:proofErr w:type="spellStart"/>
      <w:r w:rsidRPr="00194272">
        <w:rPr>
          <w:rFonts w:ascii="Times New Roman" w:hAnsi="Times New Roman"/>
          <w:sz w:val="24"/>
          <w:szCs w:val="24"/>
        </w:rPr>
        <w:t>cromagem</w:t>
      </w:r>
      <w:proofErr w:type="spellEnd"/>
      <w:r w:rsidRPr="00194272">
        <w:rPr>
          <w:rFonts w:ascii="Times New Roman" w:hAnsi="Times New Roman"/>
          <w:sz w:val="24"/>
          <w:szCs w:val="24"/>
        </w:rPr>
        <w:t xml:space="preserve">, </w:t>
      </w:r>
      <w:proofErr w:type="spellStart"/>
      <w:r w:rsidRPr="00194272">
        <w:rPr>
          <w:rFonts w:ascii="Times New Roman" w:hAnsi="Times New Roman"/>
          <w:sz w:val="24"/>
          <w:szCs w:val="24"/>
        </w:rPr>
        <w:t>fosfatização</w:t>
      </w:r>
      <w:proofErr w:type="spellEnd"/>
      <w:r w:rsidRPr="00194272">
        <w:rPr>
          <w:rFonts w:ascii="Times New Roman" w:hAnsi="Times New Roman"/>
          <w:sz w:val="24"/>
          <w:szCs w:val="24"/>
        </w:rPr>
        <w:t xml:space="preserve"> e galvanização);</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usinagem e corte;</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modelagem;</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laminação;</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forjamento;</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estampagem;</w:t>
      </w:r>
    </w:p>
    <w:p w:rsidR="005E3CA9" w:rsidRPr="00413879" w:rsidRDefault="00194272" w:rsidP="005E3CA9">
      <w:pPr>
        <w:spacing w:after="0"/>
        <w:jc w:val="both"/>
        <w:rPr>
          <w:rFonts w:ascii="Times New Roman" w:hAnsi="Times New Roman"/>
          <w:sz w:val="24"/>
          <w:szCs w:val="24"/>
        </w:rPr>
      </w:pPr>
      <w:proofErr w:type="spellStart"/>
      <w:r w:rsidRPr="00194272">
        <w:rPr>
          <w:rFonts w:ascii="Times New Roman" w:hAnsi="Times New Roman"/>
          <w:sz w:val="24"/>
          <w:szCs w:val="24"/>
        </w:rPr>
        <w:t>trefilação</w:t>
      </w:r>
      <w:proofErr w:type="spellEnd"/>
      <w:r w:rsidRPr="00194272">
        <w:rPr>
          <w:rFonts w:ascii="Times New Roman" w:hAnsi="Times New Roman"/>
          <w:sz w:val="24"/>
          <w:szCs w:val="24"/>
        </w:rPr>
        <w:t>;</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extrusão;</w:t>
      </w:r>
    </w:p>
    <w:p w:rsidR="005E3CA9" w:rsidRPr="00413879" w:rsidRDefault="00194272" w:rsidP="005E3CA9">
      <w:pPr>
        <w:spacing w:after="0"/>
        <w:jc w:val="both"/>
        <w:rPr>
          <w:rFonts w:ascii="Times New Roman" w:hAnsi="Times New Roman"/>
          <w:sz w:val="24"/>
          <w:szCs w:val="24"/>
        </w:rPr>
      </w:pPr>
      <w:proofErr w:type="spellStart"/>
      <w:r w:rsidRPr="00194272">
        <w:rPr>
          <w:rFonts w:ascii="Times New Roman" w:hAnsi="Times New Roman"/>
          <w:sz w:val="24"/>
          <w:szCs w:val="24"/>
        </w:rPr>
        <w:t>desmolde</w:t>
      </w:r>
      <w:proofErr w:type="spellEnd"/>
      <w:r w:rsidRPr="00194272">
        <w:rPr>
          <w:rFonts w:ascii="Times New Roman" w:hAnsi="Times New Roman"/>
          <w:sz w:val="24"/>
          <w:szCs w:val="24"/>
        </w:rPr>
        <w:t>;</w:t>
      </w:r>
    </w:p>
    <w:p w:rsidR="005E3CA9" w:rsidRPr="00413879" w:rsidRDefault="00194272" w:rsidP="005E3CA9">
      <w:pPr>
        <w:spacing w:after="0"/>
        <w:jc w:val="both"/>
        <w:rPr>
          <w:rFonts w:ascii="Times New Roman" w:hAnsi="Times New Roman"/>
          <w:sz w:val="24"/>
          <w:szCs w:val="24"/>
        </w:rPr>
      </w:pPr>
      <w:proofErr w:type="spellStart"/>
      <w:r w:rsidRPr="00194272">
        <w:rPr>
          <w:rFonts w:ascii="Times New Roman" w:hAnsi="Times New Roman"/>
          <w:sz w:val="24"/>
          <w:szCs w:val="24"/>
        </w:rPr>
        <w:t>eletroerosão</w:t>
      </w:r>
      <w:proofErr w:type="spellEnd"/>
      <w:r w:rsidRPr="00194272">
        <w:rPr>
          <w:rFonts w:ascii="Times New Roman" w:hAnsi="Times New Roman"/>
          <w:sz w:val="24"/>
          <w:szCs w:val="24"/>
        </w:rPr>
        <w:t>;</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perfuração de poços;</w:t>
      </w:r>
    </w:p>
    <w:p w:rsidR="005E3CA9" w:rsidRPr="00413879" w:rsidRDefault="005E3CA9" w:rsidP="005E3CA9">
      <w:pPr>
        <w:spacing w:after="0"/>
        <w:jc w:val="both"/>
        <w:rPr>
          <w:rFonts w:ascii="Times New Roman" w:hAnsi="Times New Roman"/>
          <w:sz w:val="24"/>
          <w:szCs w:val="24"/>
        </w:rPr>
      </w:pP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Também são isentos de registro:</w:t>
      </w:r>
    </w:p>
    <w:p w:rsidR="005E3CA9" w:rsidRPr="00413879" w:rsidRDefault="005E3CA9" w:rsidP="005E3CA9">
      <w:pPr>
        <w:spacing w:after="0"/>
        <w:jc w:val="both"/>
        <w:rPr>
          <w:rFonts w:ascii="Times New Roman" w:hAnsi="Times New Roman"/>
          <w:sz w:val="24"/>
          <w:szCs w:val="24"/>
        </w:rPr>
      </w:pP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Fluidos de limpeza;</w:t>
      </w:r>
    </w:p>
    <w:p w:rsidR="005E3CA9" w:rsidRPr="00413879" w:rsidRDefault="00194272" w:rsidP="005E3CA9">
      <w:pPr>
        <w:spacing w:after="0"/>
        <w:jc w:val="both"/>
        <w:rPr>
          <w:rFonts w:ascii="Times New Roman" w:hAnsi="Times New Roman"/>
          <w:sz w:val="24"/>
          <w:szCs w:val="24"/>
        </w:rPr>
      </w:pPr>
      <w:proofErr w:type="spellStart"/>
      <w:r w:rsidRPr="00194272">
        <w:rPr>
          <w:rFonts w:ascii="Times New Roman" w:hAnsi="Times New Roman"/>
          <w:sz w:val="24"/>
          <w:szCs w:val="24"/>
        </w:rPr>
        <w:t>desingripantes</w:t>
      </w:r>
      <w:proofErr w:type="spellEnd"/>
      <w:r w:rsidRPr="00194272">
        <w:rPr>
          <w:rFonts w:ascii="Times New Roman" w:hAnsi="Times New Roman"/>
          <w:sz w:val="24"/>
          <w:szCs w:val="24"/>
        </w:rPr>
        <w:t>;</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fluidos de freio;</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isoladores dielétricos;</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óleos insumos da indústria química;</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lubrificantes sólidos;</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lubrificantes aplicados por aerossol;</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aditivos em frasco para uso industrial;</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aditivos para formulação de óleos lubrificantes acabados;</w:t>
      </w:r>
    </w:p>
    <w:p w:rsidR="005E3CA9" w:rsidRPr="00413879" w:rsidRDefault="00194272" w:rsidP="005E3CA9">
      <w:pPr>
        <w:spacing w:after="0"/>
        <w:jc w:val="both"/>
        <w:rPr>
          <w:rFonts w:ascii="Times New Roman" w:hAnsi="Times New Roman"/>
          <w:sz w:val="24"/>
          <w:szCs w:val="24"/>
        </w:rPr>
      </w:pPr>
      <w:r w:rsidRPr="00194272">
        <w:rPr>
          <w:rFonts w:ascii="Times New Roman" w:hAnsi="Times New Roman"/>
          <w:sz w:val="24"/>
          <w:szCs w:val="24"/>
        </w:rPr>
        <w:t>óleos lubrificantes básicos;</w:t>
      </w:r>
    </w:p>
    <w:p w:rsidR="0064444F" w:rsidRPr="00413879" w:rsidRDefault="00194272" w:rsidP="00A07EB7">
      <w:pPr>
        <w:jc w:val="both"/>
        <w:rPr>
          <w:rFonts w:ascii="Times New Roman" w:hAnsi="Times New Roman"/>
          <w:sz w:val="24"/>
          <w:szCs w:val="24"/>
        </w:rPr>
      </w:pPr>
      <w:r w:rsidRPr="00194272">
        <w:rPr>
          <w:rFonts w:ascii="Times New Roman" w:hAnsi="Times New Roman"/>
          <w:sz w:val="24"/>
          <w:szCs w:val="24"/>
        </w:rPr>
        <w:t>lubrificantes produzidos no país destinados à exportação e os lubrificantes importados sob regimes aduaneiros controlados pela Receita Federal do Brasil que definam a sua utilização e posterior exportação.</w:t>
      </w:r>
      <w:r w:rsidRPr="00194272">
        <w:rPr>
          <w:rFonts w:ascii="Times New Roman" w:hAnsi="Times New Roman"/>
          <w:sz w:val="24"/>
          <w:szCs w:val="24"/>
        </w:rPr>
        <w:br w:type="page"/>
      </w:r>
    </w:p>
    <w:p w:rsidR="0064444F" w:rsidRPr="00413879" w:rsidRDefault="00194272" w:rsidP="002B27F4">
      <w:pPr>
        <w:pStyle w:val="Texto"/>
      </w:pPr>
      <w:r w:rsidRPr="00194272">
        <w:lastRenderedPageBreak/>
        <w:t>Anexo IV</w:t>
      </w:r>
    </w:p>
    <w:p w:rsidR="00652C43" w:rsidRPr="00413879" w:rsidRDefault="00194272" w:rsidP="002B27F4">
      <w:pPr>
        <w:pStyle w:val="Texto"/>
      </w:pPr>
      <w:r w:rsidRPr="00194272">
        <w:t>MMA: Evolução da frota estimada do Ciclo Otto</w:t>
      </w:r>
    </w:p>
    <w:p w:rsidR="00652C43" w:rsidRPr="00413879" w:rsidRDefault="00E27F7D" w:rsidP="002B27F4">
      <w:pPr>
        <w:pStyle w:val="Texto"/>
      </w:pPr>
      <w:r>
        <w:rPr>
          <w:noProof/>
          <w:lang w:eastAsia="pt-BR"/>
        </w:rPr>
        <w:drawing>
          <wp:inline distT="0" distB="0" distL="0" distR="0">
            <wp:extent cx="5689146" cy="8420100"/>
            <wp:effectExtent l="19050" t="0" r="6804" b="0"/>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cstate="print"/>
                    <a:srcRect/>
                    <a:stretch>
                      <a:fillRect/>
                    </a:stretch>
                  </pic:blipFill>
                  <pic:spPr bwMode="auto">
                    <a:xfrm>
                      <a:off x="0" y="0"/>
                      <a:ext cx="5689146" cy="8420100"/>
                    </a:xfrm>
                    <a:prstGeom prst="rect">
                      <a:avLst/>
                    </a:prstGeom>
                    <a:noFill/>
                    <a:ln w="9525">
                      <a:noFill/>
                      <a:miter lim="800000"/>
                      <a:headEnd/>
                      <a:tailEnd/>
                    </a:ln>
                  </pic:spPr>
                </pic:pic>
              </a:graphicData>
            </a:graphic>
          </wp:inline>
        </w:drawing>
      </w:r>
    </w:p>
    <w:p w:rsidR="001106A1" w:rsidRPr="00413879" w:rsidRDefault="00194272" w:rsidP="001106A1">
      <w:pPr>
        <w:jc w:val="both"/>
        <w:rPr>
          <w:rFonts w:ascii="Times New Roman" w:hAnsi="Times New Roman"/>
        </w:rPr>
      </w:pPr>
      <w:r w:rsidRPr="00194272">
        <w:rPr>
          <w:rFonts w:ascii="Times New Roman" w:hAnsi="Times New Roman"/>
        </w:rPr>
        <w:t>Fonte: 1° Inventário Nacional de Emissões Atmosféricas por Veículos Automotores Rodoviários, Relatório Final – MMA, pág. 81.</w:t>
      </w:r>
    </w:p>
    <w:p w:rsidR="00652C43" w:rsidRPr="00413879" w:rsidRDefault="00194272" w:rsidP="001106A1">
      <w:pPr>
        <w:spacing w:after="120"/>
        <w:jc w:val="center"/>
        <w:rPr>
          <w:b/>
        </w:rPr>
      </w:pPr>
      <w:r w:rsidRPr="00194272">
        <w:br w:type="page"/>
      </w:r>
      <w:r w:rsidRPr="00194272">
        <w:rPr>
          <w:rFonts w:ascii="Times New Roman" w:hAnsi="Times New Roman"/>
          <w:b/>
          <w:sz w:val="24"/>
          <w:szCs w:val="24"/>
        </w:rPr>
        <w:lastRenderedPageBreak/>
        <w:t>MMA: Evolução da frota estimada do Ciclo Diesel</w:t>
      </w:r>
    </w:p>
    <w:p w:rsidR="00652C43" w:rsidRPr="00413879" w:rsidRDefault="00E27F7D" w:rsidP="002B27F4">
      <w:pPr>
        <w:pStyle w:val="Texto"/>
      </w:pPr>
      <w:r>
        <w:rPr>
          <w:noProof/>
          <w:lang w:eastAsia="pt-BR"/>
        </w:rPr>
        <w:drawing>
          <wp:inline distT="0" distB="0" distL="0" distR="0">
            <wp:extent cx="5648325" cy="8190979"/>
            <wp:effectExtent l="19050" t="0" r="9525"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8" cstate="print"/>
                    <a:srcRect/>
                    <a:stretch>
                      <a:fillRect/>
                    </a:stretch>
                  </pic:blipFill>
                  <pic:spPr bwMode="auto">
                    <a:xfrm>
                      <a:off x="0" y="0"/>
                      <a:ext cx="5648989" cy="8191941"/>
                    </a:xfrm>
                    <a:prstGeom prst="rect">
                      <a:avLst/>
                    </a:prstGeom>
                    <a:noFill/>
                    <a:ln w="9525">
                      <a:noFill/>
                      <a:miter lim="800000"/>
                      <a:headEnd/>
                      <a:tailEnd/>
                    </a:ln>
                  </pic:spPr>
                </pic:pic>
              </a:graphicData>
            </a:graphic>
          </wp:inline>
        </w:drawing>
      </w:r>
    </w:p>
    <w:p w:rsidR="00652C43" w:rsidRPr="00413879" w:rsidRDefault="00194272" w:rsidP="001106A1">
      <w:pPr>
        <w:tabs>
          <w:tab w:val="left" w:pos="4253"/>
          <w:tab w:val="left" w:pos="9356"/>
        </w:tabs>
        <w:spacing w:after="0" w:line="240" w:lineRule="auto"/>
        <w:jc w:val="both"/>
        <w:rPr>
          <w:rFonts w:ascii="Times New Roman" w:hAnsi="Times New Roman"/>
        </w:rPr>
      </w:pPr>
      <w:r w:rsidRPr="00194272">
        <w:rPr>
          <w:rFonts w:ascii="Times New Roman" w:hAnsi="Times New Roman"/>
        </w:rPr>
        <w:t>Fonte: 1° Inventário Nacional de Emissões Atmosféricas por Veículos Automotores Rodoviários, Relatório Final – MMA, página 82.</w:t>
      </w:r>
    </w:p>
    <w:p w:rsidR="00652C43" w:rsidRPr="00413879" w:rsidRDefault="00652C43" w:rsidP="002B27F4">
      <w:pPr>
        <w:pStyle w:val="Texto"/>
      </w:pPr>
    </w:p>
    <w:p w:rsidR="00A65B13" w:rsidRPr="00413879" w:rsidRDefault="00A65B13" w:rsidP="002B27F4">
      <w:pPr>
        <w:pStyle w:val="Texto"/>
        <w:sectPr w:rsidR="00A65B13" w:rsidRPr="00413879" w:rsidSect="004913F9">
          <w:pgSz w:w="11906" w:h="16838"/>
          <w:pgMar w:top="709" w:right="1416" w:bottom="426" w:left="1134" w:header="708" w:footer="596" w:gutter="0"/>
          <w:cols w:space="708"/>
          <w:docGrid w:linePitch="360"/>
        </w:sectPr>
      </w:pPr>
    </w:p>
    <w:p w:rsidR="003F223B" w:rsidRPr="00413879" w:rsidRDefault="00194272" w:rsidP="003F223B">
      <w:pPr>
        <w:spacing w:after="0" w:line="240" w:lineRule="auto"/>
        <w:jc w:val="center"/>
        <w:rPr>
          <w:rFonts w:ascii="Times New Roman" w:hAnsi="Times New Roman"/>
          <w:b/>
          <w:sz w:val="24"/>
          <w:szCs w:val="24"/>
        </w:rPr>
      </w:pPr>
      <w:r w:rsidRPr="00194272">
        <w:rPr>
          <w:rFonts w:ascii="Times New Roman" w:hAnsi="Times New Roman"/>
          <w:b/>
          <w:sz w:val="24"/>
          <w:szCs w:val="24"/>
        </w:rPr>
        <w:lastRenderedPageBreak/>
        <w:t>Anexo V</w:t>
      </w:r>
    </w:p>
    <w:p w:rsidR="00652C43" w:rsidRPr="00413879" w:rsidRDefault="00194272" w:rsidP="003F223B">
      <w:pPr>
        <w:spacing w:after="0" w:line="240" w:lineRule="auto"/>
        <w:jc w:val="center"/>
        <w:rPr>
          <w:rFonts w:ascii="Times New Roman" w:hAnsi="Times New Roman"/>
          <w:b/>
        </w:rPr>
      </w:pPr>
      <w:r w:rsidRPr="00194272">
        <w:rPr>
          <w:rFonts w:ascii="Times New Roman" w:hAnsi="Times New Roman"/>
          <w:b/>
          <w:sz w:val="24"/>
          <w:szCs w:val="24"/>
        </w:rPr>
        <w:t>Frota Circulante Brasileira – 1960/2011</w:t>
      </w:r>
    </w:p>
    <w:p w:rsidR="003F223B" w:rsidRPr="00413879" w:rsidRDefault="00652C43" w:rsidP="003F223B">
      <w:pPr>
        <w:jc w:val="center"/>
      </w:pPr>
      <w:r w:rsidRPr="00413879">
        <w:rPr>
          <w:noProof/>
          <w:lang w:eastAsia="pt-BR"/>
        </w:rPr>
        <w:drawing>
          <wp:inline distT="0" distB="0" distL="0" distR="0">
            <wp:extent cx="7639050" cy="5103763"/>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7642496" cy="5106065"/>
                    </a:xfrm>
                    <a:prstGeom prst="rect">
                      <a:avLst/>
                    </a:prstGeom>
                    <a:noFill/>
                    <a:ln w="9525">
                      <a:noFill/>
                      <a:miter lim="800000"/>
                      <a:headEnd/>
                      <a:tailEnd/>
                    </a:ln>
                  </pic:spPr>
                </pic:pic>
              </a:graphicData>
            </a:graphic>
          </wp:inline>
        </w:drawing>
      </w:r>
    </w:p>
    <w:p w:rsidR="00105E3C" w:rsidRPr="00413879" w:rsidRDefault="00652C43" w:rsidP="007A5A93">
      <w:pPr>
        <w:ind w:right="1953"/>
        <w:jc w:val="right"/>
        <w:rPr>
          <w:rFonts w:ascii="Times New Roman" w:hAnsi="Times New Roman"/>
        </w:rPr>
        <w:sectPr w:rsidR="00105E3C" w:rsidRPr="00413879" w:rsidSect="003F223B">
          <w:pgSz w:w="16838" w:h="11906" w:orient="landscape"/>
          <w:pgMar w:top="991" w:right="426" w:bottom="426" w:left="709" w:header="280" w:footer="599" w:gutter="0"/>
          <w:cols w:space="708"/>
          <w:docGrid w:linePitch="360"/>
        </w:sectPr>
      </w:pPr>
      <w:r w:rsidRPr="00413879">
        <w:rPr>
          <w:rFonts w:ascii="Times New Roman" w:hAnsi="Times New Roman"/>
        </w:rPr>
        <w:t>Fonte: SINDIPEÇAS - Desempenho do</w:t>
      </w:r>
      <w:r w:rsidR="00194272" w:rsidRPr="00194272">
        <w:rPr>
          <w:rFonts w:ascii="Times New Roman" w:hAnsi="Times New Roman"/>
        </w:rPr>
        <w:t xml:space="preserve"> Setor de Autopeças 2012, pág. 59.</w:t>
      </w:r>
    </w:p>
    <w:p w:rsidR="002B27F4" w:rsidRPr="00413879" w:rsidRDefault="00194272" w:rsidP="002B27F4">
      <w:pPr>
        <w:tabs>
          <w:tab w:val="left" w:pos="10489"/>
        </w:tabs>
        <w:spacing w:after="0" w:line="360" w:lineRule="auto"/>
        <w:jc w:val="center"/>
        <w:rPr>
          <w:rFonts w:ascii="Times New Roman" w:hAnsi="Times New Roman"/>
          <w:b/>
        </w:rPr>
      </w:pPr>
      <w:r w:rsidRPr="00194272">
        <w:rPr>
          <w:rFonts w:ascii="Times New Roman" w:hAnsi="Times New Roman"/>
          <w:b/>
        </w:rPr>
        <w:lastRenderedPageBreak/>
        <w:t xml:space="preserve">Anexo VI </w:t>
      </w:r>
    </w:p>
    <w:p w:rsidR="002B27F4" w:rsidRPr="007A5A93" w:rsidRDefault="00E27F7D" w:rsidP="002B27F4">
      <w:pPr>
        <w:tabs>
          <w:tab w:val="left" w:pos="10489"/>
        </w:tabs>
        <w:ind w:right="-1"/>
        <w:jc w:val="center"/>
        <w:rPr>
          <w:rFonts w:ascii="Times New Roman" w:hAnsi="Times New Roman"/>
          <w:b/>
        </w:rPr>
      </w:pPr>
      <w:r>
        <w:rPr>
          <w:rFonts w:ascii="Times New Roman" w:hAnsi="Times New Roman"/>
          <w:b/>
        </w:rPr>
        <w:t xml:space="preserve">Perguntas </w:t>
      </w:r>
      <w:r w:rsidR="00194272" w:rsidRPr="00194272">
        <w:rPr>
          <w:rFonts w:ascii="Times New Roman" w:hAnsi="Times New Roman"/>
          <w:b/>
        </w:rPr>
        <w:t>encaminhad</w:t>
      </w:r>
      <w:r>
        <w:rPr>
          <w:rFonts w:ascii="Times New Roman" w:hAnsi="Times New Roman"/>
          <w:b/>
        </w:rPr>
        <w:t>a</w:t>
      </w:r>
      <w:r w:rsidR="00194272" w:rsidRPr="00194272">
        <w:rPr>
          <w:rFonts w:ascii="Times New Roman" w:hAnsi="Times New Roman"/>
          <w:b/>
        </w:rPr>
        <w:t xml:space="preserve">s </w:t>
      </w:r>
      <w:r>
        <w:rPr>
          <w:rFonts w:ascii="Times New Roman" w:hAnsi="Times New Roman"/>
          <w:b/>
        </w:rPr>
        <w:t xml:space="preserve">por </w:t>
      </w:r>
      <w:r w:rsidRPr="007A5A93">
        <w:rPr>
          <w:rFonts w:ascii="Times New Roman" w:hAnsi="Times New Roman"/>
          <w:b/>
        </w:rPr>
        <w:t xml:space="preserve">ofício </w:t>
      </w:r>
      <w:r w:rsidR="00194272" w:rsidRPr="007A5A93">
        <w:rPr>
          <w:rFonts w:ascii="Times New Roman" w:hAnsi="Times New Roman"/>
          <w:b/>
        </w:rPr>
        <w:t>aos agentes econômicos durante o período da Consulta Pública nº 19/2013</w:t>
      </w:r>
      <w:r w:rsidR="00B231CF">
        <w:rPr>
          <w:rFonts w:ascii="Times New Roman" w:hAnsi="Times New Roman"/>
          <w:b/>
        </w:rPr>
        <w:t>*</w:t>
      </w:r>
    </w:p>
    <w:p w:rsidR="00E27F7D" w:rsidRPr="007A5A93" w:rsidRDefault="00E27F7D" w:rsidP="00FB516F">
      <w:pPr>
        <w:tabs>
          <w:tab w:val="left" w:pos="10489"/>
        </w:tabs>
        <w:ind w:right="-1"/>
        <w:jc w:val="center"/>
        <w:rPr>
          <w:rFonts w:ascii="Times New Roman" w:hAnsi="Times New Roman"/>
          <w:b/>
        </w:rPr>
      </w:pPr>
    </w:p>
    <w:p w:rsidR="00E27F7D" w:rsidRPr="007A5A93" w:rsidRDefault="00E27F7D" w:rsidP="00E27F7D">
      <w:pPr>
        <w:pStyle w:val="PargrafodaLista"/>
        <w:numPr>
          <w:ilvl w:val="0"/>
          <w:numId w:val="12"/>
        </w:numPr>
        <w:spacing w:before="120" w:after="120"/>
        <w:contextualSpacing w:val="0"/>
        <w:jc w:val="both"/>
        <w:rPr>
          <w:rFonts w:ascii="Times New Roman" w:hAnsi="Times New Roman"/>
          <w:lang w:val="pt-BR"/>
        </w:rPr>
      </w:pPr>
      <w:r w:rsidRPr="007A5A93">
        <w:rPr>
          <w:rFonts w:ascii="Times New Roman" w:hAnsi="Times New Roman"/>
          <w:lang w:val="pt-BR"/>
        </w:rPr>
        <w:t>Com a revisão da Resolução ANP 10/2007, pretende-se elevar o nível de desempenho mínimo de API SF para SJ e de API CF para CG-4. Na mesma resolução deverá ser prevista uma segunda transição de API SJ para SL e de API CG-4 para CH-4. Espera-se realizar a segunda transição dois anos depois de findado o prazo concedido para a primeira. Solicitamos que os envolvidos comentem a adequação desse prazo para o mercado brasileiro.</w:t>
      </w:r>
    </w:p>
    <w:p w:rsidR="00E27F7D" w:rsidRPr="007A5A93" w:rsidRDefault="00E27F7D" w:rsidP="00E27F7D">
      <w:pPr>
        <w:pStyle w:val="PargrafodaLista"/>
        <w:numPr>
          <w:ilvl w:val="0"/>
          <w:numId w:val="12"/>
        </w:numPr>
        <w:tabs>
          <w:tab w:val="left" w:pos="1418"/>
        </w:tabs>
        <w:spacing w:before="120" w:after="120"/>
        <w:contextualSpacing w:val="0"/>
        <w:jc w:val="both"/>
        <w:rPr>
          <w:rFonts w:ascii="Times New Roman" w:hAnsi="Times New Roman"/>
          <w:lang w:val="pt-BR"/>
        </w:rPr>
      </w:pPr>
      <w:r w:rsidRPr="007A5A93">
        <w:rPr>
          <w:rFonts w:ascii="Times New Roman" w:hAnsi="Times New Roman"/>
          <w:lang w:val="pt-BR"/>
        </w:rPr>
        <w:t>Considerando a necessidade de se retirar do mercado tecnologias obsoletas, a ANP pretende adotar o mesmo critério de obsolescência do sistema de classificação de níveis de desempenho da ACEA. Atualmente, a ACEA permite a comercialização de produtos com aprovação corrente (2012) e a anterior (2010). Solicitamos que os envolvidos comentem sobre a adoção no Brasil dos mesmos critérios de obsolescência adotados pela ACEA.</w:t>
      </w:r>
    </w:p>
    <w:p w:rsidR="00E27F7D" w:rsidRPr="007A5A93" w:rsidRDefault="00E27F7D" w:rsidP="00E27F7D">
      <w:pPr>
        <w:pStyle w:val="PargrafodaLista"/>
        <w:numPr>
          <w:ilvl w:val="0"/>
          <w:numId w:val="12"/>
        </w:numPr>
        <w:spacing w:before="120" w:after="120"/>
        <w:contextualSpacing w:val="0"/>
        <w:jc w:val="both"/>
        <w:rPr>
          <w:rFonts w:ascii="Times New Roman" w:hAnsi="Times New Roman"/>
          <w:lang w:val="pt-BR"/>
        </w:rPr>
      </w:pPr>
      <w:r w:rsidRPr="007A5A93">
        <w:rPr>
          <w:rFonts w:ascii="Times New Roman" w:hAnsi="Times New Roman"/>
          <w:lang w:val="pt-BR"/>
        </w:rPr>
        <w:t xml:space="preserve">Qual a </w:t>
      </w:r>
      <w:r w:rsidRPr="007A5A93">
        <w:rPr>
          <w:rFonts w:ascii="Times New Roman" w:hAnsi="Times New Roman"/>
          <w:b/>
          <w:lang w:val="pt-BR"/>
        </w:rPr>
        <w:t>diferença de custos</w:t>
      </w:r>
      <w:r w:rsidRPr="007A5A93">
        <w:rPr>
          <w:rFonts w:ascii="Times New Roman" w:hAnsi="Times New Roman"/>
          <w:lang w:val="pt-BR"/>
        </w:rPr>
        <w:t xml:space="preserve"> para cada matéria-prima (óleo básico, aditivos e outros) entre os lubrificantes de níveis de desempenho abaixo?</w:t>
      </w:r>
    </w:p>
    <w:tbl>
      <w:tblPr>
        <w:tblW w:w="0" w:type="auto"/>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2021"/>
        <w:gridCol w:w="1985"/>
        <w:gridCol w:w="2228"/>
      </w:tblGrid>
      <w:tr w:rsidR="00E27F7D" w:rsidRPr="007A5A93" w:rsidTr="00E27F7D">
        <w:tc>
          <w:tcPr>
            <w:tcW w:w="1204" w:type="dxa"/>
            <w:vMerge w:val="restart"/>
            <w:vAlign w:val="center"/>
          </w:tcPr>
          <w:p w:rsidR="00E27F7D" w:rsidRPr="007A5A93" w:rsidRDefault="00E27F7D" w:rsidP="007A5A93">
            <w:pPr>
              <w:spacing w:before="60" w:after="60"/>
              <w:jc w:val="center"/>
              <w:rPr>
                <w:rFonts w:ascii="Times New Roman" w:hAnsi="Times New Roman"/>
              </w:rPr>
            </w:pPr>
            <w:r w:rsidRPr="007A5A93">
              <w:rPr>
                <w:rFonts w:ascii="Times New Roman" w:hAnsi="Times New Roman"/>
              </w:rPr>
              <w:t>API</w:t>
            </w:r>
          </w:p>
        </w:tc>
        <w:tc>
          <w:tcPr>
            <w:tcW w:w="2021" w:type="dxa"/>
            <w:vAlign w:val="center"/>
          </w:tcPr>
          <w:p w:rsidR="00E27F7D" w:rsidRPr="007A5A93" w:rsidRDefault="00E27F7D" w:rsidP="007A5A93">
            <w:pPr>
              <w:spacing w:before="60" w:after="60"/>
              <w:jc w:val="center"/>
              <w:rPr>
                <w:rFonts w:ascii="Times New Roman" w:hAnsi="Times New Roman"/>
              </w:rPr>
            </w:pPr>
            <w:r w:rsidRPr="007A5A93">
              <w:rPr>
                <w:rFonts w:ascii="Times New Roman" w:hAnsi="Times New Roman"/>
              </w:rPr>
              <w:t>Óleos básicos</w:t>
            </w:r>
          </w:p>
        </w:tc>
        <w:tc>
          <w:tcPr>
            <w:tcW w:w="1985" w:type="dxa"/>
            <w:vAlign w:val="center"/>
          </w:tcPr>
          <w:p w:rsidR="00E27F7D" w:rsidRPr="007A5A93" w:rsidRDefault="00E27F7D" w:rsidP="007A5A93">
            <w:pPr>
              <w:spacing w:before="60" w:after="60"/>
              <w:jc w:val="center"/>
              <w:rPr>
                <w:rFonts w:ascii="Times New Roman" w:hAnsi="Times New Roman"/>
              </w:rPr>
            </w:pPr>
            <w:r w:rsidRPr="007A5A93">
              <w:rPr>
                <w:rFonts w:ascii="Times New Roman" w:hAnsi="Times New Roman"/>
              </w:rPr>
              <w:t>Aditivos</w:t>
            </w:r>
          </w:p>
        </w:tc>
        <w:tc>
          <w:tcPr>
            <w:tcW w:w="2228" w:type="dxa"/>
            <w:vAlign w:val="center"/>
          </w:tcPr>
          <w:p w:rsidR="00E27F7D" w:rsidRPr="007A5A93" w:rsidRDefault="00E27F7D" w:rsidP="007A5A93">
            <w:pPr>
              <w:spacing w:before="60" w:after="60"/>
              <w:jc w:val="center"/>
              <w:rPr>
                <w:rFonts w:ascii="Times New Roman" w:hAnsi="Times New Roman"/>
              </w:rPr>
            </w:pPr>
            <w:r w:rsidRPr="007A5A93">
              <w:rPr>
                <w:rFonts w:ascii="Times New Roman" w:hAnsi="Times New Roman"/>
              </w:rPr>
              <w:t>Outros insumos</w:t>
            </w:r>
          </w:p>
        </w:tc>
      </w:tr>
      <w:tr w:rsidR="00E27F7D" w:rsidRPr="007A5A93" w:rsidTr="007A5A93">
        <w:trPr>
          <w:trHeight w:val="741"/>
        </w:trPr>
        <w:tc>
          <w:tcPr>
            <w:tcW w:w="1204" w:type="dxa"/>
            <w:vMerge/>
            <w:vAlign w:val="center"/>
          </w:tcPr>
          <w:p w:rsidR="00E27F7D" w:rsidRPr="007A5A93" w:rsidRDefault="00E27F7D" w:rsidP="007A5A93">
            <w:pPr>
              <w:spacing w:before="60" w:after="60"/>
              <w:jc w:val="center"/>
              <w:rPr>
                <w:rFonts w:ascii="Times New Roman" w:hAnsi="Times New Roman"/>
              </w:rPr>
            </w:pPr>
          </w:p>
        </w:tc>
        <w:tc>
          <w:tcPr>
            <w:tcW w:w="2021" w:type="dxa"/>
            <w:vAlign w:val="center"/>
          </w:tcPr>
          <w:p w:rsidR="00E27F7D" w:rsidRPr="007A5A93" w:rsidRDefault="00E27F7D" w:rsidP="007A5A93">
            <w:pPr>
              <w:spacing w:before="60" w:after="60"/>
              <w:jc w:val="center"/>
              <w:rPr>
                <w:rFonts w:ascii="Times New Roman" w:hAnsi="Times New Roman"/>
              </w:rPr>
            </w:pPr>
            <w:r w:rsidRPr="007A5A93">
              <w:rPr>
                <w:rFonts w:ascii="Times New Roman" w:hAnsi="Times New Roman"/>
              </w:rPr>
              <w:t>R$/L de óleo acabado</w:t>
            </w:r>
          </w:p>
        </w:tc>
        <w:tc>
          <w:tcPr>
            <w:tcW w:w="1985" w:type="dxa"/>
            <w:vAlign w:val="center"/>
          </w:tcPr>
          <w:p w:rsidR="00E27F7D" w:rsidRPr="007A5A93" w:rsidRDefault="00E27F7D" w:rsidP="007A5A93">
            <w:pPr>
              <w:spacing w:before="60" w:after="60"/>
              <w:jc w:val="center"/>
              <w:rPr>
                <w:rFonts w:ascii="Times New Roman" w:hAnsi="Times New Roman"/>
              </w:rPr>
            </w:pPr>
            <w:r w:rsidRPr="007A5A93">
              <w:rPr>
                <w:rFonts w:ascii="Times New Roman" w:hAnsi="Times New Roman"/>
              </w:rPr>
              <w:t>R$/L de óleo acabado</w:t>
            </w:r>
          </w:p>
        </w:tc>
        <w:tc>
          <w:tcPr>
            <w:tcW w:w="2228" w:type="dxa"/>
            <w:vAlign w:val="center"/>
          </w:tcPr>
          <w:p w:rsidR="00E27F7D" w:rsidRPr="007A5A93" w:rsidRDefault="00E27F7D" w:rsidP="007A5A93">
            <w:pPr>
              <w:spacing w:before="60" w:after="60"/>
              <w:jc w:val="center"/>
              <w:rPr>
                <w:rFonts w:ascii="Times New Roman" w:hAnsi="Times New Roman"/>
              </w:rPr>
            </w:pPr>
            <w:r w:rsidRPr="007A5A93">
              <w:rPr>
                <w:rFonts w:ascii="Times New Roman" w:hAnsi="Times New Roman"/>
              </w:rPr>
              <w:t>R$/L de óleo acabado</w:t>
            </w:r>
          </w:p>
        </w:tc>
      </w:tr>
      <w:tr w:rsidR="00E27F7D" w:rsidRPr="007A5A93" w:rsidTr="00E27F7D">
        <w:tc>
          <w:tcPr>
            <w:tcW w:w="1204" w:type="dxa"/>
            <w:vAlign w:val="center"/>
          </w:tcPr>
          <w:p w:rsidR="00E27F7D" w:rsidRPr="007A5A93" w:rsidRDefault="00E27F7D" w:rsidP="007A5A93">
            <w:pPr>
              <w:spacing w:before="60" w:after="60"/>
              <w:jc w:val="center"/>
              <w:rPr>
                <w:rFonts w:ascii="Times New Roman" w:hAnsi="Times New Roman"/>
              </w:rPr>
            </w:pPr>
            <w:r w:rsidRPr="007A5A93">
              <w:rPr>
                <w:rFonts w:ascii="Times New Roman" w:hAnsi="Times New Roman"/>
              </w:rPr>
              <w:t>SF e SJ</w:t>
            </w:r>
          </w:p>
        </w:tc>
        <w:tc>
          <w:tcPr>
            <w:tcW w:w="2021" w:type="dxa"/>
            <w:vAlign w:val="center"/>
          </w:tcPr>
          <w:p w:rsidR="00E27F7D" w:rsidRPr="007A5A93" w:rsidRDefault="00E27F7D" w:rsidP="007A5A93">
            <w:pPr>
              <w:spacing w:before="60" w:after="60"/>
              <w:jc w:val="center"/>
              <w:rPr>
                <w:rFonts w:ascii="Times New Roman" w:hAnsi="Times New Roman"/>
              </w:rPr>
            </w:pPr>
          </w:p>
        </w:tc>
        <w:tc>
          <w:tcPr>
            <w:tcW w:w="1985" w:type="dxa"/>
            <w:vAlign w:val="center"/>
          </w:tcPr>
          <w:p w:rsidR="00E27F7D" w:rsidRPr="007A5A93" w:rsidRDefault="00E27F7D" w:rsidP="007A5A93">
            <w:pPr>
              <w:spacing w:before="60" w:after="60"/>
              <w:jc w:val="center"/>
              <w:rPr>
                <w:rFonts w:ascii="Times New Roman" w:hAnsi="Times New Roman"/>
              </w:rPr>
            </w:pPr>
          </w:p>
        </w:tc>
        <w:tc>
          <w:tcPr>
            <w:tcW w:w="2228" w:type="dxa"/>
            <w:vAlign w:val="center"/>
          </w:tcPr>
          <w:p w:rsidR="00E27F7D" w:rsidRPr="007A5A93" w:rsidRDefault="00E27F7D" w:rsidP="007A5A93">
            <w:pPr>
              <w:spacing w:before="60" w:after="60"/>
              <w:jc w:val="center"/>
              <w:rPr>
                <w:rFonts w:ascii="Times New Roman" w:hAnsi="Times New Roman"/>
              </w:rPr>
            </w:pPr>
          </w:p>
        </w:tc>
      </w:tr>
      <w:tr w:rsidR="00E27F7D" w:rsidRPr="007A5A93" w:rsidTr="00E27F7D">
        <w:tc>
          <w:tcPr>
            <w:tcW w:w="1204" w:type="dxa"/>
            <w:vAlign w:val="center"/>
          </w:tcPr>
          <w:p w:rsidR="00E27F7D" w:rsidRPr="007A5A93" w:rsidRDefault="00E27F7D" w:rsidP="007A5A93">
            <w:pPr>
              <w:spacing w:before="60" w:after="60"/>
              <w:jc w:val="center"/>
              <w:rPr>
                <w:rFonts w:ascii="Times New Roman" w:hAnsi="Times New Roman"/>
              </w:rPr>
            </w:pPr>
            <w:r w:rsidRPr="007A5A93">
              <w:rPr>
                <w:rFonts w:ascii="Times New Roman" w:hAnsi="Times New Roman"/>
              </w:rPr>
              <w:t>SF e SL</w:t>
            </w:r>
          </w:p>
        </w:tc>
        <w:tc>
          <w:tcPr>
            <w:tcW w:w="2021" w:type="dxa"/>
            <w:vAlign w:val="center"/>
          </w:tcPr>
          <w:p w:rsidR="00E27F7D" w:rsidRPr="007A5A93" w:rsidRDefault="00E27F7D" w:rsidP="007A5A93">
            <w:pPr>
              <w:spacing w:before="60" w:after="60"/>
              <w:jc w:val="center"/>
              <w:rPr>
                <w:rFonts w:ascii="Times New Roman" w:hAnsi="Times New Roman"/>
              </w:rPr>
            </w:pPr>
          </w:p>
        </w:tc>
        <w:tc>
          <w:tcPr>
            <w:tcW w:w="1985" w:type="dxa"/>
            <w:vAlign w:val="center"/>
          </w:tcPr>
          <w:p w:rsidR="00E27F7D" w:rsidRPr="007A5A93" w:rsidRDefault="00E27F7D" w:rsidP="007A5A93">
            <w:pPr>
              <w:spacing w:before="60" w:after="60"/>
              <w:jc w:val="center"/>
              <w:rPr>
                <w:rFonts w:ascii="Times New Roman" w:hAnsi="Times New Roman"/>
              </w:rPr>
            </w:pPr>
          </w:p>
        </w:tc>
        <w:tc>
          <w:tcPr>
            <w:tcW w:w="2228" w:type="dxa"/>
            <w:vAlign w:val="center"/>
          </w:tcPr>
          <w:p w:rsidR="00E27F7D" w:rsidRPr="007A5A93" w:rsidRDefault="00E27F7D" w:rsidP="007A5A93">
            <w:pPr>
              <w:spacing w:before="60" w:after="60"/>
              <w:jc w:val="center"/>
              <w:rPr>
                <w:rFonts w:ascii="Times New Roman" w:hAnsi="Times New Roman"/>
              </w:rPr>
            </w:pPr>
          </w:p>
        </w:tc>
      </w:tr>
      <w:tr w:rsidR="00E27F7D" w:rsidRPr="007A5A93" w:rsidTr="00E27F7D">
        <w:tc>
          <w:tcPr>
            <w:tcW w:w="1204" w:type="dxa"/>
            <w:vAlign w:val="center"/>
          </w:tcPr>
          <w:p w:rsidR="00E27F7D" w:rsidRPr="007A5A93" w:rsidRDefault="00E27F7D" w:rsidP="007A5A93">
            <w:pPr>
              <w:spacing w:before="60" w:after="60"/>
              <w:jc w:val="center"/>
              <w:rPr>
                <w:rFonts w:ascii="Times New Roman" w:hAnsi="Times New Roman"/>
              </w:rPr>
            </w:pPr>
            <w:r w:rsidRPr="007A5A93">
              <w:rPr>
                <w:rFonts w:ascii="Times New Roman" w:hAnsi="Times New Roman"/>
              </w:rPr>
              <w:t>CF e CG-4</w:t>
            </w:r>
          </w:p>
        </w:tc>
        <w:tc>
          <w:tcPr>
            <w:tcW w:w="2021" w:type="dxa"/>
            <w:vAlign w:val="center"/>
          </w:tcPr>
          <w:p w:rsidR="00E27F7D" w:rsidRPr="007A5A93" w:rsidRDefault="00E27F7D" w:rsidP="007A5A93">
            <w:pPr>
              <w:spacing w:before="60" w:after="60"/>
              <w:jc w:val="center"/>
              <w:rPr>
                <w:rFonts w:ascii="Times New Roman" w:hAnsi="Times New Roman"/>
              </w:rPr>
            </w:pPr>
          </w:p>
        </w:tc>
        <w:tc>
          <w:tcPr>
            <w:tcW w:w="1985" w:type="dxa"/>
            <w:vAlign w:val="center"/>
          </w:tcPr>
          <w:p w:rsidR="00E27F7D" w:rsidRPr="007A5A93" w:rsidRDefault="00E27F7D" w:rsidP="007A5A93">
            <w:pPr>
              <w:spacing w:before="60" w:after="60"/>
              <w:jc w:val="center"/>
              <w:rPr>
                <w:rFonts w:ascii="Times New Roman" w:hAnsi="Times New Roman"/>
              </w:rPr>
            </w:pPr>
          </w:p>
        </w:tc>
        <w:tc>
          <w:tcPr>
            <w:tcW w:w="2228" w:type="dxa"/>
            <w:vAlign w:val="center"/>
          </w:tcPr>
          <w:p w:rsidR="00E27F7D" w:rsidRPr="007A5A93" w:rsidRDefault="00E27F7D" w:rsidP="007A5A93">
            <w:pPr>
              <w:spacing w:before="60" w:after="60"/>
              <w:jc w:val="center"/>
              <w:rPr>
                <w:rFonts w:ascii="Times New Roman" w:hAnsi="Times New Roman"/>
              </w:rPr>
            </w:pPr>
          </w:p>
        </w:tc>
      </w:tr>
      <w:tr w:rsidR="00E27F7D" w:rsidRPr="007A5A93" w:rsidTr="00E27F7D">
        <w:tc>
          <w:tcPr>
            <w:tcW w:w="1204" w:type="dxa"/>
            <w:vAlign w:val="center"/>
          </w:tcPr>
          <w:p w:rsidR="00E27F7D" w:rsidRPr="007A5A93" w:rsidRDefault="00E27F7D" w:rsidP="007A5A93">
            <w:pPr>
              <w:spacing w:before="60" w:after="60"/>
              <w:jc w:val="center"/>
              <w:rPr>
                <w:rFonts w:ascii="Times New Roman" w:hAnsi="Times New Roman"/>
              </w:rPr>
            </w:pPr>
            <w:r w:rsidRPr="007A5A93">
              <w:rPr>
                <w:rFonts w:ascii="Times New Roman" w:hAnsi="Times New Roman"/>
              </w:rPr>
              <w:t>CF e CH-4</w:t>
            </w:r>
          </w:p>
        </w:tc>
        <w:tc>
          <w:tcPr>
            <w:tcW w:w="2021" w:type="dxa"/>
            <w:vAlign w:val="center"/>
          </w:tcPr>
          <w:p w:rsidR="00E27F7D" w:rsidRPr="007A5A93" w:rsidRDefault="00E27F7D" w:rsidP="007A5A93">
            <w:pPr>
              <w:spacing w:before="60" w:after="60"/>
              <w:jc w:val="center"/>
              <w:rPr>
                <w:rFonts w:ascii="Times New Roman" w:hAnsi="Times New Roman"/>
              </w:rPr>
            </w:pPr>
          </w:p>
        </w:tc>
        <w:tc>
          <w:tcPr>
            <w:tcW w:w="1985" w:type="dxa"/>
            <w:vAlign w:val="center"/>
          </w:tcPr>
          <w:p w:rsidR="00E27F7D" w:rsidRPr="007A5A93" w:rsidRDefault="00E27F7D" w:rsidP="007A5A93">
            <w:pPr>
              <w:spacing w:before="60" w:after="60"/>
              <w:jc w:val="center"/>
              <w:rPr>
                <w:rFonts w:ascii="Times New Roman" w:hAnsi="Times New Roman"/>
              </w:rPr>
            </w:pPr>
          </w:p>
        </w:tc>
        <w:tc>
          <w:tcPr>
            <w:tcW w:w="2228" w:type="dxa"/>
            <w:vAlign w:val="center"/>
          </w:tcPr>
          <w:p w:rsidR="00E27F7D" w:rsidRPr="007A5A93" w:rsidRDefault="00E27F7D" w:rsidP="007A5A93">
            <w:pPr>
              <w:spacing w:before="60" w:after="60"/>
              <w:jc w:val="center"/>
              <w:rPr>
                <w:rFonts w:ascii="Times New Roman" w:hAnsi="Times New Roman"/>
              </w:rPr>
            </w:pPr>
          </w:p>
        </w:tc>
      </w:tr>
    </w:tbl>
    <w:p w:rsidR="00E27F7D" w:rsidRPr="007A5A93" w:rsidRDefault="00E27F7D" w:rsidP="00B231CF">
      <w:pPr>
        <w:pStyle w:val="Cabealho"/>
        <w:numPr>
          <w:ilvl w:val="0"/>
          <w:numId w:val="12"/>
        </w:numPr>
        <w:tabs>
          <w:tab w:val="clear" w:pos="4252"/>
          <w:tab w:val="clear" w:pos="8504"/>
        </w:tabs>
        <w:spacing w:before="120" w:after="120" w:line="276" w:lineRule="auto"/>
        <w:ind w:left="357" w:hanging="357"/>
        <w:jc w:val="both"/>
        <w:rPr>
          <w:rFonts w:ascii="Times New Roman" w:hAnsi="Times New Roman"/>
        </w:rPr>
      </w:pPr>
      <w:r w:rsidRPr="007A5A93">
        <w:rPr>
          <w:rFonts w:ascii="Times New Roman" w:hAnsi="Times New Roman"/>
        </w:rPr>
        <w:t>Com a revisão da Resolução ANP 10/2007 pretende-se isentar de registro os óleos industriais que constam no Anexo III do Relatório preliminar da Avaliação de Impacto Regulatório, disponível no site da ANP na internet.  Solicitamos que se manifestem a esse respeito, levantando as conseqüências disto para o mercado e sugerindo outros óleos industriais que poderiam ser isentados, juntamente com justificativa.</w:t>
      </w:r>
    </w:p>
    <w:p w:rsidR="002B27F4" w:rsidRPr="007A5A93" w:rsidRDefault="00E27F7D" w:rsidP="00B231CF">
      <w:pPr>
        <w:pStyle w:val="Cabealho"/>
        <w:numPr>
          <w:ilvl w:val="0"/>
          <w:numId w:val="12"/>
        </w:numPr>
        <w:tabs>
          <w:tab w:val="clear" w:pos="4252"/>
          <w:tab w:val="clear" w:pos="8504"/>
        </w:tabs>
        <w:spacing w:before="120" w:after="240" w:line="276" w:lineRule="auto"/>
        <w:ind w:left="357" w:hanging="357"/>
        <w:jc w:val="both"/>
        <w:rPr>
          <w:rFonts w:ascii="Times New Roman" w:hAnsi="Times New Roman"/>
        </w:rPr>
      </w:pPr>
      <w:r w:rsidRPr="007A5A93">
        <w:rPr>
          <w:rFonts w:ascii="Times New Roman" w:hAnsi="Times New Roman"/>
        </w:rPr>
        <w:t>Com a revisão da Resolução ANP 10/2007, pretende-se isentar de registro os aditivos “</w:t>
      </w:r>
      <w:proofErr w:type="spellStart"/>
      <w:r w:rsidRPr="007A5A93">
        <w:rPr>
          <w:rFonts w:ascii="Times New Roman" w:hAnsi="Times New Roman"/>
        </w:rPr>
        <w:t>aftermarket</w:t>
      </w:r>
      <w:proofErr w:type="spellEnd"/>
      <w:r w:rsidRPr="007A5A93">
        <w:rPr>
          <w:rFonts w:ascii="Times New Roman" w:hAnsi="Times New Roman"/>
        </w:rPr>
        <w:t>”. Solicitamos que se manifestem a esse respeito, apontando as possíveis consequências para o mercado.</w:t>
      </w:r>
    </w:p>
    <w:p w:rsidR="007A5A93" w:rsidRPr="00E27F7D" w:rsidRDefault="007A5A93" w:rsidP="007A5A93">
      <w:pPr>
        <w:pStyle w:val="Cabealho"/>
        <w:tabs>
          <w:tab w:val="clear" w:pos="4252"/>
          <w:tab w:val="clear" w:pos="8504"/>
        </w:tabs>
        <w:spacing w:before="120" w:after="240"/>
        <w:ind w:left="360"/>
        <w:jc w:val="both"/>
        <w:rPr>
          <w:rFonts w:cs="Arial"/>
          <w:sz w:val="24"/>
          <w:szCs w:val="24"/>
        </w:rPr>
      </w:pPr>
    </w:p>
    <w:p w:rsidR="002B27F4" w:rsidRDefault="002B27F4" w:rsidP="00FB516F">
      <w:pPr>
        <w:tabs>
          <w:tab w:val="left" w:pos="10489"/>
        </w:tabs>
        <w:ind w:right="-1"/>
        <w:jc w:val="center"/>
        <w:rPr>
          <w:rFonts w:ascii="Times New Roman" w:hAnsi="Times New Roman"/>
          <w:b/>
        </w:rPr>
      </w:pPr>
    </w:p>
    <w:p w:rsidR="002B27F4" w:rsidRDefault="00B231CF" w:rsidP="00B231CF">
      <w:pPr>
        <w:tabs>
          <w:tab w:val="left" w:pos="10489"/>
        </w:tabs>
        <w:ind w:right="-1"/>
        <w:jc w:val="both"/>
        <w:rPr>
          <w:rFonts w:ascii="Times New Roman" w:hAnsi="Times New Roman"/>
          <w:sz w:val="20"/>
          <w:szCs w:val="20"/>
        </w:rPr>
      </w:pPr>
      <w:r w:rsidRPr="009B6597">
        <w:rPr>
          <w:rFonts w:ascii="Times New Roman" w:hAnsi="Times New Roman"/>
          <w:b/>
          <w:sz w:val="20"/>
          <w:szCs w:val="20"/>
        </w:rPr>
        <w:t xml:space="preserve">* </w:t>
      </w:r>
      <w:r w:rsidRPr="009B6597">
        <w:rPr>
          <w:rFonts w:ascii="Times New Roman" w:hAnsi="Times New Roman"/>
          <w:sz w:val="20"/>
          <w:szCs w:val="20"/>
        </w:rPr>
        <w:t>Aos sindicatos do setor de lubrificantes foram encaminhadas as perguntas a, b, c e d.</w:t>
      </w:r>
      <w:r w:rsidR="009B6597" w:rsidRPr="009B6597">
        <w:rPr>
          <w:rFonts w:ascii="Times New Roman" w:hAnsi="Times New Roman"/>
          <w:sz w:val="20"/>
          <w:szCs w:val="20"/>
        </w:rPr>
        <w:t xml:space="preserve"> </w:t>
      </w:r>
      <w:r w:rsidRPr="009B6597">
        <w:rPr>
          <w:rFonts w:ascii="Times New Roman" w:hAnsi="Times New Roman"/>
          <w:sz w:val="20"/>
          <w:szCs w:val="20"/>
        </w:rPr>
        <w:t xml:space="preserve">À ABRAFA, ANFAVEA, AEA foram encaminhadas as perguntas a e b. Aos produtores e importadores de aditivos </w:t>
      </w:r>
      <w:proofErr w:type="spellStart"/>
      <w:r w:rsidRPr="009B6597">
        <w:rPr>
          <w:rFonts w:ascii="Times New Roman" w:hAnsi="Times New Roman"/>
          <w:i/>
          <w:sz w:val="20"/>
          <w:szCs w:val="20"/>
        </w:rPr>
        <w:t>aftermarket</w:t>
      </w:r>
      <w:proofErr w:type="spellEnd"/>
      <w:r w:rsidRPr="009B6597">
        <w:rPr>
          <w:rFonts w:ascii="Times New Roman" w:hAnsi="Times New Roman"/>
          <w:sz w:val="20"/>
          <w:szCs w:val="20"/>
        </w:rPr>
        <w:t xml:space="preserve"> foi encaminhada  o questionamento </w:t>
      </w:r>
      <w:r w:rsidR="009B6597" w:rsidRPr="009B6597">
        <w:rPr>
          <w:rFonts w:ascii="Times New Roman" w:hAnsi="Times New Roman"/>
          <w:sz w:val="20"/>
          <w:szCs w:val="20"/>
        </w:rPr>
        <w:t>da letra e.</w:t>
      </w:r>
    </w:p>
    <w:p w:rsidR="009B6597" w:rsidRPr="009B6597" w:rsidRDefault="009B6597" w:rsidP="00B231CF">
      <w:pPr>
        <w:tabs>
          <w:tab w:val="left" w:pos="10489"/>
        </w:tabs>
        <w:ind w:right="-1"/>
        <w:jc w:val="both"/>
        <w:rPr>
          <w:rFonts w:ascii="Times New Roman" w:hAnsi="Times New Roman"/>
          <w:sz w:val="20"/>
          <w:szCs w:val="20"/>
        </w:rPr>
        <w:sectPr w:rsidR="009B6597" w:rsidRPr="009B6597" w:rsidSect="00105E3C">
          <w:pgSz w:w="11906" w:h="16838"/>
          <w:pgMar w:top="1417" w:right="1701" w:bottom="1417" w:left="1701" w:header="280" w:footer="599" w:gutter="0"/>
          <w:cols w:space="708"/>
          <w:docGrid w:linePitch="360"/>
        </w:sectPr>
      </w:pPr>
    </w:p>
    <w:p w:rsidR="002B27F4" w:rsidRPr="00413879" w:rsidRDefault="00194272" w:rsidP="002B27F4">
      <w:pPr>
        <w:tabs>
          <w:tab w:val="left" w:pos="10489"/>
        </w:tabs>
        <w:spacing w:after="0" w:line="360" w:lineRule="auto"/>
        <w:jc w:val="center"/>
        <w:rPr>
          <w:rFonts w:ascii="Times New Roman" w:hAnsi="Times New Roman"/>
          <w:b/>
        </w:rPr>
      </w:pPr>
      <w:r w:rsidRPr="00194272">
        <w:rPr>
          <w:rFonts w:ascii="Times New Roman" w:hAnsi="Times New Roman"/>
          <w:b/>
        </w:rPr>
        <w:lastRenderedPageBreak/>
        <w:t>Anexo VI</w:t>
      </w:r>
      <w:r w:rsidR="00B46309">
        <w:rPr>
          <w:rFonts w:ascii="Times New Roman" w:hAnsi="Times New Roman"/>
          <w:b/>
        </w:rPr>
        <w:t>I</w:t>
      </w:r>
      <w:r w:rsidRPr="00194272">
        <w:rPr>
          <w:rFonts w:ascii="Times New Roman" w:hAnsi="Times New Roman"/>
          <w:b/>
        </w:rPr>
        <w:t xml:space="preserve"> </w:t>
      </w:r>
    </w:p>
    <w:p w:rsidR="00652C43" w:rsidRPr="00413879" w:rsidRDefault="009B6597" w:rsidP="00FB516F">
      <w:pPr>
        <w:tabs>
          <w:tab w:val="left" w:pos="10489"/>
        </w:tabs>
        <w:ind w:right="-1"/>
        <w:jc w:val="center"/>
        <w:rPr>
          <w:rFonts w:ascii="Times New Roman" w:hAnsi="Times New Roman"/>
          <w:b/>
        </w:rPr>
      </w:pPr>
      <w:r>
        <w:rPr>
          <w:rFonts w:ascii="Times New Roman" w:hAnsi="Times New Roman"/>
          <w:b/>
        </w:rPr>
        <w:t>MEMORANDO</w:t>
      </w:r>
      <w:r w:rsidR="00194272" w:rsidRPr="009B6597">
        <w:rPr>
          <w:rFonts w:ascii="Times New Roman" w:hAnsi="Times New Roman"/>
          <w:b/>
        </w:rPr>
        <w:t xml:space="preserve"> Nº 0</w:t>
      </w:r>
      <w:r>
        <w:rPr>
          <w:rFonts w:ascii="Times New Roman" w:hAnsi="Times New Roman"/>
          <w:b/>
        </w:rPr>
        <w:t>85</w:t>
      </w:r>
      <w:r w:rsidR="00194272" w:rsidRPr="009B6597">
        <w:rPr>
          <w:rFonts w:ascii="Times New Roman" w:hAnsi="Times New Roman"/>
          <w:b/>
        </w:rPr>
        <w:t>/CDC</w:t>
      </w:r>
      <w:r w:rsidR="008A79D2">
        <w:rPr>
          <w:rFonts w:ascii="Times New Roman" w:hAnsi="Times New Roman"/>
          <w:b/>
        </w:rPr>
        <w:t xml:space="preserve"> de 05 de novembro de 2013</w:t>
      </w:r>
      <w:r w:rsidRPr="009B6597">
        <w:rPr>
          <w:rFonts w:ascii="Times New Roman" w:hAnsi="Times New Roman"/>
          <w:b/>
        </w:rPr>
        <w:t xml:space="preserve">, </w:t>
      </w:r>
      <w:r w:rsidRPr="008A79D2">
        <w:rPr>
          <w:rFonts w:ascii="Times New Roman" w:hAnsi="Times New Roman"/>
          <w:b/>
        </w:rPr>
        <w:t>a ser anexado na via física</w:t>
      </w:r>
    </w:p>
    <w:sectPr w:rsidR="00652C43" w:rsidRPr="00413879" w:rsidSect="00105E3C">
      <w:pgSz w:w="11906" w:h="16838"/>
      <w:pgMar w:top="1417" w:right="1701" w:bottom="1417" w:left="1701" w:header="280" w:footer="5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91A" w:rsidRDefault="00A3291A" w:rsidP="00DC3A87">
      <w:pPr>
        <w:spacing w:after="0" w:line="240" w:lineRule="auto"/>
      </w:pPr>
      <w:r>
        <w:separator/>
      </w:r>
    </w:p>
  </w:endnote>
  <w:endnote w:type="continuationSeparator" w:id="0">
    <w:p w:rsidR="00A3291A" w:rsidRDefault="00A3291A" w:rsidP="00DC3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1A" w:rsidRPr="002B72C5" w:rsidRDefault="00A3291A" w:rsidP="0022295A">
    <w:pPr>
      <w:pStyle w:val="Rodap"/>
      <w:jc w:val="right"/>
      <w:rPr>
        <w:rFonts w:ascii="Times New Roman" w:hAnsi="Times New Roman"/>
      </w:rPr>
    </w:pPr>
    <w:sdt>
      <w:sdtPr>
        <w:rPr>
          <w:rFonts w:ascii="Times New Roman" w:hAnsi="Times New Roman"/>
        </w:rPr>
        <w:id w:val="9949221"/>
        <w:docPartObj>
          <w:docPartGallery w:val="Page Numbers (Bottom of Page)"/>
          <w:docPartUnique/>
        </w:docPartObj>
      </w:sdtPr>
      <w:sdtContent>
        <w:r w:rsidRPr="002B72C5">
          <w:rPr>
            <w:rFonts w:ascii="Times New Roman" w:hAnsi="Times New Roman"/>
          </w:rPr>
          <w:fldChar w:fldCharType="begin"/>
        </w:r>
        <w:r w:rsidRPr="002B72C5">
          <w:rPr>
            <w:rFonts w:ascii="Times New Roman" w:hAnsi="Times New Roman"/>
          </w:rPr>
          <w:instrText xml:space="preserve"> PAGE   \* MERGEFORMAT </w:instrText>
        </w:r>
        <w:r w:rsidRPr="002B72C5">
          <w:rPr>
            <w:rFonts w:ascii="Times New Roman" w:hAnsi="Times New Roman"/>
          </w:rPr>
          <w:fldChar w:fldCharType="separate"/>
        </w:r>
        <w:r w:rsidR="00B46309">
          <w:rPr>
            <w:rFonts w:ascii="Times New Roman" w:hAnsi="Times New Roman"/>
            <w:noProof/>
          </w:rPr>
          <w:t>34</w:t>
        </w:r>
        <w:r w:rsidRPr="002B72C5">
          <w:rPr>
            <w:rFonts w:ascii="Times New Roman" w:hAnsi="Times New Roman"/>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91A" w:rsidRDefault="00A3291A" w:rsidP="00DC3A87">
      <w:pPr>
        <w:spacing w:after="0" w:line="240" w:lineRule="auto"/>
      </w:pPr>
      <w:r>
        <w:separator/>
      </w:r>
    </w:p>
  </w:footnote>
  <w:footnote w:type="continuationSeparator" w:id="0">
    <w:p w:rsidR="00A3291A" w:rsidRDefault="00A3291A" w:rsidP="00DC3A87">
      <w:pPr>
        <w:spacing w:after="0" w:line="240" w:lineRule="auto"/>
      </w:pPr>
      <w:r>
        <w:continuationSeparator/>
      </w:r>
    </w:p>
  </w:footnote>
  <w:footnote w:id="1">
    <w:p w:rsidR="00A3291A" w:rsidRPr="00BF29BB" w:rsidRDefault="00A3291A">
      <w:pPr>
        <w:pStyle w:val="Textodenotaderodap"/>
        <w:rPr>
          <w:lang w:val="pt-BR"/>
        </w:rPr>
      </w:pPr>
      <w:r>
        <w:rPr>
          <w:rStyle w:val="Refdenotaderodap"/>
        </w:rPr>
        <w:footnoteRef/>
      </w:r>
      <w:r>
        <w:t xml:space="preserve"> </w:t>
      </w:r>
      <w:r w:rsidRPr="00BB0D66">
        <w:rPr>
          <w:rFonts w:ascii="Times New Roman" w:hAnsi="Times New Roman"/>
          <w:lang w:val="pt-BR"/>
        </w:rPr>
        <w:t xml:space="preserve">São produtos </w:t>
      </w:r>
      <w:r>
        <w:rPr>
          <w:rFonts w:ascii="Times New Roman" w:hAnsi="Times New Roman"/>
          <w:lang w:val="pt-BR"/>
        </w:rPr>
        <w:t xml:space="preserve">que </w:t>
      </w:r>
      <w:r w:rsidRPr="00BB0D66">
        <w:rPr>
          <w:rFonts w:ascii="Times New Roman" w:hAnsi="Times New Roman"/>
          <w:lang w:val="pt-BR"/>
        </w:rPr>
        <w:t xml:space="preserve">o </w:t>
      </w:r>
      <w:r>
        <w:rPr>
          <w:rFonts w:ascii="Times New Roman" w:hAnsi="Times New Roman"/>
          <w:lang w:val="pt-BR"/>
        </w:rPr>
        <w:t>usuário adiciona ao lubrificante no motor visando atingir benefícios descritos na rotulagem.</w:t>
      </w:r>
    </w:p>
  </w:footnote>
  <w:footnote w:id="2">
    <w:p w:rsidR="00A3291A" w:rsidRPr="00996A93" w:rsidRDefault="00A3291A" w:rsidP="00996A93">
      <w:pPr>
        <w:pStyle w:val="Textodenotaderodap"/>
        <w:jc w:val="both"/>
      </w:pPr>
      <w:r>
        <w:rPr>
          <w:rStyle w:val="Refdenotaderodap"/>
        </w:rPr>
        <w:footnoteRef/>
      </w:r>
      <w:r>
        <w:t xml:space="preserve"> </w:t>
      </w:r>
      <w:r w:rsidRPr="00996A93">
        <w:rPr>
          <w:rFonts w:ascii="Times New Roman" w:hAnsi="Times New Roman"/>
          <w:lang w:val="pt-BR"/>
        </w:rPr>
        <w:t>Esta Resolução cria a obrigatoriedade do registro dos "aditivos" para produtos acabados, derivados de petróleo, a serem comercializados no País.</w:t>
      </w:r>
    </w:p>
  </w:footnote>
  <w:footnote w:id="3">
    <w:p w:rsidR="00A3291A" w:rsidRPr="008D7297" w:rsidRDefault="00A3291A" w:rsidP="00652C43">
      <w:pPr>
        <w:spacing w:before="120" w:after="120" w:line="240" w:lineRule="auto"/>
        <w:jc w:val="both"/>
        <w:rPr>
          <w:rFonts w:ascii="Times New Roman" w:hAnsi="Times New Roman"/>
          <w:sz w:val="20"/>
          <w:szCs w:val="20"/>
        </w:rPr>
      </w:pPr>
      <w:r w:rsidRPr="008D7297">
        <w:rPr>
          <w:rStyle w:val="Refdenotaderodap"/>
          <w:rFonts w:ascii="Times New Roman" w:hAnsi="Times New Roman"/>
        </w:rPr>
        <w:footnoteRef/>
      </w:r>
      <w:r w:rsidRPr="008D7297">
        <w:rPr>
          <w:rFonts w:ascii="Times New Roman" w:hAnsi="Times New Roman"/>
        </w:rPr>
        <w:t xml:space="preserve"> </w:t>
      </w:r>
      <w:r w:rsidRPr="008D7297">
        <w:rPr>
          <w:rFonts w:ascii="Times New Roman" w:hAnsi="Times New Roman"/>
          <w:b/>
          <w:sz w:val="20"/>
          <w:szCs w:val="20"/>
        </w:rPr>
        <w:t>Nível de Desempenho – ND -</w:t>
      </w:r>
      <w:r w:rsidRPr="008D7297">
        <w:rPr>
          <w:rFonts w:ascii="Times New Roman" w:hAnsi="Times New Roman"/>
          <w:sz w:val="20"/>
          <w:szCs w:val="20"/>
        </w:rPr>
        <w:t xml:space="preserve"> forma de classificação dos produtos lubrificantes conforme seu patamar de tecnologia e tipo de aplicação. Em todo o mundo</w:t>
      </w:r>
      <w:r>
        <w:rPr>
          <w:rFonts w:ascii="Times New Roman" w:hAnsi="Times New Roman"/>
          <w:sz w:val="20"/>
          <w:szCs w:val="20"/>
        </w:rPr>
        <w:t>,</w:t>
      </w:r>
      <w:r w:rsidRPr="008D7297">
        <w:rPr>
          <w:rFonts w:ascii="Times New Roman" w:hAnsi="Times New Roman"/>
          <w:sz w:val="20"/>
          <w:szCs w:val="20"/>
        </w:rPr>
        <w:t xml:space="preserve"> as indústrias de aditivo</w:t>
      </w:r>
      <w:r>
        <w:rPr>
          <w:rFonts w:ascii="Times New Roman" w:hAnsi="Times New Roman"/>
          <w:sz w:val="20"/>
          <w:szCs w:val="20"/>
        </w:rPr>
        <w:t>s</w:t>
      </w:r>
      <w:r w:rsidRPr="008D7297">
        <w:rPr>
          <w:rFonts w:ascii="Times New Roman" w:hAnsi="Times New Roman"/>
          <w:sz w:val="20"/>
          <w:szCs w:val="20"/>
        </w:rPr>
        <w:t>, lubrificante</w:t>
      </w:r>
      <w:r>
        <w:rPr>
          <w:rFonts w:ascii="Times New Roman" w:hAnsi="Times New Roman"/>
          <w:sz w:val="20"/>
          <w:szCs w:val="20"/>
        </w:rPr>
        <w:t>s</w:t>
      </w:r>
      <w:r w:rsidRPr="008D7297">
        <w:rPr>
          <w:rFonts w:ascii="Times New Roman" w:hAnsi="Times New Roman"/>
          <w:sz w:val="20"/>
          <w:szCs w:val="20"/>
        </w:rPr>
        <w:t xml:space="preserve"> e automobilística desenvolvem</w:t>
      </w:r>
      <w:r>
        <w:rPr>
          <w:rFonts w:ascii="Times New Roman" w:hAnsi="Times New Roman"/>
          <w:sz w:val="20"/>
          <w:szCs w:val="20"/>
        </w:rPr>
        <w:t>,</w:t>
      </w:r>
      <w:r w:rsidRPr="008D7297">
        <w:rPr>
          <w:rFonts w:ascii="Times New Roman" w:hAnsi="Times New Roman"/>
          <w:sz w:val="20"/>
          <w:szCs w:val="20"/>
        </w:rPr>
        <w:t xml:space="preserve"> conjuntamente</w:t>
      </w:r>
      <w:r>
        <w:rPr>
          <w:rFonts w:ascii="Times New Roman" w:hAnsi="Times New Roman"/>
          <w:sz w:val="20"/>
          <w:szCs w:val="20"/>
        </w:rPr>
        <w:t>,</w:t>
      </w:r>
      <w:r w:rsidRPr="008D7297">
        <w:rPr>
          <w:rFonts w:ascii="Times New Roman" w:hAnsi="Times New Roman"/>
          <w:sz w:val="20"/>
          <w:szCs w:val="20"/>
        </w:rPr>
        <w:t xml:space="preserve"> critérios de aceitação e sequências de ensaios (de bancada e em motores) para que os produto</w:t>
      </w:r>
      <w:r>
        <w:rPr>
          <w:rFonts w:ascii="Times New Roman" w:hAnsi="Times New Roman"/>
          <w:sz w:val="20"/>
          <w:szCs w:val="20"/>
        </w:rPr>
        <w:t>re</w:t>
      </w:r>
      <w:r w:rsidRPr="008D7297">
        <w:rPr>
          <w:rFonts w:ascii="Times New Roman" w:hAnsi="Times New Roman"/>
          <w:sz w:val="20"/>
          <w:szCs w:val="20"/>
        </w:rPr>
        <w:t>s</w:t>
      </w:r>
      <w:r>
        <w:rPr>
          <w:rFonts w:ascii="Times New Roman" w:hAnsi="Times New Roman"/>
          <w:sz w:val="20"/>
          <w:szCs w:val="20"/>
        </w:rPr>
        <w:t xml:space="preserve"> </w:t>
      </w:r>
      <w:r w:rsidRPr="008D7297">
        <w:rPr>
          <w:rFonts w:ascii="Times New Roman" w:hAnsi="Times New Roman"/>
          <w:sz w:val="20"/>
          <w:szCs w:val="20"/>
        </w:rPr>
        <w:t>possam declarar que</w:t>
      </w:r>
      <w:r>
        <w:rPr>
          <w:rFonts w:ascii="Times New Roman" w:hAnsi="Times New Roman"/>
          <w:sz w:val="20"/>
          <w:szCs w:val="20"/>
        </w:rPr>
        <w:t xml:space="preserve"> seus produtos</w:t>
      </w:r>
      <w:r w:rsidRPr="008D7297">
        <w:rPr>
          <w:rFonts w:ascii="Times New Roman" w:hAnsi="Times New Roman"/>
          <w:sz w:val="20"/>
          <w:szCs w:val="20"/>
        </w:rPr>
        <w:t xml:space="preserve"> atendem, superam ou atingem determinado nível de desempenho.</w:t>
      </w:r>
    </w:p>
    <w:p w:rsidR="00A3291A" w:rsidRPr="004653F3" w:rsidRDefault="00A3291A" w:rsidP="00652C43">
      <w:pPr>
        <w:spacing w:after="0" w:line="240" w:lineRule="auto"/>
        <w:jc w:val="both"/>
        <w:rPr>
          <w:rFonts w:cs="Calibri"/>
          <w:sz w:val="8"/>
          <w:szCs w:val="8"/>
        </w:rPr>
      </w:pPr>
    </w:p>
  </w:footnote>
  <w:footnote w:id="4">
    <w:p w:rsidR="00A3291A" w:rsidRDefault="00A3291A" w:rsidP="00652C43">
      <w:pPr>
        <w:pStyle w:val="Textodenotaderodap"/>
        <w:jc w:val="both"/>
        <w:rPr>
          <w:rFonts w:ascii="Times New Roman" w:hAnsi="Times New Roman"/>
          <w:lang w:val="pt-BR"/>
        </w:rPr>
      </w:pPr>
      <w:r w:rsidRPr="008D7297">
        <w:rPr>
          <w:rStyle w:val="Refdenotaderodap"/>
          <w:rFonts w:ascii="Times New Roman" w:hAnsi="Times New Roman"/>
        </w:rPr>
        <w:footnoteRef/>
      </w:r>
      <w:r w:rsidRPr="008D7297">
        <w:rPr>
          <w:rFonts w:ascii="Times New Roman" w:hAnsi="Times New Roman"/>
        </w:rPr>
        <w:t xml:space="preserve"> </w:t>
      </w:r>
      <w:r w:rsidRPr="008D7297">
        <w:rPr>
          <w:rFonts w:ascii="Times New Roman" w:hAnsi="Times New Roman"/>
          <w:b/>
          <w:lang w:val="pt-BR"/>
        </w:rPr>
        <w:t>Terceirizador</w:t>
      </w:r>
      <w:r w:rsidRPr="008D7297">
        <w:rPr>
          <w:rFonts w:ascii="Times New Roman" w:hAnsi="Times New Roman"/>
          <w:lang w:val="pt-BR"/>
        </w:rPr>
        <w:t xml:space="preserve"> – detentor de registro perante a ANP que terceiriza a produção em produtor autorizado pela ANP.</w:t>
      </w:r>
    </w:p>
    <w:p w:rsidR="00A3291A" w:rsidRPr="008D7297" w:rsidRDefault="00A3291A" w:rsidP="00652C43">
      <w:pPr>
        <w:pStyle w:val="Textodenotaderodap"/>
        <w:jc w:val="both"/>
        <w:rPr>
          <w:rFonts w:ascii="Times New Roman" w:hAnsi="Times New Roman"/>
          <w:lang w:val="pt-BR"/>
        </w:rPr>
      </w:pPr>
    </w:p>
  </w:footnote>
  <w:footnote w:id="5">
    <w:p w:rsidR="00A3291A" w:rsidRDefault="00A3291A" w:rsidP="00652C43">
      <w:pPr>
        <w:pStyle w:val="Textodenotaderodap"/>
        <w:jc w:val="both"/>
        <w:rPr>
          <w:rFonts w:ascii="Times New Roman" w:hAnsi="Times New Roman"/>
          <w:lang w:val="pt-BR"/>
        </w:rPr>
      </w:pPr>
      <w:r>
        <w:rPr>
          <w:rStyle w:val="Refdenotaderodap"/>
        </w:rPr>
        <w:footnoteRef/>
      </w:r>
      <w:r w:rsidRPr="008D7297">
        <w:rPr>
          <w:rFonts w:ascii="Times New Roman" w:hAnsi="Times New Roman"/>
        </w:rPr>
        <w:t xml:space="preserve"> </w:t>
      </w:r>
      <w:r>
        <w:rPr>
          <w:rFonts w:ascii="Times New Roman" w:hAnsi="Times New Roman"/>
          <w:lang w:val="pt-BR"/>
        </w:rPr>
        <w:t>M</w:t>
      </w:r>
      <w:r w:rsidRPr="008D7297">
        <w:rPr>
          <w:rFonts w:ascii="Times New Roman" w:hAnsi="Times New Roman"/>
          <w:lang w:val="pt-BR"/>
        </w:rPr>
        <w:t>otores de combustão interna de ignição por centelha geralmente movidos a gasolina, etanol e/ou GNV.</w:t>
      </w:r>
    </w:p>
    <w:p w:rsidR="00A3291A" w:rsidRPr="00DA6D28" w:rsidRDefault="00A3291A" w:rsidP="00652C43">
      <w:pPr>
        <w:pStyle w:val="Textodenotaderodap"/>
        <w:jc w:val="both"/>
        <w:rPr>
          <w:rFonts w:ascii="Times New Roman" w:hAnsi="Times New Roman"/>
          <w:lang w:val="pt-BR"/>
        </w:rPr>
      </w:pPr>
    </w:p>
  </w:footnote>
  <w:footnote w:id="6">
    <w:p w:rsidR="00A3291A" w:rsidRDefault="00A3291A" w:rsidP="00652C43">
      <w:pPr>
        <w:pStyle w:val="Textodenotaderodap"/>
        <w:jc w:val="both"/>
        <w:rPr>
          <w:rFonts w:ascii="Times New Roman" w:hAnsi="Times New Roman"/>
          <w:lang w:val="pt-BR"/>
        </w:rPr>
      </w:pPr>
      <w:r>
        <w:rPr>
          <w:rStyle w:val="Refdenotaderodap"/>
        </w:rPr>
        <w:footnoteRef/>
      </w:r>
      <w:r>
        <w:rPr>
          <w:rFonts w:ascii="Times New Roman" w:hAnsi="Times New Roman"/>
          <w:lang w:val="pt-BR"/>
        </w:rPr>
        <w:t>Para as categorias de motores a gasolina ou ignição por centelha (</w:t>
      </w:r>
      <w:proofErr w:type="spellStart"/>
      <w:r w:rsidRPr="005D5FF1">
        <w:rPr>
          <w:rFonts w:ascii="Times New Roman" w:hAnsi="Times New Roman"/>
          <w:i/>
          <w:lang w:val="pt-BR"/>
        </w:rPr>
        <w:t>spark</w:t>
      </w:r>
      <w:proofErr w:type="spellEnd"/>
      <w:r w:rsidRPr="005D5FF1">
        <w:rPr>
          <w:rFonts w:ascii="Times New Roman" w:hAnsi="Times New Roman"/>
          <w:i/>
          <w:lang w:val="pt-BR"/>
        </w:rPr>
        <w:t xml:space="preserve"> </w:t>
      </w:r>
      <w:proofErr w:type="spellStart"/>
      <w:r w:rsidRPr="005D5FF1">
        <w:rPr>
          <w:rFonts w:ascii="Times New Roman" w:hAnsi="Times New Roman"/>
          <w:i/>
          <w:lang w:val="pt-BR"/>
        </w:rPr>
        <w:t>ignition</w:t>
      </w:r>
      <w:proofErr w:type="spellEnd"/>
      <w:r>
        <w:rPr>
          <w:rFonts w:ascii="Times New Roman" w:hAnsi="Times New Roman"/>
          <w:lang w:val="pt-BR"/>
        </w:rPr>
        <w:t xml:space="preserve">) foi adotado o prefixo S, que também vem da palavra </w:t>
      </w:r>
      <w:proofErr w:type="spellStart"/>
      <w:r w:rsidRPr="005D5FF1">
        <w:rPr>
          <w:rFonts w:ascii="Times New Roman" w:hAnsi="Times New Roman"/>
          <w:i/>
          <w:lang w:val="pt-BR"/>
        </w:rPr>
        <w:t>service</w:t>
      </w:r>
      <w:proofErr w:type="spellEnd"/>
      <w:r>
        <w:rPr>
          <w:rFonts w:ascii="Times New Roman" w:hAnsi="Times New Roman"/>
          <w:lang w:val="pt-BR"/>
        </w:rPr>
        <w:t>, seguido da letra das classes designadas em ordem alfabética e ordem crescente de complexidade de serviço e de acordo com as alterações de formulações (Fonte: Lubrificantes e Lubrificação Industrial – IBP - 2006)</w:t>
      </w:r>
    </w:p>
    <w:p w:rsidR="00A3291A" w:rsidRPr="00C63A6E" w:rsidRDefault="00A3291A" w:rsidP="00652C43">
      <w:pPr>
        <w:pStyle w:val="Textodenotaderodap"/>
        <w:rPr>
          <w:lang w:val="pt-BR"/>
        </w:rPr>
      </w:pPr>
    </w:p>
  </w:footnote>
  <w:footnote w:id="7">
    <w:p w:rsidR="00A3291A" w:rsidRPr="00C63A6E" w:rsidRDefault="00A3291A" w:rsidP="003D605E">
      <w:pPr>
        <w:pStyle w:val="Textodenotaderodap"/>
        <w:jc w:val="both"/>
        <w:rPr>
          <w:lang w:val="pt-BR"/>
        </w:rPr>
      </w:pPr>
      <w:r>
        <w:rPr>
          <w:rStyle w:val="Refdenotaderodap"/>
        </w:rPr>
        <w:footnoteRef/>
      </w:r>
      <w:r>
        <w:t xml:space="preserve"> </w:t>
      </w:r>
      <w:r>
        <w:rPr>
          <w:rFonts w:ascii="Times New Roman" w:hAnsi="Times New Roman"/>
          <w:lang w:val="pt-BR"/>
        </w:rPr>
        <w:t>Para as categorias de motores Diesel ou ignição por compressão (</w:t>
      </w:r>
      <w:proofErr w:type="spellStart"/>
      <w:r w:rsidRPr="005D5FF1">
        <w:rPr>
          <w:rFonts w:ascii="Times New Roman" w:hAnsi="Times New Roman"/>
          <w:i/>
          <w:lang w:val="pt-BR"/>
        </w:rPr>
        <w:t>compression</w:t>
      </w:r>
      <w:proofErr w:type="spellEnd"/>
      <w:r w:rsidRPr="005D5FF1">
        <w:rPr>
          <w:rFonts w:ascii="Times New Roman" w:hAnsi="Times New Roman"/>
          <w:i/>
          <w:lang w:val="pt-BR"/>
        </w:rPr>
        <w:t xml:space="preserve"> </w:t>
      </w:r>
      <w:proofErr w:type="spellStart"/>
      <w:r w:rsidRPr="005D5FF1">
        <w:rPr>
          <w:rFonts w:ascii="Times New Roman" w:hAnsi="Times New Roman"/>
          <w:i/>
          <w:lang w:val="pt-BR"/>
        </w:rPr>
        <w:t>ignition</w:t>
      </w:r>
      <w:proofErr w:type="spellEnd"/>
      <w:r>
        <w:rPr>
          <w:rFonts w:ascii="Times New Roman" w:hAnsi="Times New Roman"/>
          <w:lang w:val="pt-BR"/>
        </w:rPr>
        <w:t xml:space="preserve">) adotou-se a letra C, que também vem da palavra </w:t>
      </w:r>
      <w:proofErr w:type="spellStart"/>
      <w:r w:rsidRPr="005D5FF1">
        <w:rPr>
          <w:rFonts w:ascii="Times New Roman" w:hAnsi="Times New Roman"/>
          <w:i/>
          <w:lang w:val="pt-BR"/>
        </w:rPr>
        <w:t>commercial</w:t>
      </w:r>
      <w:proofErr w:type="spellEnd"/>
      <w:r>
        <w:rPr>
          <w:rFonts w:ascii="Times New Roman" w:hAnsi="Times New Roman"/>
          <w:lang w:val="pt-BR"/>
        </w:rPr>
        <w:t>, seguida da classe conforme informado na nota anterior (Fonte: Lubrificantes e Lubrificação Industrial – IBP - 2006)</w:t>
      </w:r>
    </w:p>
  </w:footnote>
  <w:footnote w:id="8">
    <w:p w:rsidR="00A3291A" w:rsidRPr="00E3171D" w:rsidRDefault="00A3291A" w:rsidP="004619DC">
      <w:pPr>
        <w:pStyle w:val="Textodenotaderodap"/>
        <w:jc w:val="both"/>
        <w:rPr>
          <w:rFonts w:ascii="Times New Roman" w:hAnsi="Times New Roman"/>
          <w:lang w:val="pt-BR"/>
        </w:rPr>
      </w:pPr>
      <w:r>
        <w:rPr>
          <w:rStyle w:val="Refdenotaderodap"/>
        </w:rPr>
        <w:footnoteRef/>
      </w:r>
      <w:r>
        <w:t xml:space="preserve"> </w:t>
      </w:r>
      <w:r w:rsidRPr="00BB0D66">
        <w:rPr>
          <w:rFonts w:ascii="Times New Roman" w:hAnsi="Times New Roman"/>
          <w:lang w:val="pt-BR"/>
        </w:rPr>
        <w:t xml:space="preserve">FOB – </w:t>
      </w:r>
      <w:proofErr w:type="spellStart"/>
      <w:r w:rsidRPr="00BB0D66">
        <w:rPr>
          <w:rFonts w:ascii="Times New Roman" w:hAnsi="Times New Roman"/>
          <w:i/>
          <w:lang w:val="pt-BR"/>
        </w:rPr>
        <w:t>Free</w:t>
      </w:r>
      <w:proofErr w:type="spellEnd"/>
      <w:r w:rsidRPr="00BB0D66">
        <w:rPr>
          <w:rFonts w:ascii="Times New Roman" w:hAnsi="Times New Roman"/>
          <w:i/>
          <w:lang w:val="pt-BR"/>
        </w:rPr>
        <w:t xml:space="preserve"> </w:t>
      </w:r>
      <w:proofErr w:type="spellStart"/>
      <w:r w:rsidRPr="00BB0D66">
        <w:rPr>
          <w:rFonts w:ascii="Times New Roman" w:hAnsi="Times New Roman"/>
          <w:i/>
          <w:lang w:val="pt-BR"/>
        </w:rPr>
        <w:t>on</w:t>
      </w:r>
      <w:proofErr w:type="spellEnd"/>
      <w:r w:rsidRPr="00BB0D66">
        <w:rPr>
          <w:rFonts w:ascii="Times New Roman" w:hAnsi="Times New Roman"/>
          <w:i/>
          <w:lang w:val="pt-BR"/>
        </w:rPr>
        <w:t xml:space="preserve"> </w:t>
      </w:r>
      <w:proofErr w:type="spellStart"/>
      <w:r w:rsidRPr="00BB0D66">
        <w:rPr>
          <w:rFonts w:ascii="Times New Roman" w:hAnsi="Times New Roman"/>
          <w:i/>
          <w:lang w:val="pt-BR"/>
        </w:rPr>
        <w:t>board</w:t>
      </w:r>
      <w:proofErr w:type="spellEnd"/>
      <w:r w:rsidRPr="00BB0D66">
        <w:rPr>
          <w:rFonts w:ascii="Times New Roman" w:hAnsi="Times New Roman"/>
          <w:lang w:val="pt-BR"/>
        </w:rPr>
        <w:t>. Refere-se ao preço no porto da origem, não engloba custos de carregamento, frete, seguro, dentre outros.</w:t>
      </w:r>
    </w:p>
  </w:footnote>
  <w:footnote w:id="9">
    <w:p w:rsidR="00A3291A" w:rsidRPr="00E576A2" w:rsidRDefault="00A3291A" w:rsidP="00E576A2">
      <w:pPr>
        <w:pStyle w:val="Textodenotaderodap"/>
        <w:jc w:val="both"/>
        <w:rPr>
          <w:lang w:val="pt-BR"/>
        </w:rPr>
      </w:pPr>
      <w:r>
        <w:rPr>
          <w:rStyle w:val="Refdenotaderodap"/>
        </w:rPr>
        <w:footnoteRef/>
      </w:r>
      <w:r>
        <w:t xml:space="preserve"> </w:t>
      </w:r>
      <w:r w:rsidRPr="00E576A2">
        <w:rPr>
          <w:rFonts w:ascii="Times New Roman" w:hAnsi="Times New Roman"/>
        </w:rPr>
        <w:t xml:space="preserve">O PROCONVE </w:t>
      </w:r>
      <w:proofErr w:type="spellStart"/>
      <w:r w:rsidRPr="00E576A2">
        <w:rPr>
          <w:rFonts w:ascii="Times New Roman" w:hAnsi="Times New Roman"/>
        </w:rPr>
        <w:t>foi</w:t>
      </w:r>
      <w:proofErr w:type="spellEnd"/>
      <w:r w:rsidRPr="00E576A2">
        <w:rPr>
          <w:rFonts w:ascii="Times New Roman" w:hAnsi="Times New Roman"/>
        </w:rPr>
        <w:t xml:space="preserve"> criado por </w:t>
      </w:r>
      <w:proofErr w:type="spellStart"/>
      <w:r w:rsidRPr="00E576A2">
        <w:rPr>
          <w:rFonts w:ascii="Times New Roman" w:hAnsi="Times New Roman"/>
        </w:rPr>
        <w:t>meio</w:t>
      </w:r>
      <w:proofErr w:type="spellEnd"/>
      <w:r w:rsidRPr="00E576A2">
        <w:rPr>
          <w:rFonts w:ascii="Times New Roman" w:hAnsi="Times New Roman"/>
        </w:rPr>
        <w:t xml:space="preserve"> da </w:t>
      </w:r>
      <w:proofErr w:type="spellStart"/>
      <w:r w:rsidRPr="00E576A2">
        <w:rPr>
          <w:rFonts w:ascii="Times New Roman" w:hAnsi="Times New Roman"/>
        </w:rPr>
        <w:t>Resolução</w:t>
      </w:r>
      <w:proofErr w:type="spellEnd"/>
      <w:r w:rsidRPr="00E576A2">
        <w:rPr>
          <w:rFonts w:ascii="Times New Roman" w:hAnsi="Times New Roman"/>
        </w:rPr>
        <w:t xml:space="preserve"> CONAMA nº 18, de 6 de </w:t>
      </w:r>
      <w:proofErr w:type="spellStart"/>
      <w:r w:rsidRPr="00E576A2">
        <w:rPr>
          <w:rFonts w:ascii="Times New Roman" w:hAnsi="Times New Roman"/>
        </w:rPr>
        <w:t>maio</w:t>
      </w:r>
      <w:proofErr w:type="spellEnd"/>
      <w:r w:rsidRPr="00E576A2">
        <w:rPr>
          <w:rFonts w:ascii="Times New Roman" w:hAnsi="Times New Roman"/>
        </w:rPr>
        <w:t xml:space="preserve"> de 1986. Entre os objetivos do referido Programa, consta “</w:t>
      </w:r>
      <w:proofErr w:type="spellStart"/>
      <w:r w:rsidRPr="00E576A2">
        <w:rPr>
          <w:rFonts w:ascii="Times New Roman" w:hAnsi="Times New Roman"/>
        </w:rPr>
        <w:t>reduzir</w:t>
      </w:r>
      <w:proofErr w:type="spellEnd"/>
      <w:r w:rsidRPr="00E576A2">
        <w:rPr>
          <w:rFonts w:ascii="Times New Roman" w:hAnsi="Times New Roman"/>
        </w:rPr>
        <w:t xml:space="preserve"> os </w:t>
      </w:r>
      <w:proofErr w:type="spellStart"/>
      <w:r w:rsidRPr="00E576A2">
        <w:rPr>
          <w:rFonts w:ascii="Times New Roman" w:hAnsi="Times New Roman"/>
        </w:rPr>
        <w:t>níveis</w:t>
      </w:r>
      <w:proofErr w:type="spellEnd"/>
      <w:r w:rsidRPr="00E576A2">
        <w:rPr>
          <w:rFonts w:ascii="Times New Roman" w:hAnsi="Times New Roman"/>
        </w:rPr>
        <w:t xml:space="preserve"> de </w:t>
      </w:r>
      <w:proofErr w:type="spellStart"/>
      <w:r w:rsidRPr="00E576A2">
        <w:rPr>
          <w:rFonts w:ascii="Times New Roman" w:hAnsi="Times New Roman"/>
        </w:rPr>
        <w:t>emissão</w:t>
      </w:r>
      <w:proofErr w:type="spellEnd"/>
      <w:r w:rsidRPr="00E576A2">
        <w:rPr>
          <w:rFonts w:ascii="Times New Roman" w:hAnsi="Times New Roman"/>
        </w:rPr>
        <w:t xml:space="preserve"> de </w:t>
      </w:r>
      <w:proofErr w:type="spellStart"/>
      <w:r w:rsidRPr="00E576A2">
        <w:rPr>
          <w:rFonts w:ascii="Times New Roman" w:hAnsi="Times New Roman"/>
        </w:rPr>
        <w:t>poluentes</w:t>
      </w:r>
      <w:proofErr w:type="spellEnd"/>
      <w:r w:rsidRPr="00E576A2">
        <w:rPr>
          <w:rFonts w:ascii="Times New Roman" w:hAnsi="Times New Roman"/>
        </w:rPr>
        <w:t xml:space="preserve"> por </w:t>
      </w:r>
      <w:proofErr w:type="spellStart"/>
      <w:r w:rsidRPr="00E576A2">
        <w:rPr>
          <w:rFonts w:ascii="Times New Roman" w:hAnsi="Times New Roman"/>
        </w:rPr>
        <w:t>veículos</w:t>
      </w:r>
      <w:proofErr w:type="spellEnd"/>
      <w:r w:rsidRPr="00E576A2">
        <w:rPr>
          <w:rFonts w:ascii="Times New Roman" w:hAnsi="Times New Roman"/>
        </w:rPr>
        <w:t xml:space="preserve"> automotores visando o </w:t>
      </w:r>
      <w:proofErr w:type="spellStart"/>
      <w:r w:rsidRPr="00E576A2">
        <w:rPr>
          <w:rFonts w:ascii="Times New Roman" w:hAnsi="Times New Roman"/>
        </w:rPr>
        <w:t>atendimento</w:t>
      </w:r>
      <w:proofErr w:type="spellEnd"/>
      <w:r w:rsidRPr="00E576A2">
        <w:rPr>
          <w:rFonts w:ascii="Times New Roman" w:hAnsi="Times New Roman"/>
        </w:rPr>
        <w:t xml:space="preserve"> </w:t>
      </w:r>
      <w:proofErr w:type="spellStart"/>
      <w:r w:rsidRPr="00E576A2">
        <w:rPr>
          <w:rFonts w:ascii="Times New Roman" w:hAnsi="Times New Roman"/>
        </w:rPr>
        <w:t>aos</w:t>
      </w:r>
      <w:proofErr w:type="spellEnd"/>
      <w:r w:rsidRPr="00E576A2">
        <w:rPr>
          <w:rFonts w:ascii="Times New Roman" w:hAnsi="Times New Roman"/>
        </w:rPr>
        <w:t xml:space="preserve"> </w:t>
      </w:r>
      <w:proofErr w:type="spellStart"/>
      <w:r w:rsidRPr="00E576A2">
        <w:rPr>
          <w:rFonts w:ascii="Times New Roman" w:hAnsi="Times New Roman"/>
        </w:rPr>
        <w:t>Padrões</w:t>
      </w:r>
      <w:proofErr w:type="spellEnd"/>
      <w:r w:rsidRPr="00E576A2">
        <w:rPr>
          <w:rFonts w:ascii="Times New Roman" w:hAnsi="Times New Roman"/>
        </w:rPr>
        <w:t xml:space="preserve"> de </w:t>
      </w:r>
      <w:proofErr w:type="spellStart"/>
      <w:r w:rsidRPr="00E576A2">
        <w:rPr>
          <w:rFonts w:ascii="Times New Roman" w:hAnsi="Times New Roman"/>
        </w:rPr>
        <w:t>Qualidade</w:t>
      </w:r>
      <w:proofErr w:type="spellEnd"/>
      <w:r w:rsidRPr="00E576A2">
        <w:rPr>
          <w:rFonts w:ascii="Times New Roman" w:hAnsi="Times New Roman"/>
        </w:rPr>
        <w:t xml:space="preserve"> do Ar, espec</w:t>
      </w:r>
      <w:r>
        <w:rPr>
          <w:rFonts w:ascii="Times New Roman" w:hAnsi="Times New Roman"/>
        </w:rPr>
        <w:t xml:space="preserve">ialmente nos centros urbanos”. </w:t>
      </w:r>
      <w:proofErr w:type="spellStart"/>
      <w:r w:rsidRPr="00E576A2">
        <w:rPr>
          <w:rFonts w:ascii="Times New Roman" w:hAnsi="Times New Roman"/>
        </w:rPr>
        <w:t>Em</w:t>
      </w:r>
      <w:proofErr w:type="spellEnd"/>
      <w:r w:rsidRPr="00E576A2">
        <w:rPr>
          <w:rFonts w:ascii="Times New Roman" w:hAnsi="Times New Roman"/>
        </w:rPr>
        <w:t xml:space="preserve"> cada etapa </w:t>
      </w:r>
      <w:proofErr w:type="spellStart"/>
      <w:r>
        <w:rPr>
          <w:rFonts w:ascii="Times New Roman" w:hAnsi="Times New Roman"/>
        </w:rPr>
        <w:t>desse</w:t>
      </w:r>
      <w:proofErr w:type="spellEnd"/>
      <w:r>
        <w:rPr>
          <w:rFonts w:ascii="Times New Roman" w:hAnsi="Times New Roman"/>
        </w:rPr>
        <w:t xml:space="preserve"> programa</w:t>
      </w:r>
      <w:r w:rsidRPr="00E576A2">
        <w:rPr>
          <w:rFonts w:ascii="Times New Roman" w:hAnsi="Times New Roman"/>
        </w:rPr>
        <w:t xml:space="preserve"> </w:t>
      </w:r>
      <w:proofErr w:type="spellStart"/>
      <w:r w:rsidRPr="00E576A2">
        <w:rPr>
          <w:rFonts w:ascii="Times New Roman" w:hAnsi="Times New Roman"/>
        </w:rPr>
        <w:t>são</w:t>
      </w:r>
      <w:proofErr w:type="spellEnd"/>
      <w:r w:rsidRPr="00E576A2">
        <w:rPr>
          <w:rFonts w:ascii="Times New Roman" w:hAnsi="Times New Roman"/>
        </w:rPr>
        <w:t xml:space="preserve"> </w:t>
      </w:r>
      <w:proofErr w:type="spellStart"/>
      <w:r w:rsidRPr="00E576A2">
        <w:rPr>
          <w:rFonts w:ascii="Times New Roman" w:hAnsi="Times New Roman"/>
        </w:rPr>
        <w:t>estabelecidos</w:t>
      </w:r>
      <w:proofErr w:type="spellEnd"/>
      <w:r w:rsidRPr="00E576A2">
        <w:rPr>
          <w:rFonts w:ascii="Times New Roman" w:hAnsi="Times New Roman"/>
        </w:rPr>
        <w:t xml:space="preserve"> </w:t>
      </w:r>
      <w:proofErr w:type="spellStart"/>
      <w:r w:rsidRPr="00E576A2">
        <w:rPr>
          <w:rFonts w:ascii="Times New Roman" w:hAnsi="Times New Roman"/>
        </w:rPr>
        <w:t>limites</w:t>
      </w:r>
      <w:proofErr w:type="spellEnd"/>
      <w:r w:rsidRPr="00E576A2">
        <w:rPr>
          <w:rFonts w:ascii="Times New Roman" w:hAnsi="Times New Roman"/>
        </w:rPr>
        <w:t xml:space="preserve"> máximos de </w:t>
      </w:r>
      <w:proofErr w:type="spellStart"/>
      <w:r w:rsidRPr="00E576A2">
        <w:rPr>
          <w:rFonts w:ascii="Times New Roman" w:hAnsi="Times New Roman"/>
        </w:rPr>
        <w:t>emissões</w:t>
      </w:r>
      <w:proofErr w:type="spellEnd"/>
      <w:r w:rsidRPr="00E576A2">
        <w:rPr>
          <w:rFonts w:ascii="Times New Roman" w:hAnsi="Times New Roman"/>
        </w:rPr>
        <w:t xml:space="preserve"> </w:t>
      </w:r>
      <w:proofErr w:type="spellStart"/>
      <w:r w:rsidRPr="00E576A2">
        <w:rPr>
          <w:rFonts w:ascii="Times New Roman" w:hAnsi="Times New Roman"/>
        </w:rPr>
        <w:t>veiculares</w:t>
      </w:r>
      <w:proofErr w:type="spellEnd"/>
      <w:r w:rsidRPr="00E576A2">
        <w:rPr>
          <w:rFonts w:ascii="Times New Roman" w:hAnsi="Times New Roman"/>
        </w:rPr>
        <w:t xml:space="preserve"> a </w:t>
      </w:r>
      <w:proofErr w:type="spellStart"/>
      <w:r w:rsidRPr="00E576A2">
        <w:rPr>
          <w:rFonts w:ascii="Times New Roman" w:hAnsi="Times New Roman"/>
        </w:rPr>
        <w:t>serem</w:t>
      </w:r>
      <w:proofErr w:type="spellEnd"/>
      <w:r w:rsidRPr="00E576A2">
        <w:rPr>
          <w:rFonts w:ascii="Times New Roman" w:hAnsi="Times New Roman"/>
        </w:rPr>
        <w:t xml:space="preserve"> </w:t>
      </w:r>
      <w:proofErr w:type="spellStart"/>
      <w:r w:rsidRPr="00E576A2">
        <w:rPr>
          <w:rFonts w:ascii="Times New Roman" w:hAnsi="Times New Roman"/>
        </w:rPr>
        <w:t>cumpridos</w:t>
      </w:r>
      <w:proofErr w:type="spellEnd"/>
      <w:r w:rsidRPr="00E576A2">
        <w:rPr>
          <w:rFonts w:ascii="Times New Roman" w:hAnsi="Times New Roman"/>
        </w:rPr>
        <w:t xml:space="preserve"> </w:t>
      </w:r>
      <w:proofErr w:type="spellStart"/>
      <w:r w:rsidRPr="00E576A2">
        <w:rPr>
          <w:rFonts w:ascii="Times New Roman" w:hAnsi="Times New Roman"/>
        </w:rPr>
        <w:t>nas</w:t>
      </w:r>
      <w:proofErr w:type="spellEnd"/>
      <w:r w:rsidRPr="00E576A2">
        <w:rPr>
          <w:rFonts w:ascii="Times New Roman" w:hAnsi="Times New Roman"/>
        </w:rPr>
        <w:t xml:space="preserve"> </w:t>
      </w:r>
      <w:proofErr w:type="spellStart"/>
      <w:r w:rsidRPr="00E576A2">
        <w:rPr>
          <w:rFonts w:ascii="Times New Roman" w:hAnsi="Times New Roman"/>
        </w:rPr>
        <w:t>homologações</w:t>
      </w:r>
      <w:proofErr w:type="spellEnd"/>
      <w:r w:rsidRPr="00E576A2">
        <w:rPr>
          <w:rFonts w:ascii="Times New Roman" w:hAnsi="Times New Roman"/>
        </w:rPr>
        <w:t xml:space="preserve"> pelos </w:t>
      </w:r>
      <w:proofErr w:type="spellStart"/>
      <w:r w:rsidRPr="00E576A2">
        <w:rPr>
          <w:rFonts w:ascii="Times New Roman" w:hAnsi="Times New Roman"/>
        </w:rPr>
        <w:t>veículos</w:t>
      </w:r>
      <w:proofErr w:type="spellEnd"/>
      <w:r w:rsidRPr="00E576A2">
        <w:rPr>
          <w:rFonts w:ascii="Times New Roman" w:hAnsi="Times New Roman"/>
        </w:rPr>
        <w:t xml:space="preserve"> automotores </w:t>
      </w:r>
      <w:proofErr w:type="spellStart"/>
      <w:r w:rsidRPr="00E576A2">
        <w:rPr>
          <w:rFonts w:ascii="Times New Roman" w:hAnsi="Times New Roman"/>
        </w:rPr>
        <w:t>novos</w:t>
      </w:r>
      <w:proofErr w:type="spellEnd"/>
      <w:r w:rsidRPr="00E576A2">
        <w:rPr>
          <w:rFonts w:ascii="Times New Roman" w:hAnsi="Times New Roman"/>
        </w:rPr>
        <w:t xml:space="preserve">. </w:t>
      </w:r>
    </w:p>
  </w:footnote>
  <w:footnote w:id="10">
    <w:p w:rsidR="00A3291A" w:rsidRPr="004619DC" w:rsidRDefault="00A3291A" w:rsidP="004619DC">
      <w:pPr>
        <w:pStyle w:val="Textodenotaderodap"/>
        <w:jc w:val="both"/>
        <w:rPr>
          <w:lang w:val="pt-BR"/>
        </w:rPr>
      </w:pPr>
      <w:r>
        <w:rPr>
          <w:rStyle w:val="Refdenotaderodap"/>
        </w:rPr>
        <w:footnoteRef/>
      </w:r>
      <w:r>
        <w:t xml:space="preserve"> </w:t>
      </w:r>
      <w:r w:rsidRPr="004619DC">
        <w:rPr>
          <w:rFonts w:ascii="Times New Roman" w:hAnsi="Times New Roman"/>
        </w:rPr>
        <w:t xml:space="preserve">Lubrificantes multiusos </w:t>
      </w:r>
      <w:proofErr w:type="spellStart"/>
      <w:r w:rsidRPr="004619DC">
        <w:rPr>
          <w:rFonts w:ascii="Times New Roman" w:hAnsi="Times New Roman"/>
        </w:rPr>
        <w:t>são</w:t>
      </w:r>
      <w:proofErr w:type="spellEnd"/>
      <w:r w:rsidRPr="004619DC">
        <w:rPr>
          <w:rFonts w:ascii="Times New Roman" w:hAnsi="Times New Roman"/>
        </w:rPr>
        <w:t xml:space="preserve"> </w:t>
      </w:r>
      <w:proofErr w:type="spellStart"/>
      <w:r w:rsidRPr="004619DC">
        <w:rPr>
          <w:rFonts w:ascii="Times New Roman" w:hAnsi="Times New Roman"/>
        </w:rPr>
        <w:t>aqueles</w:t>
      </w:r>
      <w:proofErr w:type="spellEnd"/>
      <w:r w:rsidRPr="004619DC">
        <w:rPr>
          <w:rFonts w:ascii="Times New Roman" w:hAnsi="Times New Roman"/>
        </w:rPr>
        <w:t xml:space="preserve"> que, pela sua formulação, podem lubrificar tanto motores ciclo Otto quanto motores ciclo Diesel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1A" w:rsidRDefault="00A3291A">
    <w:pPr>
      <w:pStyle w:val="Cabealho"/>
    </w:pPr>
    <w:r w:rsidRPr="00AB7118">
      <w:rPr>
        <w:noProof/>
        <w:lang w:eastAsia="pt-BR"/>
      </w:rPr>
      <w:drawing>
        <wp:inline distT="0" distB="0" distL="0" distR="0">
          <wp:extent cx="790575" cy="1257300"/>
          <wp:effectExtent l="19050" t="0" r="9525" b="0"/>
          <wp:docPr id="11" name="Imagem 42" descr="logoANP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descr="logoANP_v.jpg"/>
                  <pic:cNvPicPr>
                    <a:picLocks noChangeAspect="1" noChangeArrowheads="1"/>
                  </pic:cNvPicPr>
                </pic:nvPicPr>
                <pic:blipFill>
                  <a:blip r:embed="rId1"/>
                  <a:srcRect/>
                  <a:stretch>
                    <a:fillRect/>
                  </a:stretch>
                </pic:blipFill>
                <pic:spPr bwMode="auto">
                  <a:xfrm>
                    <a:off x="0" y="0"/>
                    <a:ext cx="790575" cy="1257300"/>
                  </a:xfrm>
                  <a:prstGeom prst="rect">
                    <a:avLst/>
                  </a:prstGeom>
                  <a:noFill/>
                  <a:ln w="9525">
                    <a:noFill/>
                    <a:miter lim="800000"/>
                    <a:headEnd/>
                    <a:tailEnd/>
                  </a:ln>
                </pic:spPr>
              </pic:pic>
            </a:graphicData>
          </a:graphic>
        </wp:inline>
      </w:drawing>
    </w:r>
  </w:p>
  <w:p w:rsidR="00A3291A" w:rsidRDefault="00A3291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1A" w:rsidRDefault="00A3291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1A" w:rsidRPr="009A5FC2" w:rsidRDefault="00A3291A" w:rsidP="009A5FC2">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1A" w:rsidRDefault="00A329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948"/>
    <w:multiLevelType w:val="hybridMultilevel"/>
    <w:tmpl w:val="8ED4F73C"/>
    <w:lvl w:ilvl="0" w:tplc="04160017">
      <w:start w:val="1"/>
      <w:numFmt w:val="lowerLetter"/>
      <w:lvlText w:val="%1)"/>
      <w:lvlJc w:val="left"/>
      <w:pPr>
        <w:ind w:left="1647" w:hanging="360"/>
      </w:p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
    <w:nsid w:val="36B570F4"/>
    <w:multiLevelType w:val="hybridMultilevel"/>
    <w:tmpl w:val="FF32CBD0"/>
    <w:lvl w:ilvl="0" w:tplc="B2645C9C">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nsid w:val="3C6C47AE"/>
    <w:multiLevelType w:val="hybridMultilevel"/>
    <w:tmpl w:val="24564C8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46B138DB"/>
    <w:multiLevelType w:val="hybridMultilevel"/>
    <w:tmpl w:val="70FCEEE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nsid w:val="480D5202"/>
    <w:multiLevelType w:val="hybridMultilevel"/>
    <w:tmpl w:val="3C18F8E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58CE10BC"/>
    <w:multiLevelType w:val="hybridMultilevel"/>
    <w:tmpl w:val="64AC742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5B44144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57770C"/>
    <w:multiLevelType w:val="hybridMultilevel"/>
    <w:tmpl w:val="946EC1B6"/>
    <w:lvl w:ilvl="0" w:tplc="E07A6636">
      <w:start w:val="1"/>
      <w:numFmt w:val="lowerLetter"/>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4EF78A4"/>
    <w:multiLevelType w:val="hybridMultilevel"/>
    <w:tmpl w:val="D9F62B8A"/>
    <w:lvl w:ilvl="0" w:tplc="04160017">
      <w:start w:val="1"/>
      <w:numFmt w:val="lowerLetter"/>
      <w:lvlText w:val="%1)"/>
      <w:lvlJc w:val="left"/>
      <w:pPr>
        <w:ind w:left="108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735838B3"/>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713653C"/>
    <w:multiLevelType w:val="multilevel"/>
    <w:tmpl w:val="D9C853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A672298"/>
    <w:multiLevelType w:val="hybridMultilevel"/>
    <w:tmpl w:val="98104404"/>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8"/>
  </w:num>
  <w:num w:numId="5">
    <w:abstractNumId w:val="2"/>
  </w:num>
  <w:num w:numId="6">
    <w:abstractNumId w:val="5"/>
  </w:num>
  <w:num w:numId="7">
    <w:abstractNumId w:val="9"/>
  </w:num>
  <w:num w:numId="8">
    <w:abstractNumId w:val="10"/>
  </w:num>
  <w:num w:numId="9">
    <w:abstractNumId w:val="1"/>
  </w:num>
  <w:num w:numId="10">
    <w:abstractNumId w:val="7"/>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DC3A87"/>
    <w:rsid w:val="00003611"/>
    <w:rsid w:val="00012E9E"/>
    <w:rsid w:val="00013F99"/>
    <w:rsid w:val="00032CB5"/>
    <w:rsid w:val="00032CC3"/>
    <w:rsid w:val="00040982"/>
    <w:rsid w:val="00043F03"/>
    <w:rsid w:val="000441C1"/>
    <w:rsid w:val="00055DEB"/>
    <w:rsid w:val="000721EB"/>
    <w:rsid w:val="00073E99"/>
    <w:rsid w:val="00083167"/>
    <w:rsid w:val="00085F06"/>
    <w:rsid w:val="000869C5"/>
    <w:rsid w:val="00087BC3"/>
    <w:rsid w:val="000A41CF"/>
    <w:rsid w:val="000A7BE3"/>
    <w:rsid w:val="000B3C4B"/>
    <w:rsid w:val="000B420E"/>
    <w:rsid w:val="000B59EE"/>
    <w:rsid w:val="000C28DB"/>
    <w:rsid w:val="000C422C"/>
    <w:rsid w:val="000D74F6"/>
    <w:rsid w:val="000E3DF5"/>
    <w:rsid w:val="000F12BE"/>
    <w:rsid w:val="00100580"/>
    <w:rsid w:val="00105E3C"/>
    <w:rsid w:val="001106A1"/>
    <w:rsid w:val="00114BC3"/>
    <w:rsid w:val="001353C7"/>
    <w:rsid w:val="00140C51"/>
    <w:rsid w:val="00141474"/>
    <w:rsid w:val="00146211"/>
    <w:rsid w:val="0016005A"/>
    <w:rsid w:val="00167BC8"/>
    <w:rsid w:val="00173D89"/>
    <w:rsid w:val="00177AA5"/>
    <w:rsid w:val="00180B4E"/>
    <w:rsid w:val="0018496B"/>
    <w:rsid w:val="00193FC1"/>
    <w:rsid w:val="00194272"/>
    <w:rsid w:val="001A70DD"/>
    <w:rsid w:val="001C0C85"/>
    <w:rsid w:val="001C14ED"/>
    <w:rsid w:val="001C571C"/>
    <w:rsid w:val="001C755F"/>
    <w:rsid w:val="001D1C34"/>
    <w:rsid w:val="001D434F"/>
    <w:rsid w:val="001F64F7"/>
    <w:rsid w:val="00201F77"/>
    <w:rsid w:val="00204AA5"/>
    <w:rsid w:val="0022295A"/>
    <w:rsid w:val="00223B36"/>
    <w:rsid w:val="002271A6"/>
    <w:rsid w:val="00230074"/>
    <w:rsid w:val="0023050B"/>
    <w:rsid w:val="00233FA1"/>
    <w:rsid w:val="00237741"/>
    <w:rsid w:val="002409A3"/>
    <w:rsid w:val="00243C06"/>
    <w:rsid w:val="002459D5"/>
    <w:rsid w:val="002477B6"/>
    <w:rsid w:val="00254CBC"/>
    <w:rsid w:val="002555DD"/>
    <w:rsid w:val="002601E5"/>
    <w:rsid w:val="002602D5"/>
    <w:rsid w:val="00261F46"/>
    <w:rsid w:val="00267C4B"/>
    <w:rsid w:val="002755E3"/>
    <w:rsid w:val="0027732B"/>
    <w:rsid w:val="002935CE"/>
    <w:rsid w:val="002A1999"/>
    <w:rsid w:val="002A646A"/>
    <w:rsid w:val="002B27F4"/>
    <w:rsid w:val="002B2E88"/>
    <w:rsid w:val="002B72C5"/>
    <w:rsid w:val="002B7333"/>
    <w:rsid w:val="002C40E2"/>
    <w:rsid w:val="002C68F7"/>
    <w:rsid w:val="002C7248"/>
    <w:rsid w:val="002D50FF"/>
    <w:rsid w:val="002D5B09"/>
    <w:rsid w:val="002E255B"/>
    <w:rsid w:val="002F4837"/>
    <w:rsid w:val="00302B4E"/>
    <w:rsid w:val="00302DB9"/>
    <w:rsid w:val="00305784"/>
    <w:rsid w:val="00311D29"/>
    <w:rsid w:val="00317068"/>
    <w:rsid w:val="003216FB"/>
    <w:rsid w:val="003313FC"/>
    <w:rsid w:val="003364EA"/>
    <w:rsid w:val="00345D5C"/>
    <w:rsid w:val="0036682F"/>
    <w:rsid w:val="00370B0A"/>
    <w:rsid w:val="00372824"/>
    <w:rsid w:val="00375B6C"/>
    <w:rsid w:val="00384BB3"/>
    <w:rsid w:val="00384F0B"/>
    <w:rsid w:val="003913E6"/>
    <w:rsid w:val="0039280A"/>
    <w:rsid w:val="00393C05"/>
    <w:rsid w:val="0039515B"/>
    <w:rsid w:val="00396F82"/>
    <w:rsid w:val="003A6026"/>
    <w:rsid w:val="003B0197"/>
    <w:rsid w:val="003B027E"/>
    <w:rsid w:val="003B0BE3"/>
    <w:rsid w:val="003B1E7F"/>
    <w:rsid w:val="003B4A3B"/>
    <w:rsid w:val="003B6EBA"/>
    <w:rsid w:val="003C2D44"/>
    <w:rsid w:val="003C3903"/>
    <w:rsid w:val="003C5FA7"/>
    <w:rsid w:val="003C77A5"/>
    <w:rsid w:val="003C79C5"/>
    <w:rsid w:val="003D0137"/>
    <w:rsid w:val="003D1DDF"/>
    <w:rsid w:val="003D217C"/>
    <w:rsid w:val="003D605E"/>
    <w:rsid w:val="003F223B"/>
    <w:rsid w:val="003F330D"/>
    <w:rsid w:val="003F7E06"/>
    <w:rsid w:val="0040249E"/>
    <w:rsid w:val="004101C5"/>
    <w:rsid w:val="0041108D"/>
    <w:rsid w:val="0041123A"/>
    <w:rsid w:val="004136E8"/>
    <w:rsid w:val="00413879"/>
    <w:rsid w:val="00415718"/>
    <w:rsid w:val="004224D7"/>
    <w:rsid w:val="004328E3"/>
    <w:rsid w:val="00433F82"/>
    <w:rsid w:val="0044160C"/>
    <w:rsid w:val="004476A1"/>
    <w:rsid w:val="004532BD"/>
    <w:rsid w:val="00455B36"/>
    <w:rsid w:val="004619DC"/>
    <w:rsid w:val="00461B53"/>
    <w:rsid w:val="00474B4F"/>
    <w:rsid w:val="00481977"/>
    <w:rsid w:val="00481B04"/>
    <w:rsid w:val="00484F76"/>
    <w:rsid w:val="00486583"/>
    <w:rsid w:val="00490438"/>
    <w:rsid w:val="004913F9"/>
    <w:rsid w:val="004A2568"/>
    <w:rsid w:val="004A393C"/>
    <w:rsid w:val="004C1ECF"/>
    <w:rsid w:val="004C44A1"/>
    <w:rsid w:val="004C7321"/>
    <w:rsid w:val="004E766D"/>
    <w:rsid w:val="004F4EC7"/>
    <w:rsid w:val="004F74A9"/>
    <w:rsid w:val="0050243A"/>
    <w:rsid w:val="0050428B"/>
    <w:rsid w:val="00512F0D"/>
    <w:rsid w:val="005175FA"/>
    <w:rsid w:val="00520C4B"/>
    <w:rsid w:val="005212C1"/>
    <w:rsid w:val="005232C9"/>
    <w:rsid w:val="0052788B"/>
    <w:rsid w:val="00533351"/>
    <w:rsid w:val="00535A92"/>
    <w:rsid w:val="00537A9E"/>
    <w:rsid w:val="0054241A"/>
    <w:rsid w:val="005502D5"/>
    <w:rsid w:val="00552DD4"/>
    <w:rsid w:val="00556C89"/>
    <w:rsid w:val="00557D84"/>
    <w:rsid w:val="005755DE"/>
    <w:rsid w:val="005815BA"/>
    <w:rsid w:val="00582DB5"/>
    <w:rsid w:val="00583590"/>
    <w:rsid w:val="0058676F"/>
    <w:rsid w:val="005969EC"/>
    <w:rsid w:val="005A4278"/>
    <w:rsid w:val="005D0F38"/>
    <w:rsid w:val="005E1713"/>
    <w:rsid w:val="005E1F2D"/>
    <w:rsid w:val="005E3CA9"/>
    <w:rsid w:val="005E4FED"/>
    <w:rsid w:val="00605F46"/>
    <w:rsid w:val="006066E1"/>
    <w:rsid w:val="00606E4B"/>
    <w:rsid w:val="00611027"/>
    <w:rsid w:val="00612C93"/>
    <w:rsid w:val="00621E99"/>
    <w:rsid w:val="00633EA8"/>
    <w:rsid w:val="00637B34"/>
    <w:rsid w:val="0064444F"/>
    <w:rsid w:val="00645A30"/>
    <w:rsid w:val="00652C43"/>
    <w:rsid w:val="00661621"/>
    <w:rsid w:val="00661D59"/>
    <w:rsid w:val="006639B7"/>
    <w:rsid w:val="00664285"/>
    <w:rsid w:val="00674C54"/>
    <w:rsid w:val="006779B4"/>
    <w:rsid w:val="00684E7B"/>
    <w:rsid w:val="0068584E"/>
    <w:rsid w:val="00692F7C"/>
    <w:rsid w:val="00693F89"/>
    <w:rsid w:val="006A333E"/>
    <w:rsid w:val="006C52CD"/>
    <w:rsid w:val="006D4312"/>
    <w:rsid w:val="006F50C3"/>
    <w:rsid w:val="007006D6"/>
    <w:rsid w:val="00702278"/>
    <w:rsid w:val="00702954"/>
    <w:rsid w:val="00707B44"/>
    <w:rsid w:val="0071285A"/>
    <w:rsid w:val="00716FAD"/>
    <w:rsid w:val="007210D2"/>
    <w:rsid w:val="00724247"/>
    <w:rsid w:val="00731C23"/>
    <w:rsid w:val="00733AEE"/>
    <w:rsid w:val="00737D82"/>
    <w:rsid w:val="00741018"/>
    <w:rsid w:val="007457C0"/>
    <w:rsid w:val="00746B3C"/>
    <w:rsid w:val="00756B9D"/>
    <w:rsid w:val="0078095F"/>
    <w:rsid w:val="007841C0"/>
    <w:rsid w:val="007845D3"/>
    <w:rsid w:val="007849AA"/>
    <w:rsid w:val="0078562F"/>
    <w:rsid w:val="00787B64"/>
    <w:rsid w:val="00792F20"/>
    <w:rsid w:val="0079697F"/>
    <w:rsid w:val="00797327"/>
    <w:rsid w:val="007A0264"/>
    <w:rsid w:val="007A1E33"/>
    <w:rsid w:val="007A25C3"/>
    <w:rsid w:val="007A5A93"/>
    <w:rsid w:val="007B6536"/>
    <w:rsid w:val="007C0798"/>
    <w:rsid w:val="007C10C8"/>
    <w:rsid w:val="007C3E73"/>
    <w:rsid w:val="007C4CFB"/>
    <w:rsid w:val="007C5E43"/>
    <w:rsid w:val="007D025E"/>
    <w:rsid w:val="007D1243"/>
    <w:rsid w:val="007D7305"/>
    <w:rsid w:val="007E4C00"/>
    <w:rsid w:val="007E68D5"/>
    <w:rsid w:val="007F17AD"/>
    <w:rsid w:val="008022BC"/>
    <w:rsid w:val="008037F3"/>
    <w:rsid w:val="008038E2"/>
    <w:rsid w:val="0081606B"/>
    <w:rsid w:val="008174E8"/>
    <w:rsid w:val="008354AB"/>
    <w:rsid w:val="00841AC2"/>
    <w:rsid w:val="008513F6"/>
    <w:rsid w:val="00864F55"/>
    <w:rsid w:val="0086755E"/>
    <w:rsid w:val="00867988"/>
    <w:rsid w:val="00870770"/>
    <w:rsid w:val="00881839"/>
    <w:rsid w:val="0088618E"/>
    <w:rsid w:val="00886B00"/>
    <w:rsid w:val="008A0991"/>
    <w:rsid w:val="008A6812"/>
    <w:rsid w:val="008A79D2"/>
    <w:rsid w:val="008B0CF0"/>
    <w:rsid w:val="008B4C06"/>
    <w:rsid w:val="008B7F8F"/>
    <w:rsid w:val="008C0830"/>
    <w:rsid w:val="008C45E3"/>
    <w:rsid w:val="008E176D"/>
    <w:rsid w:val="008E4231"/>
    <w:rsid w:val="008E5396"/>
    <w:rsid w:val="008E6837"/>
    <w:rsid w:val="008F4613"/>
    <w:rsid w:val="0090156C"/>
    <w:rsid w:val="009113CC"/>
    <w:rsid w:val="0091270D"/>
    <w:rsid w:val="009132A0"/>
    <w:rsid w:val="00923339"/>
    <w:rsid w:val="00935BA4"/>
    <w:rsid w:val="00935D1E"/>
    <w:rsid w:val="00952B57"/>
    <w:rsid w:val="00966FBC"/>
    <w:rsid w:val="009720B1"/>
    <w:rsid w:val="009723B7"/>
    <w:rsid w:val="00973A03"/>
    <w:rsid w:val="00973C99"/>
    <w:rsid w:val="009752B5"/>
    <w:rsid w:val="009809C0"/>
    <w:rsid w:val="00982B1A"/>
    <w:rsid w:val="00984E4D"/>
    <w:rsid w:val="009914EE"/>
    <w:rsid w:val="00996A93"/>
    <w:rsid w:val="009A3B10"/>
    <w:rsid w:val="009A471C"/>
    <w:rsid w:val="009A5FC2"/>
    <w:rsid w:val="009B6597"/>
    <w:rsid w:val="009B7C9C"/>
    <w:rsid w:val="009C298E"/>
    <w:rsid w:val="009C2EEF"/>
    <w:rsid w:val="009E0D88"/>
    <w:rsid w:val="009E2A74"/>
    <w:rsid w:val="009E41CC"/>
    <w:rsid w:val="009E41CF"/>
    <w:rsid w:val="009F07D1"/>
    <w:rsid w:val="009F5386"/>
    <w:rsid w:val="009F60A7"/>
    <w:rsid w:val="009F6EBB"/>
    <w:rsid w:val="00A07EB7"/>
    <w:rsid w:val="00A217C4"/>
    <w:rsid w:val="00A261D6"/>
    <w:rsid w:val="00A26697"/>
    <w:rsid w:val="00A3291A"/>
    <w:rsid w:val="00A33110"/>
    <w:rsid w:val="00A4460F"/>
    <w:rsid w:val="00A468EA"/>
    <w:rsid w:val="00A60142"/>
    <w:rsid w:val="00A65B13"/>
    <w:rsid w:val="00A66C77"/>
    <w:rsid w:val="00A66CC6"/>
    <w:rsid w:val="00A67773"/>
    <w:rsid w:val="00A73EFD"/>
    <w:rsid w:val="00A74E8C"/>
    <w:rsid w:val="00A772D3"/>
    <w:rsid w:val="00A81809"/>
    <w:rsid w:val="00A85606"/>
    <w:rsid w:val="00A94578"/>
    <w:rsid w:val="00AA4677"/>
    <w:rsid w:val="00AA5CCF"/>
    <w:rsid w:val="00AA6D76"/>
    <w:rsid w:val="00AB7118"/>
    <w:rsid w:val="00AC04B3"/>
    <w:rsid w:val="00AC3261"/>
    <w:rsid w:val="00AD4F2C"/>
    <w:rsid w:val="00AD5FBF"/>
    <w:rsid w:val="00AE7E45"/>
    <w:rsid w:val="00AF19FD"/>
    <w:rsid w:val="00AF7C8B"/>
    <w:rsid w:val="00B04D18"/>
    <w:rsid w:val="00B2318C"/>
    <w:rsid w:val="00B231CF"/>
    <w:rsid w:val="00B2474A"/>
    <w:rsid w:val="00B35777"/>
    <w:rsid w:val="00B357FA"/>
    <w:rsid w:val="00B363DD"/>
    <w:rsid w:val="00B36F2E"/>
    <w:rsid w:val="00B37AD1"/>
    <w:rsid w:val="00B37DE7"/>
    <w:rsid w:val="00B40450"/>
    <w:rsid w:val="00B44C4A"/>
    <w:rsid w:val="00B46309"/>
    <w:rsid w:val="00B51FC0"/>
    <w:rsid w:val="00B52092"/>
    <w:rsid w:val="00B521D6"/>
    <w:rsid w:val="00B73D64"/>
    <w:rsid w:val="00B8373C"/>
    <w:rsid w:val="00B96146"/>
    <w:rsid w:val="00B967BF"/>
    <w:rsid w:val="00BB2D08"/>
    <w:rsid w:val="00BB35F9"/>
    <w:rsid w:val="00BC44D5"/>
    <w:rsid w:val="00BC47EB"/>
    <w:rsid w:val="00BC7A5F"/>
    <w:rsid w:val="00BD6B87"/>
    <w:rsid w:val="00BD77F0"/>
    <w:rsid w:val="00BE4BD1"/>
    <w:rsid w:val="00BE65BB"/>
    <w:rsid w:val="00BF26D0"/>
    <w:rsid w:val="00BF29BB"/>
    <w:rsid w:val="00BF780E"/>
    <w:rsid w:val="00C1023B"/>
    <w:rsid w:val="00C1090A"/>
    <w:rsid w:val="00C14B61"/>
    <w:rsid w:val="00C1639E"/>
    <w:rsid w:val="00C20B43"/>
    <w:rsid w:val="00C3199E"/>
    <w:rsid w:val="00C31BC9"/>
    <w:rsid w:val="00C31E3C"/>
    <w:rsid w:val="00C40CC9"/>
    <w:rsid w:val="00C4171B"/>
    <w:rsid w:val="00C447A5"/>
    <w:rsid w:val="00C543A1"/>
    <w:rsid w:val="00C56150"/>
    <w:rsid w:val="00C629B5"/>
    <w:rsid w:val="00C63C32"/>
    <w:rsid w:val="00C64E4E"/>
    <w:rsid w:val="00C7031B"/>
    <w:rsid w:val="00C75C2E"/>
    <w:rsid w:val="00C81555"/>
    <w:rsid w:val="00C8699E"/>
    <w:rsid w:val="00C87B83"/>
    <w:rsid w:val="00C91285"/>
    <w:rsid w:val="00C914E7"/>
    <w:rsid w:val="00C949A6"/>
    <w:rsid w:val="00CA7BEC"/>
    <w:rsid w:val="00CB1589"/>
    <w:rsid w:val="00CB2B9A"/>
    <w:rsid w:val="00CC76BD"/>
    <w:rsid w:val="00CD3812"/>
    <w:rsid w:val="00CD4B04"/>
    <w:rsid w:val="00CD4B3C"/>
    <w:rsid w:val="00CD4E84"/>
    <w:rsid w:val="00CE2D19"/>
    <w:rsid w:val="00CE30DC"/>
    <w:rsid w:val="00CE643D"/>
    <w:rsid w:val="00CE6D44"/>
    <w:rsid w:val="00CF0868"/>
    <w:rsid w:val="00CF46D6"/>
    <w:rsid w:val="00CF64FC"/>
    <w:rsid w:val="00D05FEF"/>
    <w:rsid w:val="00D062F1"/>
    <w:rsid w:val="00D13AE0"/>
    <w:rsid w:val="00D20200"/>
    <w:rsid w:val="00D25F15"/>
    <w:rsid w:val="00D30142"/>
    <w:rsid w:val="00D31107"/>
    <w:rsid w:val="00D3360E"/>
    <w:rsid w:val="00D33D42"/>
    <w:rsid w:val="00D36AA9"/>
    <w:rsid w:val="00D44857"/>
    <w:rsid w:val="00D450D6"/>
    <w:rsid w:val="00D528AF"/>
    <w:rsid w:val="00D5398D"/>
    <w:rsid w:val="00D53D2C"/>
    <w:rsid w:val="00D70183"/>
    <w:rsid w:val="00D74953"/>
    <w:rsid w:val="00D81AE6"/>
    <w:rsid w:val="00D845A5"/>
    <w:rsid w:val="00D84723"/>
    <w:rsid w:val="00D95DDB"/>
    <w:rsid w:val="00DC00AB"/>
    <w:rsid w:val="00DC3A87"/>
    <w:rsid w:val="00DC54C4"/>
    <w:rsid w:val="00DC6623"/>
    <w:rsid w:val="00DD0D17"/>
    <w:rsid w:val="00DD4732"/>
    <w:rsid w:val="00DD60E4"/>
    <w:rsid w:val="00DD7E31"/>
    <w:rsid w:val="00DE1725"/>
    <w:rsid w:val="00DE45D4"/>
    <w:rsid w:val="00DF2867"/>
    <w:rsid w:val="00E00A74"/>
    <w:rsid w:val="00E107A4"/>
    <w:rsid w:val="00E15EE4"/>
    <w:rsid w:val="00E27F7D"/>
    <w:rsid w:val="00E31714"/>
    <w:rsid w:val="00E3215E"/>
    <w:rsid w:val="00E46B9F"/>
    <w:rsid w:val="00E56F7E"/>
    <w:rsid w:val="00E576A2"/>
    <w:rsid w:val="00E73179"/>
    <w:rsid w:val="00E83561"/>
    <w:rsid w:val="00E83C80"/>
    <w:rsid w:val="00E849E4"/>
    <w:rsid w:val="00E96092"/>
    <w:rsid w:val="00EA00DC"/>
    <w:rsid w:val="00EB3794"/>
    <w:rsid w:val="00EB3C9E"/>
    <w:rsid w:val="00EB4945"/>
    <w:rsid w:val="00EB7968"/>
    <w:rsid w:val="00EC2737"/>
    <w:rsid w:val="00EC3DD9"/>
    <w:rsid w:val="00EE180C"/>
    <w:rsid w:val="00EE7AF5"/>
    <w:rsid w:val="00EF07E6"/>
    <w:rsid w:val="00EF1BDC"/>
    <w:rsid w:val="00EF7E21"/>
    <w:rsid w:val="00F146BD"/>
    <w:rsid w:val="00F21857"/>
    <w:rsid w:val="00F23DB5"/>
    <w:rsid w:val="00F26E0C"/>
    <w:rsid w:val="00F34A3E"/>
    <w:rsid w:val="00F376E9"/>
    <w:rsid w:val="00F50BEA"/>
    <w:rsid w:val="00F50E1A"/>
    <w:rsid w:val="00F54BCF"/>
    <w:rsid w:val="00F666F9"/>
    <w:rsid w:val="00F80285"/>
    <w:rsid w:val="00F80BC0"/>
    <w:rsid w:val="00F813A6"/>
    <w:rsid w:val="00F844AA"/>
    <w:rsid w:val="00F872A1"/>
    <w:rsid w:val="00F90248"/>
    <w:rsid w:val="00F94BB8"/>
    <w:rsid w:val="00F97382"/>
    <w:rsid w:val="00FA3E94"/>
    <w:rsid w:val="00FA43CC"/>
    <w:rsid w:val="00FA7180"/>
    <w:rsid w:val="00FB3484"/>
    <w:rsid w:val="00FB516F"/>
    <w:rsid w:val="00FC27E0"/>
    <w:rsid w:val="00FC754C"/>
    <w:rsid w:val="00FD503B"/>
    <w:rsid w:val="00FD5952"/>
    <w:rsid w:val="00FF67C1"/>
    <w:rsid w:val="00FF70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87"/>
    <w:rPr>
      <w:rFonts w:ascii="Calibri" w:eastAsia="Calibri" w:hAnsi="Calibri" w:cs="Times New Roman"/>
    </w:rPr>
  </w:style>
  <w:style w:type="paragraph" w:styleId="Ttulo1">
    <w:name w:val="heading 1"/>
    <w:basedOn w:val="Normal"/>
    <w:next w:val="Normal"/>
    <w:link w:val="Ttulo1Char"/>
    <w:uiPriority w:val="9"/>
    <w:qFormat/>
    <w:rsid w:val="00C629B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3A87"/>
    <w:pPr>
      <w:tabs>
        <w:tab w:val="center" w:pos="4252"/>
        <w:tab w:val="right" w:pos="8504"/>
      </w:tabs>
      <w:spacing w:after="0" w:line="240" w:lineRule="auto"/>
    </w:pPr>
  </w:style>
  <w:style w:type="character" w:customStyle="1" w:styleId="CabealhoChar">
    <w:name w:val="Cabeçalho Char"/>
    <w:basedOn w:val="Fontepargpadro"/>
    <w:link w:val="Cabealho"/>
    <w:rsid w:val="00DC3A87"/>
    <w:rPr>
      <w:rFonts w:ascii="Calibri" w:eastAsia="Calibri" w:hAnsi="Calibri" w:cs="Times New Roman"/>
    </w:rPr>
  </w:style>
  <w:style w:type="paragraph" w:styleId="Rodap">
    <w:name w:val="footer"/>
    <w:basedOn w:val="Normal"/>
    <w:link w:val="RodapChar"/>
    <w:uiPriority w:val="99"/>
    <w:unhideWhenUsed/>
    <w:rsid w:val="00DC3A87"/>
    <w:pPr>
      <w:tabs>
        <w:tab w:val="center" w:pos="4252"/>
        <w:tab w:val="right" w:pos="8504"/>
      </w:tabs>
      <w:spacing w:after="0" w:line="240" w:lineRule="auto"/>
    </w:pPr>
  </w:style>
  <w:style w:type="character" w:customStyle="1" w:styleId="RodapChar">
    <w:name w:val="Rodapé Char"/>
    <w:basedOn w:val="Fontepargpadro"/>
    <w:link w:val="Rodap"/>
    <w:uiPriority w:val="99"/>
    <w:rsid w:val="00DC3A87"/>
    <w:rPr>
      <w:rFonts w:ascii="Calibri" w:eastAsia="Calibri" w:hAnsi="Calibri" w:cs="Times New Roman"/>
    </w:rPr>
  </w:style>
  <w:style w:type="paragraph" w:styleId="Textodebalo">
    <w:name w:val="Balloon Text"/>
    <w:basedOn w:val="Normal"/>
    <w:link w:val="TextodebaloChar"/>
    <w:uiPriority w:val="99"/>
    <w:semiHidden/>
    <w:unhideWhenUsed/>
    <w:rsid w:val="00DC3A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3A87"/>
    <w:rPr>
      <w:rFonts w:ascii="Tahoma" w:eastAsia="Calibri" w:hAnsi="Tahoma" w:cs="Tahoma"/>
      <w:sz w:val="16"/>
      <w:szCs w:val="16"/>
    </w:rPr>
  </w:style>
  <w:style w:type="paragraph" w:customStyle="1" w:styleId="cabealho4">
    <w:name w:val="cabeçalho 4"/>
    <w:basedOn w:val="Normal"/>
    <w:next w:val="Normal"/>
    <w:link w:val="CaracteresdoCabealho4"/>
    <w:uiPriority w:val="1"/>
    <w:unhideWhenUsed/>
    <w:qFormat/>
    <w:rsid w:val="00DC3A87"/>
    <w:pPr>
      <w:spacing w:after="0" w:line="240" w:lineRule="auto"/>
      <w:ind w:left="14"/>
      <w:outlineLvl w:val="3"/>
    </w:pPr>
    <w:rPr>
      <w:rFonts w:ascii="Cambria" w:hAnsi="Cambria"/>
      <w:sz w:val="32"/>
      <w:szCs w:val="36"/>
      <w:lang w:val="en-US"/>
    </w:rPr>
  </w:style>
  <w:style w:type="character" w:customStyle="1" w:styleId="CaracteresdoCabealho4">
    <w:name w:val="Caracteres do Cabeçalho 4"/>
    <w:basedOn w:val="Fontepargpadro"/>
    <w:link w:val="cabealho4"/>
    <w:uiPriority w:val="1"/>
    <w:rsid w:val="00DC3A87"/>
    <w:rPr>
      <w:rFonts w:ascii="Cambria" w:eastAsia="Calibri" w:hAnsi="Cambria" w:cs="Times New Roman"/>
      <w:sz w:val="32"/>
      <w:szCs w:val="36"/>
      <w:lang w:val="en-US"/>
    </w:rPr>
  </w:style>
  <w:style w:type="paragraph" w:styleId="PargrafodaLista">
    <w:name w:val="List Paragraph"/>
    <w:basedOn w:val="Normal"/>
    <w:uiPriority w:val="34"/>
    <w:qFormat/>
    <w:rsid w:val="00652C43"/>
    <w:pPr>
      <w:ind w:left="720"/>
      <w:contextualSpacing/>
    </w:pPr>
    <w:rPr>
      <w:lang w:val="es-MX"/>
    </w:rPr>
  </w:style>
  <w:style w:type="character" w:styleId="Hyperlink">
    <w:name w:val="Hyperlink"/>
    <w:basedOn w:val="Fontepargpadro"/>
    <w:uiPriority w:val="99"/>
    <w:semiHidden/>
    <w:rsid w:val="00652C43"/>
    <w:rPr>
      <w:rFonts w:cs="Times New Roman"/>
      <w:i/>
      <w:iCs/>
      <w:color w:val="0000FF"/>
      <w:u w:val="single"/>
    </w:rPr>
  </w:style>
  <w:style w:type="paragraph" w:customStyle="1" w:styleId="Texto">
    <w:name w:val="Texto"/>
    <w:basedOn w:val="Normal"/>
    <w:autoRedefine/>
    <w:uiPriority w:val="99"/>
    <w:rsid w:val="002B27F4"/>
    <w:pPr>
      <w:tabs>
        <w:tab w:val="left" w:pos="0"/>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3892"/>
        <w:tab w:val="left" w:pos="14403"/>
        <w:tab w:val="left" w:pos="15123"/>
        <w:tab w:val="left" w:pos="16562"/>
        <w:tab w:val="left" w:pos="17283"/>
        <w:tab w:val="left" w:pos="18004"/>
        <w:tab w:val="left" w:pos="18722"/>
        <w:tab w:val="left" w:pos="19443"/>
        <w:tab w:val="left" w:pos="20164"/>
        <w:tab w:val="left" w:pos="20885"/>
      </w:tabs>
      <w:suppressAutoHyphens/>
      <w:spacing w:after="120" w:line="240" w:lineRule="auto"/>
      <w:jc w:val="center"/>
    </w:pPr>
    <w:rPr>
      <w:rFonts w:ascii="Times New Roman" w:hAnsi="Times New Roman"/>
      <w:b/>
    </w:rPr>
  </w:style>
  <w:style w:type="paragraph" w:styleId="Textodenotaderodap">
    <w:name w:val="footnote text"/>
    <w:basedOn w:val="Normal"/>
    <w:link w:val="TextodenotaderodapChar"/>
    <w:uiPriority w:val="99"/>
    <w:semiHidden/>
    <w:unhideWhenUsed/>
    <w:rsid w:val="00652C43"/>
    <w:pPr>
      <w:spacing w:after="0" w:line="240" w:lineRule="auto"/>
    </w:pPr>
    <w:rPr>
      <w:sz w:val="20"/>
      <w:szCs w:val="20"/>
      <w:lang w:val="es-MX"/>
    </w:rPr>
  </w:style>
  <w:style w:type="character" w:customStyle="1" w:styleId="TextodenotaderodapChar">
    <w:name w:val="Texto de nota de rodapé Char"/>
    <w:basedOn w:val="Fontepargpadro"/>
    <w:link w:val="Textodenotaderodap"/>
    <w:uiPriority w:val="99"/>
    <w:semiHidden/>
    <w:rsid w:val="00652C43"/>
    <w:rPr>
      <w:rFonts w:ascii="Calibri" w:eastAsia="Calibri" w:hAnsi="Calibri" w:cs="Times New Roman"/>
      <w:sz w:val="20"/>
      <w:szCs w:val="20"/>
      <w:lang w:val="es-MX"/>
    </w:rPr>
  </w:style>
  <w:style w:type="character" w:styleId="Refdenotaderodap">
    <w:name w:val="footnote reference"/>
    <w:basedOn w:val="Fontepargpadro"/>
    <w:uiPriority w:val="99"/>
    <w:semiHidden/>
    <w:unhideWhenUsed/>
    <w:rsid w:val="00652C43"/>
    <w:rPr>
      <w:vertAlign w:val="superscript"/>
    </w:rPr>
  </w:style>
  <w:style w:type="character" w:styleId="Refdecomentrio">
    <w:name w:val="annotation reference"/>
    <w:basedOn w:val="Fontepargpadro"/>
    <w:uiPriority w:val="99"/>
    <w:semiHidden/>
    <w:unhideWhenUsed/>
    <w:rsid w:val="00C629B5"/>
    <w:rPr>
      <w:sz w:val="18"/>
      <w:szCs w:val="18"/>
    </w:rPr>
  </w:style>
  <w:style w:type="paragraph" w:styleId="Textodecomentrio">
    <w:name w:val="annotation text"/>
    <w:basedOn w:val="Normal"/>
    <w:link w:val="TextodecomentrioChar"/>
    <w:uiPriority w:val="99"/>
    <w:semiHidden/>
    <w:unhideWhenUsed/>
    <w:rsid w:val="00C629B5"/>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C629B5"/>
    <w:rPr>
      <w:rFonts w:ascii="Calibri" w:eastAsia="Calibri" w:hAnsi="Calibri" w:cs="Times New Roman"/>
      <w:sz w:val="24"/>
      <w:szCs w:val="24"/>
    </w:rPr>
  </w:style>
  <w:style w:type="paragraph" w:styleId="Assuntodocomentrio">
    <w:name w:val="annotation subject"/>
    <w:basedOn w:val="Textodecomentrio"/>
    <w:next w:val="Textodecomentrio"/>
    <w:link w:val="AssuntodocomentrioChar"/>
    <w:uiPriority w:val="99"/>
    <w:semiHidden/>
    <w:unhideWhenUsed/>
    <w:rsid w:val="00C629B5"/>
    <w:rPr>
      <w:b/>
      <w:bCs/>
      <w:sz w:val="20"/>
      <w:szCs w:val="20"/>
    </w:rPr>
  </w:style>
  <w:style w:type="character" w:customStyle="1" w:styleId="AssuntodocomentrioChar">
    <w:name w:val="Assunto do comentário Char"/>
    <w:basedOn w:val="TextodecomentrioChar"/>
    <w:link w:val="Assuntodocomentrio"/>
    <w:uiPriority w:val="99"/>
    <w:semiHidden/>
    <w:rsid w:val="00C629B5"/>
    <w:rPr>
      <w:rFonts w:ascii="Calibri" w:eastAsia="Calibri" w:hAnsi="Calibri" w:cs="Times New Roman"/>
      <w:b/>
      <w:bCs/>
      <w:sz w:val="20"/>
      <w:szCs w:val="20"/>
    </w:rPr>
  </w:style>
  <w:style w:type="character" w:customStyle="1" w:styleId="Ttulo1Char">
    <w:name w:val="Título 1 Char"/>
    <w:basedOn w:val="Fontepargpadro"/>
    <w:link w:val="Ttulo1"/>
    <w:uiPriority w:val="9"/>
    <w:rsid w:val="00C629B5"/>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7D730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notadefim">
    <w:name w:val="endnote text"/>
    <w:basedOn w:val="Normal"/>
    <w:link w:val="TextodenotadefimChar"/>
    <w:uiPriority w:val="99"/>
    <w:semiHidden/>
    <w:unhideWhenUsed/>
    <w:rsid w:val="00BF29B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F29BB"/>
    <w:rPr>
      <w:rFonts w:ascii="Calibri" w:eastAsia="Calibri" w:hAnsi="Calibri" w:cs="Times New Roman"/>
      <w:sz w:val="20"/>
      <w:szCs w:val="20"/>
    </w:rPr>
  </w:style>
  <w:style w:type="character" w:styleId="Refdenotadefim">
    <w:name w:val="endnote reference"/>
    <w:basedOn w:val="Fontepargpadro"/>
    <w:uiPriority w:val="99"/>
    <w:semiHidden/>
    <w:unhideWhenUsed/>
    <w:rsid w:val="00BF29BB"/>
    <w:rPr>
      <w:vertAlign w:val="superscript"/>
    </w:rPr>
  </w:style>
  <w:style w:type="paragraph" w:styleId="Reviso">
    <w:name w:val="Revision"/>
    <w:hidden/>
    <w:uiPriority w:val="99"/>
    <w:semiHidden/>
    <w:rsid w:val="00792F2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87"/>
    <w:rPr>
      <w:rFonts w:ascii="Calibri" w:eastAsia="Calibri" w:hAnsi="Calibri" w:cs="Times New Roman"/>
    </w:rPr>
  </w:style>
  <w:style w:type="paragraph" w:styleId="Ttulo1">
    <w:name w:val="heading 1"/>
    <w:basedOn w:val="Normal"/>
    <w:next w:val="Normal"/>
    <w:link w:val="Ttulo1Char"/>
    <w:uiPriority w:val="9"/>
    <w:qFormat/>
    <w:rsid w:val="00C629B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C3A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3A87"/>
    <w:rPr>
      <w:rFonts w:ascii="Calibri" w:eastAsia="Calibri" w:hAnsi="Calibri" w:cs="Times New Roman"/>
    </w:rPr>
  </w:style>
  <w:style w:type="paragraph" w:styleId="Rodap">
    <w:name w:val="footer"/>
    <w:basedOn w:val="Normal"/>
    <w:link w:val="RodapChar"/>
    <w:uiPriority w:val="99"/>
    <w:unhideWhenUsed/>
    <w:rsid w:val="00DC3A87"/>
    <w:pPr>
      <w:tabs>
        <w:tab w:val="center" w:pos="4252"/>
        <w:tab w:val="right" w:pos="8504"/>
      </w:tabs>
      <w:spacing w:after="0" w:line="240" w:lineRule="auto"/>
    </w:pPr>
  </w:style>
  <w:style w:type="character" w:customStyle="1" w:styleId="RodapChar">
    <w:name w:val="Rodapé Char"/>
    <w:basedOn w:val="Fontepargpadro"/>
    <w:link w:val="Rodap"/>
    <w:uiPriority w:val="99"/>
    <w:rsid w:val="00DC3A87"/>
    <w:rPr>
      <w:rFonts w:ascii="Calibri" w:eastAsia="Calibri" w:hAnsi="Calibri" w:cs="Times New Roman"/>
    </w:rPr>
  </w:style>
  <w:style w:type="paragraph" w:styleId="Textodebalo">
    <w:name w:val="Balloon Text"/>
    <w:basedOn w:val="Normal"/>
    <w:link w:val="TextodebaloChar"/>
    <w:uiPriority w:val="99"/>
    <w:semiHidden/>
    <w:unhideWhenUsed/>
    <w:rsid w:val="00DC3A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3A87"/>
    <w:rPr>
      <w:rFonts w:ascii="Tahoma" w:eastAsia="Calibri" w:hAnsi="Tahoma" w:cs="Tahoma"/>
      <w:sz w:val="16"/>
      <w:szCs w:val="16"/>
    </w:rPr>
  </w:style>
  <w:style w:type="paragraph" w:customStyle="1" w:styleId="cabealho4">
    <w:name w:val="cabeçalho 4"/>
    <w:basedOn w:val="Normal"/>
    <w:next w:val="Normal"/>
    <w:link w:val="CaracteresdoCabealho4"/>
    <w:uiPriority w:val="1"/>
    <w:unhideWhenUsed/>
    <w:qFormat/>
    <w:rsid w:val="00DC3A87"/>
    <w:pPr>
      <w:spacing w:after="0" w:line="240" w:lineRule="auto"/>
      <w:ind w:left="14"/>
      <w:outlineLvl w:val="3"/>
    </w:pPr>
    <w:rPr>
      <w:rFonts w:ascii="Cambria" w:hAnsi="Cambria"/>
      <w:sz w:val="32"/>
      <w:szCs w:val="36"/>
      <w:lang w:val="en-US"/>
    </w:rPr>
  </w:style>
  <w:style w:type="character" w:customStyle="1" w:styleId="CaracteresdoCabealho4">
    <w:name w:val="Caracteres do Cabeçalho 4"/>
    <w:basedOn w:val="Fontepargpadro"/>
    <w:link w:val="cabealho4"/>
    <w:uiPriority w:val="1"/>
    <w:rsid w:val="00DC3A87"/>
    <w:rPr>
      <w:rFonts w:ascii="Cambria" w:eastAsia="Calibri" w:hAnsi="Cambria" w:cs="Times New Roman"/>
      <w:sz w:val="32"/>
      <w:szCs w:val="36"/>
      <w:lang w:val="en-US"/>
    </w:rPr>
  </w:style>
  <w:style w:type="paragraph" w:styleId="PargrafodaLista">
    <w:name w:val="List Paragraph"/>
    <w:basedOn w:val="Normal"/>
    <w:uiPriority w:val="34"/>
    <w:qFormat/>
    <w:rsid w:val="00652C43"/>
    <w:pPr>
      <w:ind w:left="720"/>
      <w:contextualSpacing/>
    </w:pPr>
    <w:rPr>
      <w:lang w:val="es-MX"/>
    </w:rPr>
  </w:style>
  <w:style w:type="character" w:styleId="Hyperlink">
    <w:name w:val="Hyperlink"/>
    <w:basedOn w:val="Fontepargpadro"/>
    <w:uiPriority w:val="99"/>
    <w:semiHidden/>
    <w:rsid w:val="00652C43"/>
    <w:rPr>
      <w:rFonts w:cs="Times New Roman"/>
      <w:i/>
      <w:iCs/>
      <w:color w:val="0000FF"/>
      <w:u w:val="single"/>
    </w:rPr>
  </w:style>
  <w:style w:type="paragraph" w:customStyle="1" w:styleId="Texto">
    <w:name w:val="Texto"/>
    <w:basedOn w:val="Normal"/>
    <w:autoRedefine/>
    <w:uiPriority w:val="99"/>
    <w:rsid w:val="00652C43"/>
    <w:pPr>
      <w:tabs>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120" w:line="240" w:lineRule="auto"/>
      <w:jc w:val="center"/>
    </w:pPr>
    <w:rPr>
      <w:rFonts w:ascii="Times New Roman" w:hAnsi="Times New Roman"/>
    </w:rPr>
  </w:style>
  <w:style w:type="paragraph" w:styleId="Textodenotaderodap">
    <w:name w:val="footnote text"/>
    <w:basedOn w:val="Normal"/>
    <w:link w:val="TextodenotaderodapChar"/>
    <w:uiPriority w:val="99"/>
    <w:semiHidden/>
    <w:unhideWhenUsed/>
    <w:rsid w:val="00652C43"/>
    <w:pPr>
      <w:spacing w:after="0" w:line="240" w:lineRule="auto"/>
    </w:pPr>
    <w:rPr>
      <w:sz w:val="20"/>
      <w:szCs w:val="20"/>
      <w:lang w:val="es-MX"/>
    </w:rPr>
  </w:style>
  <w:style w:type="character" w:customStyle="1" w:styleId="TextodenotaderodapChar">
    <w:name w:val="Texto de nota de rodapé Char"/>
    <w:basedOn w:val="Fontepargpadro"/>
    <w:link w:val="Textodenotaderodap"/>
    <w:uiPriority w:val="99"/>
    <w:semiHidden/>
    <w:rsid w:val="00652C43"/>
    <w:rPr>
      <w:rFonts w:ascii="Calibri" w:eastAsia="Calibri" w:hAnsi="Calibri" w:cs="Times New Roman"/>
      <w:sz w:val="20"/>
      <w:szCs w:val="20"/>
      <w:lang w:val="es-MX"/>
    </w:rPr>
  </w:style>
  <w:style w:type="character" w:styleId="Refdenotaderodap">
    <w:name w:val="footnote reference"/>
    <w:basedOn w:val="Fontepargpadro"/>
    <w:uiPriority w:val="99"/>
    <w:semiHidden/>
    <w:unhideWhenUsed/>
    <w:rsid w:val="00652C43"/>
    <w:rPr>
      <w:vertAlign w:val="superscript"/>
    </w:rPr>
  </w:style>
  <w:style w:type="character" w:styleId="Refdecomentrio">
    <w:name w:val="annotation reference"/>
    <w:basedOn w:val="Fontepargpadro"/>
    <w:uiPriority w:val="99"/>
    <w:semiHidden/>
    <w:unhideWhenUsed/>
    <w:rsid w:val="00C629B5"/>
    <w:rPr>
      <w:sz w:val="18"/>
      <w:szCs w:val="18"/>
    </w:rPr>
  </w:style>
  <w:style w:type="paragraph" w:styleId="Textodecomentrio">
    <w:name w:val="annotation text"/>
    <w:basedOn w:val="Normal"/>
    <w:link w:val="TextodecomentrioChar"/>
    <w:uiPriority w:val="99"/>
    <w:semiHidden/>
    <w:unhideWhenUsed/>
    <w:rsid w:val="00C629B5"/>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C629B5"/>
    <w:rPr>
      <w:rFonts w:ascii="Calibri" w:eastAsia="Calibri" w:hAnsi="Calibri" w:cs="Times New Roman"/>
      <w:sz w:val="24"/>
      <w:szCs w:val="24"/>
    </w:rPr>
  </w:style>
  <w:style w:type="paragraph" w:styleId="Assuntodocomentrio">
    <w:name w:val="annotation subject"/>
    <w:basedOn w:val="Textodecomentrio"/>
    <w:next w:val="Textodecomentrio"/>
    <w:link w:val="AssuntodocomentrioChar"/>
    <w:uiPriority w:val="99"/>
    <w:semiHidden/>
    <w:unhideWhenUsed/>
    <w:rsid w:val="00C629B5"/>
    <w:rPr>
      <w:b/>
      <w:bCs/>
      <w:sz w:val="20"/>
      <w:szCs w:val="20"/>
    </w:rPr>
  </w:style>
  <w:style w:type="character" w:customStyle="1" w:styleId="AssuntodocomentrioChar">
    <w:name w:val="Assunto do comentário Char"/>
    <w:basedOn w:val="TextodecomentrioChar"/>
    <w:link w:val="Assuntodocomentrio"/>
    <w:uiPriority w:val="99"/>
    <w:semiHidden/>
    <w:rsid w:val="00C629B5"/>
    <w:rPr>
      <w:rFonts w:ascii="Calibri" w:eastAsia="Calibri" w:hAnsi="Calibri" w:cs="Times New Roman"/>
      <w:b/>
      <w:bCs/>
      <w:sz w:val="20"/>
      <w:szCs w:val="20"/>
    </w:rPr>
  </w:style>
  <w:style w:type="character" w:customStyle="1" w:styleId="Ttulo1Char">
    <w:name w:val="Título 1 Char"/>
    <w:basedOn w:val="Fontepargpadro"/>
    <w:link w:val="Ttulo1"/>
    <w:uiPriority w:val="9"/>
    <w:rsid w:val="00C629B5"/>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7D730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notadefim">
    <w:name w:val="endnote text"/>
    <w:basedOn w:val="Normal"/>
    <w:link w:val="TextodenotadefimChar"/>
    <w:uiPriority w:val="99"/>
    <w:semiHidden/>
    <w:unhideWhenUsed/>
    <w:rsid w:val="00BF29B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F29BB"/>
    <w:rPr>
      <w:rFonts w:ascii="Calibri" w:eastAsia="Calibri" w:hAnsi="Calibri" w:cs="Times New Roman"/>
      <w:sz w:val="20"/>
      <w:szCs w:val="20"/>
    </w:rPr>
  </w:style>
  <w:style w:type="character" w:styleId="Refdenotadefim">
    <w:name w:val="endnote reference"/>
    <w:basedOn w:val="Fontepargpadro"/>
    <w:uiPriority w:val="99"/>
    <w:semiHidden/>
    <w:unhideWhenUsed/>
    <w:rsid w:val="00BF29BB"/>
    <w:rPr>
      <w:vertAlign w:val="superscript"/>
    </w:rPr>
  </w:style>
  <w:style w:type="paragraph" w:styleId="Reviso">
    <w:name w:val="Revision"/>
    <w:hidden/>
    <w:uiPriority w:val="99"/>
    <w:semiHidden/>
    <w:rsid w:val="00792F2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xt.anp.gov.br/NXT/gateway.dll?f=id$id=Lei%209.478%20-%201997" TargetMode="External"/><Relationship Id="rId18" Type="http://schemas.openxmlformats.org/officeDocument/2006/relationships/chart" Target="charts/chart2.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4.emf"/><Relationship Id="rId55"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4.xml"/><Relationship Id="rId29" Type="http://schemas.openxmlformats.org/officeDocument/2006/relationships/image" Target="media/image9.emf"/><Relationship Id="rId54"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3"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xt.anp.gov.br/NXT/gateway.dll?f=id$id=Lei%2011.097%20-%202005" TargetMode="External"/><Relationship Id="rId22" Type="http://schemas.openxmlformats.org/officeDocument/2006/relationships/header" Target="header2.xml"/><Relationship Id="rId27" Type="http://schemas.openxmlformats.org/officeDocument/2006/relationships/image" Target="media/image7.emf"/><Relationship Id="rId30" Type="http://schemas.openxmlformats.org/officeDocument/2006/relationships/fontTable" Target="fontTable.xml"/><Relationship Id="rId56" Type="http://schemas.openxmlformats.org/officeDocument/2006/relationships/customXml" Target="../customXml/item7.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jsalbuquerque\Configura&#231;&#245;es%20locais\Temp\notesC9812B\figur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jsalbuquerque\Configura&#231;&#245;es%20locais\Temp\notesC9812B\figur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jsalbuquerque\Configura&#231;&#245;es%20locais\Temp\notesC9812B\figur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jsalbuquerque\Configura&#231;&#245;es%20locais\Temp\notesC9812B\figur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0889274179257949"/>
          <c:y val="0.11028470925670379"/>
          <c:w val="0.65474800846087511"/>
          <c:h val="0.86062245312119789"/>
        </c:manualLayout>
      </c:layout>
      <c:pieChart>
        <c:varyColors val="1"/>
        <c:ser>
          <c:idx val="0"/>
          <c:order val="0"/>
          <c:dLbls>
            <c:dLbl>
              <c:idx val="9"/>
              <c:layout>
                <c:manualLayout>
                  <c:x val="-2.9226038455989842E-2"/>
                  <c:y val="2.0364207051438158E-2"/>
                </c:manualLayout>
              </c:layout>
              <c:showCatName val="1"/>
              <c:showPercent val="1"/>
            </c:dLbl>
            <c:numFmt formatCode="0.0%" sourceLinked="0"/>
            <c:txPr>
              <a:bodyPr/>
              <a:lstStyle/>
              <a:p>
                <a:pPr>
                  <a:defRPr sz="1000">
                    <a:latin typeface="Times New Roman" pitchFamily="18" charset="0"/>
                    <a:cs typeface="Times New Roman" pitchFamily="18" charset="0"/>
                  </a:defRPr>
                </a:pPr>
                <a:endParaRPr lang="pt-BR"/>
              </a:p>
            </c:txPr>
            <c:showCatName val="1"/>
            <c:showPercent val="1"/>
            <c:showLeaderLines val="1"/>
          </c:dLbls>
          <c:cat>
            <c:strRef>
              <c:f>Plan4!$J$5:$J$15</c:f>
              <c:strCache>
                <c:ptCount val="11"/>
                <c:pt idx="0">
                  <c:v>multiuso</c:v>
                </c:pt>
                <c:pt idx="1">
                  <c:v>SL</c:v>
                </c:pt>
                <c:pt idx="2">
                  <c:v>SJ</c:v>
                </c:pt>
                <c:pt idx="3">
                  <c:v>CF</c:v>
                </c:pt>
                <c:pt idx="4">
                  <c:v>CI-4</c:v>
                </c:pt>
                <c:pt idx="5">
                  <c:v>SF</c:v>
                </c:pt>
                <c:pt idx="6">
                  <c:v>CG-4</c:v>
                </c:pt>
                <c:pt idx="7">
                  <c:v>SM</c:v>
                </c:pt>
                <c:pt idx="8">
                  <c:v>SG</c:v>
                </c:pt>
                <c:pt idx="9">
                  <c:v>SN</c:v>
                </c:pt>
                <c:pt idx="10">
                  <c:v>Outros</c:v>
                </c:pt>
              </c:strCache>
            </c:strRef>
          </c:cat>
          <c:val>
            <c:numRef>
              <c:f>Plan4!$K$5:$K$15</c:f>
              <c:numCache>
                <c:formatCode>0.0%</c:formatCode>
                <c:ptCount val="11"/>
                <c:pt idx="0">
                  <c:v>0.3140275550621669</c:v>
                </c:pt>
                <c:pt idx="1">
                  <c:v>0.10941459138456755</c:v>
                </c:pt>
                <c:pt idx="2">
                  <c:v>0.10760148931061519</c:v>
                </c:pt>
                <c:pt idx="3">
                  <c:v>9.3864448635992914E-2</c:v>
                </c:pt>
                <c:pt idx="4">
                  <c:v>9.1482737647391427E-2</c:v>
                </c:pt>
                <c:pt idx="5">
                  <c:v>7.7748662577095493E-2</c:v>
                </c:pt>
                <c:pt idx="6">
                  <c:v>7.2369788842797586E-2</c:v>
                </c:pt>
                <c:pt idx="7">
                  <c:v>5.490678556548341E-2</c:v>
                </c:pt>
                <c:pt idx="8">
                  <c:v>3.2494613242261342E-2</c:v>
                </c:pt>
                <c:pt idx="9">
                  <c:v>1.9545536235615796E-2</c:v>
                </c:pt>
                <c:pt idx="10">
                  <c:v>2.6802868306831752E-2</c:v>
                </c:pt>
              </c:numCache>
            </c:numRef>
          </c:val>
        </c:ser>
        <c:dLbls>
          <c:showCatName val="1"/>
          <c:showPercent val="1"/>
        </c:dLbls>
        <c:firstSliceAng val="0"/>
      </c:pieChart>
      <c:spPr>
        <a:noFill/>
        <a:ln w="25400">
          <a:noFill/>
        </a:ln>
      </c:spPr>
    </c:plotArea>
    <c:plotVisOnly val="1"/>
    <c:dispBlanksAs val="zero"/>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14953984788365826"/>
          <c:y val="6.7261512618617791E-2"/>
          <c:w val="0.73552770356493224"/>
          <c:h val="0.87434233925935512"/>
        </c:manualLayout>
      </c:layout>
      <c:pieChart>
        <c:varyColors val="1"/>
        <c:ser>
          <c:idx val="0"/>
          <c:order val="0"/>
          <c:spPr>
            <a:ln>
              <a:noFill/>
            </a:ln>
          </c:spPr>
          <c:dLbls>
            <c:dLbl>
              <c:idx val="2"/>
              <c:layout>
                <c:manualLayout>
                  <c:x val="0.10734262203359762"/>
                  <c:y val="1.3344325549049981E-2"/>
                </c:manualLayout>
              </c:layout>
              <c:dLblPos val="bestFit"/>
              <c:showCatName val="1"/>
              <c:showPercent val="1"/>
            </c:dLbl>
            <c:dLbl>
              <c:idx val="3"/>
              <c:layout>
                <c:manualLayout>
                  <c:x val="8.0764020615274268E-2"/>
                  <c:y val="7.9645332794939086E-2"/>
                </c:manualLayout>
              </c:layout>
              <c:dLblPos val="bestFit"/>
              <c:showCatName val="1"/>
              <c:showPercent val="1"/>
            </c:dLbl>
            <c:dLbl>
              <c:idx val="4"/>
              <c:layout>
                <c:manualLayout>
                  <c:x val="2.8022944272347233E-2"/>
                  <c:y val="1.8067164681337969E-2"/>
                </c:manualLayout>
              </c:layout>
              <c:dLblPos val="bestFit"/>
              <c:showCatName val="1"/>
              <c:showPercent val="1"/>
            </c:dLbl>
            <c:dLbl>
              <c:idx val="5"/>
              <c:layout>
                <c:manualLayout>
                  <c:x val="4.5779372899011538E-2"/>
                  <c:y val="9.6659263745878313E-2"/>
                </c:manualLayout>
              </c:layout>
              <c:tx>
                <c:rich>
                  <a:bodyPr/>
                  <a:lstStyle/>
                  <a:p>
                    <a:r>
                      <a:rPr lang="pt-BR" sz="1000" b="0" i="0" u="none" strike="noStrike" baseline="0">
                        <a:solidFill>
                          <a:srgbClr val="000000"/>
                        </a:solidFill>
                        <a:latin typeface="Times New Roman" pitchFamily="18" charset="0"/>
                        <a:cs typeface="Times New Roman" pitchFamily="18" charset="0"/>
                      </a:rPr>
                      <a:t>R</a:t>
                    </a:r>
                    <a:r>
                      <a:rPr lang="pt-BR" sz="1000" b="0" i="0" u="none" strike="noStrike" baseline="0">
                        <a:solidFill>
                          <a:srgbClr val="000000"/>
                        </a:solidFill>
                        <a:latin typeface="Calibri"/>
                      </a:rPr>
                      <a:t>estante</a:t>
                    </a:r>
                  </a:p>
                  <a:p>
                    <a:r>
                      <a:rPr lang="pt-BR" sz="1000" b="0" i="0" u="none" strike="noStrike" baseline="0">
                        <a:solidFill>
                          <a:srgbClr val="000000"/>
                        </a:solidFill>
                        <a:latin typeface="Calibri"/>
                      </a:rPr>
                      <a:t>6%</a:t>
                    </a:r>
                  </a:p>
                </c:rich>
              </c:tx>
              <c:dLblPos val="bestFit"/>
            </c:dLbl>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pt-BR"/>
              </a:p>
            </c:txPr>
            <c:showCatName val="1"/>
            <c:showPercent val="1"/>
            <c:showLeaderLines val="1"/>
          </c:dLbls>
          <c:cat>
            <c:strRef>
              <c:f>(Plan3!$K$16:$K$20;Plan3!$O$21)</c:f>
              <c:strCache>
                <c:ptCount val="6"/>
                <c:pt idx="0">
                  <c:v>SL/CI-4</c:v>
                </c:pt>
                <c:pt idx="1">
                  <c:v>SL/CF</c:v>
                </c:pt>
                <c:pt idx="2">
                  <c:v>SJ/CH-4</c:v>
                </c:pt>
                <c:pt idx="3">
                  <c:v>SM/CF</c:v>
                </c:pt>
                <c:pt idx="4">
                  <c:v>SJ/CG-4</c:v>
                </c:pt>
                <c:pt idx="5">
                  <c:v>Restante Multiuso</c:v>
                </c:pt>
              </c:strCache>
            </c:strRef>
          </c:cat>
          <c:val>
            <c:numRef>
              <c:f>(Plan3!$M$16:$M$20;Plan3!$N$21)</c:f>
              <c:numCache>
                <c:formatCode>0.0%</c:formatCode>
                <c:ptCount val="6"/>
                <c:pt idx="0">
                  <c:v>0.55937373262600865</c:v>
                </c:pt>
                <c:pt idx="1">
                  <c:v>0.14620448345186071</c:v>
                </c:pt>
                <c:pt idx="2">
                  <c:v>0.12155383347092727</c:v>
                </c:pt>
                <c:pt idx="3">
                  <c:v>6.9476927419556384E-2</c:v>
                </c:pt>
                <c:pt idx="4">
                  <c:v>3.8116162365611196E-2</c:v>
                </c:pt>
                <c:pt idx="5">
                  <c:v>6.5274860666037396E-2</c:v>
                </c:pt>
              </c:numCache>
            </c:numRef>
          </c:val>
        </c:ser>
        <c:dLbls>
          <c:showCatName val="1"/>
          <c:showPercent val="1"/>
        </c:dLbls>
        <c:firstSliceAng val="0"/>
      </c:pieChart>
      <c:spPr>
        <a:noFill/>
        <a:ln w="25400">
          <a:noFill/>
        </a:ln>
      </c:spPr>
    </c:plotArea>
    <c:plotVisOnly val="1"/>
    <c:dispBlanksAs val="zero"/>
  </c:chart>
  <c:spPr>
    <a:ln>
      <a:solidFill>
        <a:schemeClr val="tx1"/>
      </a:solidFill>
    </a:ln>
  </c:spPr>
  <c:txPr>
    <a:bodyPr/>
    <a:lstStyle/>
    <a:p>
      <a:pPr>
        <a:defRPr sz="1000" b="0" i="0" u="none" strike="noStrike" baseline="0">
          <a:solidFill>
            <a:srgbClr val="000000"/>
          </a:solidFill>
          <a:latin typeface="Calibri"/>
          <a:ea typeface="Calibri"/>
          <a:cs typeface="Calibri"/>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22784074074074076"/>
          <c:y val="9.3541071133265707E-2"/>
          <c:w val="0.5879662035529023"/>
          <c:h val="0.86746334162354399"/>
        </c:manualLayout>
      </c:layout>
      <c:pieChart>
        <c:varyColors val="1"/>
        <c:ser>
          <c:idx val="0"/>
          <c:order val="0"/>
          <c:dLbls>
            <c:dLbl>
              <c:idx val="6"/>
              <c:layout>
                <c:manualLayout>
                  <c:x val="-2.8893619567912422E-3"/>
                  <c:y val="3.6237504886357436E-2"/>
                </c:manualLayout>
              </c:layout>
              <c:dLblPos val="bestFit"/>
              <c:showCatName val="1"/>
              <c:showPercent val="1"/>
            </c:dLbl>
            <c:dLbl>
              <c:idx val="7"/>
              <c:layout>
                <c:manualLayout>
                  <c:x val="-4.2311805555555554E-2"/>
                  <c:y val="-9.5383779441990113E-3"/>
                </c:manualLayout>
              </c:layout>
              <c:dLblPos val="bestFit"/>
              <c:showCatName val="1"/>
              <c:showPercent val="1"/>
            </c:dLbl>
            <c:dLbl>
              <c:idx val="8"/>
              <c:layout>
                <c:manualLayout>
                  <c:x val="1.271157407407408E-2"/>
                  <c:y val="0"/>
                </c:manualLayout>
              </c:layout>
              <c:showCatName val="1"/>
              <c:showPercent val="1"/>
            </c:dLbl>
            <c:dLbl>
              <c:idx val="9"/>
              <c:layout>
                <c:manualLayout>
                  <c:x val="0.19239398148148168"/>
                  <c:y val="2.7397431603698205E-3"/>
                </c:manualLayout>
              </c:layout>
              <c:dLblPos val="bestFit"/>
              <c:showCatName val="1"/>
              <c:showPercent val="1"/>
            </c:dLbl>
            <c:numFmt formatCode="0.0%" sourceLinked="0"/>
            <c:txPr>
              <a:bodyPr/>
              <a:lstStyle/>
              <a:p>
                <a:pPr>
                  <a:defRPr>
                    <a:latin typeface="Times New Roman" pitchFamily="18" charset="0"/>
                    <a:cs typeface="Times New Roman" pitchFamily="18" charset="0"/>
                  </a:defRPr>
                </a:pPr>
                <a:endParaRPr lang="pt-BR"/>
              </a:p>
            </c:txPr>
            <c:showCatName val="1"/>
            <c:showPercent val="1"/>
            <c:showLeaderLines val="1"/>
          </c:dLbls>
          <c:cat>
            <c:strRef>
              <c:f>Plan3!$I$72:$I$81</c:f>
              <c:strCache>
                <c:ptCount val="10"/>
                <c:pt idx="0">
                  <c:v>SL multiuso</c:v>
                </c:pt>
                <c:pt idx="1">
                  <c:v>SL</c:v>
                </c:pt>
                <c:pt idx="2">
                  <c:v>SJ</c:v>
                </c:pt>
                <c:pt idx="3">
                  <c:v>SF</c:v>
                </c:pt>
                <c:pt idx="4">
                  <c:v>SJ multiuso</c:v>
                </c:pt>
                <c:pt idx="5">
                  <c:v>SM</c:v>
                </c:pt>
                <c:pt idx="6">
                  <c:v>SG</c:v>
                </c:pt>
                <c:pt idx="7">
                  <c:v>SM multiuso</c:v>
                </c:pt>
                <c:pt idx="8">
                  <c:v>SN</c:v>
                </c:pt>
                <c:pt idx="9">
                  <c:v>Outros</c:v>
                </c:pt>
              </c:strCache>
            </c:strRef>
          </c:cat>
          <c:val>
            <c:numRef>
              <c:f>Plan3!$J$72:$J$81</c:f>
              <c:numCache>
                <c:formatCode>0.0%</c:formatCode>
                <c:ptCount val="10"/>
                <c:pt idx="0">
                  <c:v>0.30675464571341532</c:v>
                </c:pt>
                <c:pt idx="1">
                  <c:v>0.1501341184749157</c:v>
                </c:pt>
                <c:pt idx="2">
                  <c:v>0.1476462557672712</c:v>
                </c:pt>
                <c:pt idx="3">
                  <c:v>0.10668345758006717</c:v>
                </c:pt>
                <c:pt idx="4">
                  <c:v>7.8992312661888123E-2</c:v>
                </c:pt>
                <c:pt idx="5">
                  <c:v>7.534079088401896E-2</c:v>
                </c:pt>
                <c:pt idx="6">
                  <c:v>4.4587746959299367E-2</c:v>
                </c:pt>
                <c:pt idx="7">
                  <c:v>3.0114371674355576E-2</c:v>
                </c:pt>
                <c:pt idx="8">
                  <c:v>2.6819565980370615E-2</c:v>
                </c:pt>
                <c:pt idx="9">
                  <c:v>3.2926734304398811E-2</c:v>
                </c:pt>
              </c:numCache>
            </c:numRef>
          </c:val>
        </c:ser>
        <c:dLbls>
          <c:showCatName val="1"/>
          <c:showPercent val="1"/>
        </c:dLbls>
        <c:firstSliceAng val="0"/>
      </c:pieChart>
      <c:spPr>
        <a:noFill/>
        <a:ln w="25400">
          <a:noFill/>
        </a:ln>
      </c:spPr>
    </c:plotArea>
    <c:plotVisOnly val="1"/>
    <c:dispBlanksAs val="zero"/>
  </c:chart>
  <c:spPr>
    <a:ln>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1160789341260591"/>
          <c:y val="0.12947110697955466"/>
          <c:w val="0.59591145689411962"/>
          <c:h val="0.81453023884088482"/>
        </c:manualLayout>
      </c:layout>
      <c:pieChart>
        <c:varyColors val="1"/>
        <c:ser>
          <c:idx val="0"/>
          <c:order val="0"/>
          <c:dLbls>
            <c:numFmt formatCode="0.0%" sourceLinked="0"/>
            <c:txPr>
              <a:bodyPr/>
              <a:lstStyle/>
              <a:p>
                <a:pPr>
                  <a:defRPr>
                    <a:latin typeface="Times New Roman" pitchFamily="18" charset="0"/>
                    <a:cs typeface="Times New Roman" pitchFamily="18" charset="0"/>
                  </a:defRPr>
                </a:pPr>
                <a:endParaRPr lang="pt-BR"/>
              </a:p>
            </c:txPr>
            <c:showCatName val="1"/>
            <c:showPercent val="1"/>
            <c:showLeaderLines val="1"/>
          </c:dLbls>
          <c:cat>
            <c:strRef>
              <c:f>Plan3!$I$93:$I$100</c:f>
              <c:strCache>
                <c:ptCount val="8"/>
                <c:pt idx="0">
                  <c:v>CI-4 multiuso</c:v>
                </c:pt>
                <c:pt idx="1">
                  <c:v>CF</c:v>
                </c:pt>
                <c:pt idx="2">
                  <c:v>CI-4</c:v>
                </c:pt>
                <c:pt idx="3">
                  <c:v>CF multiuso</c:v>
                </c:pt>
                <c:pt idx="4">
                  <c:v>CG-4</c:v>
                </c:pt>
                <c:pt idx="5">
                  <c:v>CH-4 multiuso</c:v>
                </c:pt>
                <c:pt idx="6">
                  <c:v>CG-4 multiuso</c:v>
                </c:pt>
                <c:pt idx="7">
                  <c:v>Outros</c:v>
                </c:pt>
              </c:strCache>
            </c:strRef>
          </c:cat>
          <c:val>
            <c:numRef>
              <c:f>Plan3!$J$93:$J$100</c:f>
              <c:numCache>
                <c:formatCode>0.0%</c:formatCode>
                <c:ptCount val="8"/>
                <c:pt idx="0">
                  <c:v>0.30051088851310381</c:v>
                </c:pt>
                <c:pt idx="1">
                  <c:v>0.16041511029685634</c:v>
                </c:pt>
                <c:pt idx="2">
                  <c:v>0.15634474674086057</c:v>
                </c:pt>
                <c:pt idx="3">
                  <c:v>0.14673647003088094</c:v>
                </c:pt>
                <c:pt idx="4">
                  <c:v>0.12368056093738122</c:v>
                </c:pt>
                <c:pt idx="5">
                  <c:v>6.5236314934450132E-2</c:v>
                </c:pt>
                <c:pt idx="6">
                  <c:v>2.0456016577701016E-2</c:v>
                </c:pt>
                <c:pt idx="7">
                  <c:v>2.6619891968766692E-2</c:v>
                </c:pt>
              </c:numCache>
            </c:numRef>
          </c:val>
        </c:ser>
        <c:dLbls>
          <c:showCatName val="1"/>
          <c:showPercent val="1"/>
        </c:dLbls>
        <c:firstSliceAng val="0"/>
      </c:pieChart>
      <c:spPr>
        <a:noFill/>
        <a:ln w="25400">
          <a:noFill/>
        </a:ln>
      </c:spPr>
    </c:plotArea>
    <c:plotVisOnly val="1"/>
    <c:dispBlanksAs val="zero"/>
  </c:chart>
  <c:spPr>
    <a:ln>
      <a:solidFill>
        <a:schemeClr val="tx1"/>
      </a:solid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F54555C1CA216843897EC6AFC4746615" ma:contentTypeVersion="2" ma:contentTypeDescription="Crie um novo documento." ma:contentTypeScope="" ma:versionID="d27c6416dae1f25892b92255a63a6134">
  <xsd:schema xmlns:xsd="http://www.w3.org/2001/XMLSchema" xmlns:xs="http://www.w3.org/2001/XMLSchema" xmlns:p="http://schemas.microsoft.com/office/2006/metadata/properties" xmlns:ns2="bf652690-9d57-4c03-aa54-01d7f2bf521b" targetNamespace="http://schemas.microsoft.com/office/2006/metadata/properties" ma:root="true" ma:fieldsID="ea155aefbcb61d3e665fc5b0346a0c47" ns2:_="">
    <xsd:import namespace="bf652690-9d57-4c03-aa54-01d7f2bf52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52690-9d57-4c03-aa54-01d7f2bf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08A92-E95E-4FCC-A914-0E0FC6DC64D6}">
  <ds:schemaRefs>
    <ds:schemaRef ds:uri="http://schemas.openxmlformats.org/officeDocument/2006/bibliography"/>
  </ds:schemaRefs>
</ds:datastoreItem>
</file>

<file path=customXml/itemProps2.xml><?xml version="1.0" encoding="utf-8"?>
<ds:datastoreItem xmlns:ds="http://schemas.openxmlformats.org/officeDocument/2006/customXml" ds:itemID="{F11DB295-0BE3-4AEC-8925-848269B07F1A}">
  <ds:schemaRefs>
    <ds:schemaRef ds:uri="http://schemas.openxmlformats.org/officeDocument/2006/bibliography"/>
  </ds:schemaRefs>
</ds:datastoreItem>
</file>

<file path=customXml/itemProps3.xml><?xml version="1.0" encoding="utf-8"?>
<ds:datastoreItem xmlns:ds="http://schemas.openxmlformats.org/officeDocument/2006/customXml" ds:itemID="{6594AE0A-6F66-4225-8B39-F75F38DF6884}">
  <ds:schemaRefs>
    <ds:schemaRef ds:uri="http://schemas.openxmlformats.org/officeDocument/2006/bibliography"/>
  </ds:schemaRefs>
</ds:datastoreItem>
</file>

<file path=customXml/itemProps4.xml><?xml version="1.0" encoding="utf-8"?>
<ds:datastoreItem xmlns:ds="http://schemas.openxmlformats.org/officeDocument/2006/customXml" ds:itemID="{24B463BF-F1EA-4174-B582-E6BCC68CB0C6}">
  <ds:schemaRefs>
    <ds:schemaRef ds:uri="http://schemas.openxmlformats.org/officeDocument/2006/bibliography"/>
  </ds:schemaRefs>
</ds:datastoreItem>
</file>

<file path=customXml/itemProps5.xml><?xml version="1.0" encoding="utf-8"?>
<ds:datastoreItem xmlns:ds="http://schemas.openxmlformats.org/officeDocument/2006/customXml" ds:itemID="{B83EDE49-A225-4537-BC0E-D46442E0CDD6}"/>
</file>

<file path=customXml/itemProps6.xml><?xml version="1.0" encoding="utf-8"?>
<ds:datastoreItem xmlns:ds="http://schemas.openxmlformats.org/officeDocument/2006/customXml" ds:itemID="{8E083C58-F2C9-4A3C-B0FF-89A3EEAC9368}"/>
</file>

<file path=customXml/itemProps7.xml><?xml version="1.0" encoding="utf-8"?>
<ds:datastoreItem xmlns:ds="http://schemas.openxmlformats.org/officeDocument/2006/customXml" ds:itemID="{CA839AB2-8429-4481-9A32-968B3A3AAA06}"/>
</file>

<file path=docProps/app.xml><?xml version="1.0" encoding="utf-8"?>
<Properties xmlns="http://schemas.openxmlformats.org/officeDocument/2006/extended-properties" xmlns:vt="http://schemas.openxmlformats.org/officeDocument/2006/docPropsVTypes">
  <Template>Normal</Template>
  <TotalTime>238</TotalTime>
  <Pages>35</Pages>
  <Words>8564</Words>
  <Characters>46251</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gjacintho</cp:lastModifiedBy>
  <cp:revision>6</cp:revision>
  <cp:lastPrinted>2013-12-05T15:43:00Z</cp:lastPrinted>
  <dcterms:created xsi:type="dcterms:W3CDTF">2013-12-05T12:08:00Z</dcterms:created>
  <dcterms:modified xsi:type="dcterms:W3CDTF">2013-12-05T15:56:00Z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0x010100F54555C1CA216843897EC6AFC4746615</vt:lpwstr>
  </property>
</Properties>
</file>