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8279" w14:textId="77777777" w:rsidR="006637B3" w:rsidRDefault="006637B3" w:rsidP="006637B3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C326F"/>
        </w:rPr>
      </w:pPr>
      <w:r>
        <w:rPr>
          <w:rFonts w:ascii="Helvetica" w:hAnsi="Helvetica" w:cs="Helvetica"/>
          <w:color w:val="0C326F"/>
        </w:rPr>
        <w:t>Bruce Marcus Leite de Souza</w:t>
      </w:r>
    </w:p>
    <w:p w14:paraId="0B6EA926" w14:textId="77777777" w:rsidR="00F639D4" w:rsidRDefault="00F639D4">
      <w:pPr>
        <w:rPr>
          <w:rFonts w:ascii="Helvetica" w:hAnsi="Helvetica" w:cs="Helvetica"/>
          <w:color w:val="555555"/>
          <w:shd w:val="clear" w:color="auto" w:fill="FFFFFF"/>
        </w:rPr>
      </w:pPr>
    </w:p>
    <w:p w14:paraId="65819562" w14:textId="75B10757" w:rsidR="009B719F" w:rsidRDefault="006637B3" w:rsidP="006637B3">
      <w:r>
        <w:rPr>
          <w:rFonts w:ascii="Helvetica" w:hAnsi="Helvetica" w:cs="Helvetica"/>
          <w:color w:val="555555"/>
          <w:shd w:val="clear" w:color="auto" w:fill="FFFFFF"/>
        </w:rPr>
        <w:t xml:space="preserve">Engenheiro Aeronáutico formado pelo Instituto Tecnológico de Aeronáutica - ITA, possui especialização em Logística Aeronáutica pelo Instituto de Logística da Aeronáutica.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Ex-oficial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da Força Aérea Brasileira do quadro de engenheiros, hoje é Especialista em Regulação de Aviação Civil desde 2017 e, atualmente, ocupa o cargo de Gerente Técnico de Vigilância de Aeronavegabilidade Continuada (GTVA/GCAC) na Superintendência de Padrões Operacionais da ANAC.</w:t>
      </w:r>
    </w:p>
    <w:sectPr w:rsidR="009B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4"/>
    <w:rsid w:val="006637B3"/>
    <w:rsid w:val="009B719F"/>
    <w:rsid w:val="00F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F3C8"/>
  <w15:chartTrackingRefBased/>
  <w15:docId w15:val="{005A25CF-C068-46F3-85EC-06F83F7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39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409</Characters>
  <Application>Microsoft Office Word</Application>
  <DocSecurity>0</DocSecurity>
  <Lines>3</Lines>
  <Paragraphs>1</Paragraphs>
  <ScaleCrop>false</ScaleCrop>
  <Company>ANAC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2</cp:revision>
  <dcterms:created xsi:type="dcterms:W3CDTF">2023-04-18T13:55:00Z</dcterms:created>
  <dcterms:modified xsi:type="dcterms:W3CDTF">2023-04-18T13:55:00Z</dcterms:modified>
</cp:coreProperties>
</file>