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25E1" w14:textId="76358330" w:rsidR="00AC07D1" w:rsidRPr="00076DC5" w:rsidRDefault="00AC07D1" w:rsidP="00AC07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6DC5">
        <w:rPr>
          <w:rFonts w:ascii="Times New Roman" w:hAnsi="Times New Roman" w:cs="Times New Roman"/>
          <w:b/>
          <w:bCs/>
          <w:sz w:val="24"/>
          <w:szCs w:val="24"/>
        </w:rPr>
        <w:t xml:space="preserve">Ricardo </w:t>
      </w:r>
      <w:proofErr w:type="spellStart"/>
      <w:r w:rsidRPr="00076DC5">
        <w:rPr>
          <w:rFonts w:ascii="Times New Roman" w:hAnsi="Times New Roman" w:cs="Times New Roman"/>
          <w:b/>
          <w:bCs/>
          <w:sz w:val="24"/>
          <w:szCs w:val="24"/>
        </w:rPr>
        <w:t>Bisinotto</w:t>
      </w:r>
      <w:proofErr w:type="spellEnd"/>
      <w:r w:rsidRPr="00076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DC5">
        <w:rPr>
          <w:rFonts w:ascii="Times New Roman" w:hAnsi="Times New Roman" w:cs="Times New Roman"/>
          <w:b/>
          <w:bCs/>
          <w:sz w:val="24"/>
          <w:szCs w:val="24"/>
        </w:rPr>
        <w:t>Catanant</w:t>
      </w:r>
      <w:proofErr w:type="spellEnd"/>
    </w:p>
    <w:p w14:paraId="201CA091" w14:textId="77777777" w:rsidR="00076DC5" w:rsidRPr="00076DC5" w:rsidRDefault="00076DC5" w:rsidP="00076DC5">
      <w:pPr>
        <w:jc w:val="both"/>
        <w:rPr>
          <w:rFonts w:ascii="Times New Roman" w:hAnsi="Times New Roman" w:cs="Times New Roman"/>
          <w:sz w:val="24"/>
          <w:szCs w:val="24"/>
        </w:rPr>
      </w:pPr>
      <w:r w:rsidRPr="00076DC5">
        <w:rPr>
          <w:rFonts w:ascii="Times New Roman" w:hAnsi="Times New Roman" w:cs="Times New Roman"/>
          <w:sz w:val="24"/>
          <w:szCs w:val="24"/>
        </w:rPr>
        <w:t>Foi nomeado Diretor da ANAC em 28 de outubro de 2020, com mandato até 19 de março de 2025.</w:t>
      </w:r>
    </w:p>
    <w:p w14:paraId="18E986BB" w14:textId="006134CC" w:rsidR="00AC07D1" w:rsidRPr="00076DC5" w:rsidRDefault="00AC07D1" w:rsidP="00AC07D1">
      <w:pPr>
        <w:jc w:val="both"/>
        <w:rPr>
          <w:rFonts w:ascii="Times New Roman" w:hAnsi="Times New Roman" w:cs="Times New Roman"/>
          <w:sz w:val="24"/>
          <w:szCs w:val="24"/>
        </w:rPr>
      </w:pPr>
      <w:r w:rsidRPr="00076DC5">
        <w:rPr>
          <w:rFonts w:ascii="Times New Roman" w:hAnsi="Times New Roman" w:cs="Times New Roman"/>
          <w:sz w:val="24"/>
          <w:szCs w:val="24"/>
        </w:rPr>
        <w:t>Especialista em Regulação da Aviação Civil</w:t>
      </w:r>
      <w:r w:rsidR="00076DC5">
        <w:rPr>
          <w:rFonts w:ascii="Times New Roman" w:hAnsi="Times New Roman" w:cs="Times New Roman"/>
          <w:sz w:val="24"/>
          <w:szCs w:val="24"/>
        </w:rPr>
        <w:t>, n</w:t>
      </w:r>
      <w:r w:rsidRPr="00076DC5">
        <w:rPr>
          <w:rFonts w:ascii="Times New Roman" w:hAnsi="Times New Roman" w:cs="Times New Roman"/>
          <w:sz w:val="24"/>
          <w:szCs w:val="24"/>
        </w:rPr>
        <w:t>a ANAC, atuou como Superintendente de Acompanhamento de Serviços Aéreos (SAS), como Superintendente de Regulação Econômica e Acompanhamento de Mercado, como Gerente de Normas e Projetos e como Gerente-Geral de Outorgas de Serviços Aéreos, além de Diretor Substituto.  Também atuou como Assessor de Ministro do Superior Tribunal de Justiça (STJ) e como Assessor Jurídico da Infraero. Atuou como advogado contencioso na área de seguros e energia elétrica.</w:t>
      </w:r>
    </w:p>
    <w:p w14:paraId="103E98DE" w14:textId="77777777" w:rsidR="00D53465" w:rsidRPr="00076DC5" w:rsidRDefault="00D53465" w:rsidP="00D53465">
      <w:pPr>
        <w:rPr>
          <w:rFonts w:ascii="Times New Roman" w:hAnsi="Times New Roman" w:cs="Times New Roman"/>
          <w:sz w:val="24"/>
          <w:szCs w:val="24"/>
        </w:rPr>
      </w:pPr>
    </w:p>
    <w:sectPr w:rsidR="00D53465" w:rsidRPr="00076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65"/>
    <w:rsid w:val="00076DC5"/>
    <w:rsid w:val="003805FD"/>
    <w:rsid w:val="00AC07D1"/>
    <w:rsid w:val="00D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6034"/>
  <w15:chartTrackingRefBased/>
  <w15:docId w15:val="{A83C205F-8BF7-4047-8E15-10204D10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07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11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659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7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9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38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2</cp:revision>
  <dcterms:created xsi:type="dcterms:W3CDTF">2022-10-11T20:52:00Z</dcterms:created>
  <dcterms:modified xsi:type="dcterms:W3CDTF">2022-10-11T20:52:00Z</dcterms:modified>
</cp:coreProperties>
</file>