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5124" w14:textId="77777777" w:rsidR="00CD6E54" w:rsidRPr="00B10454" w:rsidRDefault="00CD6E54" w:rsidP="00CD6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454">
        <w:rPr>
          <w:rFonts w:ascii="Times New Roman" w:hAnsi="Times New Roman" w:cs="Times New Roman"/>
          <w:b/>
          <w:bCs/>
          <w:sz w:val="24"/>
          <w:szCs w:val="24"/>
        </w:rPr>
        <w:t xml:space="preserve">Luiz Ricardo de Souza Nascimento </w:t>
      </w:r>
    </w:p>
    <w:p w14:paraId="69F72337" w14:textId="77777777" w:rsidR="00CD6E54" w:rsidRPr="00B10454" w:rsidRDefault="00CD6E54" w:rsidP="00CD6E54">
      <w:pPr>
        <w:jc w:val="both"/>
        <w:rPr>
          <w:rFonts w:ascii="Times New Roman" w:hAnsi="Times New Roman" w:cs="Times New Roman"/>
          <w:sz w:val="24"/>
          <w:szCs w:val="24"/>
        </w:rPr>
      </w:pPr>
      <w:r w:rsidRPr="00B10454">
        <w:rPr>
          <w:rFonts w:ascii="Times New Roman" w:hAnsi="Times New Roman" w:cs="Times New Roman"/>
          <w:sz w:val="24"/>
          <w:szCs w:val="24"/>
        </w:rPr>
        <w:t xml:space="preserve">Graduado pela Academia da Força Aérea (FAB), com experiência de mais de 35 anos como piloto militar, possui formação acadêmica na área de Desenvolvimento Gerencial – pela Pontifícia Universidade Católica do Rio de Janeiro; MBA Desenvolvimento Avançado de Executivos (Gestão de Processos) – pela Universidade Federal Fluminense; Curso de Sistema de Gerenciamento da Segurança Operacional – promovido pela </w:t>
      </w:r>
      <w:proofErr w:type="spellStart"/>
      <w:r w:rsidRPr="00B1045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10454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10454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B10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5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10454">
        <w:rPr>
          <w:rFonts w:ascii="Times New Roman" w:hAnsi="Times New Roman" w:cs="Times New Roman"/>
          <w:sz w:val="24"/>
          <w:szCs w:val="24"/>
        </w:rPr>
        <w:t xml:space="preserve"> (ICAO) em Montreal; MBA em Política e Estratégia – pelo Centro Universitário de Lins.</w:t>
      </w:r>
    </w:p>
    <w:p w14:paraId="490EDC4E" w14:textId="77777777" w:rsidR="00CD6E54" w:rsidRPr="00B10454" w:rsidRDefault="00CD6E54" w:rsidP="00CD6E54">
      <w:pPr>
        <w:jc w:val="both"/>
        <w:rPr>
          <w:rFonts w:ascii="Times New Roman" w:hAnsi="Times New Roman" w:cs="Times New Roman"/>
          <w:sz w:val="24"/>
          <w:szCs w:val="24"/>
        </w:rPr>
      </w:pPr>
      <w:r w:rsidRPr="00B10454">
        <w:rPr>
          <w:rFonts w:ascii="Times New Roman" w:hAnsi="Times New Roman" w:cs="Times New Roman"/>
          <w:sz w:val="24"/>
          <w:szCs w:val="24"/>
        </w:rPr>
        <w:t>Experiências profissionais:  Chefe da Seção de Investigação e Prevenção de Acidentes do Controle do Espaço Aéreo do CINDACTA II; Chefe da Divisão de Comunicações, Navegação e Vigilância (D-CNS) do DECEA; Chefe de Assessoria de Segurança do Controle do Espaço Aéreo (ASEGCEA); Comandante do CINDACTA II; Diretor de Economia e Finanças da Aeronáutica (DIREF); chefe da Subchefia de Planejamento Estratégico do Estado-Maior da Aeronáutica.</w:t>
      </w:r>
    </w:p>
    <w:p w14:paraId="5A2688AE" w14:textId="77777777" w:rsidR="00CD6E54" w:rsidRPr="00B10454" w:rsidRDefault="00CD6E54" w:rsidP="00CD6E54">
      <w:pPr>
        <w:jc w:val="both"/>
        <w:rPr>
          <w:rFonts w:ascii="Times New Roman" w:hAnsi="Times New Roman" w:cs="Times New Roman"/>
          <w:sz w:val="24"/>
          <w:szCs w:val="24"/>
        </w:rPr>
      </w:pPr>
      <w:r w:rsidRPr="00B10454">
        <w:rPr>
          <w:rFonts w:ascii="Times New Roman" w:hAnsi="Times New Roman" w:cs="Times New Roman"/>
          <w:sz w:val="24"/>
          <w:szCs w:val="24"/>
        </w:rPr>
        <w:t>Possui mandato como diretor da ANAC até 19 de março de 2026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3931BF"/>
    <w:rsid w:val="00A159D6"/>
    <w:rsid w:val="00B10454"/>
    <w:rsid w:val="00C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2022-10-10T18:35:00Z</dcterms:created>
  <dcterms:modified xsi:type="dcterms:W3CDTF">2022-10-11T21:14:00Z</dcterms:modified>
</cp:coreProperties>
</file>