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D00" w:rsidRDefault="002C6D00"/>
    <w:p w:rsidR="002C6D00" w:rsidRPr="002C6D00" w:rsidRDefault="002C6D00">
      <w:pPr>
        <w:rPr>
          <w:b/>
          <w:smallCaps/>
        </w:rPr>
      </w:pPr>
      <w:r w:rsidRPr="002C6D00">
        <w:rPr>
          <w:b/>
          <w:smallCaps/>
        </w:rPr>
        <w:t xml:space="preserve">I - A Disposição </w:t>
      </w:r>
      <w:proofErr w:type="spellStart"/>
      <w:r w:rsidRPr="002C6D00">
        <w:rPr>
          <w:b/>
          <w:smallCaps/>
        </w:rPr>
        <w:t>editalícia</w:t>
      </w:r>
      <w:proofErr w:type="spellEnd"/>
      <w:r w:rsidRPr="002C6D00">
        <w:rPr>
          <w:b/>
          <w:smallCaps/>
        </w:rPr>
        <w:t xml:space="preserve"> formulada </w:t>
      </w:r>
    </w:p>
    <w:p w:rsidR="002C6D00" w:rsidRDefault="002C6D00"/>
    <w:p w:rsidR="002C6D00" w:rsidRDefault="002C6D00" w:rsidP="002C6D00">
      <w:pPr>
        <w:spacing w:line="312" w:lineRule="auto"/>
      </w:pPr>
    </w:p>
    <w:p w:rsidR="002C6D00" w:rsidRPr="002C6D00" w:rsidRDefault="002C6D00" w:rsidP="002C6D00">
      <w:pPr>
        <w:spacing w:line="312" w:lineRule="auto"/>
        <w:rPr>
          <w:b/>
          <w:i/>
          <w:u w:val="single"/>
        </w:rPr>
      </w:pPr>
      <w:r>
        <w:t xml:space="preserve">A questão ora formulada envolve o </w:t>
      </w:r>
      <w:r w:rsidRPr="002C6D00">
        <w:rPr>
          <w:b/>
          <w:i/>
          <w:u w:val="single"/>
        </w:rPr>
        <w:t>alcance subjetivo</w:t>
      </w:r>
      <w:r>
        <w:t xml:space="preserve"> da seguinte disposição da Minuta de Edital disponibilizada pela ANAC:</w:t>
      </w:r>
    </w:p>
    <w:p w:rsidR="002C6D00" w:rsidRDefault="002C6D00" w:rsidP="002C6D00">
      <w:pPr>
        <w:spacing w:line="312" w:lineRule="auto"/>
      </w:pPr>
    </w:p>
    <w:p w:rsidR="002C6D00" w:rsidRPr="002C6D00" w:rsidRDefault="002C6D00" w:rsidP="002C6D00">
      <w:pPr>
        <w:spacing w:line="312" w:lineRule="auto"/>
        <w:ind w:left="720"/>
        <w:jc w:val="both"/>
        <w:rPr>
          <w:i/>
        </w:rPr>
      </w:pPr>
      <w:proofErr w:type="spellStart"/>
      <w:r w:rsidRPr="002C6D00">
        <w:rPr>
          <w:i/>
        </w:rPr>
        <w:t>Seção</w:t>
      </w:r>
      <w:proofErr w:type="spellEnd"/>
      <w:r w:rsidRPr="002C6D00">
        <w:rPr>
          <w:i/>
        </w:rPr>
        <w:t xml:space="preserve"> III - Das </w:t>
      </w:r>
      <w:proofErr w:type="spellStart"/>
      <w:r w:rsidRPr="002C6D00">
        <w:rPr>
          <w:i/>
        </w:rPr>
        <w:t>Limitaçõ</w:t>
      </w:r>
      <w:proofErr w:type="gramStart"/>
      <w:r w:rsidRPr="002C6D00">
        <w:rPr>
          <w:i/>
        </w:rPr>
        <w:t>es</w:t>
      </w:r>
      <w:proofErr w:type="spellEnd"/>
      <w:proofErr w:type="gramEnd"/>
      <w:r w:rsidRPr="002C6D00">
        <w:rPr>
          <w:i/>
        </w:rPr>
        <w:t xml:space="preserve"> à </w:t>
      </w:r>
      <w:proofErr w:type="spellStart"/>
      <w:r w:rsidRPr="002C6D00">
        <w:rPr>
          <w:i/>
        </w:rPr>
        <w:t>Participação</w:t>
      </w:r>
      <w:proofErr w:type="spellEnd"/>
      <w:r>
        <w:rPr>
          <w:i/>
        </w:rPr>
        <w:t xml:space="preserve"> (...)</w:t>
      </w:r>
    </w:p>
    <w:p w:rsidR="002C6D00" w:rsidRPr="002C6D00" w:rsidRDefault="002C6D00" w:rsidP="002C6D00">
      <w:pPr>
        <w:spacing w:line="312" w:lineRule="auto"/>
        <w:ind w:left="720"/>
        <w:jc w:val="both"/>
        <w:rPr>
          <w:i/>
        </w:rPr>
      </w:pPr>
      <w:r w:rsidRPr="002C6D00">
        <w:rPr>
          <w:i/>
        </w:rPr>
        <w:t>3.15.</w:t>
      </w:r>
      <w:r w:rsidRPr="002C6D00">
        <w:rPr>
          <w:i/>
        </w:rPr>
        <w:tab/>
      </w:r>
      <w:proofErr w:type="spellStart"/>
      <w:r w:rsidRPr="002C6D00">
        <w:rPr>
          <w:i/>
        </w:rPr>
        <w:t>Não</w:t>
      </w:r>
      <w:proofErr w:type="spellEnd"/>
      <w:r w:rsidRPr="002C6D00">
        <w:rPr>
          <w:i/>
        </w:rPr>
        <w:t xml:space="preserve"> </w:t>
      </w:r>
      <w:proofErr w:type="spellStart"/>
      <w:r w:rsidRPr="002C6D00">
        <w:rPr>
          <w:i/>
        </w:rPr>
        <w:t>poderão</w:t>
      </w:r>
      <w:proofErr w:type="spellEnd"/>
      <w:r w:rsidRPr="002C6D00">
        <w:rPr>
          <w:i/>
        </w:rPr>
        <w:t xml:space="preserve"> participar deste </w:t>
      </w:r>
      <w:proofErr w:type="spellStart"/>
      <w:r w:rsidRPr="002C6D00">
        <w:rPr>
          <w:i/>
        </w:rPr>
        <w:t>Leilão</w:t>
      </w:r>
      <w:proofErr w:type="spellEnd"/>
      <w:r w:rsidRPr="002C6D00">
        <w:rPr>
          <w:i/>
        </w:rPr>
        <w:t xml:space="preserve"> pessoas </w:t>
      </w:r>
      <w:proofErr w:type="spellStart"/>
      <w:r w:rsidRPr="002C6D00">
        <w:rPr>
          <w:i/>
        </w:rPr>
        <w:t>jurídicas</w:t>
      </w:r>
      <w:proofErr w:type="spellEnd"/>
      <w:r w:rsidRPr="002C6D00">
        <w:rPr>
          <w:i/>
        </w:rPr>
        <w:t xml:space="preserve">, isoladamente ou em </w:t>
      </w:r>
      <w:proofErr w:type="spellStart"/>
      <w:r w:rsidRPr="002C6D00">
        <w:rPr>
          <w:i/>
        </w:rPr>
        <w:t>Consórcio</w:t>
      </w:r>
      <w:proofErr w:type="spellEnd"/>
      <w:r w:rsidRPr="002C6D00">
        <w:rPr>
          <w:i/>
        </w:rPr>
        <w:t>, que:</w:t>
      </w:r>
    </w:p>
    <w:p w:rsidR="002C6D00" w:rsidRPr="002C6D00" w:rsidRDefault="002C6D00" w:rsidP="002C6D00">
      <w:pPr>
        <w:spacing w:line="312" w:lineRule="auto"/>
        <w:ind w:left="720"/>
        <w:jc w:val="both"/>
        <w:rPr>
          <w:b/>
          <w:i/>
        </w:rPr>
      </w:pPr>
      <w:r w:rsidRPr="002C6D00">
        <w:rPr>
          <w:b/>
          <w:i/>
        </w:rPr>
        <w:t xml:space="preserve">3.15.5. Sejam acionistas das </w:t>
      </w:r>
      <w:proofErr w:type="spellStart"/>
      <w:r w:rsidRPr="002C6D00">
        <w:rPr>
          <w:b/>
          <w:i/>
        </w:rPr>
        <w:t>concessionárias</w:t>
      </w:r>
      <w:proofErr w:type="spellEnd"/>
      <w:r w:rsidRPr="002C6D00">
        <w:rPr>
          <w:b/>
          <w:i/>
        </w:rPr>
        <w:t xml:space="preserve"> de </w:t>
      </w:r>
      <w:proofErr w:type="spellStart"/>
      <w:r w:rsidRPr="002C6D00">
        <w:rPr>
          <w:b/>
          <w:i/>
        </w:rPr>
        <w:t>serviço</w:t>
      </w:r>
      <w:proofErr w:type="spellEnd"/>
      <w:r w:rsidRPr="002C6D00">
        <w:rPr>
          <w:b/>
          <w:i/>
        </w:rPr>
        <w:t xml:space="preserve"> </w:t>
      </w:r>
      <w:proofErr w:type="spellStart"/>
      <w:r w:rsidRPr="002C6D00">
        <w:rPr>
          <w:b/>
          <w:i/>
        </w:rPr>
        <w:t>público</w:t>
      </w:r>
      <w:proofErr w:type="spellEnd"/>
      <w:r w:rsidRPr="002C6D00">
        <w:rPr>
          <w:b/>
          <w:i/>
        </w:rPr>
        <w:t xml:space="preserve"> de infraestrutura </w:t>
      </w:r>
      <w:proofErr w:type="spellStart"/>
      <w:r w:rsidRPr="002C6D00">
        <w:rPr>
          <w:b/>
          <w:i/>
        </w:rPr>
        <w:t>aeroportuária</w:t>
      </w:r>
      <w:proofErr w:type="spellEnd"/>
      <w:r w:rsidRPr="002C6D00">
        <w:rPr>
          <w:b/>
          <w:i/>
        </w:rPr>
        <w:t xml:space="preserve"> de aeroportos brasileiros, suas controladoras, controladas e coligadas.</w:t>
      </w:r>
    </w:p>
    <w:p w:rsidR="002C6D00" w:rsidRDefault="002C6D00" w:rsidP="002C6D00">
      <w:pPr>
        <w:spacing w:line="312" w:lineRule="auto"/>
      </w:pPr>
    </w:p>
    <w:p w:rsidR="002C6D00" w:rsidRDefault="002C6D00" w:rsidP="002C6D00">
      <w:pPr>
        <w:spacing w:line="312" w:lineRule="auto"/>
        <w:jc w:val="both"/>
        <w:rPr>
          <w:b/>
        </w:rPr>
      </w:pPr>
      <w:r>
        <w:t xml:space="preserve">Em síntese, </w:t>
      </w:r>
      <w:r w:rsidRPr="002C6D00">
        <w:t>indaga-se o seguinte:</w:t>
      </w:r>
      <w:r>
        <w:rPr>
          <w:b/>
        </w:rPr>
        <w:t xml:space="preserve"> </w:t>
      </w:r>
    </w:p>
    <w:p w:rsidR="002C6D00" w:rsidRDefault="002C6D00" w:rsidP="002C6D00">
      <w:pPr>
        <w:spacing w:line="312" w:lineRule="auto"/>
        <w:jc w:val="both"/>
        <w:rPr>
          <w:b/>
        </w:rPr>
      </w:pPr>
    </w:p>
    <w:p w:rsidR="002C6D00" w:rsidRPr="002C6D00" w:rsidRDefault="002C6D00" w:rsidP="002C6D00">
      <w:pPr>
        <w:spacing w:line="312" w:lineRule="auto"/>
        <w:ind w:left="720" w:right="787"/>
        <w:jc w:val="both"/>
        <w:rPr>
          <w:i/>
        </w:rPr>
      </w:pPr>
      <w:r>
        <w:rPr>
          <w:b/>
          <w:i/>
        </w:rPr>
        <w:t>Q</w:t>
      </w:r>
      <w:r w:rsidRPr="002C6D00">
        <w:rPr>
          <w:b/>
          <w:i/>
        </w:rPr>
        <w:t>uem são os sujeitos que</w:t>
      </w:r>
      <w:r w:rsidRPr="002C6D00">
        <w:rPr>
          <w:i/>
        </w:rPr>
        <w:t xml:space="preserve">, </w:t>
      </w:r>
      <w:r w:rsidRPr="002C6D00">
        <w:rPr>
          <w:b/>
          <w:i/>
        </w:rPr>
        <w:t xml:space="preserve">à vista de tal </w:t>
      </w:r>
      <w:proofErr w:type="spellStart"/>
      <w:r w:rsidRPr="002C6D00">
        <w:rPr>
          <w:b/>
          <w:i/>
        </w:rPr>
        <w:t>subcláusula</w:t>
      </w:r>
      <w:proofErr w:type="spellEnd"/>
      <w:r w:rsidRPr="002C6D00">
        <w:rPr>
          <w:b/>
          <w:i/>
        </w:rPr>
        <w:t>, estariam efetivamente impedidos de participar das licitações que têm por objeto os aeroportos de Confins (MG) e Guarulhos (SP)</w:t>
      </w:r>
      <w:r>
        <w:rPr>
          <w:b/>
          <w:i/>
        </w:rPr>
        <w:t>?</w:t>
      </w:r>
    </w:p>
    <w:p w:rsidR="002C6D00" w:rsidRDefault="002C6D00" w:rsidP="002C6D00">
      <w:pPr>
        <w:spacing w:line="312" w:lineRule="auto"/>
      </w:pPr>
    </w:p>
    <w:p w:rsidR="002C6D00" w:rsidRDefault="002C6D00" w:rsidP="002C6D00">
      <w:pPr>
        <w:spacing w:line="312" w:lineRule="auto"/>
      </w:pPr>
    </w:p>
    <w:p w:rsidR="002C6D00" w:rsidRPr="002C6D00" w:rsidRDefault="002C6D00" w:rsidP="002C6D00">
      <w:pPr>
        <w:spacing w:line="312" w:lineRule="auto"/>
      </w:pPr>
      <w:r>
        <w:rPr>
          <w:b/>
          <w:smallCaps/>
        </w:rPr>
        <w:t xml:space="preserve">II - </w:t>
      </w:r>
      <w:r w:rsidRPr="002C6D00">
        <w:rPr>
          <w:b/>
          <w:smallCaps/>
        </w:rPr>
        <w:t xml:space="preserve">Diretrizes para o entendimento adequado do alcance da </w:t>
      </w:r>
      <w:proofErr w:type="spellStart"/>
      <w:r w:rsidRPr="002C6D00">
        <w:rPr>
          <w:b/>
          <w:smallCaps/>
        </w:rPr>
        <w:t>Subcláusula</w:t>
      </w:r>
      <w:proofErr w:type="spellEnd"/>
      <w:r w:rsidRPr="002C6D00">
        <w:rPr>
          <w:b/>
          <w:smallCaps/>
        </w:rPr>
        <w:t xml:space="preserve"> </w:t>
      </w:r>
    </w:p>
    <w:p w:rsidR="002C6D00" w:rsidRDefault="002C6D00" w:rsidP="002C6D00">
      <w:pPr>
        <w:spacing w:line="312" w:lineRule="auto"/>
      </w:pPr>
    </w:p>
    <w:p w:rsidR="002C6D00" w:rsidRDefault="002C6D00" w:rsidP="002C6D00">
      <w:pPr>
        <w:spacing w:line="312" w:lineRule="auto"/>
      </w:pPr>
    </w:p>
    <w:p w:rsidR="002C6D00" w:rsidRDefault="002C6D00" w:rsidP="002C6D00">
      <w:pPr>
        <w:spacing w:line="312" w:lineRule="auto"/>
        <w:jc w:val="both"/>
      </w:pPr>
      <w:r>
        <w:t xml:space="preserve">Entende a ora requerente que a resposta adequada </w:t>
      </w:r>
      <w:r w:rsidR="0000493D">
        <w:t>à</w:t>
      </w:r>
      <w:r>
        <w:t xml:space="preserve"> pergunta formulada envolve </w:t>
      </w:r>
      <w:r w:rsidR="0000493D">
        <w:t xml:space="preserve">fundamentalmente </w:t>
      </w:r>
      <w:r>
        <w:t>duas perspectivas complementares.</w:t>
      </w:r>
    </w:p>
    <w:p w:rsidR="002C6D00" w:rsidRDefault="002C6D00" w:rsidP="002C6D00">
      <w:pPr>
        <w:spacing w:line="312" w:lineRule="auto"/>
      </w:pPr>
    </w:p>
    <w:p w:rsidR="002C6D00" w:rsidRDefault="002C6D00" w:rsidP="002C6D00">
      <w:pPr>
        <w:spacing w:line="312" w:lineRule="auto"/>
        <w:jc w:val="both"/>
      </w:pPr>
      <w:r>
        <w:t xml:space="preserve">A primeira perspectiva é de ordem abstrata, normativa. </w:t>
      </w:r>
    </w:p>
    <w:p w:rsidR="002C6D00" w:rsidRDefault="002C6D00" w:rsidP="002C6D00">
      <w:pPr>
        <w:spacing w:line="312" w:lineRule="auto"/>
        <w:jc w:val="both"/>
      </w:pPr>
    </w:p>
    <w:p w:rsidR="002C6D00" w:rsidRDefault="002C6D00" w:rsidP="002C6D00">
      <w:pPr>
        <w:spacing w:line="312" w:lineRule="auto"/>
        <w:jc w:val="both"/>
      </w:pPr>
      <w:r>
        <w:t xml:space="preserve">No plano abstrato, há </w:t>
      </w:r>
      <w:r w:rsidR="0000493D">
        <w:t>d</w:t>
      </w:r>
      <w:r>
        <w:t xml:space="preserve">e se buscar um </w:t>
      </w:r>
      <w:r>
        <w:rPr>
          <w:i/>
        </w:rPr>
        <w:t xml:space="preserve">equilíbrio </w:t>
      </w:r>
      <w:r>
        <w:t xml:space="preserve">entre, de um lado, </w:t>
      </w:r>
      <w:r>
        <w:rPr>
          <w:b/>
        </w:rPr>
        <w:t xml:space="preserve">a regra geral que orienta todo e qualquer certame licitatório, qual seja, o da mais ampla participação de todos os interessados em contratar com a administração pública, </w:t>
      </w:r>
      <w:r>
        <w:t xml:space="preserve">e, de outro, as </w:t>
      </w:r>
      <w:r w:rsidRPr="002C6D00">
        <w:rPr>
          <w:b/>
        </w:rPr>
        <w:t>exceções a este princípio</w:t>
      </w:r>
      <w:r>
        <w:t>, admissíveis apenas à vista de certos e bem precisos interesses públicos, identificados no momento da imposição das limitações, as quais são, adicionalmente, admissíveis apenas na medida estritamente necessária à satisfação destes interesses</w:t>
      </w:r>
      <w:r w:rsidR="0000493D">
        <w:t xml:space="preserve"> e desde que devidamente justificadas</w:t>
      </w:r>
      <w:r>
        <w:t>.</w:t>
      </w:r>
    </w:p>
    <w:p w:rsidR="002C6D00" w:rsidRDefault="002C6D00" w:rsidP="002C6D00">
      <w:pPr>
        <w:spacing w:line="312" w:lineRule="auto"/>
        <w:jc w:val="both"/>
      </w:pPr>
    </w:p>
    <w:p w:rsidR="002C6D00" w:rsidRDefault="002C6D00" w:rsidP="002C6D00">
      <w:pPr>
        <w:spacing w:line="312" w:lineRule="auto"/>
        <w:jc w:val="both"/>
      </w:pPr>
      <w:r>
        <w:lastRenderedPageBreak/>
        <w:t xml:space="preserve">Com efeito, vige no direito constitucional brasileiro, seja por força de disposições de direito público, seja por força de disposições de direito privado, a regra enunciada acima, de maneira inequívoca. </w:t>
      </w:r>
    </w:p>
    <w:p w:rsidR="002C6D00" w:rsidRDefault="002C6D00" w:rsidP="002C6D00">
      <w:pPr>
        <w:spacing w:line="312" w:lineRule="auto"/>
        <w:jc w:val="both"/>
      </w:pPr>
    </w:p>
    <w:p w:rsidR="002C6D00" w:rsidRDefault="002C6D00" w:rsidP="002C6D00">
      <w:pPr>
        <w:spacing w:line="312" w:lineRule="auto"/>
        <w:jc w:val="both"/>
      </w:pPr>
      <w:r>
        <w:t xml:space="preserve">Exigem tal ampla participação, dentre outras, princípios e regras reconhecidos universalmente, tais </w:t>
      </w:r>
      <w:r w:rsidR="0000493D">
        <w:t xml:space="preserve">como </w:t>
      </w:r>
      <w:r>
        <w:t xml:space="preserve">o da </w:t>
      </w:r>
      <w:r>
        <w:rPr>
          <w:i/>
        </w:rPr>
        <w:t xml:space="preserve">impessoalidade, </w:t>
      </w:r>
      <w:r>
        <w:t xml:space="preserve">da </w:t>
      </w:r>
      <w:r>
        <w:rPr>
          <w:i/>
        </w:rPr>
        <w:t xml:space="preserve">ampla competição </w:t>
      </w:r>
      <w:r>
        <w:t xml:space="preserve">e da </w:t>
      </w:r>
      <w:proofErr w:type="spellStart"/>
      <w:r>
        <w:rPr>
          <w:i/>
        </w:rPr>
        <w:t>vantajosidade</w:t>
      </w:r>
      <w:proofErr w:type="spellEnd"/>
      <w:r>
        <w:rPr>
          <w:i/>
        </w:rPr>
        <w:t xml:space="preserve">, </w:t>
      </w:r>
      <w:r>
        <w:t>posi</w:t>
      </w:r>
      <w:r w:rsidR="00EE5FAE">
        <w:t xml:space="preserve">tivados na Carta </w:t>
      </w:r>
      <w:r w:rsidR="0000493D">
        <w:t>constitucional em seu</w:t>
      </w:r>
      <w:r w:rsidR="00EE5FAE">
        <w:t xml:space="preserve"> art. 37 e </w:t>
      </w:r>
      <w:r w:rsidR="0000493D">
        <w:t xml:space="preserve">na </w:t>
      </w:r>
      <w:r w:rsidR="00EE5FAE">
        <w:t>Lei n</w:t>
      </w:r>
      <w:r w:rsidR="00EE5FAE">
        <w:sym w:font="Symbol" w:char="F0B0"/>
      </w:r>
      <w:r w:rsidR="00EE5FAE">
        <w:t xml:space="preserve"> 8.666/1993, art. 3</w:t>
      </w:r>
      <w:r w:rsidR="00EE5FAE" w:rsidRPr="00EE5FAE">
        <w:rPr>
          <w:vertAlign w:val="superscript"/>
        </w:rPr>
        <w:t>o</w:t>
      </w:r>
      <w:r w:rsidR="0000493D">
        <w:t>, dentre outros dispositivos.</w:t>
      </w:r>
      <w:r>
        <w:t xml:space="preserve"> </w:t>
      </w:r>
    </w:p>
    <w:p w:rsidR="002C6D00" w:rsidRDefault="002C6D00" w:rsidP="002C6D00">
      <w:pPr>
        <w:spacing w:line="312" w:lineRule="auto"/>
        <w:jc w:val="both"/>
      </w:pPr>
    </w:p>
    <w:p w:rsidR="002C6D00" w:rsidRDefault="002C6D00" w:rsidP="002C6D00">
      <w:pPr>
        <w:spacing w:line="312" w:lineRule="auto"/>
        <w:jc w:val="both"/>
      </w:pPr>
      <w:r>
        <w:t xml:space="preserve">No </w:t>
      </w:r>
      <w:proofErr w:type="spellStart"/>
      <w:r>
        <w:t>versante</w:t>
      </w:r>
      <w:proofErr w:type="spellEnd"/>
      <w:r>
        <w:t xml:space="preserve"> do direito privado - que incide reflexamente aqui - não havendo interesse público relevante em direção contrária, não há porque cercear-se a possibilidade do exercício da livre iniciativa e da livre competição (art. </w:t>
      </w:r>
      <w:r w:rsidR="0000493D">
        <w:t>170 da Constituição Federal, entre outros</w:t>
      </w:r>
      <w:r>
        <w:t xml:space="preserve">), que se manifestam, neste ambiente específico, na forma da possibilidade de oferecer propostas, em condições de igualdade e sem barreiras de entrada, no </w:t>
      </w:r>
      <w:r w:rsidR="0000493D">
        <w:t>mercado de contratos (ou de disputa por melhores propostas na perspectiva do interesse público)</w:t>
      </w:r>
      <w:r>
        <w:t xml:space="preserve"> criado pela Administração Pública.</w:t>
      </w:r>
    </w:p>
    <w:p w:rsidR="002C6D00" w:rsidRDefault="002C6D00" w:rsidP="002C6D00">
      <w:pPr>
        <w:spacing w:line="312" w:lineRule="auto"/>
        <w:jc w:val="both"/>
      </w:pPr>
    </w:p>
    <w:p w:rsidR="002C6D00" w:rsidRDefault="002C6D00" w:rsidP="002C6D00">
      <w:pPr>
        <w:spacing w:line="312" w:lineRule="auto"/>
        <w:jc w:val="both"/>
      </w:pPr>
      <w:r>
        <w:t xml:space="preserve">Quanto às possíveis e jurídicas exceções, </w:t>
      </w:r>
      <w:proofErr w:type="gramStart"/>
      <w:r>
        <w:t>devem,</w:t>
      </w:r>
      <w:proofErr w:type="gramEnd"/>
      <w:r>
        <w:t xml:space="preserve"> como dito, ter estribo apenas em motivos de interesse público cogente, bem identificados. No caso de que se </w:t>
      </w:r>
      <w:proofErr w:type="gramStart"/>
      <w:r>
        <w:t>trata</w:t>
      </w:r>
      <w:proofErr w:type="gramEnd"/>
      <w:r>
        <w:t xml:space="preserve">, estes motivos convergem, todos, na noção de </w:t>
      </w:r>
      <w:r>
        <w:rPr>
          <w:i/>
        </w:rPr>
        <w:t>serviço público adequado</w:t>
      </w:r>
      <w:r>
        <w:t xml:space="preserve"> (art. 175 da CRFB e art. 6</w:t>
      </w:r>
      <w:r w:rsidRPr="002C6D00">
        <w:rPr>
          <w:vertAlign w:val="superscript"/>
        </w:rPr>
        <w:t>o</w:t>
      </w:r>
      <w:r>
        <w:t xml:space="preserve"> da Lei 8.987/1995), dado que se está a tratar de licitação de um contrato de concessão de serviço público (Cláusula 2.1. do Edital). Vale dizer: só é possível excepcionar a regra geral da ampla participação dos interessados se tal for necessário à vista do serviço público adequado (adiante </w:t>
      </w:r>
      <w:proofErr w:type="gramStart"/>
      <w:r>
        <w:t>voltar-se-á</w:t>
      </w:r>
      <w:proofErr w:type="gramEnd"/>
      <w:r>
        <w:t xml:space="preserve"> ao tema</w:t>
      </w:r>
      <w:r w:rsidR="0000493D">
        <w:t>,</w:t>
      </w:r>
      <w:r>
        <w:t xml:space="preserve"> para prospectar dois elementos deste conceito, a adequação </w:t>
      </w:r>
      <w:r>
        <w:rPr>
          <w:i/>
        </w:rPr>
        <w:t xml:space="preserve">técnica </w:t>
      </w:r>
      <w:r>
        <w:t xml:space="preserve">e a adequação </w:t>
      </w:r>
      <w:r>
        <w:rPr>
          <w:i/>
        </w:rPr>
        <w:t>econômica</w:t>
      </w:r>
      <w:r>
        <w:t xml:space="preserve"> do serviço).</w:t>
      </w:r>
    </w:p>
    <w:p w:rsidR="002C6D00" w:rsidRDefault="002C6D00" w:rsidP="002C6D00">
      <w:pPr>
        <w:spacing w:line="312" w:lineRule="auto"/>
        <w:jc w:val="both"/>
      </w:pPr>
    </w:p>
    <w:p w:rsidR="002C6D00" w:rsidRDefault="002C6D00" w:rsidP="002C6D00">
      <w:pPr>
        <w:spacing w:line="312" w:lineRule="auto"/>
        <w:jc w:val="both"/>
      </w:pPr>
      <w:r>
        <w:t xml:space="preserve">Esta primeira perspectiva aponta, por si só, para a necessidade de </w:t>
      </w:r>
      <w:r w:rsidR="0000493D">
        <w:t>interpretarem-se</w:t>
      </w:r>
      <w:r>
        <w:t xml:space="preserve"> </w:t>
      </w:r>
      <w:r>
        <w:rPr>
          <w:i/>
        </w:rPr>
        <w:t xml:space="preserve">restritivamente </w:t>
      </w:r>
      <w:r>
        <w:t>eventuais limitações constantes do Edital à participação de interessados, no certame.</w:t>
      </w:r>
    </w:p>
    <w:p w:rsidR="0000493D" w:rsidRDefault="0000493D" w:rsidP="002C6D00">
      <w:pPr>
        <w:spacing w:line="312" w:lineRule="auto"/>
        <w:jc w:val="both"/>
      </w:pPr>
    </w:p>
    <w:p w:rsidR="0000493D" w:rsidRDefault="0000493D" w:rsidP="002C6D00">
      <w:pPr>
        <w:spacing w:line="312" w:lineRule="auto"/>
        <w:jc w:val="both"/>
      </w:pPr>
      <w:r>
        <w:t xml:space="preserve">Assim: </w:t>
      </w:r>
    </w:p>
    <w:p w:rsidR="0000493D" w:rsidRDefault="0000493D" w:rsidP="0000493D">
      <w:pPr>
        <w:pStyle w:val="PargrafodaLista"/>
        <w:numPr>
          <w:ilvl w:val="0"/>
          <w:numId w:val="4"/>
        </w:numPr>
        <w:spacing w:line="312" w:lineRule="auto"/>
        <w:jc w:val="both"/>
      </w:pPr>
      <w:proofErr w:type="gramStart"/>
      <w:r>
        <w:t>não</w:t>
      </w:r>
      <w:proofErr w:type="gramEnd"/>
      <w:r>
        <w:t xml:space="preserve"> se pode impor, como regra, restrições à participação em licitações; </w:t>
      </w:r>
    </w:p>
    <w:p w:rsidR="0000493D" w:rsidRDefault="0000493D" w:rsidP="0000493D">
      <w:pPr>
        <w:pStyle w:val="PargrafodaLista"/>
        <w:numPr>
          <w:ilvl w:val="0"/>
          <w:numId w:val="4"/>
        </w:numPr>
        <w:spacing w:line="312" w:lineRule="auto"/>
        <w:jc w:val="both"/>
      </w:pPr>
      <w:proofErr w:type="gramStart"/>
      <w:r>
        <w:t>as</w:t>
      </w:r>
      <w:proofErr w:type="gramEnd"/>
      <w:r>
        <w:t xml:space="preserve"> exceções a esse comando só podem ser introduzidas à vista de um interesse público bem identificado; e</w:t>
      </w:r>
    </w:p>
    <w:p w:rsidR="00121C42" w:rsidRDefault="0000493D" w:rsidP="00121C42">
      <w:pPr>
        <w:pStyle w:val="PargrafodaLista"/>
        <w:numPr>
          <w:ilvl w:val="0"/>
          <w:numId w:val="4"/>
        </w:numPr>
        <w:spacing w:line="312" w:lineRule="auto"/>
        <w:jc w:val="both"/>
      </w:pPr>
      <w:proofErr w:type="gramStart"/>
      <w:r>
        <w:t>desde</w:t>
      </w:r>
      <w:proofErr w:type="gramEnd"/>
      <w:r>
        <w:t xml:space="preserve"> que na medida da sua efetiva necessidade, sem nenhuma possibilidade de ter alcance extensivo.</w:t>
      </w:r>
    </w:p>
    <w:p w:rsidR="0000493D" w:rsidRPr="002C6D00" w:rsidRDefault="00121C42" w:rsidP="00121C42">
      <w:pPr>
        <w:pStyle w:val="PargrafodaLista"/>
        <w:numPr>
          <w:ilvl w:val="1"/>
          <w:numId w:val="4"/>
        </w:numPr>
        <w:spacing w:line="312" w:lineRule="auto"/>
        <w:jc w:val="both"/>
      </w:pPr>
      <w:proofErr w:type="gramStart"/>
      <w:r>
        <w:lastRenderedPageBreak/>
        <w:t>a</w:t>
      </w:r>
      <w:proofErr w:type="gramEnd"/>
      <w:r w:rsidR="0000493D">
        <w:t xml:space="preserve"> exceção, para isso, deve ser bem fundamentada </w:t>
      </w:r>
      <w:r>
        <w:t xml:space="preserve">(i.) </w:t>
      </w:r>
      <w:r w:rsidR="0000493D">
        <w:t xml:space="preserve">quanto ao interesse público protegido e </w:t>
      </w:r>
      <w:r>
        <w:t>(</w:t>
      </w:r>
      <w:proofErr w:type="spellStart"/>
      <w:r>
        <w:t>ii</w:t>
      </w:r>
      <w:proofErr w:type="spellEnd"/>
      <w:r>
        <w:t xml:space="preserve">.) </w:t>
      </w:r>
      <w:r w:rsidR="0000493D">
        <w:t>quanto à necessidade da medida introduzida para proteger esse interesse.</w:t>
      </w:r>
    </w:p>
    <w:p w:rsidR="002C6D00" w:rsidRDefault="002C6D00" w:rsidP="002C6D00">
      <w:pPr>
        <w:spacing w:line="312" w:lineRule="auto"/>
        <w:jc w:val="both"/>
      </w:pPr>
    </w:p>
    <w:p w:rsidR="00121C42" w:rsidRDefault="00121C42" w:rsidP="002C6D00">
      <w:pPr>
        <w:spacing w:line="312" w:lineRule="auto"/>
        <w:jc w:val="both"/>
      </w:pPr>
    </w:p>
    <w:p w:rsidR="00121C42" w:rsidRDefault="002C6D00" w:rsidP="002C6D00">
      <w:pPr>
        <w:spacing w:line="312" w:lineRule="auto"/>
        <w:jc w:val="both"/>
      </w:pPr>
      <w:r>
        <w:t xml:space="preserve">A segunda perspectiva que deve iluminar a compreensão da regra </w:t>
      </w:r>
      <w:proofErr w:type="spellStart"/>
      <w:r>
        <w:t>editalícia</w:t>
      </w:r>
      <w:proofErr w:type="spellEnd"/>
      <w:r>
        <w:t xml:space="preserve"> e, de consequência, a resposta à indagação feita é de ordem concreta e diz respeito à situação jurídico-econômica específica da requerente</w:t>
      </w:r>
      <w:r w:rsidR="00121C42">
        <w:t>, ora peticionária,</w:t>
      </w:r>
      <w:r>
        <w:t xml:space="preserve"> que é</w:t>
      </w:r>
      <w:r w:rsidR="00121C42">
        <w:t xml:space="preserve"> acionista não controladora de consórcio vencedor de concessão anterior no setor aeroportuário brasileiro.</w:t>
      </w:r>
      <w:r>
        <w:t xml:space="preserve"> </w:t>
      </w:r>
    </w:p>
    <w:p w:rsidR="00121C42" w:rsidRDefault="00121C42" w:rsidP="002C6D00">
      <w:pPr>
        <w:spacing w:line="312" w:lineRule="auto"/>
        <w:jc w:val="both"/>
      </w:pPr>
    </w:p>
    <w:p w:rsidR="002C6D00" w:rsidRDefault="002C6D00" w:rsidP="002C6D00">
      <w:pPr>
        <w:spacing w:line="312" w:lineRule="auto"/>
        <w:jc w:val="both"/>
      </w:pPr>
      <w:r>
        <w:t xml:space="preserve">Como se constata, </w:t>
      </w:r>
      <w:r w:rsidR="00121C42">
        <w:t>a ora peticionária</w:t>
      </w:r>
      <w:r>
        <w:t xml:space="preserve">: </w:t>
      </w:r>
    </w:p>
    <w:p w:rsidR="002C6D00" w:rsidRDefault="002C6D00" w:rsidP="002C6D00">
      <w:pPr>
        <w:spacing w:line="312" w:lineRule="auto"/>
        <w:jc w:val="both"/>
      </w:pPr>
    </w:p>
    <w:p w:rsidR="002C6D00" w:rsidRPr="0003751A" w:rsidRDefault="002C6D00" w:rsidP="0003751A">
      <w:pPr>
        <w:pStyle w:val="PargrafodaLista"/>
        <w:numPr>
          <w:ilvl w:val="0"/>
          <w:numId w:val="1"/>
        </w:numPr>
        <w:spacing w:line="312" w:lineRule="auto"/>
        <w:jc w:val="both"/>
        <w:rPr>
          <w:b/>
        </w:rPr>
      </w:pPr>
      <w:proofErr w:type="gramStart"/>
      <w:r w:rsidRPr="0003751A">
        <w:rPr>
          <w:b/>
        </w:rPr>
        <w:t>não</w:t>
      </w:r>
      <w:proofErr w:type="gramEnd"/>
      <w:r w:rsidRPr="0003751A">
        <w:rPr>
          <w:b/>
        </w:rPr>
        <w:t xml:space="preserve"> é concessionária; </w:t>
      </w:r>
    </w:p>
    <w:p w:rsidR="002C6D00" w:rsidRPr="002C6D00" w:rsidRDefault="002C6D00" w:rsidP="002C6D00">
      <w:pPr>
        <w:pStyle w:val="PargrafodaLista"/>
        <w:numPr>
          <w:ilvl w:val="0"/>
          <w:numId w:val="1"/>
        </w:numPr>
        <w:spacing w:line="312" w:lineRule="auto"/>
        <w:jc w:val="both"/>
      </w:pPr>
      <w:proofErr w:type="gramStart"/>
      <w:r w:rsidRPr="002C6D00">
        <w:rPr>
          <w:b/>
        </w:rPr>
        <w:t>não</w:t>
      </w:r>
      <w:proofErr w:type="gramEnd"/>
      <w:r w:rsidRPr="002C6D00">
        <w:rPr>
          <w:b/>
        </w:rPr>
        <w:t xml:space="preserve"> é operadora técnica; </w:t>
      </w:r>
    </w:p>
    <w:p w:rsidR="002C6D00" w:rsidRDefault="002C6D00" w:rsidP="002C6D00">
      <w:pPr>
        <w:pStyle w:val="PargrafodaLista"/>
        <w:numPr>
          <w:ilvl w:val="0"/>
          <w:numId w:val="1"/>
        </w:numPr>
        <w:spacing w:line="312" w:lineRule="auto"/>
        <w:jc w:val="both"/>
      </w:pPr>
      <w:proofErr w:type="gramStart"/>
      <w:r w:rsidRPr="002C6D00">
        <w:rPr>
          <w:b/>
        </w:rPr>
        <w:t>não</w:t>
      </w:r>
      <w:proofErr w:type="gramEnd"/>
      <w:r w:rsidRPr="002C6D00">
        <w:rPr>
          <w:b/>
        </w:rPr>
        <w:t xml:space="preserve"> é acionista majoritária</w:t>
      </w:r>
      <w:r>
        <w:t xml:space="preserve"> </w:t>
      </w:r>
      <w:r w:rsidRPr="002C6D00">
        <w:rPr>
          <w:b/>
        </w:rPr>
        <w:t>da concessionária</w:t>
      </w:r>
      <w:r>
        <w:t xml:space="preserve">. </w:t>
      </w:r>
    </w:p>
    <w:p w:rsidR="002C6D00" w:rsidRPr="00121C42" w:rsidRDefault="002C6D00" w:rsidP="002C6D00">
      <w:pPr>
        <w:spacing w:line="312" w:lineRule="auto"/>
        <w:jc w:val="both"/>
      </w:pPr>
    </w:p>
    <w:p w:rsidR="002C6D00" w:rsidRDefault="002C6D00" w:rsidP="002C6D00">
      <w:pPr>
        <w:spacing w:line="312" w:lineRule="auto"/>
        <w:jc w:val="both"/>
      </w:pPr>
      <w:r w:rsidRPr="00121C42">
        <w:t>Em uma palavra, e de modo geral, ela não tem poder de controle decisivo sobre os negócios da concessionária.</w:t>
      </w:r>
      <w:r>
        <w:t xml:space="preserve"> </w:t>
      </w:r>
    </w:p>
    <w:p w:rsidR="00121C42" w:rsidRDefault="00121C42" w:rsidP="002C6D00">
      <w:pPr>
        <w:spacing w:line="312" w:lineRule="auto"/>
        <w:jc w:val="both"/>
      </w:pPr>
    </w:p>
    <w:p w:rsidR="002C6D00" w:rsidRDefault="002C6D00" w:rsidP="002C6D00">
      <w:pPr>
        <w:spacing w:line="312" w:lineRule="auto"/>
        <w:jc w:val="both"/>
      </w:pPr>
      <w:r>
        <w:t>Apresentadas as diretrizes ou perspectivas, antecipa-se o entendimento da requerente que poderá ser oportunamente fundamentado de forma mais sólida, em sendo considerado oportuno.</w:t>
      </w:r>
    </w:p>
    <w:p w:rsidR="002C6D00" w:rsidRDefault="002C6D00" w:rsidP="002C6D00">
      <w:pPr>
        <w:spacing w:line="312" w:lineRule="auto"/>
        <w:jc w:val="both"/>
      </w:pPr>
    </w:p>
    <w:p w:rsidR="00121C42" w:rsidRDefault="00121C42" w:rsidP="002C6D00">
      <w:pPr>
        <w:spacing w:line="312" w:lineRule="auto"/>
        <w:jc w:val="both"/>
        <w:rPr>
          <w:b/>
          <w:smallCaps/>
        </w:rPr>
      </w:pPr>
    </w:p>
    <w:p w:rsidR="002C6D00" w:rsidRPr="002C6D00" w:rsidRDefault="002C6D00" w:rsidP="002C6D00">
      <w:pPr>
        <w:spacing w:line="312" w:lineRule="auto"/>
        <w:jc w:val="both"/>
        <w:rPr>
          <w:b/>
          <w:smallCaps/>
        </w:rPr>
      </w:pPr>
      <w:r w:rsidRPr="002C6D00">
        <w:rPr>
          <w:b/>
          <w:smallCaps/>
        </w:rPr>
        <w:t xml:space="preserve">III </w:t>
      </w:r>
      <w:r>
        <w:rPr>
          <w:b/>
          <w:smallCaps/>
        </w:rPr>
        <w:t>–</w:t>
      </w:r>
      <w:r w:rsidRPr="002C6D00">
        <w:rPr>
          <w:b/>
          <w:smallCaps/>
        </w:rPr>
        <w:t xml:space="preserve"> </w:t>
      </w:r>
      <w:r>
        <w:rPr>
          <w:b/>
          <w:smallCaps/>
        </w:rPr>
        <w:t xml:space="preserve">O sentido adequado da Cláusula, no entendimento da </w:t>
      </w:r>
      <w:proofErr w:type="gramStart"/>
      <w:r>
        <w:rPr>
          <w:b/>
          <w:smallCaps/>
        </w:rPr>
        <w:t>requerente</w:t>
      </w:r>
      <w:proofErr w:type="gramEnd"/>
    </w:p>
    <w:p w:rsidR="002C6D00" w:rsidRDefault="002C6D00" w:rsidP="002C6D00">
      <w:pPr>
        <w:spacing w:line="312" w:lineRule="auto"/>
        <w:jc w:val="both"/>
      </w:pPr>
    </w:p>
    <w:p w:rsidR="00121C42" w:rsidRDefault="002C6D00" w:rsidP="002C6D00">
      <w:pPr>
        <w:spacing w:line="312" w:lineRule="auto"/>
        <w:jc w:val="both"/>
        <w:rPr>
          <w:b/>
          <w:i/>
        </w:rPr>
      </w:pPr>
      <w:r>
        <w:t xml:space="preserve">Diante do cenário jurídico e fático descrito acima, entende a requerente que a Cláusula 3.15.5 </w:t>
      </w:r>
      <w:r>
        <w:rPr>
          <w:b/>
          <w:i/>
        </w:rPr>
        <w:t xml:space="preserve">não lhe atinge. </w:t>
      </w:r>
    </w:p>
    <w:p w:rsidR="00121C42" w:rsidRDefault="00121C42" w:rsidP="002C6D00">
      <w:pPr>
        <w:spacing w:line="312" w:lineRule="auto"/>
        <w:jc w:val="both"/>
        <w:rPr>
          <w:b/>
          <w:i/>
        </w:rPr>
      </w:pPr>
    </w:p>
    <w:p w:rsidR="002C6D00" w:rsidRDefault="002C6D00" w:rsidP="002C6D00">
      <w:pPr>
        <w:spacing w:line="312" w:lineRule="auto"/>
        <w:jc w:val="both"/>
      </w:pPr>
      <w:r>
        <w:t xml:space="preserve">E isto por uma série de motivos, acerca dos quais gostaria de obter pronunciamento desta Agência. </w:t>
      </w:r>
    </w:p>
    <w:p w:rsidR="002C6D00" w:rsidRDefault="002C6D00" w:rsidP="002C6D00">
      <w:pPr>
        <w:spacing w:line="312" w:lineRule="auto"/>
        <w:jc w:val="both"/>
      </w:pPr>
    </w:p>
    <w:p w:rsidR="002C6D00" w:rsidRDefault="002C6D00" w:rsidP="002C6D00">
      <w:pPr>
        <w:spacing w:line="312" w:lineRule="auto"/>
        <w:jc w:val="both"/>
      </w:pPr>
      <w:r>
        <w:t xml:space="preserve">Em primeiro lugar, por força dos próprios termos em que redigida a Cláusula </w:t>
      </w:r>
      <w:proofErr w:type="spellStart"/>
      <w:r>
        <w:t>editalícia</w:t>
      </w:r>
      <w:proofErr w:type="spellEnd"/>
      <w:r>
        <w:t>. Releia-se: “</w:t>
      </w:r>
      <w:proofErr w:type="spellStart"/>
      <w:r>
        <w:t>n</w:t>
      </w:r>
      <w:r w:rsidRPr="002C6D00">
        <w:t>ão</w:t>
      </w:r>
      <w:proofErr w:type="spellEnd"/>
      <w:r w:rsidRPr="002C6D00">
        <w:t xml:space="preserve"> </w:t>
      </w:r>
      <w:proofErr w:type="spellStart"/>
      <w:r w:rsidRPr="002C6D00">
        <w:t>poderão</w:t>
      </w:r>
      <w:proofErr w:type="spellEnd"/>
      <w:r w:rsidRPr="002C6D00">
        <w:t xml:space="preserve"> participar deste </w:t>
      </w:r>
      <w:proofErr w:type="spellStart"/>
      <w:r w:rsidRPr="002C6D00">
        <w:t>Leilão</w:t>
      </w:r>
      <w:proofErr w:type="spellEnd"/>
      <w:r w:rsidRPr="002C6D00">
        <w:t xml:space="preserve"> pessoas </w:t>
      </w:r>
      <w:proofErr w:type="spellStart"/>
      <w:r w:rsidRPr="002C6D00">
        <w:t>jurídicas</w:t>
      </w:r>
      <w:proofErr w:type="spellEnd"/>
      <w:r w:rsidRPr="002C6D00">
        <w:t xml:space="preserve">, isoladamente ou em </w:t>
      </w:r>
      <w:proofErr w:type="spellStart"/>
      <w:r w:rsidRPr="002C6D00">
        <w:t>Consórcio</w:t>
      </w:r>
      <w:proofErr w:type="spellEnd"/>
      <w:r w:rsidRPr="002C6D00">
        <w:t xml:space="preserve">, que (...) sejam acionistas </w:t>
      </w:r>
      <w:proofErr w:type="gramStart"/>
      <w:r w:rsidRPr="002C6D00">
        <w:t>das</w:t>
      </w:r>
      <w:proofErr w:type="gramEnd"/>
      <w:r w:rsidRPr="002C6D00">
        <w:t xml:space="preserve"> </w:t>
      </w:r>
      <w:proofErr w:type="spellStart"/>
      <w:proofErr w:type="gramStart"/>
      <w:r w:rsidRPr="002C6D00">
        <w:t>concessiona</w:t>
      </w:r>
      <w:proofErr w:type="gramEnd"/>
      <w:r w:rsidRPr="002C6D00">
        <w:t>́rias</w:t>
      </w:r>
      <w:proofErr w:type="spellEnd"/>
      <w:r w:rsidRPr="002C6D00">
        <w:t xml:space="preserve"> de </w:t>
      </w:r>
      <w:proofErr w:type="spellStart"/>
      <w:r w:rsidRPr="002C6D00">
        <w:t>serviço</w:t>
      </w:r>
      <w:proofErr w:type="spellEnd"/>
      <w:r w:rsidRPr="002C6D00">
        <w:t xml:space="preserve"> </w:t>
      </w:r>
      <w:proofErr w:type="spellStart"/>
      <w:r w:rsidRPr="002C6D00">
        <w:t>público</w:t>
      </w:r>
      <w:proofErr w:type="spellEnd"/>
      <w:r w:rsidRPr="002C6D00">
        <w:t xml:space="preserve"> de infraestrutura </w:t>
      </w:r>
      <w:proofErr w:type="spellStart"/>
      <w:r w:rsidRPr="002C6D00">
        <w:t>aeroportuária</w:t>
      </w:r>
      <w:proofErr w:type="spellEnd"/>
      <w:r w:rsidRPr="002C6D00">
        <w:t xml:space="preserve"> de aeroportos brasileiros, suas controladoras, controladas e coligadas.</w:t>
      </w:r>
      <w:r>
        <w:t>”</w:t>
      </w:r>
    </w:p>
    <w:p w:rsidR="002C6D00" w:rsidRDefault="002C6D00" w:rsidP="002C6D00">
      <w:pPr>
        <w:spacing w:line="312" w:lineRule="auto"/>
        <w:jc w:val="both"/>
      </w:pPr>
    </w:p>
    <w:p w:rsidR="001C48D6" w:rsidRDefault="001C48D6" w:rsidP="002C6D00">
      <w:pPr>
        <w:spacing w:line="312" w:lineRule="auto"/>
        <w:jc w:val="both"/>
      </w:pPr>
      <w:r>
        <w:lastRenderedPageBreak/>
        <w:t xml:space="preserve">Ora, a requerente não tipifica qualquer uma das figuras enunciadas na disposição, eis que não é acionista das concessionárias de serviço público aeroportuário, não sendo, também, controladora da concessionária nem controlada ou coligada da concessionária. </w:t>
      </w:r>
    </w:p>
    <w:p w:rsidR="001C48D6" w:rsidRDefault="001C48D6" w:rsidP="002C6D00">
      <w:pPr>
        <w:spacing w:line="312" w:lineRule="auto"/>
        <w:jc w:val="both"/>
      </w:pPr>
    </w:p>
    <w:p w:rsidR="002C6D00" w:rsidRPr="001C48D6" w:rsidRDefault="001C48D6" w:rsidP="002C6D00">
      <w:pPr>
        <w:spacing w:line="312" w:lineRule="auto"/>
        <w:jc w:val="both"/>
      </w:pPr>
      <w:r w:rsidRPr="00121C42">
        <w:t xml:space="preserve">Ela </w:t>
      </w:r>
      <w:proofErr w:type="gramStart"/>
      <w:r w:rsidRPr="00121C42">
        <w:t>é,</w:t>
      </w:r>
      <w:proofErr w:type="gramEnd"/>
      <w:r w:rsidRPr="00121C42">
        <w:t xml:space="preserve"> como visto, </w:t>
      </w:r>
      <w:r w:rsidRPr="00121C42">
        <w:rPr>
          <w:b/>
        </w:rPr>
        <w:t>acionista minoritária do acionista majoritário d</w:t>
      </w:r>
      <w:r w:rsidR="00121C42">
        <w:rPr>
          <w:b/>
        </w:rPr>
        <w:t>e</w:t>
      </w:r>
      <w:r w:rsidRPr="00121C42">
        <w:rPr>
          <w:b/>
        </w:rPr>
        <w:t xml:space="preserve"> concessionária</w:t>
      </w:r>
      <w:r w:rsidRPr="00121C42">
        <w:t>.</w:t>
      </w:r>
      <w:r>
        <w:t xml:space="preserve"> </w:t>
      </w:r>
    </w:p>
    <w:p w:rsidR="002C6D00" w:rsidRPr="002C6D00" w:rsidRDefault="002C6D00" w:rsidP="002C6D00">
      <w:pPr>
        <w:spacing w:line="312" w:lineRule="auto"/>
        <w:jc w:val="both"/>
        <w:rPr>
          <w:b/>
          <w:i/>
        </w:rPr>
      </w:pPr>
    </w:p>
    <w:p w:rsidR="00EE5FAE" w:rsidRDefault="001C48D6" w:rsidP="002C6D00">
      <w:pPr>
        <w:spacing w:line="312" w:lineRule="auto"/>
        <w:jc w:val="both"/>
      </w:pPr>
      <w:r>
        <w:t xml:space="preserve">E não há que se falar em interpretação ampliativa ou lata de tais figuras. A uma, porque elas estão definidas no próprio edital, de sorte </w:t>
      </w:r>
      <w:r w:rsidR="00EE5FAE">
        <w:t>que seria um contrassenso simplesmente ignorá-las em favor de um entendimento que contraria o que a própria Administração Pública explicitamente positivou no documento que ela própria formulou e que rege o certame. A duas porque, como se viu acima, estas disposições devem mesmo ser interpretadas restritivamente, na medida em que a regra geral é a da mais ampla participação possível dos interessados.</w:t>
      </w:r>
    </w:p>
    <w:p w:rsidR="00EE5FAE" w:rsidRDefault="00EE5FAE" w:rsidP="002C6D00">
      <w:pPr>
        <w:spacing w:line="312" w:lineRule="auto"/>
        <w:jc w:val="both"/>
      </w:pPr>
    </w:p>
    <w:p w:rsidR="00EE5FAE" w:rsidRDefault="00EE5FAE" w:rsidP="002C6D00">
      <w:pPr>
        <w:spacing w:line="312" w:lineRule="auto"/>
        <w:jc w:val="both"/>
      </w:pPr>
      <w:r>
        <w:t xml:space="preserve">Mas não é apenas o teor literal que recomenda uma interpretação prudente. </w:t>
      </w:r>
    </w:p>
    <w:p w:rsidR="00EE5FAE" w:rsidRDefault="00EE5FAE" w:rsidP="002C6D00">
      <w:pPr>
        <w:spacing w:line="312" w:lineRule="auto"/>
        <w:jc w:val="both"/>
      </w:pPr>
    </w:p>
    <w:p w:rsidR="00EE5FAE" w:rsidRDefault="00EE5FAE" w:rsidP="002C6D00">
      <w:pPr>
        <w:spacing w:line="312" w:lineRule="auto"/>
        <w:jc w:val="both"/>
      </w:pPr>
      <w:r>
        <w:t xml:space="preserve">Foi dito antes que </w:t>
      </w:r>
      <w:r w:rsidR="00121C42">
        <w:t>as imposições</w:t>
      </w:r>
      <w:r>
        <w:t xml:space="preserve"> de limites de participação pode</w:t>
      </w:r>
      <w:r w:rsidR="00121C42">
        <w:t>m</w:t>
      </w:r>
      <w:r>
        <w:t xml:space="preserve"> ser feita</w:t>
      </w:r>
      <w:r w:rsidR="00121C42">
        <w:t>s,</w:t>
      </w:r>
      <w:r>
        <w:t xml:space="preserve"> em caráter </w:t>
      </w:r>
      <w:proofErr w:type="spellStart"/>
      <w:r>
        <w:t>exepcional</w:t>
      </w:r>
      <w:proofErr w:type="spellEnd"/>
      <w:r>
        <w:t xml:space="preserve">, se presentes motivos cogentes que levem a tanto. </w:t>
      </w:r>
    </w:p>
    <w:p w:rsidR="00EE5FAE" w:rsidRDefault="00EE5FAE" w:rsidP="002C6D00">
      <w:pPr>
        <w:spacing w:line="312" w:lineRule="auto"/>
        <w:jc w:val="both"/>
      </w:pPr>
    </w:p>
    <w:p w:rsidR="00EE5FAE" w:rsidRDefault="00EE5FAE" w:rsidP="002C6D00">
      <w:pPr>
        <w:spacing w:line="312" w:lineRule="auto"/>
        <w:jc w:val="both"/>
      </w:pPr>
      <w:r>
        <w:t xml:space="preserve">Não é suficiente, por óbvio, a </w:t>
      </w:r>
      <w:r w:rsidR="00121C42">
        <w:t>mera</w:t>
      </w:r>
      <w:r>
        <w:t xml:space="preserve"> invocação genérica do “interesse público”, carente de qualquer motivação suficiente; sequer a identificação em concreto de </w:t>
      </w:r>
      <w:proofErr w:type="gramStart"/>
      <w:r>
        <w:t>um tal</w:t>
      </w:r>
      <w:proofErr w:type="gramEnd"/>
      <w:r>
        <w:t xml:space="preserve"> interesse público basta para a perfeição jurídica da restrição que se quer introduzir. Presente a exigência, a medida da restrição há de ser</w:t>
      </w:r>
      <w:r w:rsidR="00121C42">
        <w:t>, antes, muito bem justificada e, após,</w:t>
      </w:r>
      <w:r>
        <w:t xml:space="preserve"> a menos invasiva possível. </w:t>
      </w:r>
    </w:p>
    <w:p w:rsidR="00121C42" w:rsidRDefault="00121C42" w:rsidP="002C6D00">
      <w:pPr>
        <w:spacing w:line="312" w:lineRule="auto"/>
        <w:jc w:val="both"/>
      </w:pPr>
    </w:p>
    <w:p w:rsidR="00EE5FAE" w:rsidRDefault="00121C42" w:rsidP="002C6D00">
      <w:pPr>
        <w:spacing w:line="312" w:lineRule="auto"/>
        <w:jc w:val="both"/>
      </w:pPr>
      <w:r>
        <w:t>O</w:t>
      </w:r>
      <w:r w:rsidR="00EE5FAE">
        <w:t xml:space="preserve"> interesse público</w:t>
      </w:r>
      <w:r>
        <w:t>, como se viu,</w:t>
      </w:r>
      <w:r w:rsidR="00EE5FAE">
        <w:t xml:space="preserve"> há de se concretizar em algum elemento do </w:t>
      </w:r>
      <w:r w:rsidR="00EE5FAE">
        <w:rPr>
          <w:i/>
        </w:rPr>
        <w:t xml:space="preserve">serviço adequado </w:t>
      </w:r>
      <w:r w:rsidR="00EE5FAE">
        <w:t>de que fala o art. 6</w:t>
      </w:r>
      <w:r w:rsidR="00EE5FAE" w:rsidRPr="00EE5FAE">
        <w:rPr>
          <w:vertAlign w:val="superscript"/>
        </w:rPr>
        <w:t>o</w:t>
      </w:r>
      <w:r w:rsidR="00EE5FAE">
        <w:t xml:space="preserve"> da Lei Geral das Concessões e Permissões de Serviço Público, a Lei n</w:t>
      </w:r>
      <w:r w:rsidR="00EE5FAE">
        <w:sym w:font="Symbol" w:char="F0B0"/>
      </w:r>
      <w:r w:rsidR="00EE5FAE">
        <w:t xml:space="preserve"> 8.987/1995</w:t>
      </w:r>
      <w:r w:rsidR="00EE5FAE">
        <w:rPr>
          <w:rStyle w:val="Refdenotaderodap"/>
        </w:rPr>
        <w:footnoteReference w:id="1"/>
      </w:r>
      <w:r w:rsidR="00EE5FAE">
        <w:t xml:space="preserve">, </w:t>
      </w:r>
      <w:proofErr w:type="spellStart"/>
      <w:r w:rsidR="00EE5FAE">
        <w:rPr>
          <w:i/>
        </w:rPr>
        <w:t>verbis</w:t>
      </w:r>
      <w:proofErr w:type="spellEnd"/>
      <w:r w:rsidR="00EE5FAE">
        <w:t>:</w:t>
      </w:r>
    </w:p>
    <w:p w:rsidR="00EE5FAE" w:rsidRDefault="00EE5FAE" w:rsidP="002C6D00">
      <w:pPr>
        <w:spacing w:line="312" w:lineRule="auto"/>
        <w:jc w:val="both"/>
      </w:pPr>
    </w:p>
    <w:p w:rsidR="00EE5FAE" w:rsidRPr="00EE5FAE" w:rsidRDefault="00EE5FAE" w:rsidP="00EE5FAE">
      <w:pPr>
        <w:spacing w:line="312" w:lineRule="auto"/>
        <w:ind w:left="1440"/>
        <w:jc w:val="both"/>
        <w:rPr>
          <w:i/>
        </w:rPr>
      </w:pPr>
      <w:r w:rsidRPr="00EE5FAE">
        <w:rPr>
          <w:i/>
        </w:rPr>
        <w:lastRenderedPageBreak/>
        <w:t>Art. 6</w:t>
      </w:r>
      <w:r w:rsidRPr="00EE5FAE">
        <w:rPr>
          <w:i/>
          <w:vertAlign w:val="superscript"/>
        </w:rPr>
        <w:t>o</w:t>
      </w:r>
      <w:r w:rsidRPr="00EE5FAE">
        <w:rPr>
          <w:i/>
        </w:rPr>
        <w:t xml:space="preserve"> - Toda concessão ou permissão pressupõe a prestação de serviço adequado ao pleno atendimento dos usuários, conforme estabelecido nesta Lei, nas normas pertinentes e no respectivo contrato.</w:t>
      </w:r>
    </w:p>
    <w:p w:rsidR="00EE5FAE" w:rsidRPr="00EE5FAE" w:rsidRDefault="00EE5FAE" w:rsidP="00EE5FAE">
      <w:pPr>
        <w:spacing w:line="312" w:lineRule="auto"/>
        <w:ind w:left="1440"/>
        <w:jc w:val="both"/>
        <w:rPr>
          <w:i/>
        </w:rPr>
      </w:pPr>
      <w:r w:rsidRPr="00EE5FAE">
        <w:rPr>
          <w:i/>
        </w:rPr>
        <w:t>§ 1</w:t>
      </w:r>
      <w:r w:rsidRPr="00EE5FAE">
        <w:rPr>
          <w:i/>
          <w:vertAlign w:val="superscript"/>
        </w:rPr>
        <w:t>o</w:t>
      </w:r>
      <w:r w:rsidRPr="00EE5FAE">
        <w:rPr>
          <w:i/>
        </w:rPr>
        <w:t xml:space="preserve"> - Serviço adequado é o que satisfaz as condições de regularidade, continuidade, eficiência, segurança, atualidade, generalidade, cortesia na sua prestação e modicidade das tarifas.</w:t>
      </w:r>
    </w:p>
    <w:p w:rsidR="002C6D00" w:rsidRPr="00EE5FAE" w:rsidRDefault="00EE5FAE" w:rsidP="00EE5FAE">
      <w:pPr>
        <w:spacing w:line="312" w:lineRule="auto"/>
        <w:ind w:left="1440"/>
        <w:jc w:val="both"/>
      </w:pPr>
      <w:r w:rsidRPr="00EE5FAE">
        <w:rPr>
          <w:i/>
        </w:rPr>
        <w:t>§ 2º - A atualidade compreende a modernidade das técnicas, do equipamento e das instalações e a sua conservação, bem como a melhoria e expansão do serviço.</w:t>
      </w:r>
    </w:p>
    <w:p w:rsidR="00EE5FAE" w:rsidRDefault="00EE5FAE" w:rsidP="002C6D00">
      <w:pPr>
        <w:spacing w:line="312" w:lineRule="auto"/>
        <w:jc w:val="both"/>
      </w:pPr>
    </w:p>
    <w:p w:rsidR="00EE5FAE" w:rsidRDefault="00EE5FAE" w:rsidP="002C6D00">
      <w:pPr>
        <w:spacing w:line="312" w:lineRule="auto"/>
        <w:jc w:val="both"/>
      </w:pPr>
      <w:r>
        <w:t xml:space="preserve">A licitação é um meio de se chegar ao melhor contrato de concessão de serviço público possível; o melhor contrato é aquele que presta o melhor serviço público possível. Respeitadas as peculiaridades de cada modalidade de serviço público e os detalhes concretos de cada setor, as diretrizes do melhor serviço público estão aí resumidas na ideia de </w:t>
      </w:r>
      <w:r>
        <w:rPr>
          <w:i/>
        </w:rPr>
        <w:t>serviço adequado</w:t>
      </w:r>
      <w:r>
        <w:t xml:space="preserve">. </w:t>
      </w:r>
      <w:proofErr w:type="gramStart"/>
      <w:r>
        <w:t>É</w:t>
      </w:r>
      <w:proofErr w:type="gramEnd"/>
      <w:r>
        <w:t xml:space="preserve"> para isso que se selecionam os licitantes. E, em princípio, a melhor seleção é aquele que parte do maior número de competidores.</w:t>
      </w:r>
    </w:p>
    <w:p w:rsidR="00EE5FAE" w:rsidRDefault="00EE5FAE" w:rsidP="002C6D00">
      <w:pPr>
        <w:spacing w:line="312" w:lineRule="auto"/>
        <w:jc w:val="both"/>
      </w:pPr>
    </w:p>
    <w:p w:rsidR="00EE5FAE" w:rsidRDefault="00EE5FAE" w:rsidP="002C6D00">
      <w:pPr>
        <w:spacing w:line="312" w:lineRule="auto"/>
        <w:jc w:val="both"/>
      </w:pPr>
      <w:r>
        <w:t xml:space="preserve">Sem adentrar nas tecnicalidades do serviço público aeroportuário, </w:t>
      </w:r>
      <w:r w:rsidR="0003751A">
        <w:t xml:space="preserve">convém, </w:t>
      </w:r>
      <w:r>
        <w:t xml:space="preserve">para os propósitos singelos da presente indagação, separar os elementos do serviço adequado em dois grandes grupos: um primeiro, relacionado com o que se poderia chamar de requisitos de </w:t>
      </w:r>
      <w:r w:rsidRPr="00EE5FAE">
        <w:rPr>
          <w:b/>
          <w:i/>
        </w:rPr>
        <w:t>adequação técnica</w:t>
      </w:r>
      <w:r>
        <w:rPr>
          <w:i/>
        </w:rPr>
        <w:t xml:space="preserve"> </w:t>
      </w:r>
      <w:r>
        <w:t>(manifestados genericamente nas ideias de “regularidade”, “continuidade”, “eficiência”, “segurança”, “generalidade” e “atualidade”) e</w:t>
      </w:r>
      <w:r w:rsidR="0003751A">
        <w:t xml:space="preserve"> de </w:t>
      </w:r>
      <w:r w:rsidRPr="00EE5FAE">
        <w:rPr>
          <w:b/>
          <w:i/>
        </w:rPr>
        <w:t>adequação econômica</w:t>
      </w:r>
      <w:r>
        <w:t xml:space="preserve"> (manifestado na ideia de “modicidade tarifária”).</w:t>
      </w:r>
    </w:p>
    <w:p w:rsidR="00EE5FAE" w:rsidRDefault="00EE5FAE" w:rsidP="002C6D00">
      <w:pPr>
        <w:spacing w:line="312" w:lineRule="auto"/>
        <w:jc w:val="both"/>
      </w:pPr>
    </w:p>
    <w:p w:rsidR="00EE5FAE" w:rsidRDefault="00EE5FAE" w:rsidP="002C6D00">
      <w:pPr>
        <w:spacing w:line="312" w:lineRule="auto"/>
        <w:jc w:val="both"/>
      </w:pPr>
      <w:r>
        <w:t>Pois bem, pode haver – e não raro</w:t>
      </w:r>
      <w:r w:rsidR="0003751A">
        <w:t xml:space="preserve"> há</w:t>
      </w:r>
      <w:r>
        <w:t xml:space="preserve"> – necessidade de </w:t>
      </w:r>
      <w:proofErr w:type="gramStart"/>
      <w:r>
        <w:t>introduzir-se</w:t>
      </w:r>
      <w:proofErr w:type="gramEnd"/>
      <w:r>
        <w:t xml:space="preserve"> limitações a bem da </w:t>
      </w:r>
      <w:r>
        <w:rPr>
          <w:b/>
        </w:rPr>
        <w:t xml:space="preserve">adequação técnica </w:t>
      </w:r>
      <w:r>
        <w:t xml:space="preserve">do serviço. São inúmeras as razões específicas – cada qual afeita ao serviço licitado – que levam a tanto, assim como são inúmeras as formas de veicular tais limitações – também afeitas à </w:t>
      </w:r>
      <w:proofErr w:type="spellStart"/>
      <w:r>
        <w:t>modalidde</w:t>
      </w:r>
      <w:proofErr w:type="spellEnd"/>
      <w:r>
        <w:t xml:space="preserve"> do serviço. É desnecessário ilustrar esse ponto, até porque o próprio edital em questão possui uma, voltada para o operador:</w:t>
      </w:r>
    </w:p>
    <w:p w:rsidR="00EE5FAE" w:rsidRDefault="00EE5FAE" w:rsidP="002C6D00">
      <w:pPr>
        <w:spacing w:line="312" w:lineRule="auto"/>
        <w:jc w:val="both"/>
      </w:pPr>
    </w:p>
    <w:p w:rsidR="00EE5FAE" w:rsidRPr="00EE5FAE" w:rsidRDefault="00EE5FAE" w:rsidP="00EE5FAE">
      <w:pPr>
        <w:spacing w:line="312" w:lineRule="auto"/>
        <w:ind w:left="2160"/>
        <w:jc w:val="both"/>
        <w:rPr>
          <w:i/>
        </w:rPr>
      </w:pPr>
      <w:r w:rsidRPr="00EE5FAE">
        <w:rPr>
          <w:i/>
        </w:rPr>
        <w:t xml:space="preserve">4.46. É requisito de qualificação técnica para apresentação de propostas para quaisquer dos aeroportos que o Operador Aeroportuário possua experiência </w:t>
      </w:r>
      <w:proofErr w:type="spellStart"/>
      <w:r w:rsidRPr="00EE5FAE">
        <w:rPr>
          <w:i/>
        </w:rPr>
        <w:t>mínimia</w:t>
      </w:r>
      <w:proofErr w:type="spellEnd"/>
      <w:r w:rsidRPr="00EE5FAE">
        <w:rPr>
          <w:i/>
        </w:rPr>
        <w:t xml:space="preserve"> de </w:t>
      </w:r>
      <w:proofErr w:type="gramStart"/>
      <w:r w:rsidRPr="00EE5FAE">
        <w:rPr>
          <w:i/>
        </w:rPr>
        <w:t>5</w:t>
      </w:r>
      <w:proofErr w:type="gramEnd"/>
      <w:r w:rsidRPr="00EE5FAE">
        <w:rPr>
          <w:i/>
        </w:rPr>
        <w:t xml:space="preserve"> (cinco) anos na operação de</w:t>
      </w:r>
      <w:r w:rsidR="0003751A">
        <w:rPr>
          <w:i/>
        </w:rPr>
        <w:t xml:space="preserve"> </w:t>
      </w:r>
      <w:r w:rsidRPr="00EE5FAE">
        <w:rPr>
          <w:i/>
        </w:rPr>
        <w:lastRenderedPageBreak/>
        <w:t>um mesmo aeroporto que tenha processado, no mínimo, 35 (trinta e cinco) milhões de passageiros em pelo menos 1 (um) ano civil, nos últimos 5 (cinco) anos anteriores ao da publicação deste Edital, considerando o somatório de passageiros embarcados, desembarcados e em trânsito.</w:t>
      </w:r>
    </w:p>
    <w:p w:rsidR="00EE5FAE" w:rsidRDefault="00EE5FAE" w:rsidP="00EE5FAE">
      <w:pPr>
        <w:spacing w:line="312" w:lineRule="auto"/>
        <w:jc w:val="both"/>
      </w:pPr>
    </w:p>
    <w:p w:rsidR="00EE5FAE" w:rsidRDefault="00EE5FAE" w:rsidP="00EE5FAE">
      <w:pPr>
        <w:spacing w:line="312" w:lineRule="auto"/>
        <w:jc w:val="both"/>
      </w:pPr>
      <w:r>
        <w:t>Esta cláusula incide especificamente sobre o sujeito responsável pela gestão efetiva do aeroporto, o Operador Aeroportuário</w:t>
      </w:r>
      <w:r w:rsidR="0003751A">
        <w:t>,</w:t>
      </w:r>
      <w:r>
        <w:t xml:space="preserve"> e é ela a responsável por expurgar do </w:t>
      </w:r>
      <w:proofErr w:type="gramStart"/>
      <w:r>
        <w:t>certame eventuais participantes tecnicamente despreparados, sob a perspectiva (discricionária) do titular do serviço</w:t>
      </w:r>
      <w:proofErr w:type="gramEnd"/>
      <w:r>
        <w:t xml:space="preserve"> (a União Federal).</w:t>
      </w:r>
    </w:p>
    <w:p w:rsidR="00EE5FAE" w:rsidRDefault="00EE5FAE" w:rsidP="00EE5FAE">
      <w:pPr>
        <w:spacing w:line="312" w:lineRule="auto"/>
        <w:jc w:val="both"/>
      </w:pPr>
    </w:p>
    <w:p w:rsidR="00EE5FAE" w:rsidRDefault="00EE5FAE" w:rsidP="00EE5FAE">
      <w:pPr>
        <w:spacing w:line="312" w:lineRule="auto"/>
        <w:jc w:val="both"/>
      </w:pPr>
      <w:r>
        <w:t xml:space="preserve">Outra sorte de limitações pode ter por lastro propiciar um serviço </w:t>
      </w:r>
      <w:r>
        <w:rPr>
          <w:b/>
        </w:rPr>
        <w:t>economicamente adequado ao usuário</w:t>
      </w:r>
      <w:r>
        <w:rPr>
          <w:rStyle w:val="Refdenotaderodap"/>
          <w:b/>
        </w:rPr>
        <w:footnoteReference w:id="2"/>
      </w:r>
      <w:r>
        <w:rPr>
          <w:b/>
        </w:rPr>
        <w:t xml:space="preserve">. </w:t>
      </w:r>
      <w:r>
        <w:t xml:space="preserve">Da mesma forma que ocorre com a limitação a bem da adequação técnica, há vários objetivos específicos e vários mecanismos restritivos que podem ser postos em prática. </w:t>
      </w:r>
    </w:p>
    <w:p w:rsidR="00EE5FAE" w:rsidRDefault="00EE5FAE" w:rsidP="00EE5FAE">
      <w:pPr>
        <w:spacing w:line="312" w:lineRule="auto"/>
        <w:jc w:val="both"/>
      </w:pPr>
    </w:p>
    <w:p w:rsidR="0003751A" w:rsidRDefault="00EE5FAE" w:rsidP="00EE5FAE">
      <w:pPr>
        <w:spacing w:line="312" w:lineRule="auto"/>
        <w:jc w:val="both"/>
      </w:pPr>
      <w:r>
        <w:t xml:space="preserve">A </w:t>
      </w:r>
      <w:r w:rsidR="00C52A01">
        <w:t xml:space="preserve">exata </w:t>
      </w:r>
      <w:r>
        <w:t>conformação econômica setorial</w:t>
      </w:r>
      <w:r w:rsidR="00C52A01">
        <w:t xml:space="preserve"> que </w:t>
      </w:r>
      <w:proofErr w:type="gramStart"/>
      <w:r w:rsidR="00C52A01">
        <w:t>o poder concedente</w:t>
      </w:r>
      <w:proofErr w:type="gramEnd"/>
      <w:r w:rsidR="00C52A01">
        <w:t xml:space="preserve"> imprime ao setor reservado (“serviço público), por meio de suas escolhas normativas (a “política setorial” implementada pelo ente regulador)</w:t>
      </w:r>
      <w:r>
        <w:t xml:space="preserve">, </w:t>
      </w:r>
      <w:r w:rsidR="00C52A01">
        <w:t>determina</w:t>
      </w:r>
      <w:r w:rsidR="0003751A">
        <w:t>,</w:t>
      </w:r>
      <w:r w:rsidR="00C52A01">
        <w:t xml:space="preserve"> </w:t>
      </w:r>
      <w:r>
        <w:t>em boa medida, as preocupações relativamente</w:t>
      </w:r>
      <w:r w:rsidR="00C52A01">
        <w:t xml:space="preserve"> ao comportamento dos agentes econômicos e seus limites de atuação</w:t>
      </w:r>
      <w:r>
        <w:t xml:space="preserve">. </w:t>
      </w:r>
    </w:p>
    <w:p w:rsidR="0003751A" w:rsidRDefault="0003751A" w:rsidP="00EE5FAE">
      <w:pPr>
        <w:spacing w:line="312" w:lineRule="auto"/>
        <w:jc w:val="both"/>
      </w:pPr>
    </w:p>
    <w:p w:rsidR="00C52A01" w:rsidRDefault="00EE5FAE" w:rsidP="00EE5FAE">
      <w:pPr>
        <w:spacing w:line="312" w:lineRule="auto"/>
        <w:jc w:val="both"/>
      </w:pPr>
      <w:r>
        <w:t xml:space="preserve">Se em décadas anteriores vários serviços públicos tinham estrutura verticalizada, monopolista e não </w:t>
      </w:r>
      <w:proofErr w:type="gramStart"/>
      <w:r>
        <w:t>concorrencial, paulatinamente esta</w:t>
      </w:r>
      <w:proofErr w:type="gramEnd"/>
      <w:r>
        <w:t xml:space="preserve"> tendência se inverteu e</w:t>
      </w:r>
      <w:r w:rsidR="00C52A01">
        <w:t>,</w:t>
      </w:r>
      <w:r>
        <w:t xml:space="preserve"> onde possível</w:t>
      </w:r>
      <w:r w:rsidR="00C52A01">
        <w:t>,</w:t>
      </w:r>
      <w:r>
        <w:t xml:space="preserve"> instaurou-se um s</w:t>
      </w:r>
      <w:r w:rsidR="00C52A01">
        <w:t xml:space="preserve">istema </w:t>
      </w:r>
      <w:proofErr w:type="spellStart"/>
      <w:r w:rsidR="00C52A01">
        <w:t>concessional</w:t>
      </w:r>
      <w:proofErr w:type="spellEnd"/>
      <w:r w:rsidR="00C52A01">
        <w:t xml:space="preserve"> competitivo, com reflexos na legislação de regência (</w:t>
      </w:r>
      <w:proofErr w:type="spellStart"/>
      <w:r w:rsidR="00C52A01">
        <w:t>arts</w:t>
      </w:r>
      <w:proofErr w:type="spellEnd"/>
      <w:r w:rsidR="00C52A01">
        <w:t>. 7</w:t>
      </w:r>
      <w:r w:rsidR="00C52A01">
        <w:sym w:font="Symbol" w:char="F0B0"/>
      </w:r>
      <w:r w:rsidR="00C52A01">
        <w:t>, inc. III; art. 16 da Lei 8.987/1995, dentre outros) e atração reflexa da legislação antitruste.</w:t>
      </w:r>
    </w:p>
    <w:p w:rsidR="00C52A01" w:rsidRDefault="00C52A01" w:rsidP="00EE5FAE">
      <w:pPr>
        <w:spacing w:line="312" w:lineRule="auto"/>
        <w:jc w:val="both"/>
      </w:pPr>
    </w:p>
    <w:p w:rsidR="00C52A01" w:rsidRDefault="00C52A01" w:rsidP="00EE5FAE">
      <w:pPr>
        <w:spacing w:line="312" w:lineRule="auto"/>
        <w:jc w:val="both"/>
      </w:pPr>
      <w:r>
        <w:t>Isso significa que é, sim, certamente possível a introdução de regras cerceador</w:t>
      </w:r>
      <w:r w:rsidR="0003751A">
        <w:t>a</w:t>
      </w:r>
      <w:r>
        <w:t>s da ampla liberdade de participação de agentes econômicos em licitações de determinados serviços públicos, por razões de estruturas de mercado, mas desde que tais limitações (e tal estrutura de mercado) importe</w:t>
      </w:r>
      <w:r w:rsidR="0003751A">
        <w:t>m</w:t>
      </w:r>
      <w:r>
        <w:t xml:space="preserve">, </w:t>
      </w:r>
      <w:r>
        <w:rPr>
          <w:i/>
        </w:rPr>
        <w:t xml:space="preserve">em </w:t>
      </w:r>
      <w:r>
        <w:t xml:space="preserve">ultima </w:t>
      </w:r>
      <w:proofErr w:type="spellStart"/>
      <w:r>
        <w:t>ratio</w:t>
      </w:r>
      <w:proofErr w:type="spellEnd"/>
      <w:r>
        <w:rPr>
          <w:i/>
        </w:rPr>
        <w:t xml:space="preserve">, em algum prejuízo detectável para o serviço </w:t>
      </w:r>
      <w:r>
        <w:rPr>
          <w:i/>
        </w:rPr>
        <w:lastRenderedPageBreak/>
        <w:t>público adequado</w:t>
      </w:r>
      <w:r>
        <w:t xml:space="preserve"> e que tal limitação fique confinada ao mínimo indispensável para operar o efeito de garantir tal serviço adequado. </w:t>
      </w:r>
    </w:p>
    <w:p w:rsidR="00C52A01" w:rsidRDefault="00C52A01" w:rsidP="00EE5FAE">
      <w:pPr>
        <w:spacing w:line="312" w:lineRule="auto"/>
        <w:jc w:val="both"/>
      </w:pPr>
    </w:p>
    <w:p w:rsidR="00C52A01" w:rsidRDefault="00C52A01" w:rsidP="00EE5FAE">
      <w:pPr>
        <w:spacing w:line="312" w:lineRule="auto"/>
        <w:jc w:val="both"/>
      </w:pPr>
      <w:r>
        <w:t xml:space="preserve">Analiticamente, os pressupostos fundamentais de </w:t>
      </w:r>
      <w:proofErr w:type="gramStart"/>
      <w:r>
        <w:t>um tal</w:t>
      </w:r>
      <w:proofErr w:type="gramEnd"/>
      <w:r>
        <w:t xml:space="preserve"> mecanismo de compressão da liberdade de atuação privada seriam os seguintes:</w:t>
      </w:r>
    </w:p>
    <w:p w:rsidR="00C52A01" w:rsidRDefault="00C52A01" w:rsidP="00EE5FAE">
      <w:pPr>
        <w:spacing w:line="312" w:lineRule="auto"/>
        <w:jc w:val="both"/>
      </w:pPr>
    </w:p>
    <w:p w:rsidR="00C52A01" w:rsidRDefault="00C52A01" w:rsidP="0003751A">
      <w:pPr>
        <w:pStyle w:val="PargrafodaLista"/>
        <w:numPr>
          <w:ilvl w:val="0"/>
          <w:numId w:val="5"/>
        </w:numPr>
        <w:spacing w:line="312" w:lineRule="auto"/>
        <w:jc w:val="both"/>
      </w:pPr>
      <w:proofErr w:type="gramStart"/>
      <w:r>
        <w:t>conformação</w:t>
      </w:r>
      <w:proofErr w:type="gramEnd"/>
      <w:r>
        <w:t xml:space="preserve"> do serviço público como competitivo, no plano normativo; </w:t>
      </w:r>
    </w:p>
    <w:p w:rsidR="00C52A01" w:rsidRDefault="00C52A01" w:rsidP="00C52A01">
      <w:pPr>
        <w:pStyle w:val="PargrafodaLista"/>
        <w:spacing w:line="312" w:lineRule="auto"/>
        <w:jc w:val="both"/>
      </w:pPr>
    </w:p>
    <w:p w:rsidR="00C52A01" w:rsidRDefault="00C52A01" w:rsidP="0003751A">
      <w:pPr>
        <w:pStyle w:val="PargrafodaLista"/>
        <w:numPr>
          <w:ilvl w:val="0"/>
          <w:numId w:val="5"/>
        </w:numPr>
        <w:spacing w:line="312" w:lineRule="auto"/>
        <w:jc w:val="both"/>
      </w:pPr>
      <w:proofErr w:type="gramStart"/>
      <w:r>
        <w:t>identificação</w:t>
      </w:r>
      <w:proofErr w:type="gramEnd"/>
      <w:r>
        <w:t>, em concreto, dos parâmetros desta competição (no caso em comento: quais aeroportos competem entre si; em quais circunstâncias etc.);</w:t>
      </w:r>
    </w:p>
    <w:p w:rsidR="00C52A01" w:rsidRDefault="00C52A01" w:rsidP="00C52A01">
      <w:pPr>
        <w:spacing w:line="312" w:lineRule="auto"/>
        <w:jc w:val="both"/>
      </w:pPr>
    </w:p>
    <w:p w:rsidR="00C52A01" w:rsidRDefault="00C52A01" w:rsidP="0003751A">
      <w:pPr>
        <w:pStyle w:val="PargrafodaLista"/>
        <w:numPr>
          <w:ilvl w:val="0"/>
          <w:numId w:val="5"/>
        </w:numPr>
        <w:spacing w:line="312" w:lineRule="auto"/>
        <w:jc w:val="both"/>
      </w:pPr>
      <w:proofErr w:type="gramStart"/>
      <w:r>
        <w:t>introdução</w:t>
      </w:r>
      <w:proofErr w:type="gramEnd"/>
      <w:r>
        <w:t xml:space="preserve"> de regras restritivas que identifiquem, dentre outros elementos:</w:t>
      </w:r>
    </w:p>
    <w:p w:rsidR="00C52A01" w:rsidRDefault="00C52A01" w:rsidP="00C52A01">
      <w:pPr>
        <w:spacing w:line="312" w:lineRule="auto"/>
        <w:jc w:val="both"/>
      </w:pPr>
    </w:p>
    <w:p w:rsidR="00C52A01" w:rsidRDefault="00C52A01" w:rsidP="0003751A">
      <w:pPr>
        <w:pStyle w:val="PargrafodaLista"/>
        <w:numPr>
          <w:ilvl w:val="1"/>
          <w:numId w:val="5"/>
        </w:numPr>
        <w:spacing w:line="312" w:lineRule="auto"/>
        <w:jc w:val="both"/>
      </w:pPr>
      <w:proofErr w:type="gramStart"/>
      <w:r>
        <w:t>os</w:t>
      </w:r>
      <w:proofErr w:type="gramEnd"/>
      <w:r>
        <w:t xml:space="preserve"> mercados relevantes que devem permanecer segregados em termos de participação de agentes econômicos com posições relevantes;</w:t>
      </w:r>
      <w:r w:rsidR="0003751A">
        <w:t xml:space="preserve"> e</w:t>
      </w:r>
    </w:p>
    <w:p w:rsidR="00C52A01" w:rsidRDefault="00C52A01" w:rsidP="00C52A01">
      <w:pPr>
        <w:pStyle w:val="PargrafodaLista"/>
        <w:spacing w:line="312" w:lineRule="auto"/>
        <w:ind w:left="1440"/>
        <w:jc w:val="both"/>
      </w:pPr>
    </w:p>
    <w:p w:rsidR="00EE5FAE" w:rsidRDefault="00C52A01" w:rsidP="0003751A">
      <w:pPr>
        <w:pStyle w:val="PargrafodaLista"/>
        <w:numPr>
          <w:ilvl w:val="1"/>
          <w:numId w:val="5"/>
        </w:numPr>
        <w:spacing w:line="312" w:lineRule="auto"/>
        <w:jc w:val="both"/>
      </w:pPr>
      <w:proofErr w:type="gramStart"/>
      <w:r>
        <w:t>a</w:t>
      </w:r>
      <w:proofErr w:type="gramEnd"/>
      <w:r>
        <w:t xml:space="preserve"> identificação, nestes mercados, do que constitui uma posição efetivamente relevante.</w:t>
      </w:r>
    </w:p>
    <w:p w:rsidR="00C52A01" w:rsidRDefault="00C52A01" w:rsidP="00EE5FAE">
      <w:pPr>
        <w:spacing w:line="312" w:lineRule="auto"/>
        <w:jc w:val="both"/>
      </w:pPr>
    </w:p>
    <w:p w:rsidR="00EE5FAE" w:rsidRPr="00EE5FAE" w:rsidRDefault="00C52A01" w:rsidP="00EE5FAE">
      <w:pPr>
        <w:spacing w:line="312" w:lineRule="auto"/>
        <w:jc w:val="both"/>
      </w:pPr>
      <w:r w:rsidRPr="0003751A">
        <w:t>Mecanismo semelhante foi adotado no setor elétrico</w:t>
      </w:r>
      <w:r w:rsidR="0003751A">
        <w:t xml:space="preserve"> e na legislação antitruste</w:t>
      </w:r>
      <w:r w:rsidRPr="0003751A">
        <w:t>.</w:t>
      </w:r>
    </w:p>
    <w:p w:rsidR="00C52A01" w:rsidRDefault="00C52A01" w:rsidP="002C6D00">
      <w:pPr>
        <w:spacing w:line="312" w:lineRule="auto"/>
        <w:jc w:val="both"/>
      </w:pPr>
    </w:p>
    <w:p w:rsidR="00C52A01" w:rsidRDefault="00C52A01" w:rsidP="002C6D00">
      <w:pPr>
        <w:spacing w:line="312" w:lineRule="auto"/>
        <w:jc w:val="both"/>
      </w:pPr>
      <w:r>
        <w:t>Ora bem, assim como está, a regra do edital seria absolutamente ineficaz para um eventual propósito deste tipo – i.e., assumindo-se que tal seria sua finalidade – pois, como se viu, ela tem um alcance subjetivo bastante limitado</w:t>
      </w:r>
      <w:r w:rsidR="0003751A">
        <w:t xml:space="preserve"> e deslocado da estrutura societária em que diferentes agentes podem ou poderiam ser afetados (operador técnico, sócio majoritário, sócio minoritário, controlador, investidor etc.)</w:t>
      </w:r>
      <w:r>
        <w:t>.</w:t>
      </w:r>
    </w:p>
    <w:p w:rsidR="00C52A01" w:rsidRDefault="00C52A01" w:rsidP="002C6D00">
      <w:pPr>
        <w:spacing w:line="312" w:lineRule="auto"/>
        <w:jc w:val="both"/>
      </w:pPr>
    </w:p>
    <w:p w:rsidR="00C52A01" w:rsidRDefault="00C52A01" w:rsidP="002C6D00">
      <w:pPr>
        <w:spacing w:line="312" w:lineRule="auto"/>
        <w:jc w:val="both"/>
      </w:pPr>
      <w:r>
        <w:t xml:space="preserve">De outra banda, caso se desejasse, por uma vedada interpretação extensiva, aplicá-la a outros sujeitos que não os expressamente por ela colhidos, ela operaria um intolerável exagero, um verdadeiro </w:t>
      </w:r>
      <w:r>
        <w:rPr>
          <w:i/>
        </w:rPr>
        <w:t xml:space="preserve">desequilíbrio, </w:t>
      </w:r>
      <w:r>
        <w:t>entre os valores que devem orientar a sua construção (cfe. acima).</w:t>
      </w:r>
    </w:p>
    <w:p w:rsidR="00C52A01" w:rsidRDefault="00C52A01" w:rsidP="002C6D00">
      <w:pPr>
        <w:spacing w:line="312" w:lineRule="auto"/>
        <w:jc w:val="both"/>
      </w:pPr>
    </w:p>
    <w:p w:rsidR="00C52A01" w:rsidRDefault="00C52A01" w:rsidP="002C6D00">
      <w:pPr>
        <w:spacing w:line="312" w:lineRule="auto"/>
        <w:jc w:val="both"/>
      </w:pPr>
      <w:r>
        <w:lastRenderedPageBreak/>
        <w:t>Aliás, este desequilíbrio pode ser lido, sob a perspectiva jurídica</w:t>
      </w:r>
      <w:r w:rsidR="003947F3">
        <w:t>,</w:t>
      </w:r>
      <w:r>
        <w:t xml:space="preserve"> como uma </w:t>
      </w:r>
      <w:r w:rsidRPr="00C52A01">
        <w:rPr>
          <w:b/>
        </w:rPr>
        <w:t>violação do princípio da proporcionalidade</w:t>
      </w:r>
      <w:r>
        <w:t xml:space="preserve">. </w:t>
      </w:r>
      <w:r w:rsidR="003947F3">
        <w:t>Se bem examinada, a medida não passaria pelos testes da necessidade e proporcionalidade em sentido estrito.</w:t>
      </w:r>
    </w:p>
    <w:p w:rsidR="00C52A01" w:rsidRDefault="00C52A01" w:rsidP="002C6D00">
      <w:pPr>
        <w:spacing w:line="312" w:lineRule="auto"/>
        <w:jc w:val="both"/>
      </w:pPr>
    </w:p>
    <w:p w:rsidR="0003751A" w:rsidRDefault="0003751A" w:rsidP="0003751A">
      <w:pPr>
        <w:jc w:val="both"/>
      </w:pPr>
      <w:r>
        <w:t xml:space="preserve">Portanto, na forma como apresentada a regra de restrição no edital, ela é ou inútil ou extravagante (exagerada) e, de qualquer sorte, no presente caso, carente de fundamentação, seja no que respeita o bem a ser protegido, seja quanto à eficácia da medida a ser </w:t>
      </w:r>
      <w:proofErr w:type="gramStart"/>
      <w:r>
        <w:t>implementada</w:t>
      </w:r>
      <w:proofErr w:type="gramEnd"/>
      <w:r>
        <w:t xml:space="preserve">. </w:t>
      </w:r>
    </w:p>
    <w:p w:rsidR="0003751A" w:rsidRDefault="0003751A" w:rsidP="0003751A">
      <w:pPr>
        <w:jc w:val="both"/>
      </w:pPr>
    </w:p>
    <w:p w:rsidR="001C48D6" w:rsidRDefault="0003751A" w:rsidP="0003751A">
      <w:pPr>
        <w:jc w:val="both"/>
      </w:pPr>
      <w:r>
        <w:t>Ou bem, se verifica a necessidade de haver a restrição, justificando-a tecnicamente e limitando o seu alcance especificamente àqueles agen</w:t>
      </w:r>
      <w:r w:rsidR="002F57C2">
        <w:t>tes que efetivamente a justificariam e no âmbito de mercado específico, no qual tal restrição seria relevante.</w:t>
      </w:r>
    </w:p>
    <w:p w:rsidR="002F57C2" w:rsidRDefault="002F57C2" w:rsidP="0003751A">
      <w:pPr>
        <w:jc w:val="both"/>
      </w:pPr>
    </w:p>
    <w:p w:rsidR="002F57C2" w:rsidRDefault="002F57C2" w:rsidP="0003751A">
      <w:pPr>
        <w:jc w:val="both"/>
      </w:pPr>
      <w:r>
        <w:t>Pede-se, assim, que seja esclarecido, à luz de tais considerações, qual o correto entendimento e alcance do item 3.15.5 do edital.</w:t>
      </w:r>
    </w:p>
    <w:p w:rsidR="002F57C2" w:rsidRDefault="002F57C2" w:rsidP="0003751A">
      <w:pPr>
        <w:jc w:val="both"/>
      </w:pPr>
    </w:p>
    <w:p w:rsidR="002F57C2" w:rsidRDefault="002F57C2" w:rsidP="0003751A">
      <w:pPr>
        <w:jc w:val="both"/>
      </w:pPr>
      <w:bookmarkStart w:id="0" w:name="_GoBack"/>
      <w:bookmarkEnd w:id="0"/>
    </w:p>
    <w:sectPr w:rsidR="002F57C2" w:rsidSect="001C48D6">
      <w:footerReference w:type="even" r:id="rId8"/>
      <w:footerReference w:type="default" r:id="rId9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700" w:rsidRDefault="00520700">
      <w:r>
        <w:separator/>
      </w:r>
    </w:p>
  </w:endnote>
  <w:endnote w:type="continuationSeparator" w:id="0">
    <w:p w:rsidR="00520700" w:rsidRDefault="00520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FAE" w:rsidRDefault="002A07EB" w:rsidP="00EE5FA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EE5FAE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EE5FAE" w:rsidRDefault="00EE5FAE" w:rsidP="00EE5FAE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FAE" w:rsidRDefault="002A07EB" w:rsidP="00EE5FA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EE5FAE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3947F3">
      <w:rPr>
        <w:rStyle w:val="Nmerodepgina"/>
        <w:noProof/>
      </w:rPr>
      <w:t>8</w:t>
    </w:r>
    <w:r>
      <w:rPr>
        <w:rStyle w:val="Nmerodepgina"/>
      </w:rPr>
      <w:fldChar w:fldCharType="end"/>
    </w:r>
  </w:p>
  <w:p w:rsidR="00EE5FAE" w:rsidRDefault="00EE5FAE" w:rsidP="00EE5FAE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700" w:rsidRDefault="00520700">
      <w:r>
        <w:separator/>
      </w:r>
    </w:p>
  </w:footnote>
  <w:footnote w:type="continuationSeparator" w:id="0">
    <w:p w:rsidR="00520700" w:rsidRDefault="00520700">
      <w:r>
        <w:continuationSeparator/>
      </w:r>
    </w:p>
  </w:footnote>
  <w:footnote w:id="1">
    <w:p w:rsidR="00EE5FAE" w:rsidRDefault="00EE5FAE">
      <w:pPr>
        <w:pStyle w:val="Textodenotaderodap"/>
      </w:pPr>
      <w:r>
        <w:rPr>
          <w:rStyle w:val="Refdenotaderodap"/>
        </w:rPr>
        <w:footnoteRef/>
      </w:r>
      <w:r>
        <w:t xml:space="preserve"> Dada </w:t>
      </w:r>
      <w:proofErr w:type="gramStart"/>
      <w:r>
        <w:t>a</w:t>
      </w:r>
      <w:proofErr w:type="gramEnd"/>
      <w:r>
        <w:t xml:space="preserve"> brevidade desta nota, não se explora, aqui, a incidência</w:t>
      </w:r>
      <w:r w:rsidR="00C52A01">
        <w:t xml:space="preserve"> direta</w:t>
      </w:r>
      <w:r>
        <w:t xml:space="preserve"> de outros objetivos ou interesses públicos, mais próprios de ambientes puramente concorrenciais, diferentes do ora analisado, o qual se tem por </w:t>
      </w:r>
      <w:r>
        <w:rPr>
          <w:i/>
        </w:rPr>
        <w:t>reservado à União</w:t>
      </w:r>
      <w:r>
        <w:t xml:space="preserve">, por força de norma constitucional expressa (art. 21, XII, </w:t>
      </w:r>
      <w:r>
        <w:rPr>
          <w:i/>
        </w:rPr>
        <w:t>c</w:t>
      </w:r>
      <w:r>
        <w:t xml:space="preserve">). </w:t>
      </w:r>
    </w:p>
    <w:p w:rsidR="00EE5FAE" w:rsidRPr="00C52A01" w:rsidRDefault="00EE5FAE">
      <w:pPr>
        <w:pStyle w:val="Textodenotaderodap"/>
      </w:pPr>
      <w:r>
        <w:t xml:space="preserve">Tais outros interesses públicos dizem respeito à higidez dos mercados, à preservação da livre iniciativa e livre concorrência como valores </w:t>
      </w:r>
      <w:r>
        <w:rPr>
          <w:i/>
        </w:rPr>
        <w:t xml:space="preserve">a se, </w:t>
      </w:r>
      <w:r>
        <w:t xml:space="preserve">e ao controle de </w:t>
      </w:r>
      <w:r>
        <w:rPr>
          <w:i/>
        </w:rPr>
        <w:t>lucros abusivos</w:t>
      </w:r>
      <w:r>
        <w:t xml:space="preserve"> (campo de incidência originário do art. 173, § 4</w:t>
      </w:r>
      <w:r w:rsidRPr="00EE5FAE">
        <w:rPr>
          <w:vertAlign w:val="superscript"/>
        </w:rPr>
        <w:t>o</w:t>
      </w:r>
      <w:r>
        <w:t xml:space="preserve"> da CFRB). </w:t>
      </w:r>
      <w:r w:rsidR="00C52A01">
        <w:t xml:space="preserve">Isso, porém, não quer dizer que não incidem, apenas que o fazem de modo </w:t>
      </w:r>
      <w:r w:rsidR="00C52A01">
        <w:rPr>
          <w:i/>
        </w:rPr>
        <w:t>reflexo</w:t>
      </w:r>
      <w:r w:rsidR="00C52A01">
        <w:t>, se e na medida em que o serviço público em questão, por decisão do poder concedente, tomou uma feição concorrencial.</w:t>
      </w:r>
    </w:p>
  </w:footnote>
  <w:footnote w:id="2">
    <w:p w:rsidR="00EE5FAE" w:rsidRPr="00C52A01" w:rsidRDefault="00EE5FAE">
      <w:pPr>
        <w:pStyle w:val="Textodenotaderodap"/>
      </w:pPr>
      <w:r>
        <w:rPr>
          <w:rStyle w:val="Refdenotaderodap"/>
        </w:rPr>
        <w:footnoteRef/>
      </w:r>
      <w:r>
        <w:t xml:space="preserve"> Em reforço à nota </w:t>
      </w:r>
      <w:proofErr w:type="gramStart"/>
      <w:r>
        <w:t>2</w:t>
      </w:r>
      <w:proofErr w:type="gramEnd"/>
      <w:r>
        <w:t xml:space="preserve">, acima, note-se que parece mais próprio, no presente contexto, tratar de possíveis restrições à participação de agentes econômicos em licitações de aeroportos sob a perspectiva do </w:t>
      </w:r>
      <w:r>
        <w:rPr>
          <w:i/>
        </w:rPr>
        <w:t xml:space="preserve">serviço público economicamente adequado </w:t>
      </w:r>
      <w:r>
        <w:t xml:space="preserve">e não, </w:t>
      </w:r>
      <w:proofErr w:type="spellStart"/>
      <w:r>
        <w:t>simplesemente</w:t>
      </w:r>
      <w:proofErr w:type="spellEnd"/>
      <w:r>
        <w:t xml:space="preserve">, sob a perspectiva do direito concorrencial ou antitruste. Como quer que </w:t>
      </w:r>
      <w:proofErr w:type="gramStart"/>
      <w:r>
        <w:t>seja,</w:t>
      </w:r>
      <w:proofErr w:type="gramEnd"/>
      <w:r>
        <w:t xml:space="preserve"> não há espaço para enfrentar o tema a contento aqui, de modo que se prefere manter-se nos lim</w:t>
      </w:r>
      <w:r w:rsidR="00C52A01">
        <w:t xml:space="preserve">ites do direito administrativo, sem prejuízo das referências ao direito econômico feitas </w:t>
      </w:r>
      <w:proofErr w:type="spellStart"/>
      <w:r w:rsidR="00C52A01">
        <w:rPr>
          <w:i/>
        </w:rPr>
        <w:t>en</w:t>
      </w:r>
      <w:proofErr w:type="spellEnd"/>
      <w:r w:rsidR="00C52A01">
        <w:rPr>
          <w:i/>
        </w:rPr>
        <w:t xml:space="preserve"> passant </w:t>
      </w:r>
      <w:r w:rsidR="00C52A01">
        <w:t xml:space="preserve">no texto.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5241C"/>
    <w:multiLevelType w:val="hybridMultilevel"/>
    <w:tmpl w:val="2834AFAA"/>
    <w:lvl w:ilvl="0" w:tplc="BFB86F3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CD38B7"/>
    <w:multiLevelType w:val="hybridMultilevel"/>
    <w:tmpl w:val="912A5A20"/>
    <w:lvl w:ilvl="0" w:tplc="C1D2318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9C724B"/>
    <w:multiLevelType w:val="hybridMultilevel"/>
    <w:tmpl w:val="A47CCCD4"/>
    <w:lvl w:ilvl="0" w:tplc="6DCA4514">
      <w:start w:val="1"/>
      <w:numFmt w:val="lowerLetter"/>
      <w:lvlText w:val="%1.)"/>
      <w:lvlJc w:val="left"/>
      <w:pPr>
        <w:ind w:left="150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>
    <w:nsid w:val="6D73268C"/>
    <w:multiLevelType w:val="hybridMultilevel"/>
    <w:tmpl w:val="5E625FC4"/>
    <w:lvl w:ilvl="0" w:tplc="290AEBB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555A4A"/>
    <w:multiLevelType w:val="hybridMultilevel"/>
    <w:tmpl w:val="15B40682"/>
    <w:lvl w:ilvl="0" w:tplc="E8466EFC">
      <w:start w:val="1"/>
      <w:numFmt w:val="lowerRoman"/>
      <w:lvlText w:val="%1."/>
      <w:lvlJc w:val="left"/>
      <w:pPr>
        <w:ind w:left="1440" w:hanging="720"/>
      </w:pPr>
      <w:rPr>
        <w:rFonts w:ascii="Arial" w:eastAsiaTheme="minorHAnsi" w:hAnsi="Arial" w:cstheme="minorBidi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D00"/>
    <w:rsid w:val="0000493D"/>
    <w:rsid w:val="0003751A"/>
    <w:rsid w:val="00121C42"/>
    <w:rsid w:val="001C48D6"/>
    <w:rsid w:val="002A07EB"/>
    <w:rsid w:val="002C6D00"/>
    <w:rsid w:val="002F57C2"/>
    <w:rsid w:val="003947F3"/>
    <w:rsid w:val="00520700"/>
    <w:rsid w:val="00C52A01"/>
    <w:rsid w:val="00EE5FAE"/>
    <w:rsid w:val="00F20A36"/>
    <w:rsid w:val="00FC5C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0" w:defSemiHidden="0" w:defUnhideWhenUsed="0" w:defQFormat="0" w:count="267">
    <w:lsdException w:name="List Paragraph" w:uiPriority="34" w:qFormat="1"/>
  </w:latentStyles>
  <w:style w:type="paragraph" w:default="1" w:styleId="Normal">
    <w:name w:val="Normal"/>
    <w:qFormat/>
    <w:rsid w:val="007424A9"/>
    <w:rPr>
      <w:rFonts w:ascii="Arial" w:hAnsi="Arial"/>
    </w:rPr>
  </w:style>
  <w:style w:type="paragraph" w:styleId="Ttulo1">
    <w:name w:val="heading 1"/>
    <w:basedOn w:val="Normal"/>
    <w:next w:val="Normal"/>
    <w:link w:val="Ttulo1Char"/>
    <w:rsid w:val="007424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mallCaps/>
      <w:color w:val="345A8A" w:themeColor="accent1" w:themeShade="B5"/>
      <w:sz w:val="32"/>
      <w:szCs w:val="32"/>
    </w:rPr>
  </w:style>
  <w:style w:type="paragraph" w:styleId="Ttulo2">
    <w:name w:val="heading 2"/>
    <w:basedOn w:val="Normal"/>
    <w:next w:val="Normal"/>
    <w:link w:val="Ttulo2Char"/>
    <w:rsid w:val="007424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mallCaps/>
      <w:color w:val="4F81BD" w:themeColor="accent1"/>
      <w:sz w:val="30"/>
      <w:szCs w:val="26"/>
    </w:rPr>
  </w:style>
  <w:style w:type="paragraph" w:styleId="Ttulo3">
    <w:name w:val="heading 3"/>
    <w:basedOn w:val="Normal"/>
    <w:next w:val="Normal"/>
    <w:link w:val="Ttulo3Char"/>
    <w:rsid w:val="007424A9"/>
    <w:pPr>
      <w:keepNext/>
      <w:keepLines/>
      <w:spacing w:before="100" w:after="100"/>
      <w:ind w:left="227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Ttulo4">
    <w:name w:val="heading 4"/>
    <w:basedOn w:val="Normal"/>
    <w:next w:val="Normal"/>
    <w:link w:val="Ttulo4Char"/>
    <w:rsid w:val="007424A9"/>
    <w:pPr>
      <w:keepNext/>
      <w:keepLines/>
      <w:spacing w:before="100" w:after="100"/>
      <w:ind w:left="340"/>
      <w:outlineLvl w:val="3"/>
    </w:pPr>
    <w:rPr>
      <w:rFonts w:asciiTheme="majorHAnsi" w:eastAsiaTheme="majorEastAsia" w:hAnsiTheme="majorHAnsi" w:cstheme="majorBidi"/>
      <w:b/>
      <w:bCs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rsid w:val="007424A9"/>
    <w:pPr>
      <w:keepNext/>
      <w:keepLines/>
      <w:spacing w:before="100" w:after="100"/>
      <w:ind w:left="454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6">
    <w:name w:val="heading 6"/>
    <w:basedOn w:val="Normal"/>
    <w:next w:val="Normal"/>
    <w:link w:val="Ttulo6Char"/>
    <w:rsid w:val="007424A9"/>
    <w:pPr>
      <w:keepNext/>
      <w:keepLines/>
      <w:spacing w:before="100" w:after="100"/>
      <w:ind w:left="567"/>
      <w:outlineLvl w:val="5"/>
    </w:pPr>
    <w:rPr>
      <w:rFonts w:asciiTheme="majorHAnsi" w:eastAsiaTheme="majorEastAsia" w:hAnsiTheme="majorHAnsi" w:cstheme="majorBidi"/>
      <w:iCs/>
      <w:color w:val="4F81BD" w:themeColor="accent1"/>
      <w:sz w:val="20"/>
    </w:rPr>
  </w:style>
  <w:style w:type="paragraph" w:styleId="Ttulo7">
    <w:name w:val="heading 7"/>
    <w:basedOn w:val="Normal"/>
    <w:next w:val="Normal"/>
    <w:link w:val="Ttulo7Char"/>
    <w:rsid w:val="007424A9"/>
    <w:pPr>
      <w:keepNext/>
      <w:keepLines/>
      <w:spacing w:before="100" w:after="100"/>
      <w:ind w:left="680"/>
      <w:outlineLvl w:val="6"/>
    </w:pPr>
    <w:rPr>
      <w:rFonts w:asciiTheme="majorHAnsi" w:eastAsiaTheme="majorEastAsia" w:hAnsiTheme="majorHAnsi" w:cstheme="majorBidi"/>
      <w:i/>
      <w:iCs/>
      <w:color w:val="4F81BD" w:themeColor="accent1"/>
      <w:sz w:val="20"/>
    </w:rPr>
  </w:style>
  <w:style w:type="paragraph" w:styleId="Ttulo8">
    <w:name w:val="heading 8"/>
    <w:basedOn w:val="Normal"/>
    <w:next w:val="Normal"/>
    <w:link w:val="Ttulo8Char"/>
    <w:rsid w:val="007424A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363636" w:themeColor="text1" w:themeTint="C9"/>
      <w:sz w:val="20"/>
      <w:szCs w:val="20"/>
    </w:rPr>
  </w:style>
  <w:style w:type="paragraph" w:styleId="Ttulo9">
    <w:name w:val="heading 9"/>
    <w:basedOn w:val="Normal"/>
    <w:next w:val="Normal"/>
    <w:link w:val="Ttulo9Char"/>
    <w:rsid w:val="007424A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396E95"/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96E95"/>
    <w:rPr>
      <w:rFonts w:ascii="Lucida Grande" w:hAnsi="Lucida Grande"/>
      <w:sz w:val="18"/>
      <w:szCs w:val="18"/>
    </w:rPr>
  </w:style>
  <w:style w:type="paragraph" w:styleId="Textodenotaderodap">
    <w:name w:val="footnote text"/>
    <w:basedOn w:val="Normal"/>
    <w:link w:val="TextodenotaderodapChar"/>
    <w:autoRedefine/>
    <w:uiPriority w:val="99"/>
    <w:semiHidden/>
    <w:unhideWhenUsed/>
    <w:rsid w:val="00277B50"/>
    <w:pPr>
      <w:jc w:val="both"/>
    </w:pPr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277B50"/>
    <w:rPr>
      <w:sz w:val="20"/>
    </w:rPr>
  </w:style>
  <w:style w:type="character" w:customStyle="1" w:styleId="Ttulo1Char">
    <w:name w:val="Título 1 Char"/>
    <w:basedOn w:val="Fontepargpadro"/>
    <w:link w:val="Ttulo1"/>
    <w:rsid w:val="007424A9"/>
    <w:rPr>
      <w:rFonts w:asciiTheme="majorHAnsi" w:eastAsiaTheme="majorEastAsia" w:hAnsiTheme="majorHAnsi" w:cstheme="majorBidi"/>
      <w:b/>
      <w:bCs/>
      <w:smallCaps/>
      <w:color w:val="345A8A" w:themeColor="accent1" w:themeShade="B5"/>
      <w:sz w:val="32"/>
      <w:szCs w:val="32"/>
    </w:rPr>
  </w:style>
  <w:style w:type="character" w:customStyle="1" w:styleId="Ttulo2Char">
    <w:name w:val="Título 2 Char"/>
    <w:basedOn w:val="Fontepargpadro"/>
    <w:link w:val="Ttulo2"/>
    <w:rsid w:val="007424A9"/>
    <w:rPr>
      <w:rFonts w:asciiTheme="majorHAnsi" w:eastAsiaTheme="majorEastAsia" w:hAnsiTheme="majorHAnsi" w:cstheme="majorBidi"/>
      <w:b/>
      <w:bCs/>
      <w:smallCaps/>
      <w:color w:val="4F81BD" w:themeColor="accent1"/>
      <w:sz w:val="30"/>
      <w:szCs w:val="26"/>
    </w:rPr>
  </w:style>
  <w:style w:type="character" w:customStyle="1" w:styleId="Ttulo3Char">
    <w:name w:val="Título 3 Char"/>
    <w:basedOn w:val="Fontepargpadro"/>
    <w:link w:val="Ttulo3"/>
    <w:rsid w:val="007424A9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Ttulo4Char">
    <w:name w:val="Título 4 Char"/>
    <w:basedOn w:val="Fontepargpadro"/>
    <w:link w:val="Ttulo4"/>
    <w:rsid w:val="007424A9"/>
    <w:rPr>
      <w:rFonts w:asciiTheme="majorHAnsi" w:eastAsiaTheme="majorEastAsia" w:hAnsiTheme="majorHAnsi" w:cstheme="majorBidi"/>
      <w:b/>
      <w:bCs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rsid w:val="007424A9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tulo6Char">
    <w:name w:val="Título 6 Char"/>
    <w:basedOn w:val="Fontepargpadro"/>
    <w:link w:val="Ttulo6"/>
    <w:rsid w:val="007424A9"/>
    <w:rPr>
      <w:rFonts w:asciiTheme="majorHAnsi" w:eastAsiaTheme="majorEastAsia" w:hAnsiTheme="majorHAnsi" w:cstheme="majorBidi"/>
      <w:iCs/>
      <w:color w:val="4F81BD" w:themeColor="accent1"/>
      <w:sz w:val="20"/>
    </w:rPr>
  </w:style>
  <w:style w:type="character" w:customStyle="1" w:styleId="Ttulo7Char">
    <w:name w:val="Título 7 Char"/>
    <w:basedOn w:val="Fontepargpadro"/>
    <w:link w:val="Ttulo7"/>
    <w:rsid w:val="007424A9"/>
    <w:rPr>
      <w:rFonts w:asciiTheme="majorHAnsi" w:eastAsiaTheme="majorEastAsia" w:hAnsiTheme="majorHAnsi" w:cstheme="majorBidi"/>
      <w:i/>
      <w:iCs/>
      <w:color w:val="4F81BD" w:themeColor="accent1"/>
      <w:sz w:val="20"/>
    </w:rPr>
  </w:style>
  <w:style w:type="character" w:customStyle="1" w:styleId="Ttulo8Char">
    <w:name w:val="Título 8 Char"/>
    <w:basedOn w:val="Fontepargpadro"/>
    <w:link w:val="Ttulo8"/>
    <w:rsid w:val="007424A9"/>
    <w:rPr>
      <w:rFonts w:asciiTheme="majorHAnsi" w:eastAsiaTheme="majorEastAsia" w:hAnsiTheme="majorHAnsi" w:cstheme="majorBidi"/>
      <w:color w:val="363636" w:themeColor="text1" w:themeTint="C9"/>
      <w:sz w:val="20"/>
      <w:szCs w:val="20"/>
    </w:rPr>
  </w:style>
  <w:style w:type="character" w:customStyle="1" w:styleId="Ttulo9Char">
    <w:name w:val="Título 9 Char"/>
    <w:basedOn w:val="Fontepargpadro"/>
    <w:link w:val="Ttulo9"/>
    <w:rsid w:val="007424A9"/>
    <w:rPr>
      <w:rFonts w:asciiTheme="majorHAnsi" w:eastAsiaTheme="majorEastAsia" w:hAnsiTheme="majorHAnsi" w:cstheme="majorBidi"/>
      <w:i/>
      <w:iCs/>
      <w:color w:val="363636" w:themeColor="text1" w:themeTint="C9"/>
      <w:sz w:val="20"/>
      <w:szCs w:val="20"/>
    </w:rPr>
  </w:style>
  <w:style w:type="paragraph" w:styleId="PargrafodaLista">
    <w:name w:val="List Paragraph"/>
    <w:basedOn w:val="Normal"/>
    <w:uiPriority w:val="34"/>
    <w:qFormat/>
    <w:rsid w:val="002C6D00"/>
    <w:pPr>
      <w:ind w:left="720"/>
      <w:contextualSpacing/>
    </w:pPr>
  </w:style>
  <w:style w:type="character" w:styleId="Refdenotaderodap">
    <w:name w:val="footnote reference"/>
    <w:basedOn w:val="Fontepargpadro"/>
    <w:rsid w:val="00EE5FAE"/>
    <w:rPr>
      <w:vertAlign w:val="superscript"/>
    </w:rPr>
  </w:style>
  <w:style w:type="paragraph" w:styleId="Rodap">
    <w:name w:val="footer"/>
    <w:basedOn w:val="Normal"/>
    <w:link w:val="RodapChar"/>
    <w:rsid w:val="00EE5FAE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rsid w:val="00EE5FAE"/>
    <w:rPr>
      <w:rFonts w:ascii="Arial" w:hAnsi="Arial"/>
    </w:rPr>
  </w:style>
  <w:style w:type="character" w:styleId="Nmerodepgina">
    <w:name w:val="page number"/>
    <w:basedOn w:val="Fontepargpadro"/>
    <w:rsid w:val="00EE5F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0" w:defSemiHidden="0" w:defUnhideWhenUsed="0" w:defQFormat="0" w:count="267">
    <w:lsdException w:name="List Paragraph" w:uiPriority="34" w:qFormat="1"/>
  </w:latentStyles>
  <w:style w:type="paragraph" w:default="1" w:styleId="Normal">
    <w:name w:val="Normal"/>
    <w:qFormat/>
    <w:rsid w:val="007424A9"/>
    <w:rPr>
      <w:rFonts w:ascii="Arial" w:hAnsi="Arial"/>
    </w:rPr>
  </w:style>
  <w:style w:type="paragraph" w:styleId="Ttulo1">
    <w:name w:val="heading 1"/>
    <w:basedOn w:val="Normal"/>
    <w:next w:val="Normal"/>
    <w:link w:val="Ttulo1Char"/>
    <w:rsid w:val="007424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mallCaps/>
      <w:color w:val="345A8A" w:themeColor="accent1" w:themeShade="B5"/>
      <w:sz w:val="32"/>
      <w:szCs w:val="32"/>
    </w:rPr>
  </w:style>
  <w:style w:type="paragraph" w:styleId="Ttulo2">
    <w:name w:val="heading 2"/>
    <w:basedOn w:val="Normal"/>
    <w:next w:val="Normal"/>
    <w:link w:val="Ttulo2Char"/>
    <w:rsid w:val="007424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mallCaps/>
      <w:color w:val="4F81BD" w:themeColor="accent1"/>
      <w:sz w:val="30"/>
      <w:szCs w:val="26"/>
    </w:rPr>
  </w:style>
  <w:style w:type="paragraph" w:styleId="Ttulo3">
    <w:name w:val="heading 3"/>
    <w:basedOn w:val="Normal"/>
    <w:next w:val="Normal"/>
    <w:link w:val="Ttulo3Char"/>
    <w:rsid w:val="007424A9"/>
    <w:pPr>
      <w:keepNext/>
      <w:keepLines/>
      <w:spacing w:before="100" w:after="100"/>
      <w:ind w:left="227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Ttulo4">
    <w:name w:val="heading 4"/>
    <w:basedOn w:val="Normal"/>
    <w:next w:val="Normal"/>
    <w:link w:val="Ttulo4Char"/>
    <w:rsid w:val="007424A9"/>
    <w:pPr>
      <w:keepNext/>
      <w:keepLines/>
      <w:spacing w:before="100" w:after="100"/>
      <w:ind w:left="340"/>
      <w:outlineLvl w:val="3"/>
    </w:pPr>
    <w:rPr>
      <w:rFonts w:asciiTheme="majorHAnsi" w:eastAsiaTheme="majorEastAsia" w:hAnsiTheme="majorHAnsi" w:cstheme="majorBidi"/>
      <w:b/>
      <w:bCs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rsid w:val="007424A9"/>
    <w:pPr>
      <w:keepNext/>
      <w:keepLines/>
      <w:spacing w:before="100" w:after="100"/>
      <w:ind w:left="454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6">
    <w:name w:val="heading 6"/>
    <w:basedOn w:val="Normal"/>
    <w:next w:val="Normal"/>
    <w:link w:val="Ttulo6Char"/>
    <w:rsid w:val="007424A9"/>
    <w:pPr>
      <w:keepNext/>
      <w:keepLines/>
      <w:spacing w:before="100" w:after="100"/>
      <w:ind w:left="567"/>
      <w:outlineLvl w:val="5"/>
    </w:pPr>
    <w:rPr>
      <w:rFonts w:asciiTheme="majorHAnsi" w:eastAsiaTheme="majorEastAsia" w:hAnsiTheme="majorHAnsi" w:cstheme="majorBidi"/>
      <w:iCs/>
      <w:color w:val="4F81BD" w:themeColor="accent1"/>
      <w:sz w:val="20"/>
    </w:rPr>
  </w:style>
  <w:style w:type="paragraph" w:styleId="Ttulo7">
    <w:name w:val="heading 7"/>
    <w:basedOn w:val="Normal"/>
    <w:next w:val="Normal"/>
    <w:link w:val="Ttulo7Char"/>
    <w:rsid w:val="007424A9"/>
    <w:pPr>
      <w:keepNext/>
      <w:keepLines/>
      <w:spacing w:before="100" w:after="100"/>
      <w:ind w:left="680"/>
      <w:outlineLvl w:val="6"/>
    </w:pPr>
    <w:rPr>
      <w:rFonts w:asciiTheme="majorHAnsi" w:eastAsiaTheme="majorEastAsia" w:hAnsiTheme="majorHAnsi" w:cstheme="majorBidi"/>
      <w:i/>
      <w:iCs/>
      <w:color w:val="4F81BD" w:themeColor="accent1"/>
      <w:sz w:val="20"/>
    </w:rPr>
  </w:style>
  <w:style w:type="paragraph" w:styleId="Ttulo8">
    <w:name w:val="heading 8"/>
    <w:basedOn w:val="Normal"/>
    <w:next w:val="Normal"/>
    <w:link w:val="Ttulo8Char"/>
    <w:rsid w:val="007424A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363636" w:themeColor="text1" w:themeTint="C9"/>
      <w:sz w:val="20"/>
      <w:szCs w:val="20"/>
    </w:rPr>
  </w:style>
  <w:style w:type="paragraph" w:styleId="Ttulo9">
    <w:name w:val="heading 9"/>
    <w:basedOn w:val="Normal"/>
    <w:next w:val="Normal"/>
    <w:link w:val="Ttulo9Char"/>
    <w:rsid w:val="007424A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396E95"/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96E95"/>
    <w:rPr>
      <w:rFonts w:ascii="Lucida Grande" w:hAnsi="Lucida Grande"/>
      <w:sz w:val="18"/>
      <w:szCs w:val="18"/>
    </w:rPr>
  </w:style>
  <w:style w:type="paragraph" w:styleId="Textodenotaderodap">
    <w:name w:val="footnote text"/>
    <w:basedOn w:val="Normal"/>
    <w:link w:val="TextodenotaderodapChar"/>
    <w:autoRedefine/>
    <w:uiPriority w:val="99"/>
    <w:semiHidden/>
    <w:unhideWhenUsed/>
    <w:rsid w:val="00277B50"/>
    <w:pPr>
      <w:jc w:val="both"/>
    </w:pPr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277B50"/>
    <w:rPr>
      <w:sz w:val="20"/>
    </w:rPr>
  </w:style>
  <w:style w:type="character" w:customStyle="1" w:styleId="Ttulo1Char">
    <w:name w:val="Título 1 Char"/>
    <w:basedOn w:val="Fontepargpadro"/>
    <w:link w:val="Ttulo1"/>
    <w:rsid w:val="007424A9"/>
    <w:rPr>
      <w:rFonts w:asciiTheme="majorHAnsi" w:eastAsiaTheme="majorEastAsia" w:hAnsiTheme="majorHAnsi" w:cstheme="majorBidi"/>
      <w:b/>
      <w:bCs/>
      <w:smallCaps/>
      <w:color w:val="345A8A" w:themeColor="accent1" w:themeShade="B5"/>
      <w:sz w:val="32"/>
      <w:szCs w:val="32"/>
    </w:rPr>
  </w:style>
  <w:style w:type="character" w:customStyle="1" w:styleId="Ttulo2Char">
    <w:name w:val="Título 2 Char"/>
    <w:basedOn w:val="Fontepargpadro"/>
    <w:link w:val="Ttulo2"/>
    <w:rsid w:val="007424A9"/>
    <w:rPr>
      <w:rFonts w:asciiTheme="majorHAnsi" w:eastAsiaTheme="majorEastAsia" w:hAnsiTheme="majorHAnsi" w:cstheme="majorBidi"/>
      <w:b/>
      <w:bCs/>
      <w:smallCaps/>
      <w:color w:val="4F81BD" w:themeColor="accent1"/>
      <w:sz w:val="30"/>
      <w:szCs w:val="26"/>
    </w:rPr>
  </w:style>
  <w:style w:type="character" w:customStyle="1" w:styleId="Ttulo3Char">
    <w:name w:val="Título 3 Char"/>
    <w:basedOn w:val="Fontepargpadro"/>
    <w:link w:val="Ttulo3"/>
    <w:rsid w:val="007424A9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Ttulo4Char">
    <w:name w:val="Título 4 Char"/>
    <w:basedOn w:val="Fontepargpadro"/>
    <w:link w:val="Ttulo4"/>
    <w:rsid w:val="007424A9"/>
    <w:rPr>
      <w:rFonts w:asciiTheme="majorHAnsi" w:eastAsiaTheme="majorEastAsia" w:hAnsiTheme="majorHAnsi" w:cstheme="majorBidi"/>
      <w:b/>
      <w:bCs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rsid w:val="007424A9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tulo6Char">
    <w:name w:val="Título 6 Char"/>
    <w:basedOn w:val="Fontepargpadro"/>
    <w:link w:val="Ttulo6"/>
    <w:rsid w:val="007424A9"/>
    <w:rPr>
      <w:rFonts w:asciiTheme="majorHAnsi" w:eastAsiaTheme="majorEastAsia" w:hAnsiTheme="majorHAnsi" w:cstheme="majorBidi"/>
      <w:iCs/>
      <w:color w:val="4F81BD" w:themeColor="accent1"/>
      <w:sz w:val="20"/>
    </w:rPr>
  </w:style>
  <w:style w:type="character" w:customStyle="1" w:styleId="Ttulo7Char">
    <w:name w:val="Título 7 Char"/>
    <w:basedOn w:val="Fontepargpadro"/>
    <w:link w:val="Ttulo7"/>
    <w:rsid w:val="007424A9"/>
    <w:rPr>
      <w:rFonts w:asciiTheme="majorHAnsi" w:eastAsiaTheme="majorEastAsia" w:hAnsiTheme="majorHAnsi" w:cstheme="majorBidi"/>
      <w:i/>
      <w:iCs/>
      <w:color w:val="4F81BD" w:themeColor="accent1"/>
      <w:sz w:val="20"/>
    </w:rPr>
  </w:style>
  <w:style w:type="character" w:customStyle="1" w:styleId="Ttulo8Char">
    <w:name w:val="Título 8 Char"/>
    <w:basedOn w:val="Fontepargpadro"/>
    <w:link w:val="Ttulo8"/>
    <w:rsid w:val="007424A9"/>
    <w:rPr>
      <w:rFonts w:asciiTheme="majorHAnsi" w:eastAsiaTheme="majorEastAsia" w:hAnsiTheme="majorHAnsi" w:cstheme="majorBidi"/>
      <w:color w:val="363636" w:themeColor="text1" w:themeTint="C9"/>
      <w:sz w:val="20"/>
      <w:szCs w:val="20"/>
    </w:rPr>
  </w:style>
  <w:style w:type="character" w:customStyle="1" w:styleId="Ttulo9Char">
    <w:name w:val="Título 9 Char"/>
    <w:basedOn w:val="Fontepargpadro"/>
    <w:link w:val="Ttulo9"/>
    <w:rsid w:val="007424A9"/>
    <w:rPr>
      <w:rFonts w:asciiTheme="majorHAnsi" w:eastAsiaTheme="majorEastAsia" w:hAnsiTheme="majorHAnsi" w:cstheme="majorBidi"/>
      <w:i/>
      <w:iCs/>
      <w:color w:val="363636" w:themeColor="text1" w:themeTint="C9"/>
      <w:sz w:val="20"/>
      <w:szCs w:val="20"/>
    </w:rPr>
  </w:style>
  <w:style w:type="paragraph" w:styleId="PargrafodaLista">
    <w:name w:val="List Paragraph"/>
    <w:basedOn w:val="Normal"/>
    <w:uiPriority w:val="34"/>
    <w:qFormat/>
    <w:rsid w:val="002C6D00"/>
    <w:pPr>
      <w:ind w:left="720"/>
      <w:contextualSpacing/>
    </w:pPr>
  </w:style>
  <w:style w:type="character" w:styleId="Refdenotaderodap">
    <w:name w:val="footnote reference"/>
    <w:basedOn w:val="Fontepargpadro"/>
    <w:rsid w:val="00EE5FAE"/>
    <w:rPr>
      <w:vertAlign w:val="superscript"/>
    </w:rPr>
  </w:style>
  <w:style w:type="paragraph" w:styleId="Rodap">
    <w:name w:val="footer"/>
    <w:basedOn w:val="Normal"/>
    <w:link w:val="RodapChar"/>
    <w:rsid w:val="00EE5FAE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rsid w:val="00EE5FAE"/>
    <w:rPr>
      <w:rFonts w:ascii="Arial" w:hAnsi="Arial"/>
    </w:rPr>
  </w:style>
  <w:style w:type="character" w:styleId="Nmerodepgina">
    <w:name w:val="page number"/>
    <w:basedOn w:val="Fontepargpadro"/>
    <w:rsid w:val="00EE5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2112</Words>
  <Characters>11409</Characters>
  <Application>Microsoft Office Word</Application>
  <DocSecurity>0</DocSecurity>
  <Lines>95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2013-06-21T20:22:00Z</dcterms:created>
  <dcterms:modified xsi:type="dcterms:W3CDTF">2013-06-21T20:22:00Z</dcterms:modified>
</cp:coreProperties>
</file>