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938" w:rsidRPr="00AB5B64" w:rsidRDefault="008628E2">
      <w:pPr>
        <w:rPr>
          <w:rFonts w:ascii="Arial" w:hAnsi="Arial"/>
          <w:b/>
          <w:smallCaps/>
        </w:rPr>
      </w:pPr>
      <w:r>
        <w:rPr>
          <w:rFonts w:ascii="Arial" w:hAnsi="Arial"/>
          <w:b/>
          <w:smallCaps/>
        </w:rPr>
        <w:t xml:space="preserve">Seção </w:t>
      </w:r>
      <w:r w:rsidR="00F66938" w:rsidRPr="00AB5B64">
        <w:rPr>
          <w:rFonts w:ascii="Arial" w:hAnsi="Arial"/>
          <w:b/>
          <w:smallCaps/>
        </w:rPr>
        <w:t>I - A D</w:t>
      </w:r>
      <w:r>
        <w:rPr>
          <w:rFonts w:ascii="Arial" w:hAnsi="Arial"/>
          <w:b/>
          <w:smallCaps/>
        </w:rPr>
        <w:t>isposição do Edital</w:t>
      </w:r>
      <w:r w:rsidR="00F66938" w:rsidRPr="00AB5B64">
        <w:rPr>
          <w:rFonts w:ascii="Arial" w:hAnsi="Arial"/>
          <w:b/>
          <w:smallCaps/>
        </w:rPr>
        <w:t xml:space="preserve"> </w:t>
      </w:r>
      <w:r>
        <w:rPr>
          <w:rFonts w:ascii="Arial" w:hAnsi="Arial"/>
          <w:b/>
          <w:smallCaps/>
        </w:rPr>
        <w:t>e seu questionamento</w:t>
      </w:r>
    </w:p>
    <w:p w:rsidR="00F66938" w:rsidRPr="00AB5B64" w:rsidRDefault="00F66938" w:rsidP="002C6D00">
      <w:pPr>
        <w:spacing w:line="312" w:lineRule="auto"/>
        <w:rPr>
          <w:rFonts w:ascii="Arial" w:hAnsi="Arial"/>
        </w:rPr>
      </w:pPr>
    </w:p>
    <w:p w:rsidR="00F66938" w:rsidRPr="00AB5B64" w:rsidRDefault="00F66938" w:rsidP="008628E2">
      <w:pPr>
        <w:spacing w:line="312" w:lineRule="auto"/>
        <w:jc w:val="both"/>
        <w:rPr>
          <w:rFonts w:ascii="Arial" w:hAnsi="Arial"/>
          <w:b/>
          <w:i/>
          <w:u w:val="single"/>
        </w:rPr>
      </w:pPr>
      <w:r w:rsidRPr="00AB5B64">
        <w:rPr>
          <w:rFonts w:ascii="Arial" w:hAnsi="Arial"/>
        </w:rPr>
        <w:t xml:space="preserve">A questão </w:t>
      </w:r>
      <w:r w:rsidR="008628E2">
        <w:rPr>
          <w:rFonts w:ascii="Arial" w:hAnsi="Arial"/>
        </w:rPr>
        <w:t xml:space="preserve">aqui </w:t>
      </w:r>
      <w:r w:rsidRPr="00AB5B64">
        <w:rPr>
          <w:rFonts w:ascii="Arial" w:hAnsi="Arial"/>
        </w:rPr>
        <w:t xml:space="preserve">formulada envolve o </w:t>
      </w:r>
      <w:r w:rsidRPr="00AB5B64">
        <w:rPr>
          <w:rFonts w:ascii="Arial" w:hAnsi="Arial"/>
          <w:b/>
          <w:i/>
          <w:u w:val="single"/>
        </w:rPr>
        <w:t>alcance subjetivo</w:t>
      </w:r>
      <w:r w:rsidRPr="00AB5B64">
        <w:rPr>
          <w:rFonts w:ascii="Arial" w:hAnsi="Arial"/>
        </w:rPr>
        <w:t xml:space="preserve"> da seguinte disposição da Minuta de Edital disponibilizada pela ANAC:</w:t>
      </w:r>
    </w:p>
    <w:p w:rsidR="00F66938" w:rsidRPr="00AB5B64" w:rsidRDefault="00F66938" w:rsidP="002C6D00">
      <w:pPr>
        <w:spacing w:line="312" w:lineRule="auto"/>
        <w:rPr>
          <w:rFonts w:ascii="Arial" w:hAnsi="Arial"/>
        </w:rPr>
      </w:pPr>
    </w:p>
    <w:p w:rsidR="00F66938" w:rsidRPr="00AB5B64" w:rsidRDefault="00F66938" w:rsidP="002C6D00">
      <w:pPr>
        <w:spacing w:line="312" w:lineRule="auto"/>
        <w:ind w:left="720"/>
        <w:jc w:val="both"/>
        <w:rPr>
          <w:rFonts w:ascii="Arial" w:hAnsi="Arial"/>
          <w:i/>
        </w:rPr>
      </w:pPr>
      <w:proofErr w:type="spellStart"/>
      <w:r w:rsidRPr="00AB5B64">
        <w:rPr>
          <w:rFonts w:ascii="Arial" w:hAnsi="Arial"/>
          <w:i/>
        </w:rPr>
        <w:t>Seção</w:t>
      </w:r>
      <w:proofErr w:type="spellEnd"/>
      <w:r w:rsidRPr="00AB5B64">
        <w:rPr>
          <w:rFonts w:ascii="Arial" w:hAnsi="Arial"/>
          <w:i/>
        </w:rPr>
        <w:t xml:space="preserve"> III - Das </w:t>
      </w:r>
      <w:proofErr w:type="spellStart"/>
      <w:r w:rsidRPr="00AB5B64">
        <w:rPr>
          <w:rFonts w:ascii="Arial" w:hAnsi="Arial"/>
          <w:i/>
        </w:rPr>
        <w:t>Limitaçõ</w:t>
      </w:r>
      <w:proofErr w:type="gramStart"/>
      <w:r w:rsidRPr="00AB5B64">
        <w:rPr>
          <w:rFonts w:ascii="Arial" w:hAnsi="Arial"/>
          <w:i/>
        </w:rPr>
        <w:t>es</w:t>
      </w:r>
      <w:proofErr w:type="spellEnd"/>
      <w:proofErr w:type="gramEnd"/>
      <w:r w:rsidRPr="00AB5B64">
        <w:rPr>
          <w:rFonts w:ascii="Arial" w:hAnsi="Arial"/>
          <w:i/>
        </w:rPr>
        <w:t xml:space="preserve"> à </w:t>
      </w:r>
      <w:proofErr w:type="spellStart"/>
      <w:r w:rsidRPr="00AB5B64">
        <w:rPr>
          <w:rFonts w:ascii="Arial" w:hAnsi="Arial"/>
          <w:i/>
        </w:rPr>
        <w:t>Participação</w:t>
      </w:r>
      <w:proofErr w:type="spellEnd"/>
      <w:r w:rsidRPr="00AB5B64">
        <w:rPr>
          <w:rFonts w:ascii="Arial" w:hAnsi="Arial"/>
          <w:i/>
        </w:rPr>
        <w:t xml:space="preserve"> (...)</w:t>
      </w:r>
    </w:p>
    <w:p w:rsidR="00F66938" w:rsidRPr="00AB5B64" w:rsidRDefault="00F66938" w:rsidP="002C6D00">
      <w:pPr>
        <w:spacing w:line="312" w:lineRule="auto"/>
        <w:ind w:left="720"/>
        <w:jc w:val="both"/>
        <w:rPr>
          <w:rFonts w:ascii="Arial" w:hAnsi="Arial"/>
          <w:i/>
        </w:rPr>
      </w:pPr>
    </w:p>
    <w:p w:rsidR="00F66938" w:rsidRPr="00AB5B64" w:rsidRDefault="00F66938" w:rsidP="002C6D00">
      <w:pPr>
        <w:spacing w:line="312" w:lineRule="auto"/>
        <w:ind w:left="720"/>
        <w:jc w:val="both"/>
        <w:rPr>
          <w:rFonts w:ascii="Arial" w:hAnsi="Arial"/>
          <w:i/>
        </w:rPr>
      </w:pPr>
      <w:r w:rsidRPr="00AB5B64">
        <w:rPr>
          <w:rFonts w:ascii="Arial" w:hAnsi="Arial"/>
          <w:i/>
        </w:rPr>
        <w:t>3.15.</w:t>
      </w:r>
      <w:r w:rsidRPr="00AB5B64">
        <w:rPr>
          <w:rFonts w:ascii="Arial" w:hAnsi="Arial"/>
          <w:i/>
        </w:rPr>
        <w:tab/>
      </w:r>
      <w:proofErr w:type="spellStart"/>
      <w:r w:rsidRPr="00AB5B64">
        <w:rPr>
          <w:rFonts w:ascii="Arial" w:hAnsi="Arial"/>
          <w:i/>
        </w:rPr>
        <w:t>Não</w:t>
      </w:r>
      <w:proofErr w:type="spellEnd"/>
      <w:r w:rsidRPr="00AB5B64">
        <w:rPr>
          <w:rFonts w:ascii="Arial" w:hAnsi="Arial"/>
          <w:i/>
        </w:rPr>
        <w:t xml:space="preserve"> </w:t>
      </w:r>
      <w:proofErr w:type="spellStart"/>
      <w:r w:rsidRPr="00AB5B64">
        <w:rPr>
          <w:rFonts w:ascii="Arial" w:hAnsi="Arial"/>
          <w:i/>
        </w:rPr>
        <w:t>poderão</w:t>
      </w:r>
      <w:proofErr w:type="spellEnd"/>
      <w:r w:rsidRPr="00AB5B64">
        <w:rPr>
          <w:rFonts w:ascii="Arial" w:hAnsi="Arial"/>
          <w:i/>
        </w:rPr>
        <w:t xml:space="preserve"> participar deste </w:t>
      </w:r>
      <w:proofErr w:type="spellStart"/>
      <w:r w:rsidRPr="00AB5B64">
        <w:rPr>
          <w:rFonts w:ascii="Arial" w:hAnsi="Arial"/>
          <w:i/>
        </w:rPr>
        <w:t>Leilão</w:t>
      </w:r>
      <w:proofErr w:type="spellEnd"/>
      <w:r w:rsidRPr="00AB5B64">
        <w:rPr>
          <w:rFonts w:ascii="Arial" w:hAnsi="Arial"/>
          <w:i/>
        </w:rPr>
        <w:t xml:space="preserve"> pessoas </w:t>
      </w:r>
      <w:proofErr w:type="spellStart"/>
      <w:r w:rsidRPr="00AB5B64">
        <w:rPr>
          <w:rFonts w:ascii="Arial" w:hAnsi="Arial"/>
          <w:i/>
        </w:rPr>
        <w:t>jurídicas</w:t>
      </w:r>
      <w:proofErr w:type="spellEnd"/>
      <w:r w:rsidRPr="00AB5B64">
        <w:rPr>
          <w:rFonts w:ascii="Arial" w:hAnsi="Arial"/>
          <w:i/>
        </w:rPr>
        <w:t xml:space="preserve">, isoladamente ou em </w:t>
      </w:r>
      <w:proofErr w:type="spellStart"/>
      <w:r w:rsidRPr="00AB5B64">
        <w:rPr>
          <w:rFonts w:ascii="Arial" w:hAnsi="Arial"/>
          <w:i/>
        </w:rPr>
        <w:t>Consórcio</w:t>
      </w:r>
      <w:proofErr w:type="spellEnd"/>
      <w:r w:rsidRPr="00AB5B64">
        <w:rPr>
          <w:rFonts w:ascii="Arial" w:hAnsi="Arial"/>
          <w:i/>
        </w:rPr>
        <w:t>, que:</w:t>
      </w:r>
    </w:p>
    <w:p w:rsidR="00F66938" w:rsidRPr="00AB5B64" w:rsidRDefault="00F66938" w:rsidP="002C6D00">
      <w:pPr>
        <w:spacing w:line="312" w:lineRule="auto"/>
        <w:ind w:left="720"/>
        <w:jc w:val="both"/>
        <w:rPr>
          <w:rFonts w:ascii="Arial" w:hAnsi="Arial"/>
          <w:b/>
          <w:i/>
        </w:rPr>
      </w:pPr>
      <w:r w:rsidRPr="00AB5B64">
        <w:rPr>
          <w:rFonts w:ascii="Arial" w:hAnsi="Arial"/>
          <w:b/>
          <w:i/>
        </w:rPr>
        <w:t xml:space="preserve">3.15.5. Sejam acionistas das </w:t>
      </w:r>
      <w:proofErr w:type="spellStart"/>
      <w:r w:rsidRPr="00AB5B64">
        <w:rPr>
          <w:rFonts w:ascii="Arial" w:hAnsi="Arial"/>
          <w:b/>
          <w:i/>
        </w:rPr>
        <w:t>concessionárias</w:t>
      </w:r>
      <w:proofErr w:type="spellEnd"/>
      <w:r w:rsidRPr="00AB5B64">
        <w:rPr>
          <w:rFonts w:ascii="Arial" w:hAnsi="Arial"/>
          <w:b/>
          <w:i/>
        </w:rPr>
        <w:t xml:space="preserve"> de </w:t>
      </w:r>
      <w:proofErr w:type="spellStart"/>
      <w:r w:rsidRPr="00AB5B64">
        <w:rPr>
          <w:rFonts w:ascii="Arial" w:hAnsi="Arial"/>
          <w:b/>
          <w:i/>
        </w:rPr>
        <w:t>serviço</w:t>
      </w:r>
      <w:proofErr w:type="spellEnd"/>
      <w:r w:rsidRPr="00AB5B64">
        <w:rPr>
          <w:rFonts w:ascii="Arial" w:hAnsi="Arial"/>
          <w:b/>
          <w:i/>
        </w:rPr>
        <w:t xml:space="preserve"> </w:t>
      </w:r>
      <w:proofErr w:type="spellStart"/>
      <w:r w:rsidRPr="00AB5B64">
        <w:rPr>
          <w:rFonts w:ascii="Arial" w:hAnsi="Arial"/>
          <w:b/>
          <w:i/>
        </w:rPr>
        <w:t>público</w:t>
      </w:r>
      <w:proofErr w:type="spellEnd"/>
      <w:r w:rsidRPr="00AB5B64">
        <w:rPr>
          <w:rFonts w:ascii="Arial" w:hAnsi="Arial"/>
          <w:b/>
          <w:i/>
        </w:rPr>
        <w:t xml:space="preserve"> de infraestrutura </w:t>
      </w:r>
      <w:proofErr w:type="spellStart"/>
      <w:r w:rsidRPr="00AB5B64">
        <w:rPr>
          <w:rFonts w:ascii="Arial" w:hAnsi="Arial"/>
          <w:b/>
          <w:i/>
        </w:rPr>
        <w:t>aeroportuária</w:t>
      </w:r>
      <w:proofErr w:type="spellEnd"/>
      <w:r w:rsidRPr="00AB5B64">
        <w:rPr>
          <w:rFonts w:ascii="Arial" w:hAnsi="Arial"/>
          <w:b/>
          <w:i/>
        </w:rPr>
        <w:t xml:space="preserve"> de aeroportos brasileiros, suas controladoras, controladas e coligadas.</w:t>
      </w:r>
    </w:p>
    <w:p w:rsidR="00F66938" w:rsidRPr="00AB5B64" w:rsidRDefault="00F66938" w:rsidP="002C6D00">
      <w:pPr>
        <w:spacing w:line="312" w:lineRule="auto"/>
        <w:rPr>
          <w:rFonts w:ascii="Arial" w:hAnsi="Arial"/>
        </w:rPr>
      </w:pP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  <w:b/>
        </w:rPr>
      </w:pPr>
      <w:r w:rsidRPr="00AB5B64">
        <w:rPr>
          <w:rFonts w:ascii="Arial" w:hAnsi="Arial"/>
        </w:rPr>
        <w:t>Em síntese, indaga-se o seguinte:</w:t>
      </w:r>
      <w:r w:rsidRPr="00AB5B64">
        <w:rPr>
          <w:rFonts w:ascii="Arial" w:hAnsi="Arial"/>
          <w:b/>
        </w:rPr>
        <w:t xml:space="preserve"> </w:t>
      </w: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  <w:b/>
        </w:rPr>
      </w:pPr>
    </w:p>
    <w:p w:rsidR="00F66938" w:rsidRPr="00AB5B64" w:rsidRDefault="00F66938" w:rsidP="002C6D00">
      <w:pPr>
        <w:spacing w:line="312" w:lineRule="auto"/>
        <w:ind w:left="720" w:right="787"/>
        <w:jc w:val="both"/>
        <w:rPr>
          <w:rFonts w:ascii="Arial" w:hAnsi="Arial"/>
          <w:i/>
        </w:rPr>
      </w:pPr>
      <w:r w:rsidRPr="00AB5B64">
        <w:rPr>
          <w:rFonts w:ascii="Arial" w:hAnsi="Arial"/>
          <w:i/>
        </w:rPr>
        <w:t xml:space="preserve">Quem são os sujeitos que, à vista de tal </w:t>
      </w:r>
      <w:proofErr w:type="spellStart"/>
      <w:r w:rsidRPr="00AB5B64">
        <w:rPr>
          <w:rFonts w:ascii="Arial" w:hAnsi="Arial"/>
          <w:i/>
        </w:rPr>
        <w:t>subcláusula</w:t>
      </w:r>
      <w:proofErr w:type="spellEnd"/>
      <w:r w:rsidRPr="00AB5B64">
        <w:rPr>
          <w:rFonts w:ascii="Arial" w:hAnsi="Arial"/>
          <w:i/>
        </w:rPr>
        <w:t>, estariam efetivamente impedidos de participar das licitações que têm por objeto os aeroportos de Confins (MG) e Guarulhos (SP)?</w:t>
      </w:r>
    </w:p>
    <w:p w:rsidR="00F66938" w:rsidRPr="00AB5B64" w:rsidRDefault="00F66938" w:rsidP="002C6D00">
      <w:pPr>
        <w:spacing w:line="312" w:lineRule="auto"/>
        <w:rPr>
          <w:rFonts w:ascii="Arial" w:hAnsi="Arial"/>
        </w:rPr>
      </w:pPr>
    </w:p>
    <w:p w:rsidR="00F66938" w:rsidRPr="00AB5B64" w:rsidRDefault="00F66938" w:rsidP="002C6D00">
      <w:pPr>
        <w:spacing w:line="312" w:lineRule="auto"/>
        <w:rPr>
          <w:rFonts w:ascii="Arial" w:hAnsi="Arial"/>
        </w:rPr>
      </w:pPr>
      <w:r w:rsidRPr="00AB5B64">
        <w:rPr>
          <w:rFonts w:ascii="Arial" w:hAnsi="Arial"/>
        </w:rPr>
        <w:t>Antecipa a Consulente seu entendimento da Cláusula, para o qual apresenta sucintamente suas razões e pede manifestação desta Agência:</w:t>
      </w:r>
    </w:p>
    <w:p w:rsidR="00F66938" w:rsidRPr="00AB5B64" w:rsidRDefault="00F66938" w:rsidP="002C6D00">
      <w:pPr>
        <w:spacing w:line="312" w:lineRule="auto"/>
        <w:rPr>
          <w:rFonts w:ascii="Arial" w:hAnsi="Arial"/>
        </w:rPr>
      </w:pPr>
    </w:p>
    <w:p w:rsidR="00F66938" w:rsidRPr="00AB5B64" w:rsidRDefault="00F66938" w:rsidP="00E53D11">
      <w:pPr>
        <w:spacing w:line="312" w:lineRule="auto"/>
        <w:ind w:left="709" w:right="787"/>
        <w:jc w:val="both"/>
        <w:rPr>
          <w:rFonts w:ascii="Arial" w:hAnsi="Arial"/>
          <w:b/>
          <w:i/>
        </w:rPr>
      </w:pPr>
      <w:r w:rsidRPr="00AB5B64">
        <w:rPr>
          <w:rFonts w:ascii="Arial" w:hAnsi="Arial"/>
          <w:b/>
          <w:i/>
        </w:rPr>
        <w:t>A Consulente entende que a referida Cláusula não lhe alcança.</w:t>
      </w:r>
    </w:p>
    <w:p w:rsidR="00F66938" w:rsidRPr="00AB5B64" w:rsidRDefault="00F66938" w:rsidP="00E53D11">
      <w:pPr>
        <w:spacing w:line="312" w:lineRule="auto"/>
        <w:ind w:left="709" w:right="787"/>
        <w:jc w:val="both"/>
        <w:rPr>
          <w:rFonts w:ascii="Arial" w:hAnsi="Arial"/>
          <w:i/>
        </w:rPr>
      </w:pPr>
      <w:r w:rsidRPr="00AB5B64">
        <w:rPr>
          <w:rFonts w:ascii="Arial" w:hAnsi="Arial"/>
          <w:i/>
        </w:rPr>
        <w:t>Não lhe alcança seja por seu sentido literal – e à vista da situação fática da Con</w:t>
      </w:r>
      <w:r w:rsidR="008628E2">
        <w:rPr>
          <w:rFonts w:ascii="Arial" w:hAnsi="Arial"/>
          <w:i/>
        </w:rPr>
        <w:t>sulente - seja porque merece tal cláusula</w:t>
      </w:r>
      <w:r w:rsidRPr="00AB5B64">
        <w:rPr>
          <w:rFonts w:ascii="Arial" w:hAnsi="Arial"/>
          <w:i/>
        </w:rPr>
        <w:t xml:space="preserve"> uma interpretação restritiva</w:t>
      </w:r>
      <w:r>
        <w:rPr>
          <w:rFonts w:ascii="Arial" w:hAnsi="Arial"/>
          <w:i/>
        </w:rPr>
        <w:t xml:space="preserve">, </w:t>
      </w:r>
      <w:proofErr w:type="gramStart"/>
      <w:r>
        <w:rPr>
          <w:rFonts w:ascii="Arial" w:hAnsi="Arial"/>
          <w:i/>
        </w:rPr>
        <w:t>sob pena</w:t>
      </w:r>
      <w:proofErr w:type="gramEnd"/>
      <w:r>
        <w:rPr>
          <w:rFonts w:ascii="Arial" w:hAnsi="Arial"/>
          <w:i/>
        </w:rPr>
        <w:t xml:space="preserve"> de se a ter por inválida</w:t>
      </w:r>
      <w:r w:rsidR="00C677B5">
        <w:rPr>
          <w:rFonts w:ascii="Arial" w:hAnsi="Arial"/>
          <w:i/>
        </w:rPr>
        <w:t xml:space="preserve"> </w:t>
      </w:r>
      <w:r w:rsidR="00C677B5" w:rsidRPr="00C677B5">
        <w:rPr>
          <w:rFonts w:ascii="Arial" w:hAnsi="Arial"/>
          <w:b/>
          <w:i/>
        </w:rPr>
        <w:t>(Seção II)</w:t>
      </w:r>
      <w:r w:rsidR="00C677B5">
        <w:rPr>
          <w:rFonts w:ascii="Arial" w:hAnsi="Arial"/>
          <w:i/>
        </w:rPr>
        <w:t>.</w:t>
      </w:r>
    </w:p>
    <w:p w:rsidR="00F66938" w:rsidRPr="00C677B5" w:rsidRDefault="008628E2" w:rsidP="00867B9A">
      <w:pPr>
        <w:spacing w:line="312" w:lineRule="auto"/>
        <w:ind w:left="709" w:right="787"/>
        <w:jc w:val="both"/>
        <w:rPr>
          <w:rFonts w:ascii="Arial" w:hAnsi="Arial"/>
          <w:b/>
          <w:i/>
        </w:rPr>
      </w:pPr>
      <w:r>
        <w:rPr>
          <w:rFonts w:ascii="Arial" w:hAnsi="Arial"/>
          <w:i/>
        </w:rPr>
        <w:t xml:space="preserve">Essa </w:t>
      </w:r>
      <w:r w:rsidR="00C677B5">
        <w:rPr>
          <w:rFonts w:ascii="Arial" w:hAnsi="Arial"/>
          <w:i/>
        </w:rPr>
        <w:t xml:space="preserve">conclusão acerca da interpretação a ser feita decorre </w:t>
      </w:r>
      <w:r w:rsidR="00F66938" w:rsidRPr="00AB5B64">
        <w:rPr>
          <w:rFonts w:ascii="Arial" w:hAnsi="Arial"/>
          <w:i/>
        </w:rPr>
        <w:t>d</w:t>
      </w:r>
      <w:r w:rsidR="00C677B5">
        <w:rPr>
          <w:rFonts w:ascii="Arial" w:hAnsi="Arial"/>
          <w:i/>
        </w:rPr>
        <w:t>a disciplina normativa d</w:t>
      </w:r>
      <w:r w:rsidR="00F66938" w:rsidRPr="00AB5B64">
        <w:rPr>
          <w:rFonts w:ascii="Arial" w:hAnsi="Arial"/>
          <w:i/>
        </w:rPr>
        <w:t>as contratações de concessões de serviços públicos</w:t>
      </w:r>
      <w:r>
        <w:rPr>
          <w:rFonts w:ascii="Arial" w:hAnsi="Arial"/>
          <w:i/>
        </w:rPr>
        <w:t xml:space="preserve"> vigente no Brasil</w:t>
      </w:r>
      <w:r w:rsidR="00F66938" w:rsidRPr="00AB5B64">
        <w:rPr>
          <w:rFonts w:ascii="Arial" w:hAnsi="Arial"/>
          <w:i/>
        </w:rPr>
        <w:t>, segundo a qual há de se garantir a mais ampla participação dos interessados em contrat</w:t>
      </w:r>
      <w:r w:rsidR="00C677B5">
        <w:rPr>
          <w:rFonts w:ascii="Arial" w:hAnsi="Arial"/>
          <w:i/>
        </w:rPr>
        <w:t xml:space="preserve">ar com a Administração Pública </w:t>
      </w:r>
      <w:r w:rsidR="00C677B5">
        <w:rPr>
          <w:rFonts w:ascii="Arial" w:hAnsi="Arial"/>
          <w:b/>
          <w:i/>
        </w:rPr>
        <w:t>(Seção III).</w:t>
      </w:r>
    </w:p>
    <w:p w:rsidR="00F66938" w:rsidRPr="00AB5B64" w:rsidRDefault="00F66938" w:rsidP="00E53D11">
      <w:pPr>
        <w:spacing w:line="312" w:lineRule="auto"/>
        <w:ind w:left="709" w:right="787"/>
        <w:jc w:val="both"/>
        <w:rPr>
          <w:rFonts w:ascii="Arial" w:hAnsi="Arial"/>
          <w:i/>
        </w:rPr>
      </w:pPr>
      <w:r w:rsidRPr="00AB5B64">
        <w:rPr>
          <w:rFonts w:ascii="Arial" w:hAnsi="Arial"/>
          <w:i/>
        </w:rPr>
        <w:t>Restrições a tal participação só são admitidas</w:t>
      </w:r>
      <w:r w:rsidR="00C677B5">
        <w:rPr>
          <w:rFonts w:ascii="Arial" w:hAnsi="Arial"/>
          <w:i/>
        </w:rPr>
        <w:t xml:space="preserve">, em caráter excepcional, a bem dos objetivos ligados à noção de </w:t>
      </w:r>
      <w:r w:rsidRPr="00AB5B64">
        <w:rPr>
          <w:rFonts w:ascii="Arial" w:hAnsi="Arial"/>
          <w:i/>
        </w:rPr>
        <w:t xml:space="preserve">“serviço público adequado” (art. </w:t>
      </w:r>
      <w:r>
        <w:rPr>
          <w:rFonts w:ascii="Arial" w:hAnsi="Arial"/>
          <w:i/>
        </w:rPr>
        <w:t xml:space="preserve">175, parágrafo único, IV, da Constituição de 19988 c/c </w:t>
      </w:r>
      <w:r w:rsidRPr="00AB5B64">
        <w:rPr>
          <w:rFonts w:ascii="Arial" w:hAnsi="Arial"/>
          <w:i/>
        </w:rPr>
        <w:t>6</w:t>
      </w:r>
      <w:r w:rsidRPr="00AB5B64">
        <w:rPr>
          <w:rFonts w:ascii="Arial" w:hAnsi="Arial"/>
          <w:i/>
          <w:vertAlign w:val="superscript"/>
        </w:rPr>
        <w:t>o</w:t>
      </w:r>
      <w:r w:rsidRPr="00AB5B64">
        <w:rPr>
          <w:rFonts w:ascii="Arial" w:hAnsi="Arial"/>
          <w:i/>
        </w:rPr>
        <w:t xml:space="preserve"> da Lei 8.987/1995) e de seus instrumentos, aí contemplada a organização conco</w:t>
      </w:r>
      <w:r w:rsidR="00C677B5">
        <w:rPr>
          <w:rFonts w:ascii="Arial" w:hAnsi="Arial"/>
          <w:i/>
        </w:rPr>
        <w:t xml:space="preserve">rrencial do setor aeroportuário </w:t>
      </w:r>
      <w:r w:rsidR="00C677B5">
        <w:rPr>
          <w:rFonts w:ascii="Arial" w:hAnsi="Arial"/>
          <w:b/>
          <w:i/>
        </w:rPr>
        <w:t>(Seção IV).</w:t>
      </w:r>
      <w:r w:rsidRPr="00AB5B64">
        <w:rPr>
          <w:rFonts w:ascii="Arial" w:hAnsi="Arial"/>
          <w:i/>
        </w:rPr>
        <w:t xml:space="preserve"> </w:t>
      </w:r>
    </w:p>
    <w:p w:rsidR="00F66938" w:rsidRPr="00AB5B64" w:rsidRDefault="00F66938" w:rsidP="008628E2">
      <w:pPr>
        <w:spacing w:line="312" w:lineRule="auto"/>
        <w:ind w:left="709" w:right="787"/>
        <w:jc w:val="both"/>
        <w:rPr>
          <w:rFonts w:ascii="Arial" w:hAnsi="Arial"/>
          <w:i/>
        </w:rPr>
      </w:pPr>
      <w:r w:rsidRPr="00AB5B64">
        <w:rPr>
          <w:rFonts w:ascii="Arial" w:hAnsi="Arial"/>
          <w:i/>
        </w:rPr>
        <w:lastRenderedPageBreak/>
        <w:t>Tais restrições, porém, devem:</w:t>
      </w:r>
    </w:p>
    <w:p w:rsidR="00F66938" w:rsidRPr="008628E2" w:rsidRDefault="00F66938" w:rsidP="008628E2">
      <w:pPr>
        <w:pStyle w:val="PargrafodaLista"/>
        <w:numPr>
          <w:ilvl w:val="0"/>
          <w:numId w:val="7"/>
        </w:numPr>
        <w:spacing w:line="312" w:lineRule="auto"/>
        <w:ind w:right="787"/>
        <w:jc w:val="both"/>
        <w:rPr>
          <w:i/>
        </w:rPr>
      </w:pPr>
      <w:proofErr w:type="gramStart"/>
      <w:r w:rsidRPr="00AB5B64">
        <w:rPr>
          <w:i/>
        </w:rPr>
        <w:t>identificar</w:t>
      </w:r>
      <w:proofErr w:type="gramEnd"/>
      <w:r w:rsidRPr="00AB5B64">
        <w:rPr>
          <w:i/>
        </w:rPr>
        <w:t xml:space="preserve">, exatamente, o interesse público a ser buscado, ou, o que é o mesmo, </w:t>
      </w:r>
      <w:r w:rsidRPr="008628E2">
        <w:rPr>
          <w:i/>
          <w:u w:val="single"/>
        </w:rPr>
        <w:t>identificar, exatamente, os parâmetros da competição a ser fomentada</w:t>
      </w:r>
      <w:r w:rsidRPr="00AB5B64">
        <w:rPr>
          <w:i/>
        </w:rPr>
        <w:t xml:space="preserve">, não </w:t>
      </w:r>
      <w:r w:rsidR="00C677B5">
        <w:rPr>
          <w:i/>
        </w:rPr>
        <w:t xml:space="preserve">sendo suficiente </w:t>
      </w:r>
      <w:r w:rsidRPr="00AB5B64">
        <w:rPr>
          <w:i/>
        </w:rPr>
        <w:t xml:space="preserve">uma mera pressuposição genérica de que o “setor aeroportuário é competitivo” e </w:t>
      </w:r>
      <w:r w:rsidR="00C677B5">
        <w:rPr>
          <w:i/>
        </w:rPr>
        <w:t xml:space="preserve">uma consequente </w:t>
      </w:r>
      <w:r w:rsidRPr="00AB5B64">
        <w:rPr>
          <w:i/>
        </w:rPr>
        <w:t xml:space="preserve">vedação </w:t>
      </w:r>
      <w:r w:rsidR="00C677B5">
        <w:rPr>
          <w:i/>
        </w:rPr>
        <w:t>também genérica de participação de quaisquer sujeitos que tenham qualquer grau de envolvimento em empreendimentos aeroportuários nacionais</w:t>
      </w:r>
      <w:r w:rsidR="00634682">
        <w:rPr>
          <w:i/>
        </w:rPr>
        <w:t xml:space="preserve"> </w:t>
      </w:r>
      <w:r w:rsidR="00634682">
        <w:rPr>
          <w:b/>
          <w:i/>
        </w:rPr>
        <w:t>(Seção V, subseção V.1.)</w:t>
      </w:r>
      <w:r w:rsidR="00C677B5">
        <w:rPr>
          <w:i/>
        </w:rPr>
        <w:t>;</w:t>
      </w:r>
    </w:p>
    <w:p w:rsidR="00F66938" w:rsidRPr="008628E2" w:rsidRDefault="00F66938" w:rsidP="008628E2">
      <w:pPr>
        <w:pStyle w:val="PargrafodaLista"/>
        <w:numPr>
          <w:ilvl w:val="0"/>
          <w:numId w:val="7"/>
        </w:numPr>
        <w:spacing w:line="312" w:lineRule="auto"/>
        <w:ind w:right="787"/>
        <w:jc w:val="both"/>
        <w:rPr>
          <w:i/>
        </w:rPr>
      </w:pPr>
      <w:proofErr w:type="gramStart"/>
      <w:r w:rsidRPr="00AB5B64">
        <w:rPr>
          <w:i/>
        </w:rPr>
        <w:t>introduzir</w:t>
      </w:r>
      <w:proofErr w:type="gramEnd"/>
      <w:r w:rsidRPr="00AB5B64">
        <w:rPr>
          <w:i/>
        </w:rPr>
        <w:t xml:space="preserve"> limitações à participação de interessados</w:t>
      </w:r>
      <w:r w:rsidR="00C677B5">
        <w:rPr>
          <w:i/>
        </w:rPr>
        <w:t xml:space="preserve">, na </w:t>
      </w:r>
      <w:r w:rsidR="00C677B5" w:rsidRPr="008628E2">
        <w:rPr>
          <w:i/>
          <w:u w:val="single"/>
        </w:rPr>
        <w:t>exata medida d</w:t>
      </w:r>
      <w:r w:rsidRPr="008628E2">
        <w:rPr>
          <w:i/>
          <w:u w:val="single"/>
        </w:rPr>
        <w:t>a necessidade</w:t>
      </w:r>
      <w:r w:rsidR="00C677B5" w:rsidRPr="008628E2">
        <w:rPr>
          <w:i/>
          <w:u w:val="single"/>
        </w:rPr>
        <w:t xml:space="preserve"> de se preservar a competição</w:t>
      </w:r>
      <w:r w:rsidR="00C677B5">
        <w:rPr>
          <w:i/>
        </w:rPr>
        <w:t xml:space="preserve"> (bem delineada, cfe. (i.))</w:t>
      </w:r>
      <w:r w:rsidRPr="00AB5B64">
        <w:rPr>
          <w:i/>
        </w:rPr>
        <w:t>, sem agravos desnecessários à liberdade de participar da licitação</w:t>
      </w:r>
      <w:r w:rsidR="00634682">
        <w:rPr>
          <w:i/>
        </w:rPr>
        <w:t xml:space="preserve"> </w:t>
      </w:r>
      <w:r w:rsidR="00634682">
        <w:rPr>
          <w:b/>
          <w:i/>
        </w:rPr>
        <w:t>(Seção V, subseção V.2.)</w:t>
      </w:r>
      <w:r w:rsidRPr="00AB5B64">
        <w:rPr>
          <w:i/>
        </w:rPr>
        <w:t xml:space="preserve">; </w:t>
      </w:r>
    </w:p>
    <w:p w:rsidR="00F66938" w:rsidRPr="00AB5B64" w:rsidRDefault="00F66938" w:rsidP="00867B9A">
      <w:pPr>
        <w:pStyle w:val="PargrafodaLista"/>
        <w:numPr>
          <w:ilvl w:val="0"/>
          <w:numId w:val="7"/>
        </w:numPr>
        <w:spacing w:line="312" w:lineRule="auto"/>
        <w:ind w:right="787"/>
        <w:jc w:val="both"/>
        <w:rPr>
          <w:i/>
        </w:rPr>
      </w:pPr>
      <w:proofErr w:type="gramStart"/>
      <w:r w:rsidRPr="00AB5B64">
        <w:rPr>
          <w:i/>
        </w:rPr>
        <w:t>vir</w:t>
      </w:r>
      <w:proofErr w:type="gramEnd"/>
      <w:r w:rsidRPr="00AB5B64">
        <w:rPr>
          <w:i/>
        </w:rPr>
        <w:t xml:space="preserve"> acompanhadas de </w:t>
      </w:r>
      <w:r w:rsidRPr="008628E2">
        <w:rPr>
          <w:i/>
          <w:u w:val="single"/>
        </w:rPr>
        <w:t>fundamentação suficiente</w:t>
      </w:r>
      <w:r w:rsidRPr="00AB5B64">
        <w:rPr>
          <w:i/>
        </w:rPr>
        <w:t>, relativamente aos pontos (i.) e (</w:t>
      </w:r>
      <w:proofErr w:type="spellStart"/>
      <w:r w:rsidRPr="00AB5B64">
        <w:rPr>
          <w:i/>
        </w:rPr>
        <w:t>ii</w:t>
      </w:r>
      <w:proofErr w:type="spellEnd"/>
      <w:r w:rsidRPr="00AB5B64">
        <w:rPr>
          <w:i/>
        </w:rPr>
        <w:t>.)</w:t>
      </w:r>
      <w:r w:rsidR="00C677B5">
        <w:rPr>
          <w:i/>
        </w:rPr>
        <w:t>, nos termos em que tal exigência vincula a elaboração, sobretudo, de atos administrativos discricionários, como é o caso (art. 93, inc. X, da Constituição da República)</w:t>
      </w:r>
      <w:r w:rsidRPr="00AB5B64">
        <w:rPr>
          <w:i/>
        </w:rPr>
        <w:t>.</w:t>
      </w:r>
      <w:r w:rsidR="00634682">
        <w:rPr>
          <w:i/>
        </w:rPr>
        <w:t xml:space="preserve"> </w:t>
      </w:r>
      <w:r w:rsidR="00634682">
        <w:rPr>
          <w:b/>
          <w:i/>
        </w:rPr>
        <w:t>(Seção V, subseção V.3.)</w:t>
      </w:r>
      <w:r w:rsidR="008628E2">
        <w:rPr>
          <w:b/>
          <w:i/>
        </w:rPr>
        <w:t>.</w:t>
      </w:r>
    </w:p>
    <w:p w:rsidR="00F66938" w:rsidRPr="00AB5B64" w:rsidRDefault="00F66938" w:rsidP="002C6D00">
      <w:pPr>
        <w:spacing w:line="312" w:lineRule="auto"/>
        <w:rPr>
          <w:rFonts w:ascii="Arial" w:hAnsi="Arial"/>
        </w:rPr>
      </w:pPr>
    </w:p>
    <w:p w:rsidR="00F66938" w:rsidRPr="00AB5B64" w:rsidRDefault="008628E2" w:rsidP="00867B9A">
      <w:pPr>
        <w:spacing w:line="312" w:lineRule="auto"/>
        <w:rPr>
          <w:rFonts w:ascii="Arial" w:hAnsi="Arial"/>
          <w:b/>
          <w:smallCaps/>
        </w:rPr>
      </w:pPr>
      <w:r>
        <w:rPr>
          <w:rFonts w:ascii="Arial" w:hAnsi="Arial"/>
          <w:b/>
          <w:smallCaps/>
        </w:rPr>
        <w:t>Seção I</w:t>
      </w:r>
      <w:r w:rsidR="00F66938" w:rsidRPr="00AB5B64">
        <w:rPr>
          <w:rFonts w:ascii="Arial" w:hAnsi="Arial"/>
          <w:b/>
          <w:smallCaps/>
        </w:rPr>
        <w:t xml:space="preserve">I – O teor literal da cláusula e a situação fática da Consulente – A necessidade de uma interpretação restritiva </w:t>
      </w:r>
    </w:p>
    <w:p w:rsidR="00F66938" w:rsidRPr="00AB5B64" w:rsidRDefault="00F66938" w:rsidP="00867B9A">
      <w:pPr>
        <w:spacing w:line="312" w:lineRule="auto"/>
        <w:jc w:val="both"/>
        <w:rPr>
          <w:rFonts w:ascii="Arial" w:hAnsi="Arial"/>
        </w:rPr>
      </w:pPr>
    </w:p>
    <w:p w:rsidR="00F66938" w:rsidRPr="00AB5B64" w:rsidRDefault="00F66938" w:rsidP="00867B9A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 xml:space="preserve">Releia-se, no que </w:t>
      </w:r>
      <w:proofErr w:type="gramStart"/>
      <w:r w:rsidRPr="00AB5B64">
        <w:rPr>
          <w:rFonts w:ascii="Arial" w:hAnsi="Arial"/>
        </w:rPr>
        <w:t>interessa,</w:t>
      </w:r>
      <w:proofErr w:type="gramEnd"/>
      <w:r w:rsidRPr="00AB5B64">
        <w:rPr>
          <w:rFonts w:ascii="Arial" w:hAnsi="Arial"/>
        </w:rPr>
        <w:t xml:space="preserve"> a Cláusula 3.15.5: “</w:t>
      </w:r>
      <w:proofErr w:type="spellStart"/>
      <w:r w:rsidRPr="00AB5B64">
        <w:rPr>
          <w:rFonts w:ascii="Arial" w:hAnsi="Arial"/>
        </w:rPr>
        <w:t>não</w:t>
      </w:r>
      <w:proofErr w:type="spellEnd"/>
      <w:r w:rsidRPr="00AB5B64">
        <w:rPr>
          <w:rFonts w:ascii="Arial" w:hAnsi="Arial"/>
        </w:rPr>
        <w:t xml:space="preserve"> </w:t>
      </w:r>
      <w:proofErr w:type="spellStart"/>
      <w:r w:rsidRPr="00AB5B64">
        <w:rPr>
          <w:rFonts w:ascii="Arial" w:hAnsi="Arial"/>
        </w:rPr>
        <w:t>poderão</w:t>
      </w:r>
      <w:proofErr w:type="spellEnd"/>
      <w:r w:rsidRPr="00AB5B64">
        <w:rPr>
          <w:rFonts w:ascii="Arial" w:hAnsi="Arial"/>
        </w:rPr>
        <w:t xml:space="preserve"> participar deste </w:t>
      </w:r>
      <w:proofErr w:type="spellStart"/>
      <w:r w:rsidRPr="00AB5B64">
        <w:rPr>
          <w:rFonts w:ascii="Arial" w:hAnsi="Arial"/>
        </w:rPr>
        <w:t>Leilão</w:t>
      </w:r>
      <w:proofErr w:type="spellEnd"/>
      <w:r w:rsidRPr="00AB5B64">
        <w:rPr>
          <w:rFonts w:ascii="Arial" w:hAnsi="Arial"/>
        </w:rPr>
        <w:t xml:space="preserve"> pessoas </w:t>
      </w:r>
      <w:proofErr w:type="spellStart"/>
      <w:r w:rsidRPr="00AB5B64">
        <w:rPr>
          <w:rFonts w:ascii="Arial" w:hAnsi="Arial"/>
        </w:rPr>
        <w:t>jurídicas</w:t>
      </w:r>
      <w:proofErr w:type="spellEnd"/>
      <w:r w:rsidRPr="00AB5B64">
        <w:rPr>
          <w:rFonts w:ascii="Arial" w:hAnsi="Arial"/>
        </w:rPr>
        <w:t xml:space="preserve">, isoladamente ou em </w:t>
      </w:r>
      <w:proofErr w:type="spellStart"/>
      <w:r w:rsidRPr="00AB5B64">
        <w:rPr>
          <w:rFonts w:ascii="Arial" w:hAnsi="Arial"/>
        </w:rPr>
        <w:t>Consórcio</w:t>
      </w:r>
      <w:proofErr w:type="spellEnd"/>
      <w:r w:rsidRPr="00AB5B64">
        <w:rPr>
          <w:rFonts w:ascii="Arial" w:hAnsi="Arial"/>
        </w:rPr>
        <w:t xml:space="preserve">, que (...) sejam acionistas das </w:t>
      </w:r>
      <w:proofErr w:type="spellStart"/>
      <w:r w:rsidRPr="00AB5B64">
        <w:rPr>
          <w:rFonts w:ascii="Arial" w:hAnsi="Arial"/>
        </w:rPr>
        <w:t>concessionárias</w:t>
      </w:r>
      <w:proofErr w:type="spellEnd"/>
      <w:r w:rsidRPr="00AB5B64">
        <w:rPr>
          <w:rFonts w:ascii="Arial" w:hAnsi="Arial"/>
        </w:rPr>
        <w:t xml:space="preserve"> de </w:t>
      </w:r>
      <w:proofErr w:type="spellStart"/>
      <w:r w:rsidRPr="00AB5B64">
        <w:rPr>
          <w:rFonts w:ascii="Arial" w:hAnsi="Arial"/>
        </w:rPr>
        <w:t>serviço</w:t>
      </w:r>
      <w:proofErr w:type="spellEnd"/>
      <w:r w:rsidRPr="00AB5B64">
        <w:rPr>
          <w:rFonts w:ascii="Arial" w:hAnsi="Arial"/>
        </w:rPr>
        <w:t xml:space="preserve"> </w:t>
      </w:r>
      <w:proofErr w:type="spellStart"/>
      <w:r w:rsidRPr="00AB5B64">
        <w:rPr>
          <w:rFonts w:ascii="Arial" w:hAnsi="Arial"/>
        </w:rPr>
        <w:t>público</w:t>
      </w:r>
      <w:proofErr w:type="spellEnd"/>
      <w:r w:rsidRPr="00AB5B64">
        <w:rPr>
          <w:rFonts w:ascii="Arial" w:hAnsi="Arial"/>
        </w:rPr>
        <w:t xml:space="preserve"> de infraestrutura </w:t>
      </w:r>
      <w:proofErr w:type="spellStart"/>
      <w:r w:rsidRPr="00AB5B64">
        <w:rPr>
          <w:rFonts w:ascii="Arial" w:hAnsi="Arial"/>
        </w:rPr>
        <w:t>aeroportuária</w:t>
      </w:r>
      <w:proofErr w:type="spellEnd"/>
      <w:r w:rsidRPr="00AB5B64">
        <w:rPr>
          <w:rFonts w:ascii="Arial" w:hAnsi="Arial"/>
        </w:rPr>
        <w:t xml:space="preserve"> de aeroportos brasileiros, suas controladoras, controladas e coligadas.”</w:t>
      </w:r>
    </w:p>
    <w:p w:rsidR="00F66938" w:rsidRPr="00AB5B64" w:rsidRDefault="00F66938" w:rsidP="00867B9A">
      <w:pPr>
        <w:spacing w:line="312" w:lineRule="auto"/>
        <w:jc w:val="both"/>
        <w:rPr>
          <w:rFonts w:ascii="Arial" w:hAnsi="Arial"/>
        </w:rPr>
      </w:pPr>
    </w:p>
    <w:p w:rsidR="00F66938" w:rsidRPr="00AB5B64" w:rsidRDefault="00F66938" w:rsidP="00867B9A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>As hipóteses a serem consideradas são as seguintes:</w:t>
      </w:r>
    </w:p>
    <w:p w:rsidR="00F66938" w:rsidRPr="00AB5B64" w:rsidRDefault="00F66938" w:rsidP="00867B9A">
      <w:pPr>
        <w:spacing w:line="312" w:lineRule="auto"/>
        <w:jc w:val="both"/>
        <w:rPr>
          <w:rFonts w:ascii="Arial" w:hAnsi="Arial"/>
        </w:rPr>
      </w:pPr>
    </w:p>
    <w:p w:rsidR="00F66938" w:rsidRPr="00AB5B64" w:rsidRDefault="00F66938" w:rsidP="00AB5B64">
      <w:pPr>
        <w:pStyle w:val="PargrafodaLista"/>
        <w:numPr>
          <w:ilvl w:val="0"/>
          <w:numId w:val="8"/>
        </w:numPr>
        <w:spacing w:line="312" w:lineRule="auto"/>
        <w:jc w:val="both"/>
      </w:pPr>
      <w:proofErr w:type="gramStart"/>
      <w:r w:rsidRPr="00AB5B64">
        <w:t>acionista</w:t>
      </w:r>
      <w:proofErr w:type="gramEnd"/>
      <w:r w:rsidRPr="00AB5B64">
        <w:t xml:space="preserve"> de concessionária;</w:t>
      </w:r>
    </w:p>
    <w:p w:rsidR="00F66938" w:rsidRPr="00AB5B64" w:rsidRDefault="00F66938" w:rsidP="00AB5B64">
      <w:pPr>
        <w:pStyle w:val="PargrafodaLista"/>
        <w:numPr>
          <w:ilvl w:val="0"/>
          <w:numId w:val="8"/>
        </w:numPr>
        <w:spacing w:line="312" w:lineRule="auto"/>
        <w:jc w:val="both"/>
      </w:pPr>
      <w:proofErr w:type="gramStart"/>
      <w:r w:rsidRPr="00AB5B64">
        <w:t>controladora</w:t>
      </w:r>
      <w:proofErr w:type="gramEnd"/>
      <w:r w:rsidRPr="00AB5B64">
        <w:t xml:space="preserve"> de concessionária;</w:t>
      </w:r>
    </w:p>
    <w:p w:rsidR="00F66938" w:rsidRPr="00AB5B64" w:rsidRDefault="00F66938" w:rsidP="00AB5B64">
      <w:pPr>
        <w:pStyle w:val="PargrafodaLista"/>
        <w:numPr>
          <w:ilvl w:val="0"/>
          <w:numId w:val="8"/>
        </w:numPr>
        <w:spacing w:line="312" w:lineRule="auto"/>
        <w:jc w:val="both"/>
      </w:pPr>
      <w:proofErr w:type="gramStart"/>
      <w:r w:rsidRPr="00AB5B64">
        <w:t>controlada</w:t>
      </w:r>
      <w:proofErr w:type="gramEnd"/>
      <w:r w:rsidRPr="00AB5B64">
        <w:t xml:space="preserve"> de concessionária;</w:t>
      </w:r>
    </w:p>
    <w:p w:rsidR="00F66938" w:rsidRPr="00AB5B64" w:rsidRDefault="00F66938" w:rsidP="00AB5B64">
      <w:pPr>
        <w:pStyle w:val="PargrafodaLista"/>
        <w:numPr>
          <w:ilvl w:val="0"/>
          <w:numId w:val="8"/>
        </w:numPr>
        <w:spacing w:line="312" w:lineRule="auto"/>
        <w:jc w:val="both"/>
      </w:pPr>
      <w:proofErr w:type="gramStart"/>
      <w:r w:rsidRPr="00AB5B64">
        <w:t>coligada</w:t>
      </w:r>
      <w:proofErr w:type="gramEnd"/>
      <w:r w:rsidRPr="00AB5B64">
        <w:t xml:space="preserve"> de concessionária.</w:t>
      </w:r>
    </w:p>
    <w:p w:rsidR="00F66938" w:rsidRPr="00AB5B64" w:rsidRDefault="00F66938" w:rsidP="00867B9A">
      <w:pPr>
        <w:spacing w:line="312" w:lineRule="auto"/>
        <w:jc w:val="both"/>
        <w:rPr>
          <w:rFonts w:ascii="Arial" w:hAnsi="Arial"/>
        </w:rPr>
      </w:pPr>
    </w:p>
    <w:p w:rsidR="00F66938" w:rsidRPr="00AC0ED5" w:rsidRDefault="00F66938" w:rsidP="00867B9A">
      <w:pPr>
        <w:spacing w:line="312" w:lineRule="auto"/>
        <w:jc w:val="both"/>
        <w:rPr>
          <w:rFonts w:ascii="Arial" w:hAnsi="Arial"/>
        </w:rPr>
      </w:pPr>
      <w:r w:rsidRPr="00AC0ED5">
        <w:rPr>
          <w:rFonts w:ascii="Arial" w:hAnsi="Arial"/>
        </w:rPr>
        <w:lastRenderedPageBreak/>
        <w:t>A maior parte dessas figuras encontra-se definida no próprio Edital</w:t>
      </w:r>
      <w:r w:rsidRPr="00AC0ED5">
        <w:rPr>
          <w:rStyle w:val="Refdenotaderodap"/>
          <w:rFonts w:ascii="Arial" w:hAnsi="Arial"/>
        </w:rPr>
        <w:footnoteReference w:id="1"/>
      </w:r>
      <w:r w:rsidR="00C677B5" w:rsidRPr="00AC0ED5">
        <w:rPr>
          <w:rFonts w:ascii="Arial" w:hAnsi="Arial"/>
        </w:rPr>
        <w:t xml:space="preserve"> e um exame rápido</w:t>
      </w:r>
      <w:r w:rsidRPr="00AC0ED5">
        <w:rPr>
          <w:rFonts w:ascii="Arial" w:hAnsi="Arial"/>
        </w:rPr>
        <w:t xml:space="preserve"> </w:t>
      </w:r>
      <w:r w:rsidR="00C677B5" w:rsidRPr="00AC0ED5">
        <w:rPr>
          <w:rFonts w:ascii="Arial" w:hAnsi="Arial"/>
        </w:rPr>
        <w:t xml:space="preserve">basta para verificar </w:t>
      </w:r>
      <w:r w:rsidRPr="00AC0ED5">
        <w:rPr>
          <w:rFonts w:ascii="Arial" w:hAnsi="Arial"/>
        </w:rPr>
        <w:t xml:space="preserve">que a Consulente não é acionista, controladora ou controlada de empresa concessionária de </w:t>
      </w:r>
      <w:proofErr w:type="spellStart"/>
      <w:r w:rsidRPr="00AC0ED5">
        <w:rPr>
          <w:rFonts w:ascii="Arial" w:hAnsi="Arial"/>
        </w:rPr>
        <w:t>serviço</w:t>
      </w:r>
      <w:proofErr w:type="spellEnd"/>
      <w:r w:rsidRPr="00AC0ED5">
        <w:rPr>
          <w:rFonts w:ascii="Arial" w:hAnsi="Arial"/>
        </w:rPr>
        <w:t xml:space="preserve"> </w:t>
      </w:r>
      <w:proofErr w:type="spellStart"/>
      <w:r w:rsidRPr="00AC0ED5">
        <w:rPr>
          <w:rFonts w:ascii="Arial" w:hAnsi="Arial"/>
        </w:rPr>
        <w:t>público</w:t>
      </w:r>
      <w:proofErr w:type="spellEnd"/>
      <w:r w:rsidRPr="00AC0ED5">
        <w:rPr>
          <w:rFonts w:ascii="Arial" w:hAnsi="Arial"/>
        </w:rPr>
        <w:t xml:space="preserve"> de infraestrutura </w:t>
      </w:r>
      <w:proofErr w:type="spellStart"/>
      <w:r w:rsidRPr="00AC0ED5">
        <w:rPr>
          <w:rFonts w:ascii="Arial" w:hAnsi="Arial"/>
        </w:rPr>
        <w:t>aeroportuária</w:t>
      </w:r>
      <w:proofErr w:type="spellEnd"/>
      <w:r w:rsidRPr="00AC0ED5">
        <w:rPr>
          <w:rFonts w:ascii="Arial" w:hAnsi="Arial"/>
        </w:rPr>
        <w:t xml:space="preserve"> de aeroportos brasileiros. Também não é a operadora dos aeroportos e não é sequer acionista majoritária da acionista majoritária da concessionária. </w:t>
      </w:r>
    </w:p>
    <w:p w:rsidR="00F66938" w:rsidRPr="00AC0ED5" w:rsidRDefault="00F66938" w:rsidP="00867B9A">
      <w:pPr>
        <w:spacing w:line="312" w:lineRule="auto"/>
        <w:jc w:val="both"/>
        <w:rPr>
          <w:rFonts w:ascii="Arial" w:hAnsi="Arial"/>
        </w:rPr>
      </w:pPr>
    </w:p>
    <w:p w:rsidR="00F66938" w:rsidRPr="00AC0ED5" w:rsidRDefault="00F66938" w:rsidP="00867B9A">
      <w:pPr>
        <w:spacing w:line="312" w:lineRule="auto"/>
        <w:jc w:val="both"/>
        <w:rPr>
          <w:rFonts w:ascii="Arial" w:hAnsi="Arial"/>
          <w:b/>
        </w:rPr>
      </w:pPr>
      <w:r w:rsidRPr="00AC0ED5">
        <w:rPr>
          <w:rFonts w:ascii="Arial" w:hAnsi="Arial"/>
        </w:rPr>
        <w:t xml:space="preserve">Concretamente, ela é </w:t>
      </w:r>
      <w:r w:rsidRPr="00AC0ED5">
        <w:rPr>
          <w:rFonts w:ascii="Arial" w:hAnsi="Arial"/>
          <w:b/>
        </w:rPr>
        <w:t>acionista minoritária do acionista majoritário de concessionária.</w:t>
      </w:r>
    </w:p>
    <w:p w:rsidR="00F66938" w:rsidRPr="00AC0ED5" w:rsidRDefault="00F66938" w:rsidP="00867B9A">
      <w:pPr>
        <w:spacing w:line="312" w:lineRule="auto"/>
        <w:jc w:val="both"/>
        <w:rPr>
          <w:rFonts w:ascii="Arial" w:hAnsi="Arial"/>
          <w:b/>
        </w:rPr>
      </w:pPr>
    </w:p>
    <w:p w:rsidR="00F66938" w:rsidRPr="00AC0ED5" w:rsidRDefault="00F66938" w:rsidP="00867B9A">
      <w:pPr>
        <w:spacing w:line="312" w:lineRule="auto"/>
        <w:jc w:val="both"/>
        <w:rPr>
          <w:rFonts w:ascii="Arial" w:hAnsi="Arial"/>
        </w:rPr>
      </w:pPr>
      <w:r w:rsidRPr="00AC0ED5">
        <w:rPr>
          <w:rFonts w:ascii="Arial" w:hAnsi="Arial"/>
        </w:rPr>
        <w:t xml:space="preserve">Diante desse quadro, a única dúvida que poderia remanescer diz respeito apenas ao conceito de empresa </w:t>
      </w:r>
      <w:r w:rsidRPr="00AC0ED5">
        <w:rPr>
          <w:rFonts w:ascii="Arial" w:hAnsi="Arial"/>
          <w:i/>
        </w:rPr>
        <w:t xml:space="preserve">coligada de concessionária. </w:t>
      </w:r>
      <w:r w:rsidRPr="00AC0ED5">
        <w:rPr>
          <w:rFonts w:ascii="Arial" w:hAnsi="Arial"/>
        </w:rPr>
        <w:t xml:space="preserve">Com efeito, o conceito do Edital é, </w:t>
      </w:r>
      <w:r w:rsidRPr="00AC0ED5">
        <w:rPr>
          <w:rFonts w:ascii="Arial" w:hAnsi="Arial"/>
          <w:i/>
        </w:rPr>
        <w:t>prima facie</w:t>
      </w:r>
      <w:r w:rsidRPr="00AC0ED5">
        <w:rPr>
          <w:rFonts w:ascii="Arial" w:hAnsi="Arial"/>
        </w:rPr>
        <w:t>, amplo:</w:t>
      </w:r>
    </w:p>
    <w:p w:rsidR="00F66938" w:rsidRPr="00AC0ED5" w:rsidRDefault="00F66938" w:rsidP="00867B9A">
      <w:pPr>
        <w:spacing w:line="312" w:lineRule="auto"/>
        <w:jc w:val="both"/>
        <w:rPr>
          <w:rFonts w:ascii="Arial" w:hAnsi="Arial"/>
        </w:rPr>
      </w:pPr>
    </w:p>
    <w:p w:rsidR="00F66938" w:rsidRPr="00C677B5" w:rsidRDefault="00C677B5" w:rsidP="00C677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12" w:lineRule="auto"/>
        <w:ind w:left="1701"/>
        <w:jc w:val="both"/>
        <w:rPr>
          <w:rFonts w:ascii="Arial" w:hAnsi="Arial" w:cs="Helvetica"/>
          <w:i/>
          <w:color w:val="000000"/>
          <w:szCs w:val="22"/>
        </w:rPr>
      </w:pPr>
      <w:r>
        <w:rPr>
          <w:rFonts w:ascii="Arial" w:hAnsi="Arial" w:cs="Helvetica"/>
          <w:i/>
          <w:color w:val="000000"/>
          <w:szCs w:val="22"/>
        </w:rPr>
        <w:t xml:space="preserve">1.1.9. </w:t>
      </w:r>
      <w:r w:rsidR="00465C58" w:rsidRPr="00465C58">
        <w:rPr>
          <w:rFonts w:ascii="Arial" w:hAnsi="Arial" w:cs="Helvetica"/>
          <w:i/>
          <w:color w:val="000000"/>
          <w:szCs w:val="22"/>
        </w:rPr>
        <w:t>Coligadas: sociedades submetidas à influência significativa de outra sociedade. Há influência significativa de outra sociedade quando se detém ou se exerce o poder de participar nas decisões das políticas financeira ou operacional da investida, sem controlá-la. É presumida influência significativa quando houver a titularidade de 20% (vinte por cento) ou mais do capital votante da investida, sem controlá-la.</w:t>
      </w: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Este dispositivo</w:t>
      </w:r>
      <w:r w:rsidR="008628E2">
        <w:rPr>
          <w:rFonts w:ascii="Arial" w:hAnsi="Arial"/>
        </w:rPr>
        <w:t>, todavia,</w:t>
      </w:r>
      <w:r>
        <w:rPr>
          <w:rFonts w:ascii="Arial" w:hAnsi="Arial"/>
        </w:rPr>
        <w:t xml:space="preserve"> é </w:t>
      </w:r>
      <w:proofErr w:type="gramStart"/>
      <w:r>
        <w:rPr>
          <w:rFonts w:ascii="Arial" w:hAnsi="Arial"/>
        </w:rPr>
        <w:t xml:space="preserve">inspirado, quase </w:t>
      </w:r>
      <w:r>
        <w:rPr>
          <w:rFonts w:ascii="Arial" w:hAnsi="Arial"/>
          <w:i/>
        </w:rPr>
        <w:t xml:space="preserve">ipsis litteris, </w:t>
      </w:r>
      <w:r>
        <w:rPr>
          <w:rFonts w:ascii="Arial" w:hAnsi="Arial"/>
        </w:rPr>
        <w:t>no art. 243 da Lei das Sociedades Anônimas</w:t>
      </w:r>
      <w:proofErr w:type="gramEnd"/>
      <w:r>
        <w:rPr>
          <w:rFonts w:ascii="Arial" w:hAnsi="Arial"/>
        </w:rPr>
        <w:t>, a Lei n</w:t>
      </w:r>
      <w:r>
        <w:rPr>
          <w:rFonts w:ascii="Arial" w:hAnsi="Arial"/>
        </w:rPr>
        <w:sym w:font="Symbol" w:char="F0B0"/>
      </w:r>
      <w:r>
        <w:rPr>
          <w:rFonts w:ascii="Arial" w:hAnsi="Arial"/>
        </w:rPr>
        <w:t xml:space="preserve"> 6.404/1976, com a redação que lhe deu a Lei n</w:t>
      </w:r>
      <w:r>
        <w:rPr>
          <w:rFonts w:ascii="Arial" w:hAnsi="Arial"/>
        </w:rPr>
        <w:sym w:font="Symbol" w:char="F0B0"/>
      </w:r>
      <w:r>
        <w:rPr>
          <w:rFonts w:ascii="Arial" w:hAnsi="Arial"/>
        </w:rPr>
        <w:t xml:space="preserve"> 11.941/2009. </w:t>
      </w: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Ali se vê que, contrariamente a quanto poderia parecer numa leitura inicial, </w:t>
      </w:r>
      <w:proofErr w:type="gramStart"/>
      <w:r w:rsidRPr="00E62499">
        <w:rPr>
          <w:rFonts w:ascii="Arial" w:hAnsi="Arial"/>
          <w:b/>
        </w:rPr>
        <w:t>a</w:t>
      </w:r>
      <w:proofErr w:type="gramEnd"/>
      <w:r w:rsidRPr="00E62499">
        <w:rPr>
          <w:rFonts w:ascii="Arial" w:hAnsi="Arial"/>
          <w:b/>
        </w:rPr>
        <w:t xml:space="preserve"> relação de coligação </w:t>
      </w:r>
      <w:r w:rsidRPr="00E62499">
        <w:rPr>
          <w:rFonts w:ascii="Arial" w:hAnsi="Arial"/>
          <w:b/>
          <w:i/>
        </w:rPr>
        <w:t>pressupõe participação societária de uma sociedade em outra</w:t>
      </w:r>
      <w:r>
        <w:rPr>
          <w:rFonts w:ascii="Arial" w:hAnsi="Arial"/>
        </w:rPr>
        <w:t>. É</w:t>
      </w:r>
      <w:r w:rsidR="008628E2">
        <w:rPr>
          <w:rFonts w:ascii="Arial" w:hAnsi="Arial"/>
        </w:rPr>
        <w:t xml:space="preserve"> exatamente</w:t>
      </w:r>
      <w:r>
        <w:rPr>
          <w:rFonts w:ascii="Arial" w:hAnsi="Arial"/>
        </w:rPr>
        <w:t xml:space="preserve"> esta participação societária que, sem configurar </w:t>
      </w:r>
      <w:r w:rsidRPr="00E62499">
        <w:rPr>
          <w:rFonts w:ascii="Arial" w:hAnsi="Arial"/>
        </w:rPr>
        <w:t>controle</w:t>
      </w:r>
      <w:r>
        <w:rPr>
          <w:rFonts w:ascii="Arial" w:hAnsi="Arial"/>
        </w:rPr>
        <w:t xml:space="preserve">, serve de veículo ou substrato para a influência significativa. </w:t>
      </w: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Tal influência é presumida quando a participação é igual ou superior a 20% ou </w:t>
      </w:r>
      <w:r>
        <w:rPr>
          <w:rFonts w:ascii="Arial" w:hAnsi="Arial"/>
          <w:i/>
        </w:rPr>
        <w:t>deve ser comprovada</w:t>
      </w:r>
      <w:r>
        <w:rPr>
          <w:rFonts w:ascii="Arial" w:hAnsi="Arial"/>
        </w:rPr>
        <w:t xml:space="preserve"> quando menor. Mas, repita-se, o elemento objetivo que deve estar presente é sempre a participação societária. </w:t>
      </w: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Confira-se o comentário da doutrina sobre a figura em tela:</w:t>
      </w: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</w:p>
    <w:p w:rsidR="00E62499" w:rsidRPr="00E62499" w:rsidRDefault="00E62499" w:rsidP="00E62499">
      <w:pPr>
        <w:spacing w:line="312" w:lineRule="auto"/>
        <w:ind w:left="1440"/>
        <w:jc w:val="both"/>
        <w:rPr>
          <w:rFonts w:ascii="Arial" w:hAnsi="Arial"/>
          <w:i/>
          <w:color w:val="000000"/>
          <w:lang w:eastAsia="pt-BR"/>
        </w:rPr>
      </w:pPr>
      <w:r w:rsidRPr="00E62499">
        <w:rPr>
          <w:rFonts w:ascii="Arial" w:hAnsi="Arial"/>
          <w:i/>
          <w:color w:val="000000"/>
          <w:lang w:eastAsia="pt-BR"/>
        </w:rPr>
        <w:t>Assim, segundo os parágrafos 1º, 4º e 5º, do artigo</w:t>
      </w:r>
      <w:r>
        <w:rPr>
          <w:rFonts w:ascii="Arial" w:hAnsi="Arial"/>
          <w:i/>
          <w:color w:val="000000"/>
          <w:lang w:eastAsia="pt-BR"/>
        </w:rPr>
        <w:t xml:space="preserve"> em comento </w:t>
      </w:r>
      <w:r>
        <w:rPr>
          <w:rFonts w:ascii="Arial" w:hAnsi="Arial"/>
          <w:color w:val="000000"/>
          <w:lang w:eastAsia="pt-BR"/>
        </w:rPr>
        <w:t>– fala o autor do art. 243 da Lei 6.404/1976</w:t>
      </w:r>
      <w:r>
        <w:rPr>
          <w:rStyle w:val="Refdenotaderodap"/>
          <w:rFonts w:ascii="Arial" w:hAnsi="Arial"/>
          <w:color w:val="000000"/>
          <w:lang w:eastAsia="pt-BR"/>
        </w:rPr>
        <w:footnoteReference w:id="2"/>
      </w:r>
      <w:r>
        <w:rPr>
          <w:rFonts w:ascii="Arial" w:hAnsi="Arial"/>
          <w:color w:val="000000"/>
          <w:lang w:eastAsia="pt-BR"/>
        </w:rPr>
        <w:t xml:space="preserve"> -</w:t>
      </w:r>
      <w:r w:rsidRPr="00E62499">
        <w:rPr>
          <w:rFonts w:ascii="Arial" w:hAnsi="Arial"/>
          <w:i/>
          <w:color w:val="000000"/>
          <w:lang w:eastAsia="pt-BR"/>
        </w:rPr>
        <w:t xml:space="preserve"> </w:t>
      </w:r>
      <w:r w:rsidRPr="008628E2">
        <w:rPr>
          <w:rFonts w:ascii="Arial" w:hAnsi="Arial"/>
          <w:b/>
          <w:i/>
          <w:color w:val="000000"/>
          <w:lang w:eastAsia="pt-BR"/>
        </w:rPr>
        <w:t xml:space="preserve">a influência significativa, que qualifica as sociedades como coligadas, </w:t>
      </w:r>
      <w:r w:rsidR="008628E2">
        <w:rPr>
          <w:rFonts w:ascii="Arial" w:hAnsi="Arial"/>
          <w:b/>
          <w:i/>
          <w:color w:val="000000"/>
          <w:lang w:eastAsia="pt-BR"/>
        </w:rPr>
        <w:t xml:space="preserve">exige </w:t>
      </w:r>
      <w:r w:rsidRPr="00E62499">
        <w:rPr>
          <w:rFonts w:ascii="Arial" w:hAnsi="Arial"/>
          <w:b/>
          <w:i/>
          <w:color w:val="000000"/>
          <w:lang w:eastAsia="pt-BR"/>
        </w:rPr>
        <w:t>que se considerem apenas ações ordinárias</w:t>
      </w:r>
      <w:r w:rsidRPr="00E62499">
        <w:rPr>
          <w:rFonts w:ascii="Arial" w:hAnsi="Arial"/>
          <w:i/>
          <w:color w:val="000000"/>
          <w:lang w:eastAsia="pt-BR"/>
        </w:rPr>
        <w:t xml:space="preserve">, já que haverão de ser votantes. No caso do parágrafo 4º, deve-se comprovar que a sociedade investidora detém ou exerce o poder de participar nas decisões das políticas financeiras ou operacionais da investida. Independe-se de qualquer quantitativo, mas há de se comprovar a participação em tais decisões. Já no caso do §5º, a influência significativa é presumida: basta que a sociedade investidora seja titular de vinte por cento ou mais do capital votante da investida. Em ambos os casos, não pode a sociedade investidora controlar a sociedade investida. Se tal se der, ocorre controle e não coligação. </w:t>
      </w:r>
    </w:p>
    <w:p w:rsidR="00E62499" w:rsidRPr="00E62499" w:rsidRDefault="00E62499" w:rsidP="00E62499">
      <w:pPr>
        <w:spacing w:line="312" w:lineRule="auto"/>
        <w:ind w:left="1440"/>
        <w:jc w:val="both"/>
        <w:rPr>
          <w:rFonts w:ascii="Arial" w:hAnsi="Arial"/>
          <w:i/>
          <w:color w:val="000000"/>
          <w:lang w:eastAsia="pt-BR"/>
        </w:rPr>
      </w:pPr>
      <w:r w:rsidRPr="00E62499">
        <w:rPr>
          <w:rFonts w:ascii="Arial" w:hAnsi="Arial"/>
          <w:i/>
          <w:color w:val="000000"/>
          <w:lang w:eastAsia="pt-BR"/>
        </w:rPr>
        <w:t xml:space="preserve">Calha, a respeito, a menção de que, em seu item II-2, a Nota Explicativa à Instrução CVM 247 já notava: </w:t>
      </w:r>
      <w:r>
        <w:rPr>
          <w:rFonts w:ascii="Arial" w:hAnsi="Arial"/>
          <w:i/>
          <w:color w:val="000000"/>
          <w:lang w:eastAsia="pt-BR"/>
        </w:rPr>
        <w:t>‘</w:t>
      </w:r>
      <w:r w:rsidRPr="00E62499">
        <w:rPr>
          <w:rFonts w:ascii="Arial" w:hAnsi="Arial"/>
          <w:i/>
          <w:color w:val="000000"/>
          <w:lang w:eastAsia="pt-BR"/>
        </w:rPr>
        <w:t>Os padrões internacionais determinam que a equivalência patrimonial seja aplicada aos investimentos em controladas e nas demais empresas em que haja significativa influência. Presume-se essa influencia significativa quando o investimento representar 20% (vinte por cento) ou mais do capital votante da coligada. Nos casos</w:t>
      </w:r>
      <w:r w:rsidR="008628E2">
        <w:rPr>
          <w:rFonts w:ascii="Arial" w:hAnsi="Arial"/>
          <w:i/>
          <w:color w:val="000000"/>
          <w:lang w:eastAsia="pt-BR"/>
        </w:rPr>
        <w:t xml:space="preserve"> de participação inferior a 20%</w:t>
      </w:r>
      <w:r w:rsidRPr="00E62499">
        <w:rPr>
          <w:rFonts w:ascii="Arial" w:hAnsi="Arial"/>
          <w:i/>
          <w:color w:val="000000"/>
          <w:lang w:eastAsia="pt-BR"/>
        </w:rPr>
        <w:t>, a influência significativa tem de ser comprovada</w:t>
      </w:r>
      <w:r>
        <w:rPr>
          <w:rStyle w:val="Refdenotaderodap"/>
          <w:rFonts w:ascii="Arial" w:hAnsi="Arial"/>
          <w:i/>
          <w:color w:val="000000"/>
          <w:lang w:eastAsia="pt-BR"/>
        </w:rPr>
        <w:footnoteReference w:id="3"/>
      </w:r>
      <w:r w:rsidRPr="00E62499">
        <w:rPr>
          <w:rFonts w:ascii="Arial" w:hAnsi="Arial"/>
          <w:i/>
          <w:color w:val="000000"/>
          <w:lang w:eastAsia="pt-BR"/>
        </w:rPr>
        <w:t>.</w:t>
      </w: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</w:p>
    <w:p w:rsidR="008628E2" w:rsidRDefault="00E62499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Em particular, é de se refutar a hipótese de uma “coligação indireta”. </w:t>
      </w:r>
    </w:p>
    <w:p w:rsidR="008628E2" w:rsidRDefault="008628E2" w:rsidP="00867B9A">
      <w:pPr>
        <w:spacing w:line="312" w:lineRule="auto"/>
        <w:jc w:val="both"/>
        <w:rPr>
          <w:rFonts w:ascii="Arial" w:hAnsi="Arial"/>
        </w:rPr>
      </w:pP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Os mesmos argumentos utilizados contra a figura, por ocasião da exegese da Lei das Sociedades Anônimas</w:t>
      </w:r>
      <w:r w:rsidR="00AC0ED5">
        <w:rPr>
          <w:rFonts w:ascii="Arial" w:hAnsi="Arial"/>
        </w:rPr>
        <w:t>,</w:t>
      </w:r>
      <w:r>
        <w:rPr>
          <w:rFonts w:ascii="Arial" w:hAnsi="Arial"/>
        </w:rPr>
        <w:t xml:space="preserve"> podem ser apresentados aqui, visto que o Edital, também neste passo, seguiu o diploma das </w:t>
      </w:r>
      <w:proofErr w:type="spellStart"/>
      <w:r>
        <w:rPr>
          <w:rFonts w:ascii="Arial" w:hAnsi="Arial"/>
        </w:rPr>
        <w:t>S.A.’s</w:t>
      </w:r>
      <w:proofErr w:type="spellEnd"/>
      <w:r>
        <w:rPr>
          <w:rFonts w:ascii="Arial" w:hAnsi="Arial"/>
        </w:rPr>
        <w:t xml:space="preserve">, ao prever controle direto e indireto, mas nada referir acerca da coligação </w:t>
      </w:r>
      <w:proofErr w:type="gramStart"/>
      <w:r>
        <w:rPr>
          <w:rFonts w:ascii="Arial" w:hAnsi="Arial"/>
        </w:rPr>
        <w:t>direta/indireta</w:t>
      </w:r>
      <w:proofErr w:type="gramEnd"/>
      <w:r>
        <w:rPr>
          <w:rFonts w:ascii="Arial" w:hAnsi="Arial"/>
        </w:rPr>
        <w:t xml:space="preserve">: </w:t>
      </w:r>
    </w:p>
    <w:p w:rsidR="00E62499" w:rsidRDefault="00E62499" w:rsidP="00867B9A">
      <w:pPr>
        <w:spacing w:line="312" w:lineRule="auto"/>
        <w:jc w:val="both"/>
        <w:rPr>
          <w:rFonts w:ascii="Arial" w:hAnsi="Arial"/>
        </w:rPr>
      </w:pPr>
    </w:p>
    <w:p w:rsidR="00E62499" w:rsidRPr="00CF5B0C" w:rsidRDefault="00E62499" w:rsidP="00CF5B0C">
      <w:pPr>
        <w:spacing w:line="312" w:lineRule="auto"/>
        <w:ind w:left="1701"/>
        <w:jc w:val="both"/>
        <w:rPr>
          <w:rFonts w:ascii="Arial" w:hAnsi="Arial"/>
          <w:i/>
        </w:rPr>
      </w:pPr>
      <w:r w:rsidRPr="00CF5B0C">
        <w:rPr>
          <w:rFonts w:ascii="Arial" w:hAnsi="Arial"/>
          <w:i/>
        </w:rPr>
        <w:t xml:space="preserve">Qual se viu do item supra, in fine, ao conceituar a sociedade controlada, a disposição </w:t>
      </w:r>
      <w:proofErr w:type="gramStart"/>
      <w:r w:rsidRPr="00CF5B0C">
        <w:rPr>
          <w:rFonts w:ascii="Arial" w:hAnsi="Arial"/>
          <w:i/>
        </w:rPr>
        <w:t>sob comento</w:t>
      </w:r>
      <w:proofErr w:type="gramEnd"/>
      <w:r w:rsidRPr="00CF5B0C">
        <w:rPr>
          <w:rFonts w:ascii="Arial" w:hAnsi="Arial"/>
          <w:i/>
        </w:rPr>
        <w:t xml:space="preserve"> admitiu a existência tanto de controle direto como de controle indireto. Já ao definir a sociedade coligada, não fez a norma referência à participação recíproca indireta, silêncio que, tanto antes como depois da alteração do conceito de sociedade coligada, introduzida pela Lei nº 11.941/2009, há de ser interpretado como intencional, ou seja, optou o legislador pela não admissão, em nosso direito posto, da chamada coligação indireta.</w:t>
      </w:r>
    </w:p>
    <w:p w:rsidR="00E62499" w:rsidRPr="00CF5B0C" w:rsidRDefault="00E62499" w:rsidP="00CF5B0C">
      <w:pPr>
        <w:spacing w:line="312" w:lineRule="auto"/>
        <w:ind w:left="1701"/>
        <w:jc w:val="both"/>
        <w:rPr>
          <w:rFonts w:ascii="Arial" w:hAnsi="Arial"/>
          <w:i/>
        </w:rPr>
      </w:pPr>
      <w:r w:rsidRPr="00CF5B0C">
        <w:rPr>
          <w:rFonts w:ascii="Arial" w:hAnsi="Arial"/>
          <w:i/>
        </w:rPr>
        <w:t xml:space="preserve">Como é consabido, a inspiração do legislador brasileiro foi, a tais respeitos, o Código Civil italiano, isto é, o artigo 2.359, III, interpretado pelos tribunais e pelos doutrinadores, como tendo excluído a coligação indireta, haja vista ter o Código apenas admitido </w:t>
      </w:r>
      <w:proofErr w:type="gramStart"/>
      <w:r w:rsidRPr="00CF5B0C">
        <w:rPr>
          <w:rFonts w:ascii="Arial" w:hAnsi="Arial"/>
          <w:i/>
        </w:rPr>
        <w:t>a</w:t>
      </w:r>
      <w:proofErr w:type="gramEnd"/>
      <w:r w:rsidRPr="00CF5B0C">
        <w:rPr>
          <w:rFonts w:ascii="Arial" w:hAnsi="Arial"/>
          <w:i/>
        </w:rPr>
        <w:t xml:space="preserve"> coligação direta.</w:t>
      </w:r>
    </w:p>
    <w:p w:rsidR="00E62499" w:rsidRPr="00CF5B0C" w:rsidRDefault="00E62499" w:rsidP="00CF5B0C">
      <w:pPr>
        <w:spacing w:line="312" w:lineRule="auto"/>
        <w:ind w:left="1701"/>
        <w:jc w:val="both"/>
        <w:rPr>
          <w:rFonts w:ascii="Arial" w:hAnsi="Arial"/>
          <w:i/>
        </w:rPr>
      </w:pPr>
      <w:r w:rsidRPr="00CF5B0C">
        <w:rPr>
          <w:rFonts w:ascii="Arial" w:hAnsi="Arial"/>
          <w:i/>
        </w:rPr>
        <w:t>(...)</w:t>
      </w:r>
    </w:p>
    <w:p w:rsidR="00F66938" w:rsidRPr="008628E2" w:rsidRDefault="00E62499" w:rsidP="008628E2">
      <w:pPr>
        <w:spacing w:line="312" w:lineRule="auto"/>
        <w:ind w:left="1701"/>
        <w:jc w:val="both"/>
        <w:rPr>
          <w:rFonts w:ascii="Arial" w:hAnsi="Arial"/>
          <w:i/>
        </w:rPr>
      </w:pPr>
      <w:r w:rsidRPr="00CF5B0C">
        <w:rPr>
          <w:rFonts w:ascii="Arial" w:hAnsi="Arial"/>
          <w:i/>
        </w:rPr>
        <w:t>De resto, a redação de tais parágrafos 1º e 5º e mais o parágrafo 4º, ao se referirem à sociedade investidora e sociedade investida, em um relacionamento direto de investimento, deixa mais do que patente não ter sido admitida a coligação indireta</w:t>
      </w:r>
      <w:r w:rsidR="00485F6A">
        <w:rPr>
          <w:rStyle w:val="Refdenotaderodap"/>
          <w:rFonts w:ascii="Arial" w:hAnsi="Arial"/>
          <w:i/>
        </w:rPr>
        <w:footnoteReference w:id="4"/>
      </w:r>
      <w:r w:rsidRPr="00CF5B0C">
        <w:rPr>
          <w:rFonts w:ascii="Arial" w:hAnsi="Arial"/>
          <w:i/>
        </w:rPr>
        <w:t>.</w:t>
      </w:r>
    </w:p>
    <w:p w:rsidR="00AC0ED5" w:rsidRDefault="00AC0ED5" w:rsidP="00867B9A">
      <w:pPr>
        <w:spacing w:line="312" w:lineRule="auto"/>
        <w:jc w:val="both"/>
        <w:rPr>
          <w:rFonts w:ascii="Arial" w:hAnsi="Arial"/>
        </w:rPr>
      </w:pPr>
    </w:p>
    <w:p w:rsidR="00C677B5" w:rsidRDefault="00F66938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Depois, entender-se a cláusula</w:t>
      </w:r>
      <w:r w:rsidR="00485F6A">
        <w:rPr>
          <w:rFonts w:ascii="Arial" w:hAnsi="Arial"/>
        </w:rPr>
        <w:t xml:space="preserve"> da coligação</w:t>
      </w:r>
      <w:r>
        <w:rPr>
          <w:rFonts w:ascii="Arial" w:hAnsi="Arial"/>
        </w:rPr>
        <w:t xml:space="preserve"> de forma ampla</w:t>
      </w:r>
      <w:r w:rsidR="008628E2">
        <w:rPr>
          <w:rFonts w:ascii="Arial" w:hAnsi="Arial"/>
        </w:rPr>
        <w:t>, desvinculado de qualquer participação societária,</w:t>
      </w:r>
      <w:r>
        <w:rPr>
          <w:rFonts w:ascii="Arial" w:hAnsi="Arial"/>
        </w:rPr>
        <w:t xml:space="preserve"> traz outro problema, relacionado com a imprecisão na determinação daqueles sujeitos que podem ou não participar do certame licitatório. </w:t>
      </w:r>
    </w:p>
    <w:p w:rsidR="00C677B5" w:rsidRDefault="00C677B5" w:rsidP="00867B9A">
      <w:pPr>
        <w:spacing w:line="312" w:lineRule="auto"/>
        <w:jc w:val="both"/>
        <w:rPr>
          <w:rFonts w:ascii="Arial" w:hAnsi="Arial"/>
        </w:rPr>
      </w:pPr>
    </w:p>
    <w:p w:rsidR="00C677B5" w:rsidRDefault="00C677B5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Isso se diz, na medida em que,</w:t>
      </w:r>
      <w:r w:rsidR="00F66938">
        <w:rPr>
          <w:rFonts w:ascii="Arial" w:hAnsi="Arial"/>
        </w:rPr>
        <w:t xml:space="preserve"> nesse caso, o conceito de “coligada” depende</w:t>
      </w:r>
      <w:r w:rsidR="008628E2">
        <w:rPr>
          <w:rFonts w:ascii="Arial" w:hAnsi="Arial"/>
        </w:rPr>
        <w:t>ria</w:t>
      </w:r>
      <w:r w:rsidR="00F66938">
        <w:rPr>
          <w:rFonts w:ascii="Arial" w:hAnsi="Arial"/>
        </w:rPr>
        <w:t xml:space="preserve">, essencialmente, </w:t>
      </w:r>
      <w:r w:rsidR="008628E2">
        <w:rPr>
          <w:rFonts w:ascii="Arial" w:hAnsi="Arial"/>
        </w:rPr>
        <w:t xml:space="preserve">de um livre entendimento do que configuraria </w:t>
      </w:r>
      <w:r w:rsidR="00F66938">
        <w:rPr>
          <w:rFonts w:ascii="Arial" w:hAnsi="Arial"/>
        </w:rPr>
        <w:t xml:space="preserve">“influência significativa”, </w:t>
      </w:r>
      <w:r w:rsidR="008628E2">
        <w:rPr>
          <w:rFonts w:ascii="Arial" w:hAnsi="Arial"/>
        </w:rPr>
        <w:t xml:space="preserve">visto inexistirem </w:t>
      </w:r>
      <w:r w:rsidR="00F66938">
        <w:rPr>
          <w:rFonts w:ascii="Arial" w:hAnsi="Arial"/>
        </w:rPr>
        <w:t>parâmetros legais</w:t>
      </w:r>
      <w:r>
        <w:rPr>
          <w:rFonts w:ascii="Arial" w:hAnsi="Arial"/>
        </w:rPr>
        <w:t xml:space="preserve"> </w:t>
      </w:r>
      <w:r w:rsidR="008628E2">
        <w:rPr>
          <w:rFonts w:ascii="Arial" w:hAnsi="Arial"/>
        </w:rPr>
        <w:t xml:space="preserve">ou </w:t>
      </w:r>
      <w:proofErr w:type="spellStart"/>
      <w:r>
        <w:rPr>
          <w:rFonts w:ascii="Arial" w:hAnsi="Arial"/>
        </w:rPr>
        <w:t>editalícios</w:t>
      </w:r>
      <w:proofErr w:type="spellEnd"/>
      <w:r>
        <w:rPr>
          <w:rFonts w:ascii="Arial" w:hAnsi="Arial"/>
        </w:rPr>
        <w:t xml:space="preserve"> de </w:t>
      </w:r>
      <w:r>
        <w:rPr>
          <w:rFonts w:ascii="Arial" w:hAnsi="Arial"/>
        </w:rPr>
        <w:lastRenderedPageBreak/>
        <w:t>especificação. Vale dizer:</w:t>
      </w:r>
      <w:r w:rsidR="00F66938">
        <w:rPr>
          <w:rFonts w:ascii="Arial" w:hAnsi="Arial"/>
        </w:rPr>
        <w:t xml:space="preserve"> fica</w:t>
      </w:r>
      <w:r w:rsidR="008628E2">
        <w:rPr>
          <w:rFonts w:ascii="Arial" w:hAnsi="Arial"/>
        </w:rPr>
        <w:t>ria</w:t>
      </w:r>
      <w:r w:rsidR="00F66938">
        <w:rPr>
          <w:rFonts w:ascii="Arial" w:hAnsi="Arial"/>
        </w:rPr>
        <w:t xml:space="preserve"> ao </w:t>
      </w:r>
      <w:r w:rsidR="008628E2">
        <w:rPr>
          <w:rFonts w:ascii="Arial" w:hAnsi="Arial"/>
        </w:rPr>
        <w:t xml:space="preserve">total </w:t>
      </w:r>
      <w:r w:rsidR="00F66938">
        <w:rPr>
          <w:rFonts w:ascii="Arial" w:hAnsi="Arial"/>
        </w:rPr>
        <w:t>arbítrio do administrador decidir, sem critério objetivo, se tal ou qual interessado está ou não habi</w:t>
      </w:r>
      <w:r w:rsidR="008628E2">
        <w:rPr>
          <w:rFonts w:ascii="Arial" w:hAnsi="Arial"/>
        </w:rPr>
        <w:t xml:space="preserve">litado a participar </w:t>
      </w:r>
      <w:proofErr w:type="gramStart"/>
      <w:r w:rsidR="008628E2">
        <w:rPr>
          <w:rFonts w:ascii="Arial" w:hAnsi="Arial"/>
        </w:rPr>
        <w:t>da procedimento</w:t>
      </w:r>
      <w:proofErr w:type="gramEnd"/>
      <w:r w:rsidR="008628E2">
        <w:rPr>
          <w:rFonts w:ascii="Arial" w:hAnsi="Arial"/>
        </w:rPr>
        <w:t xml:space="preserve"> que leva à contratação com a Administração Pública, o que, em princípio, deveria estar acessível ao maior número possível de interessados (cfe. Seção IV, adiante)</w:t>
      </w:r>
      <w:r w:rsidR="00F66938">
        <w:rPr>
          <w:rFonts w:ascii="Arial" w:hAnsi="Arial"/>
        </w:rPr>
        <w:t xml:space="preserve">. </w:t>
      </w:r>
    </w:p>
    <w:p w:rsidR="00C677B5" w:rsidRDefault="00C677B5" w:rsidP="00867B9A">
      <w:pPr>
        <w:spacing w:line="312" w:lineRule="auto"/>
        <w:jc w:val="both"/>
        <w:rPr>
          <w:rFonts w:ascii="Arial" w:hAnsi="Arial"/>
        </w:rPr>
      </w:pPr>
    </w:p>
    <w:p w:rsidR="00C677B5" w:rsidRDefault="008628E2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Ainda nesse sentido, v</w:t>
      </w:r>
      <w:r w:rsidR="00C677B5">
        <w:rPr>
          <w:rFonts w:ascii="Arial" w:hAnsi="Arial"/>
        </w:rPr>
        <w:t>eja-se que sequer há previsão, n</w:t>
      </w:r>
      <w:r>
        <w:rPr>
          <w:rFonts w:ascii="Arial" w:hAnsi="Arial"/>
        </w:rPr>
        <w:t>o Edital, de elementos que deveriam</w:t>
      </w:r>
      <w:r w:rsidR="00C677B5">
        <w:rPr>
          <w:rFonts w:ascii="Arial" w:hAnsi="Arial"/>
        </w:rPr>
        <w:t xml:space="preserve"> o</w:t>
      </w:r>
      <w:r>
        <w:rPr>
          <w:rFonts w:ascii="Arial" w:hAnsi="Arial"/>
        </w:rPr>
        <w:t>u poderiam</w:t>
      </w:r>
      <w:r w:rsidR="00C677B5">
        <w:rPr>
          <w:rFonts w:ascii="Arial" w:hAnsi="Arial"/>
        </w:rPr>
        <w:t xml:space="preserve"> ser aportados pelos sujeitos interessados em tomar parte na competição, para subsidiar a decisão do administrador, acerca da existência ou inexistência de influência significativa. Com isso, degenera-se em decisão meramente subjetiva – ao menos neste momento do procedimento licitatório - </w:t>
      </w:r>
      <w:r w:rsidR="00F66938">
        <w:rPr>
          <w:rFonts w:ascii="Arial" w:hAnsi="Arial"/>
        </w:rPr>
        <w:t>o princípio do julgamento objetivo na licitação (</w:t>
      </w:r>
      <w:proofErr w:type="spellStart"/>
      <w:r w:rsidR="00F66938">
        <w:rPr>
          <w:rFonts w:ascii="Arial" w:hAnsi="Arial"/>
        </w:rPr>
        <w:t>arts</w:t>
      </w:r>
      <w:proofErr w:type="spellEnd"/>
      <w:r w:rsidR="00F66938">
        <w:rPr>
          <w:rFonts w:ascii="Arial" w:hAnsi="Arial"/>
        </w:rPr>
        <w:t>. 44 e 45 da Lei 8.666/93</w:t>
      </w:r>
      <w:proofErr w:type="gramStart"/>
      <w:r w:rsidR="00F66938">
        <w:rPr>
          <w:rFonts w:ascii="Arial" w:hAnsi="Arial"/>
        </w:rPr>
        <w:t>)</w:t>
      </w:r>
      <w:proofErr w:type="gramEnd"/>
      <w:r w:rsidR="00634682" w:rsidRPr="00AB5B64">
        <w:rPr>
          <w:rStyle w:val="Refdenotaderodap"/>
          <w:rFonts w:ascii="Arial" w:hAnsi="Arial"/>
        </w:rPr>
        <w:footnoteReference w:id="5"/>
      </w:r>
      <w:r w:rsidR="00F66938">
        <w:rPr>
          <w:rFonts w:ascii="Arial" w:hAnsi="Arial"/>
        </w:rPr>
        <w:t>.</w:t>
      </w:r>
    </w:p>
    <w:p w:rsidR="00C677B5" w:rsidRDefault="00C677B5" w:rsidP="00867B9A">
      <w:pPr>
        <w:spacing w:line="312" w:lineRule="auto"/>
        <w:jc w:val="both"/>
        <w:rPr>
          <w:rFonts w:ascii="Arial" w:hAnsi="Arial"/>
        </w:rPr>
      </w:pPr>
    </w:p>
    <w:p w:rsidR="00F66938" w:rsidRDefault="00C677B5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Como se vê, a interpretação a ser dada à cláusula 3.15.5. </w:t>
      </w:r>
      <w:proofErr w:type="gramStart"/>
      <w:r>
        <w:rPr>
          <w:rFonts w:ascii="Arial" w:hAnsi="Arial"/>
        </w:rPr>
        <w:t>requer</w:t>
      </w:r>
      <w:proofErr w:type="gramEnd"/>
      <w:r>
        <w:rPr>
          <w:rFonts w:ascii="Arial" w:hAnsi="Arial"/>
        </w:rPr>
        <w:t xml:space="preserve"> alguns cuidados.</w:t>
      </w:r>
    </w:p>
    <w:p w:rsidR="00F66938" w:rsidRDefault="00F66938" w:rsidP="00867B9A">
      <w:pPr>
        <w:spacing w:line="312" w:lineRule="auto"/>
        <w:jc w:val="both"/>
        <w:rPr>
          <w:rFonts w:ascii="Arial" w:hAnsi="Arial"/>
        </w:rPr>
      </w:pPr>
    </w:p>
    <w:p w:rsidR="00F66938" w:rsidRPr="00D47C30" w:rsidRDefault="00C677B5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O mesmo cuidado se deve ter relativamente a </w:t>
      </w:r>
      <w:r w:rsidR="00F66938">
        <w:rPr>
          <w:rFonts w:ascii="Arial" w:hAnsi="Arial"/>
        </w:rPr>
        <w:t xml:space="preserve">um tópico que não interessa diretamente à Consulente – eis que ela não se enquadra na hipótese – mas que põe de manifesto, também, </w:t>
      </w:r>
      <w:r>
        <w:rPr>
          <w:rFonts w:ascii="Arial" w:hAnsi="Arial"/>
        </w:rPr>
        <w:t xml:space="preserve">a necessidade de aprofundar o exame dos fundamentos jurídicos desta disposição do Edital: </w:t>
      </w:r>
      <w:r w:rsidR="00F66938">
        <w:rPr>
          <w:rFonts w:ascii="Arial" w:hAnsi="Arial"/>
        </w:rPr>
        <w:t xml:space="preserve">a circunstância de alguém ser, simplesmente, </w:t>
      </w:r>
      <w:r w:rsidR="00F66938">
        <w:rPr>
          <w:rFonts w:ascii="Arial" w:hAnsi="Arial"/>
          <w:i/>
        </w:rPr>
        <w:t xml:space="preserve">acionista </w:t>
      </w:r>
      <w:r w:rsidR="00F66938">
        <w:rPr>
          <w:rFonts w:ascii="Arial" w:hAnsi="Arial"/>
        </w:rPr>
        <w:t>de concessionária de serviço público de infraestrutura aeroportuária, sem qualquer qualificação acerca desta participação acionária, e estar por isso impedido de participar da licitação, não parece ser uma regra adequada, sob qualquer perspectiva de análise (jurídica, econômica, societária etc.)</w:t>
      </w:r>
      <w:r w:rsidR="008628E2">
        <w:rPr>
          <w:rFonts w:ascii="Arial" w:hAnsi="Arial"/>
        </w:rPr>
        <w:t xml:space="preserve"> que se vislumbre o problema</w:t>
      </w:r>
      <w:r w:rsidR="00F66938">
        <w:rPr>
          <w:rFonts w:ascii="Arial" w:hAnsi="Arial"/>
        </w:rPr>
        <w:t xml:space="preserve">. </w:t>
      </w:r>
    </w:p>
    <w:p w:rsidR="00F66938" w:rsidRPr="00AB5B64" w:rsidRDefault="00F66938" w:rsidP="00867B9A">
      <w:pPr>
        <w:spacing w:line="312" w:lineRule="auto"/>
        <w:jc w:val="both"/>
        <w:rPr>
          <w:rFonts w:ascii="Arial" w:hAnsi="Arial"/>
        </w:rPr>
      </w:pPr>
    </w:p>
    <w:p w:rsidR="008628E2" w:rsidRDefault="00C677B5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Tudo isso, enfim, está a demonstrar que </w:t>
      </w:r>
      <w:r w:rsidR="00F66938">
        <w:rPr>
          <w:rFonts w:ascii="Arial" w:hAnsi="Arial"/>
        </w:rPr>
        <w:t xml:space="preserve">uma coisa é certa: a Cláusula 3.15.5. </w:t>
      </w:r>
      <w:proofErr w:type="gramStart"/>
      <w:r w:rsidR="00F66938">
        <w:rPr>
          <w:rFonts w:ascii="Arial" w:hAnsi="Arial"/>
        </w:rPr>
        <w:t>deve</w:t>
      </w:r>
      <w:proofErr w:type="gramEnd"/>
      <w:r w:rsidR="00F66938">
        <w:rPr>
          <w:rFonts w:ascii="Arial" w:hAnsi="Arial"/>
        </w:rPr>
        <w:t xml:space="preserve"> receber uma interpretação restritiva, sob pena de se a ter por inválida. </w:t>
      </w:r>
    </w:p>
    <w:p w:rsidR="008628E2" w:rsidRDefault="008628E2" w:rsidP="00867B9A">
      <w:pPr>
        <w:spacing w:line="312" w:lineRule="auto"/>
        <w:jc w:val="both"/>
        <w:rPr>
          <w:rFonts w:ascii="Arial" w:hAnsi="Arial"/>
        </w:rPr>
      </w:pPr>
    </w:p>
    <w:p w:rsidR="00F66938" w:rsidRDefault="00F66938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Na verdade, há motivos consistentes para duvidar da legalidade de um dispositivo que introduz um gravame com tal amplitude e generalidade, contra a indisputada regra geral do direito brasileiro, em tema de licitações </w:t>
      </w:r>
      <w:r w:rsidR="00C677B5">
        <w:rPr>
          <w:rFonts w:ascii="Arial" w:hAnsi="Arial"/>
        </w:rPr>
        <w:t>e contratos administrativos, como se passa a ver.</w:t>
      </w:r>
    </w:p>
    <w:p w:rsidR="00AC0ED5" w:rsidRDefault="00AC0ED5" w:rsidP="00867B9A">
      <w:pPr>
        <w:spacing w:line="312" w:lineRule="auto"/>
        <w:jc w:val="both"/>
        <w:rPr>
          <w:rFonts w:ascii="Arial" w:hAnsi="Arial"/>
        </w:rPr>
      </w:pPr>
    </w:p>
    <w:p w:rsidR="00AC0ED5" w:rsidRDefault="00AC0ED5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Além disso, a par da sua eventual ilegalidade, é de se concluir também que a limitação do edital, como proposta, não pode, em face da estrutura societária da consulente, ser interpretada, sob nenhuma perspectiva, como impeditiva da sua participação nas licitações em comento. Pelo contrário. </w:t>
      </w:r>
    </w:p>
    <w:p w:rsidR="00AC0ED5" w:rsidRDefault="00AC0ED5" w:rsidP="00867B9A">
      <w:pPr>
        <w:spacing w:line="312" w:lineRule="auto"/>
        <w:jc w:val="both"/>
        <w:rPr>
          <w:rFonts w:ascii="Arial" w:hAnsi="Arial"/>
        </w:rPr>
      </w:pPr>
    </w:p>
    <w:p w:rsidR="00AC0ED5" w:rsidRPr="00AB5B64" w:rsidRDefault="00AC0ED5" w:rsidP="00867B9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Requer, assim, a consulente a confirmação de tal entendimento, mediante a indicaç</w:t>
      </w:r>
      <w:r w:rsidR="00C955EB">
        <w:rPr>
          <w:rFonts w:ascii="Arial" w:hAnsi="Arial"/>
        </w:rPr>
        <w:t>ão pel</w:t>
      </w:r>
      <w:r>
        <w:rPr>
          <w:rFonts w:ascii="Arial" w:hAnsi="Arial"/>
        </w:rPr>
        <w:t>a administraç</w:t>
      </w:r>
      <w:r w:rsidR="00C955EB">
        <w:rPr>
          <w:rFonts w:ascii="Arial" w:hAnsi="Arial"/>
        </w:rPr>
        <w:t>ão d</w:t>
      </w:r>
      <w:r>
        <w:rPr>
          <w:rFonts w:ascii="Arial" w:hAnsi="Arial"/>
        </w:rPr>
        <w:t>a pretendida correta aplicação da cláusula.</w:t>
      </w:r>
    </w:p>
    <w:p w:rsidR="00F66938" w:rsidRPr="00AB5B64" w:rsidRDefault="00F66938" w:rsidP="00867B9A">
      <w:pPr>
        <w:spacing w:line="312" w:lineRule="auto"/>
        <w:rPr>
          <w:rFonts w:ascii="Arial" w:hAnsi="Arial"/>
          <w:b/>
          <w:smallCaps/>
        </w:rPr>
      </w:pPr>
    </w:p>
    <w:p w:rsidR="00F66938" w:rsidRPr="00AB5B64" w:rsidRDefault="008628E2" w:rsidP="00867B9A">
      <w:pPr>
        <w:spacing w:line="312" w:lineRule="auto"/>
        <w:rPr>
          <w:rFonts w:ascii="Arial" w:hAnsi="Arial"/>
        </w:rPr>
      </w:pPr>
      <w:r>
        <w:rPr>
          <w:rFonts w:ascii="Arial" w:hAnsi="Arial"/>
          <w:b/>
          <w:smallCaps/>
        </w:rPr>
        <w:t xml:space="preserve">Seção </w:t>
      </w:r>
      <w:r w:rsidR="00F66938" w:rsidRPr="00AB5B64">
        <w:rPr>
          <w:rFonts w:ascii="Arial" w:hAnsi="Arial"/>
          <w:b/>
          <w:smallCaps/>
        </w:rPr>
        <w:t>I</w:t>
      </w:r>
      <w:r w:rsidR="00F66938">
        <w:rPr>
          <w:rFonts w:ascii="Arial" w:hAnsi="Arial"/>
          <w:b/>
          <w:smallCaps/>
        </w:rPr>
        <w:t>I</w:t>
      </w:r>
      <w:r w:rsidR="00F66938" w:rsidRPr="00AB5B64">
        <w:rPr>
          <w:rFonts w:ascii="Arial" w:hAnsi="Arial"/>
          <w:b/>
          <w:smallCaps/>
        </w:rPr>
        <w:t xml:space="preserve">I – A regra geral relativa às licitações no direito brasileiro </w:t>
      </w: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 xml:space="preserve">Pode-se dizer, desde uma perspectiva normativa, </w:t>
      </w:r>
      <w:r>
        <w:rPr>
          <w:rFonts w:ascii="Arial" w:hAnsi="Arial"/>
        </w:rPr>
        <w:t xml:space="preserve">que </w:t>
      </w:r>
      <w:r w:rsidRPr="00AB5B64">
        <w:rPr>
          <w:rFonts w:ascii="Arial" w:hAnsi="Arial"/>
        </w:rPr>
        <w:t xml:space="preserve">todo o problema está em obter-se um </w:t>
      </w:r>
      <w:r w:rsidRPr="00AB5B64">
        <w:rPr>
          <w:rFonts w:ascii="Arial" w:hAnsi="Arial"/>
          <w:i/>
        </w:rPr>
        <w:t xml:space="preserve">equilíbrio </w:t>
      </w:r>
      <w:r w:rsidRPr="00AB5B64">
        <w:rPr>
          <w:rFonts w:ascii="Arial" w:hAnsi="Arial"/>
        </w:rPr>
        <w:t xml:space="preserve">entre, de um lado, (i.) </w:t>
      </w:r>
      <w:r w:rsidRPr="00AB5B64">
        <w:rPr>
          <w:rFonts w:ascii="Arial" w:hAnsi="Arial"/>
          <w:b/>
        </w:rPr>
        <w:t xml:space="preserve">a regra geral </w:t>
      </w:r>
      <w:r w:rsidRPr="00EF0517">
        <w:rPr>
          <w:rFonts w:ascii="Arial" w:hAnsi="Arial"/>
        </w:rPr>
        <w:t>que orienta todo e qualquer certame licitatório, qual seja, o da mais ampla participação de todos os interessados em contratar com a administração pública</w:t>
      </w:r>
      <w:r w:rsidRPr="00AB5B64">
        <w:rPr>
          <w:rFonts w:ascii="Arial" w:hAnsi="Arial"/>
          <w:b/>
        </w:rPr>
        <w:t xml:space="preserve">, </w:t>
      </w:r>
      <w:r w:rsidRPr="00AB5B64">
        <w:rPr>
          <w:rFonts w:ascii="Arial" w:hAnsi="Arial"/>
        </w:rPr>
        <w:t>e, de outro, (</w:t>
      </w:r>
      <w:proofErr w:type="spellStart"/>
      <w:r w:rsidRPr="00AB5B64">
        <w:rPr>
          <w:rFonts w:ascii="Arial" w:hAnsi="Arial"/>
        </w:rPr>
        <w:t>ii</w:t>
      </w:r>
      <w:proofErr w:type="spellEnd"/>
      <w:r w:rsidRPr="00AB5B64">
        <w:rPr>
          <w:rFonts w:ascii="Arial" w:hAnsi="Arial"/>
        </w:rPr>
        <w:t xml:space="preserve">.) as </w:t>
      </w:r>
      <w:r w:rsidRPr="00AB5B64">
        <w:rPr>
          <w:rFonts w:ascii="Arial" w:hAnsi="Arial"/>
          <w:b/>
        </w:rPr>
        <w:t>exceções a este princípio</w:t>
      </w:r>
      <w:r w:rsidRPr="00AB5B64">
        <w:rPr>
          <w:rFonts w:ascii="Arial" w:hAnsi="Arial"/>
        </w:rPr>
        <w:t>, as quais são triplamente qualificadas: (</w:t>
      </w:r>
      <w:proofErr w:type="gramStart"/>
      <w:r w:rsidRPr="00AB5B64">
        <w:rPr>
          <w:rFonts w:ascii="Arial" w:hAnsi="Arial"/>
        </w:rPr>
        <w:t>ii.</w:t>
      </w:r>
      <w:proofErr w:type="gramEnd"/>
      <w:r w:rsidRPr="00AB5B64">
        <w:rPr>
          <w:rFonts w:ascii="Arial" w:hAnsi="Arial"/>
        </w:rPr>
        <w:t>1.) são admissíveis apenas à vista de certos e bem precisos interesses públicos identificados no momento da imposição das limitações, (ii.2.) apenas na medida estritamente necessária à satisfação destes interesses e (ii.3.) desde que devidamente justificadas.</w:t>
      </w: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 xml:space="preserve">Com efeito, vige no direito constitucional brasileiro, seja por força de disposições de direito público, seja por força de disposições de direito privado, a norma geral enunciada acima, da mais ampla participação de todos os interessados em contratar com o Estado, quando este se dispõe a entrar em negócios jurídicos com os particulares, sejam estes negócios de que </w:t>
      </w:r>
      <w:proofErr w:type="gramStart"/>
      <w:r w:rsidRPr="00AB5B64">
        <w:rPr>
          <w:rFonts w:ascii="Arial" w:hAnsi="Arial"/>
        </w:rPr>
        <w:t>tipo forem</w:t>
      </w:r>
      <w:proofErr w:type="gramEnd"/>
      <w:r w:rsidRPr="00AB5B64">
        <w:rPr>
          <w:rFonts w:ascii="Arial" w:hAnsi="Arial"/>
        </w:rPr>
        <w:t xml:space="preserve">. </w:t>
      </w: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>Exigem tal ampla participação, dentre outros, princípios e regras reconhecidos universalmente, tais como o da</w:t>
      </w:r>
      <w:r>
        <w:rPr>
          <w:rFonts w:ascii="Arial" w:hAnsi="Arial"/>
        </w:rPr>
        <w:t xml:space="preserve"> </w:t>
      </w:r>
      <w:r w:rsidR="00465C58" w:rsidRPr="00465C58">
        <w:rPr>
          <w:rFonts w:ascii="Arial" w:hAnsi="Arial"/>
          <w:i/>
        </w:rPr>
        <w:t>igualdade</w:t>
      </w:r>
      <w:r>
        <w:rPr>
          <w:rFonts w:ascii="Arial" w:hAnsi="Arial"/>
        </w:rPr>
        <w:t xml:space="preserve"> ou</w:t>
      </w:r>
      <w:r w:rsidRPr="00AB5B64">
        <w:rPr>
          <w:rFonts w:ascii="Arial" w:hAnsi="Arial"/>
        </w:rPr>
        <w:t xml:space="preserve"> </w:t>
      </w:r>
      <w:r w:rsidRPr="00AB5B64">
        <w:rPr>
          <w:rFonts w:ascii="Arial" w:hAnsi="Arial"/>
          <w:i/>
        </w:rPr>
        <w:t xml:space="preserve">impessoalidade, </w:t>
      </w:r>
      <w:r w:rsidRPr="00AB5B64">
        <w:rPr>
          <w:rFonts w:ascii="Arial" w:hAnsi="Arial"/>
        </w:rPr>
        <w:t xml:space="preserve">da </w:t>
      </w:r>
      <w:r w:rsidRPr="00AB5B64">
        <w:rPr>
          <w:rFonts w:ascii="Arial" w:hAnsi="Arial"/>
          <w:i/>
        </w:rPr>
        <w:t xml:space="preserve">ampla competição </w:t>
      </w:r>
      <w:r w:rsidRPr="00AB5B64">
        <w:rPr>
          <w:rFonts w:ascii="Arial" w:hAnsi="Arial"/>
        </w:rPr>
        <w:t xml:space="preserve">e da </w:t>
      </w:r>
      <w:proofErr w:type="spellStart"/>
      <w:r w:rsidRPr="00AB5B64">
        <w:rPr>
          <w:rFonts w:ascii="Arial" w:hAnsi="Arial"/>
          <w:i/>
        </w:rPr>
        <w:t>vantajosidade</w:t>
      </w:r>
      <w:proofErr w:type="spellEnd"/>
      <w:r w:rsidRPr="00AB5B64">
        <w:rPr>
          <w:rFonts w:ascii="Arial" w:hAnsi="Arial"/>
          <w:i/>
        </w:rPr>
        <w:t xml:space="preserve">, </w:t>
      </w:r>
      <w:r w:rsidRPr="00AB5B64">
        <w:rPr>
          <w:rFonts w:ascii="Arial" w:hAnsi="Arial"/>
        </w:rPr>
        <w:t>positivados na Carta constitucional em seu art. 37 e na Lei n</w:t>
      </w:r>
      <w:r w:rsidRPr="00AB5B64">
        <w:rPr>
          <w:rFonts w:ascii="Arial" w:hAnsi="Arial"/>
        </w:rPr>
        <w:sym w:font="Symbol" w:char="F0B0"/>
      </w:r>
      <w:r w:rsidRPr="00AB5B64">
        <w:rPr>
          <w:rFonts w:ascii="Arial" w:hAnsi="Arial"/>
        </w:rPr>
        <w:t xml:space="preserve"> 8.666/1993, art. 3</w:t>
      </w:r>
      <w:r w:rsidRPr="00AB5B64">
        <w:rPr>
          <w:rFonts w:ascii="Arial" w:hAnsi="Arial"/>
          <w:vertAlign w:val="superscript"/>
        </w:rPr>
        <w:t>o</w:t>
      </w:r>
      <w:r w:rsidRPr="00AB5B64">
        <w:rPr>
          <w:rFonts w:ascii="Arial" w:hAnsi="Arial"/>
        </w:rPr>
        <w:t xml:space="preserve">, dentre outros dispositivos. </w:t>
      </w:r>
    </w:p>
    <w:p w:rsidR="00F66938" w:rsidRDefault="00F66938" w:rsidP="002C6D00">
      <w:pPr>
        <w:spacing w:line="312" w:lineRule="auto"/>
        <w:jc w:val="both"/>
        <w:rPr>
          <w:rFonts w:ascii="Arial" w:hAnsi="Arial"/>
        </w:rPr>
      </w:pPr>
    </w:p>
    <w:p w:rsidR="00F66938" w:rsidRPr="00C677B5" w:rsidRDefault="00F66938" w:rsidP="002C6D00">
      <w:pPr>
        <w:spacing w:line="312" w:lineRule="auto"/>
        <w:jc w:val="both"/>
        <w:rPr>
          <w:rFonts w:ascii="Arial" w:hAnsi="Arial"/>
        </w:rPr>
      </w:pPr>
      <w:r w:rsidRPr="00C677B5">
        <w:rPr>
          <w:rFonts w:ascii="Arial" w:hAnsi="Arial"/>
        </w:rPr>
        <w:t>Por todos esses fundamentos, o Superior Tribunal de Justiça já afirmou que:</w:t>
      </w:r>
    </w:p>
    <w:p w:rsidR="00EF0517" w:rsidRPr="00C677B5" w:rsidRDefault="00EF0517">
      <w:pPr>
        <w:ind w:left="1701"/>
        <w:rPr>
          <w:rFonts w:ascii="Arial" w:hAnsi="Arial" w:cs="Arial"/>
          <w:sz w:val="20"/>
          <w:szCs w:val="20"/>
        </w:rPr>
      </w:pPr>
    </w:p>
    <w:p w:rsidR="00EF0517" w:rsidRPr="00C677B5" w:rsidRDefault="00465C58" w:rsidP="00C677B5">
      <w:pPr>
        <w:spacing w:line="312" w:lineRule="auto"/>
        <w:ind w:left="1701"/>
        <w:jc w:val="both"/>
        <w:rPr>
          <w:rFonts w:ascii="Arial" w:hAnsi="Arial" w:cs="Arial"/>
        </w:rPr>
      </w:pPr>
      <w:r w:rsidRPr="00C677B5">
        <w:rPr>
          <w:rFonts w:ascii="Arial" w:hAnsi="Arial" w:cs="Arial"/>
          <w:i/>
        </w:rPr>
        <w:lastRenderedPageBreak/>
        <w:t xml:space="preserve">O interesse público reclama o maior número possível de concorrentes, configurando ilegalidade a exigência </w:t>
      </w:r>
      <w:proofErr w:type="spellStart"/>
      <w:r w:rsidRPr="00C677B5">
        <w:rPr>
          <w:rFonts w:ascii="Arial" w:hAnsi="Arial" w:cs="Arial"/>
          <w:i/>
        </w:rPr>
        <w:t>desfiliada</w:t>
      </w:r>
      <w:proofErr w:type="spellEnd"/>
      <w:r w:rsidRPr="00C677B5">
        <w:rPr>
          <w:rFonts w:ascii="Arial" w:hAnsi="Arial" w:cs="Arial"/>
          <w:i/>
        </w:rPr>
        <w:t xml:space="preserve"> da lei básica de regência e com interpretação de </w:t>
      </w:r>
      <w:proofErr w:type="spellStart"/>
      <w:r w:rsidRPr="00C677B5">
        <w:rPr>
          <w:rFonts w:ascii="Arial" w:hAnsi="Arial" w:cs="Arial"/>
          <w:i/>
        </w:rPr>
        <w:t>clásulas</w:t>
      </w:r>
      <w:proofErr w:type="spellEnd"/>
      <w:r w:rsidRPr="00C677B5">
        <w:rPr>
          <w:rFonts w:ascii="Arial" w:hAnsi="Arial" w:cs="Arial"/>
          <w:i/>
        </w:rPr>
        <w:t xml:space="preserve"> </w:t>
      </w:r>
      <w:proofErr w:type="spellStart"/>
      <w:r w:rsidRPr="00C677B5">
        <w:rPr>
          <w:rFonts w:ascii="Arial" w:hAnsi="Arial" w:cs="Arial"/>
          <w:i/>
        </w:rPr>
        <w:t>editalícias</w:t>
      </w:r>
      <w:proofErr w:type="spellEnd"/>
      <w:r w:rsidRPr="00C677B5">
        <w:rPr>
          <w:rFonts w:ascii="Arial" w:hAnsi="Arial" w:cs="Arial"/>
          <w:i/>
        </w:rPr>
        <w:t xml:space="preserve"> impondo condição excessiva para a habilitação.</w:t>
      </w:r>
      <w:proofErr w:type="gramStart"/>
      <w:r w:rsidRPr="00C677B5">
        <w:rPr>
          <w:rStyle w:val="Refdenotaderodap"/>
          <w:rFonts w:ascii="Arial" w:hAnsi="Arial"/>
        </w:rPr>
        <w:footnoteReference w:id="6"/>
      </w:r>
      <w:proofErr w:type="gramEnd"/>
    </w:p>
    <w:p w:rsidR="00EF0517" w:rsidRPr="00C677B5" w:rsidRDefault="00EF0517" w:rsidP="00C677B5">
      <w:pPr>
        <w:spacing w:line="312" w:lineRule="auto"/>
        <w:jc w:val="both"/>
        <w:rPr>
          <w:rFonts w:ascii="Arial" w:hAnsi="Arial" w:cs="Arial"/>
        </w:rPr>
      </w:pPr>
    </w:p>
    <w:p w:rsidR="00EF0517" w:rsidRPr="00C677B5" w:rsidRDefault="00465C58" w:rsidP="00C677B5">
      <w:pPr>
        <w:spacing w:line="312" w:lineRule="auto"/>
        <w:ind w:left="1701"/>
        <w:jc w:val="both"/>
        <w:rPr>
          <w:rFonts w:ascii="Arial" w:hAnsi="Arial" w:cs="Arial"/>
        </w:rPr>
      </w:pPr>
      <w:r w:rsidRPr="00C677B5">
        <w:rPr>
          <w:rFonts w:ascii="Arial" w:hAnsi="Arial" w:cs="Arial"/>
          <w:i/>
        </w:rPr>
        <w:t>O procedimento licitatório há de ser o mais abrangente possível, dando azo à participação do maior número possível de concorrentes. A escolha final há de recair sempre na proposta mais vantajosa para a Administração.</w:t>
      </w:r>
      <w:proofErr w:type="gramStart"/>
      <w:r w:rsidRPr="00C677B5">
        <w:rPr>
          <w:rStyle w:val="Refdenotaderodap"/>
          <w:rFonts w:ascii="Arial" w:hAnsi="Arial"/>
        </w:rPr>
        <w:footnoteReference w:id="7"/>
      </w:r>
      <w:proofErr w:type="gramEnd"/>
    </w:p>
    <w:p w:rsidR="00F66938" w:rsidRPr="00C677B5" w:rsidRDefault="00F66938" w:rsidP="002C6D00">
      <w:pPr>
        <w:spacing w:line="312" w:lineRule="auto"/>
        <w:jc w:val="both"/>
        <w:rPr>
          <w:rFonts w:ascii="Arial" w:hAnsi="Arial"/>
        </w:rPr>
      </w:pPr>
    </w:p>
    <w:p w:rsidR="00F66938" w:rsidRPr="00C677B5" w:rsidRDefault="00F66938" w:rsidP="002C6D00">
      <w:pPr>
        <w:spacing w:line="312" w:lineRule="auto"/>
        <w:jc w:val="both"/>
        <w:rPr>
          <w:rFonts w:ascii="Arial" w:hAnsi="Arial"/>
        </w:rPr>
      </w:pPr>
      <w:r w:rsidRPr="00C677B5">
        <w:rPr>
          <w:rFonts w:ascii="Arial" w:hAnsi="Arial"/>
        </w:rPr>
        <w:t>E o Supremo Tribunal Federal decidiu em ação de inconstitucionalidade que:</w:t>
      </w:r>
    </w:p>
    <w:p w:rsidR="00F66938" w:rsidRPr="00C677B5" w:rsidRDefault="00F66938" w:rsidP="002C6D00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:rsidR="00EF0517" w:rsidRDefault="00465C58">
      <w:pPr>
        <w:spacing w:line="312" w:lineRule="auto"/>
        <w:ind w:left="1701"/>
        <w:jc w:val="both"/>
        <w:rPr>
          <w:rFonts w:ascii="Arial" w:hAnsi="Arial"/>
          <w:i/>
        </w:rPr>
      </w:pPr>
      <w:r w:rsidRPr="00C677B5">
        <w:rPr>
          <w:rFonts w:ascii="Arial" w:hAnsi="Arial" w:cs="Arial"/>
          <w:i/>
        </w:rPr>
        <w:t>A licitação é um procedimento que visa à satisfação do interesse público, pautando-se pelo princípio da isonomia. Está voltada a um duplo objetivo: o de proporcionar à Administração a possibilidade de realizar o negócio mais vantajoso -</w:t>
      </w:r>
      <w:r w:rsidRPr="00465C58">
        <w:rPr>
          <w:rFonts w:ascii="Arial" w:hAnsi="Arial" w:cs="Arial"/>
          <w:i/>
        </w:rPr>
        <w:t xml:space="preserve"> o melhor negócio - e o de assegurar aos administrados a oportunidade de concorrerem, em igualdade de condições, à contratação pretendida pela Administração. Imposição do interesse público, seu pressuposto é a competição. Procedimento que visa à satisfação do interesse público, pautando-se pelo princípio da isonomia, a função da licitação é a de viabilizar, através da mais ampla disputa, envolvendo o maior número possível de agentes econômicos capacitados, a satisfação do interesse público. A competição visada pela licitação, </w:t>
      </w:r>
      <w:r w:rsidR="00F66938">
        <w:rPr>
          <w:rFonts w:ascii="Arial" w:hAnsi="Arial" w:cs="Arial"/>
          <w:i/>
        </w:rPr>
        <w:t>a instrumentar a seleção da pro</w:t>
      </w:r>
      <w:r w:rsidRPr="00465C58">
        <w:rPr>
          <w:rFonts w:ascii="Arial" w:hAnsi="Arial" w:cs="Arial"/>
          <w:i/>
        </w:rPr>
        <w:t>posta mais vantajosa para a Administração, impõe-se seja desenrolada de modo que reste assegurada a igualdade (isonomia) de todos quantos pretendam acesso às contratações da Administração.</w:t>
      </w:r>
      <w:proofErr w:type="gramStart"/>
      <w:r>
        <w:rPr>
          <w:rStyle w:val="Refdenotaderodap"/>
          <w:rFonts w:ascii="Arial" w:hAnsi="Arial"/>
        </w:rPr>
        <w:footnoteReference w:id="8"/>
      </w:r>
      <w:proofErr w:type="gramEnd"/>
      <w:r w:rsidRPr="00465C58">
        <w:rPr>
          <w:rFonts w:ascii="Arial" w:hAnsi="Arial"/>
          <w:i/>
          <w:highlight w:val="green"/>
        </w:rPr>
        <w:t xml:space="preserve"> </w:t>
      </w: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</w:p>
    <w:p w:rsidR="008628E2" w:rsidRDefault="00F66938" w:rsidP="002C6D00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 xml:space="preserve">No </w:t>
      </w:r>
      <w:proofErr w:type="spellStart"/>
      <w:r w:rsidRPr="00AB5B64">
        <w:rPr>
          <w:rFonts w:ascii="Arial" w:hAnsi="Arial"/>
        </w:rPr>
        <w:t>versante</w:t>
      </w:r>
      <w:proofErr w:type="spellEnd"/>
      <w:r w:rsidRPr="00AB5B64">
        <w:rPr>
          <w:rFonts w:ascii="Arial" w:hAnsi="Arial"/>
        </w:rPr>
        <w:t xml:space="preserve"> do direito privado - que incide reflexamente aqui - não havendo interesse público relevante em direção contrária, não há porque cercear-se a possibilidade do exercício da livre iniciativa e da livre competição (art. 170 da Constituição Federal, entre outros), que se manifestam, neste ambiente específico, na forma da possibilidade de oferecer propostas, em condições de </w:t>
      </w:r>
      <w:r w:rsidRPr="00AB5B64">
        <w:rPr>
          <w:rFonts w:ascii="Arial" w:hAnsi="Arial"/>
        </w:rPr>
        <w:lastRenderedPageBreak/>
        <w:t>igualdade e sem barreiras de entrada, no mercado de contratos (ou de disputa por melhores propostas na perspectiva do interesse público) criado pela Administração Pública.</w:t>
      </w:r>
    </w:p>
    <w:p w:rsidR="008628E2" w:rsidRDefault="008628E2" w:rsidP="002C6D00">
      <w:pPr>
        <w:spacing w:line="312" w:lineRule="auto"/>
        <w:jc w:val="both"/>
        <w:rPr>
          <w:rFonts w:ascii="Arial" w:hAnsi="Arial"/>
        </w:rPr>
      </w:pPr>
    </w:p>
    <w:p w:rsidR="00F66938" w:rsidRPr="00AB5B64" w:rsidRDefault="008628E2" w:rsidP="002C6D00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Esta rápida resenha normativa e jurisprudencial indica a tendência a ser seguida na construção das regras licitatórias: permitir a maior participação dos interessados em contratar com a Administração Pública. Restrições a esta diretriz devem possuir consistente lastro jurídico.</w:t>
      </w:r>
    </w:p>
    <w:p w:rsidR="00C677B5" w:rsidRDefault="00C677B5" w:rsidP="002C6D00">
      <w:pPr>
        <w:spacing w:line="312" w:lineRule="auto"/>
        <w:jc w:val="both"/>
        <w:rPr>
          <w:rFonts w:ascii="Arial" w:hAnsi="Arial"/>
        </w:rPr>
      </w:pPr>
    </w:p>
    <w:p w:rsidR="00C677B5" w:rsidRPr="00AB5B64" w:rsidRDefault="008628E2" w:rsidP="00C677B5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  <w:b/>
          <w:smallCaps/>
        </w:rPr>
        <w:t xml:space="preserve">Seção </w:t>
      </w:r>
      <w:r w:rsidR="00C677B5" w:rsidRPr="00AB5B64">
        <w:rPr>
          <w:rFonts w:ascii="Arial" w:hAnsi="Arial"/>
          <w:b/>
          <w:smallCaps/>
        </w:rPr>
        <w:t>I</w:t>
      </w:r>
      <w:r w:rsidR="00C677B5">
        <w:rPr>
          <w:rFonts w:ascii="Arial" w:hAnsi="Arial"/>
          <w:b/>
          <w:smallCaps/>
        </w:rPr>
        <w:t>V</w:t>
      </w:r>
      <w:r w:rsidR="00C677B5" w:rsidRPr="00AB5B64">
        <w:rPr>
          <w:rFonts w:ascii="Arial" w:hAnsi="Arial"/>
          <w:b/>
          <w:smallCaps/>
        </w:rPr>
        <w:t xml:space="preserve"> – </w:t>
      </w:r>
      <w:r w:rsidR="00C677B5">
        <w:rPr>
          <w:rFonts w:ascii="Arial" w:hAnsi="Arial"/>
          <w:b/>
          <w:smallCaps/>
        </w:rPr>
        <w:t xml:space="preserve">As exceções: seus fundamentos </w:t>
      </w:r>
    </w:p>
    <w:p w:rsidR="00EF0517" w:rsidRDefault="00EF0517" w:rsidP="002C6D00">
      <w:pPr>
        <w:spacing w:line="312" w:lineRule="auto"/>
        <w:jc w:val="both"/>
        <w:rPr>
          <w:rFonts w:ascii="Arial" w:hAnsi="Arial"/>
        </w:rPr>
      </w:pPr>
    </w:p>
    <w:p w:rsidR="008628E2" w:rsidRDefault="008628E2" w:rsidP="002C6D00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De modo geral, toda a ação administrativa persegue o “interesse público”. Mas se mesmo aquela corriqueira ou “normal” não mais pode furtar-se de indicar, de modo mais ou menos concreto, qual é a finalidade específica que está buscando, tal deve ainda mais ser exigido quando a manifestação administrativa, como é o caso aqui, importa numa derrogação da regra geral que deveria pautar a conduta do ente competente. </w:t>
      </w:r>
    </w:p>
    <w:p w:rsidR="008628E2" w:rsidRDefault="008628E2" w:rsidP="002C6D00">
      <w:pPr>
        <w:spacing w:line="312" w:lineRule="auto"/>
        <w:jc w:val="both"/>
        <w:rPr>
          <w:rFonts w:ascii="Arial" w:hAnsi="Arial"/>
        </w:rPr>
      </w:pPr>
    </w:p>
    <w:p w:rsidR="00EF0517" w:rsidRDefault="008628E2" w:rsidP="002C6D00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O real alcance da Cláusula 3.15.5. </w:t>
      </w:r>
      <w:proofErr w:type="gramStart"/>
      <w:r>
        <w:rPr>
          <w:rFonts w:ascii="Arial" w:hAnsi="Arial"/>
        </w:rPr>
        <w:t>pressupõe</w:t>
      </w:r>
      <w:proofErr w:type="gramEnd"/>
      <w:r>
        <w:rPr>
          <w:rFonts w:ascii="Arial" w:hAnsi="Arial"/>
        </w:rPr>
        <w:t xml:space="preserve"> que se entenda o que está ela tentando alcançar e/ou proteger. Qual é, em concreto, o “interesse público” em jogo.</w:t>
      </w:r>
    </w:p>
    <w:p w:rsidR="00EF0517" w:rsidRDefault="00EF0517" w:rsidP="002C6D00">
      <w:pPr>
        <w:spacing w:line="312" w:lineRule="auto"/>
        <w:jc w:val="both"/>
        <w:rPr>
          <w:rFonts w:ascii="Arial" w:hAnsi="Arial"/>
        </w:rPr>
      </w:pPr>
    </w:p>
    <w:p w:rsidR="00EF0517" w:rsidRPr="00AB5B64" w:rsidRDefault="008628E2" w:rsidP="00EF0517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E, para identificá-lo</w:t>
      </w:r>
      <w:r w:rsidR="00EF0517" w:rsidRPr="00AB5B64">
        <w:rPr>
          <w:rFonts w:ascii="Arial" w:hAnsi="Arial"/>
        </w:rPr>
        <w:t xml:space="preserve">, há que se atentar para a </w:t>
      </w:r>
      <w:r w:rsidR="008D3BE1">
        <w:rPr>
          <w:rFonts w:ascii="Arial" w:hAnsi="Arial"/>
        </w:rPr>
        <w:t xml:space="preserve">natureza </w:t>
      </w:r>
      <w:r w:rsidR="00EF0517" w:rsidRPr="00AB5B64">
        <w:rPr>
          <w:rFonts w:ascii="Arial" w:hAnsi="Arial"/>
        </w:rPr>
        <w:t>jurídica da atividade econômica em questão.</w:t>
      </w:r>
    </w:p>
    <w:p w:rsidR="00EF0517" w:rsidRPr="00AB5B64" w:rsidRDefault="00EF0517" w:rsidP="00EF0517">
      <w:pPr>
        <w:spacing w:line="312" w:lineRule="auto"/>
        <w:jc w:val="both"/>
        <w:rPr>
          <w:rFonts w:ascii="Arial" w:hAnsi="Arial"/>
        </w:rPr>
      </w:pPr>
    </w:p>
    <w:p w:rsidR="00EF0517" w:rsidRPr="00AB5B64" w:rsidRDefault="00EF0517" w:rsidP="00EF0517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 xml:space="preserve">No caso de que ora se trata, o setor econômico encontra-se </w:t>
      </w:r>
      <w:r w:rsidRPr="00AB5B64">
        <w:rPr>
          <w:rFonts w:ascii="Arial" w:hAnsi="Arial"/>
          <w:i/>
        </w:rPr>
        <w:t xml:space="preserve">reservado </w:t>
      </w:r>
      <w:r w:rsidRPr="00AB5B64">
        <w:rPr>
          <w:rFonts w:ascii="Arial" w:hAnsi="Arial"/>
        </w:rPr>
        <w:t xml:space="preserve">à competência exclusiva da União Federal, por expressa disposição constitucional, por força do art. 21, inc. </w:t>
      </w:r>
      <w:proofErr w:type="gramStart"/>
      <w:r w:rsidRPr="00AB5B64">
        <w:rPr>
          <w:rFonts w:ascii="Arial" w:hAnsi="Arial"/>
        </w:rPr>
        <w:t xml:space="preserve">XII, </w:t>
      </w:r>
      <w:r w:rsidRPr="00AB5B64">
        <w:rPr>
          <w:rFonts w:ascii="Arial" w:hAnsi="Arial"/>
          <w:i/>
        </w:rPr>
        <w:t>c</w:t>
      </w:r>
      <w:proofErr w:type="gramEnd"/>
      <w:r w:rsidR="008D3BE1">
        <w:rPr>
          <w:rFonts w:ascii="Arial" w:hAnsi="Arial"/>
        </w:rPr>
        <w:t>:</w:t>
      </w:r>
    </w:p>
    <w:p w:rsidR="00EF0517" w:rsidRPr="00AB5B64" w:rsidRDefault="00EF0517" w:rsidP="00EF0517">
      <w:pPr>
        <w:spacing w:line="312" w:lineRule="auto"/>
        <w:jc w:val="both"/>
        <w:rPr>
          <w:rFonts w:ascii="Arial" w:hAnsi="Arial"/>
        </w:rPr>
      </w:pPr>
    </w:p>
    <w:p w:rsidR="00EF0517" w:rsidRPr="00F66938" w:rsidRDefault="00EF0517" w:rsidP="00EF0517">
      <w:pPr>
        <w:widowControl w:val="0"/>
        <w:autoSpaceDE w:val="0"/>
        <w:autoSpaceDN w:val="0"/>
        <w:adjustRightInd w:val="0"/>
        <w:spacing w:line="312" w:lineRule="auto"/>
        <w:ind w:left="1701"/>
        <w:jc w:val="both"/>
        <w:rPr>
          <w:rFonts w:ascii="Arial" w:hAnsi="Arial" w:cs="Arial"/>
          <w:i/>
          <w:szCs w:val="20"/>
        </w:rPr>
      </w:pPr>
      <w:r w:rsidRPr="00465C58">
        <w:rPr>
          <w:rFonts w:ascii="Arial" w:hAnsi="Arial" w:cs="Arial"/>
          <w:i/>
          <w:szCs w:val="20"/>
        </w:rPr>
        <w:t>Art. 21. Compete à União: (...</w:t>
      </w:r>
      <w:proofErr w:type="gramStart"/>
      <w:r w:rsidRPr="00465C58">
        <w:rPr>
          <w:rFonts w:ascii="Arial" w:hAnsi="Arial" w:cs="Arial"/>
          <w:i/>
          <w:szCs w:val="20"/>
        </w:rPr>
        <w:t>)</w:t>
      </w:r>
      <w:proofErr w:type="gramEnd"/>
    </w:p>
    <w:p w:rsidR="00EF0517" w:rsidRPr="00F66938" w:rsidRDefault="00EF0517" w:rsidP="00EF0517">
      <w:pPr>
        <w:widowControl w:val="0"/>
        <w:autoSpaceDE w:val="0"/>
        <w:autoSpaceDN w:val="0"/>
        <w:adjustRightInd w:val="0"/>
        <w:spacing w:line="312" w:lineRule="auto"/>
        <w:ind w:left="1701"/>
        <w:jc w:val="both"/>
        <w:rPr>
          <w:rFonts w:ascii="Arial" w:hAnsi="Arial" w:cs="Arial"/>
          <w:i/>
          <w:szCs w:val="20"/>
        </w:rPr>
      </w:pPr>
      <w:r w:rsidRPr="00465C58">
        <w:rPr>
          <w:rFonts w:ascii="Arial" w:hAnsi="Arial" w:cs="Arial"/>
          <w:i/>
          <w:szCs w:val="20"/>
        </w:rPr>
        <w:t>XII - explorar, diretamente ou mediante autorização, concessão ou permissão: (...</w:t>
      </w:r>
      <w:proofErr w:type="gramStart"/>
      <w:r w:rsidRPr="00465C58">
        <w:rPr>
          <w:rFonts w:ascii="Arial" w:hAnsi="Arial" w:cs="Arial"/>
          <w:i/>
          <w:szCs w:val="20"/>
        </w:rPr>
        <w:t>)</w:t>
      </w:r>
      <w:proofErr w:type="gramEnd"/>
    </w:p>
    <w:p w:rsidR="00EF0517" w:rsidRPr="00F66938" w:rsidRDefault="00EF0517" w:rsidP="00EF0517">
      <w:pPr>
        <w:widowControl w:val="0"/>
        <w:autoSpaceDE w:val="0"/>
        <w:autoSpaceDN w:val="0"/>
        <w:adjustRightInd w:val="0"/>
        <w:spacing w:line="312" w:lineRule="auto"/>
        <w:ind w:left="1701"/>
        <w:jc w:val="both"/>
        <w:rPr>
          <w:rFonts w:ascii="Arial" w:hAnsi="Arial" w:cs="Arial"/>
          <w:i/>
          <w:szCs w:val="20"/>
        </w:rPr>
      </w:pPr>
      <w:r w:rsidRPr="00465C58">
        <w:rPr>
          <w:rFonts w:ascii="Arial" w:hAnsi="Arial" w:cs="Arial"/>
          <w:i/>
          <w:szCs w:val="20"/>
        </w:rPr>
        <w:t>c) a navegação aérea, aeroespacial e a infraestrutura aeroportuária;</w:t>
      </w:r>
    </w:p>
    <w:p w:rsidR="00EF0517" w:rsidRPr="00AB5B64" w:rsidRDefault="00EF0517" w:rsidP="00EF0517">
      <w:pPr>
        <w:spacing w:line="312" w:lineRule="auto"/>
        <w:jc w:val="both"/>
        <w:rPr>
          <w:rFonts w:ascii="Arial" w:hAnsi="Arial"/>
        </w:rPr>
      </w:pPr>
    </w:p>
    <w:p w:rsidR="00EF0517" w:rsidRDefault="00EF0517" w:rsidP="00EF0517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 xml:space="preserve">Comumente, qualificam-se tais atividades econômicas como </w:t>
      </w:r>
      <w:r w:rsidRPr="00AB5B64">
        <w:rPr>
          <w:rFonts w:ascii="Arial" w:hAnsi="Arial"/>
          <w:i/>
        </w:rPr>
        <w:t>serviços públicos</w:t>
      </w:r>
      <w:r w:rsidRPr="00AB5B64">
        <w:rPr>
          <w:rFonts w:ascii="Arial" w:hAnsi="Arial"/>
        </w:rPr>
        <w:t>, coisa que expressamente faz o Edital da ANAC (Cláusula 1.3. – Do Objeto).</w:t>
      </w:r>
    </w:p>
    <w:p w:rsidR="00EF0517" w:rsidRDefault="00EF0517" w:rsidP="00EF0517">
      <w:pPr>
        <w:spacing w:line="312" w:lineRule="auto"/>
        <w:jc w:val="both"/>
        <w:rPr>
          <w:rFonts w:ascii="Arial" w:hAnsi="Arial"/>
        </w:rPr>
      </w:pPr>
    </w:p>
    <w:p w:rsidR="00EF0517" w:rsidRPr="00AB5B64" w:rsidRDefault="00EF0517" w:rsidP="00EF0517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lastRenderedPageBreak/>
        <w:t>A consequência de tal qualificação</w:t>
      </w:r>
      <w:r w:rsidR="008D3BE1">
        <w:rPr>
          <w:rFonts w:ascii="Arial" w:hAnsi="Arial"/>
        </w:rPr>
        <w:t>, para o que aqui interessa,</w:t>
      </w:r>
      <w:r w:rsidRPr="00AB5B64">
        <w:rPr>
          <w:rFonts w:ascii="Arial" w:hAnsi="Arial"/>
        </w:rPr>
        <w:t xml:space="preserve"> é que o interesse público primário a ser tutelado pelo Edital e suas cláusulas é aquele relacionado com a ideia de </w:t>
      </w:r>
      <w:r w:rsidRPr="00AB5B64">
        <w:rPr>
          <w:rFonts w:ascii="Arial" w:hAnsi="Arial"/>
          <w:b/>
        </w:rPr>
        <w:t>serviço</w:t>
      </w:r>
      <w:r w:rsidR="008D3BE1">
        <w:rPr>
          <w:rFonts w:ascii="Arial" w:hAnsi="Arial"/>
          <w:b/>
        </w:rPr>
        <w:t xml:space="preserve"> (público)</w:t>
      </w:r>
      <w:r w:rsidRPr="00AB5B64">
        <w:rPr>
          <w:rFonts w:ascii="Arial" w:hAnsi="Arial"/>
          <w:b/>
        </w:rPr>
        <w:t xml:space="preserve"> adequado </w:t>
      </w:r>
      <w:r w:rsidRPr="00AB5B64">
        <w:rPr>
          <w:rFonts w:ascii="Arial" w:hAnsi="Arial"/>
        </w:rPr>
        <w:t xml:space="preserve">(art. 175, </w:t>
      </w:r>
      <w:r>
        <w:rPr>
          <w:rFonts w:ascii="Arial" w:hAnsi="Arial"/>
        </w:rPr>
        <w:t xml:space="preserve">parágrafo único, </w:t>
      </w:r>
      <w:r w:rsidRPr="00AB5B64">
        <w:rPr>
          <w:rFonts w:ascii="Arial" w:hAnsi="Arial"/>
        </w:rPr>
        <w:t>inc. IV da C</w:t>
      </w:r>
      <w:r>
        <w:rPr>
          <w:rFonts w:ascii="Arial" w:hAnsi="Arial"/>
        </w:rPr>
        <w:t xml:space="preserve">onstituição), assim positivado </w:t>
      </w:r>
      <w:r w:rsidRPr="00AB5B64">
        <w:rPr>
          <w:rFonts w:ascii="Arial" w:hAnsi="Arial"/>
        </w:rPr>
        <w:t>no art. 6</w:t>
      </w:r>
      <w:r w:rsidRPr="00AB5B64">
        <w:rPr>
          <w:rFonts w:ascii="Arial" w:hAnsi="Arial"/>
          <w:vertAlign w:val="superscript"/>
        </w:rPr>
        <w:t>o</w:t>
      </w:r>
      <w:r w:rsidRPr="00AB5B64">
        <w:rPr>
          <w:rFonts w:ascii="Arial" w:hAnsi="Arial"/>
        </w:rPr>
        <w:t xml:space="preserve"> da Lei Geral das Concessões e Permissões de Serviço Público, a Lei n</w:t>
      </w:r>
      <w:r w:rsidRPr="00AB5B64">
        <w:rPr>
          <w:rFonts w:ascii="Arial" w:hAnsi="Arial"/>
        </w:rPr>
        <w:sym w:font="Symbol" w:char="F0B0"/>
      </w:r>
      <w:r w:rsidRPr="00AB5B64">
        <w:rPr>
          <w:rFonts w:ascii="Arial" w:hAnsi="Arial"/>
        </w:rPr>
        <w:t xml:space="preserve"> 8.987/1995, </w:t>
      </w:r>
      <w:proofErr w:type="spellStart"/>
      <w:r w:rsidRPr="00AB5B64">
        <w:rPr>
          <w:rFonts w:ascii="Arial" w:hAnsi="Arial"/>
          <w:i/>
        </w:rPr>
        <w:t>verbis</w:t>
      </w:r>
      <w:proofErr w:type="spellEnd"/>
      <w:r w:rsidRPr="00AB5B64">
        <w:rPr>
          <w:rFonts w:ascii="Arial" w:hAnsi="Arial"/>
        </w:rPr>
        <w:t>:</w:t>
      </w:r>
    </w:p>
    <w:p w:rsidR="00EF0517" w:rsidRPr="00AB5B64" w:rsidRDefault="00EF0517" w:rsidP="00EF0517">
      <w:pPr>
        <w:spacing w:line="312" w:lineRule="auto"/>
        <w:jc w:val="both"/>
        <w:rPr>
          <w:rFonts w:ascii="Arial" w:hAnsi="Arial"/>
        </w:rPr>
      </w:pPr>
    </w:p>
    <w:p w:rsidR="00EF0517" w:rsidRPr="00AB5B64" w:rsidRDefault="00EF0517" w:rsidP="00EF0517">
      <w:pPr>
        <w:spacing w:line="312" w:lineRule="auto"/>
        <w:ind w:left="1440"/>
        <w:jc w:val="both"/>
        <w:rPr>
          <w:rFonts w:ascii="Arial" w:hAnsi="Arial"/>
          <w:i/>
        </w:rPr>
      </w:pPr>
      <w:r w:rsidRPr="00AB5B64">
        <w:rPr>
          <w:rFonts w:ascii="Arial" w:hAnsi="Arial"/>
          <w:i/>
        </w:rPr>
        <w:t>Art. 6</w:t>
      </w:r>
      <w:r w:rsidRPr="00AB5B64">
        <w:rPr>
          <w:rFonts w:ascii="Arial" w:hAnsi="Arial"/>
          <w:i/>
          <w:vertAlign w:val="superscript"/>
        </w:rPr>
        <w:t>o</w:t>
      </w:r>
      <w:r w:rsidRPr="00AB5B64">
        <w:rPr>
          <w:rFonts w:ascii="Arial" w:hAnsi="Arial"/>
          <w:i/>
        </w:rPr>
        <w:t xml:space="preserve"> - Toda concessão ou permissão pressupõe a prestação de serviço adequado ao pleno atendimento dos usuários, conforme estabelecido nesta Lei, nas normas pertinentes e no respectivo contrato.</w:t>
      </w:r>
    </w:p>
    <w:p w:rsidR="00EF0517" w:rsidRPr="00AB5B64" w:rsidRDefault="00EF0517" w:rsidP="00EF0517">
      <w:pPr>
        <w:spacing w:line="312" w:lineRule="auto"/>
        <w:ind w:left="1440"/>
        <w:jc w:val="both"/>
        <w:rPr>
          <w:rFonts w:ascii="Arial" w:hAnsi="Arial"/>
          <w:i/>
        </w:rPr>
      </w:pPr>
      <w:r w:rsidRPr="00AB5B64">
        <w:rPr>
          <w:rFonts w:ascii="Arial" w:hAnsi="Arial"/>
          <w:i/>
        </w:rPr>
        <w:t>§ 1</w:t>
      </w:r>
      <w:r w:rsidRPr="00AB5B64">
        <w:rPr>
          <w:rFonts w:ascii="Arial" w:hAnsi="Arial"/>
          <w:i/>
          <w:vertAlign w:val="superscript"/>
        </w:rPr>
        <w:t>o</w:t>
      </w:r>
      <w:r w:rsidRPr="00AB5B64">
        <w:rPr>
          <w:rFonts w:ascii="Arial" w:hAnsi="Arial"/>
          <w:i/>
        </w:rPr>
        <w:t xml:space="preserve"> - Serviço adequado é o que satisfaz as condições de regularidade, continuidade, eficiência, segurança, atualidade, generalidade, cortesia na sua prestação e modicidade das tarifas.</w:t>
      </w:r>
    </w:p>
    <w:p w:rsidR="00EF0517" w:rsidRPr="00AB5B64" w:rsidRDefault="00EF0517" w:rsidP="00EF0517">
      <w:pPr>
        <w:spacing w:line="312" w:lineRule="auto"/>
        <w:ind w:left="1440"/>
        <w:jc w:val="both"/>
        <w:rPr>
          <w:rFonts w:ascii="Arial" w:hAnsi="Arial"/>
        </w:rPr>
      </w:pPr>
      <w:r w:rsidRPr="00AB5B64">
        <w:rPr>
          <w:rFonts w:ascii="Arial" w:hAnsi="Arial"/>
          <w:i/>
        </w:rPr>
        <w:t>§ 2º - A atualidade compreende a modernidade das técnicas, do equipamento e das instalações e a sua conservação, bem como a melhoria e expansão do serviço.</w:t>
      </w:r>
    </w:p>
    <w:p w:rsidR="00EF0517" w:rsidRPr="00AB5B64" w:rsidRDefault="00EF0517" w:rsidP="00EF0517">
      <w:pPr>
        <w:spacing w:line="312" w:lineRule="auto"/>
        <w:jc w:val="both"/>
        <w:rPr>
          <w:rFonts w:ascii="Arial" w:hAnsi="Arial"/>
        </w:rPr>
      </w:pPr>
    </w:p>
    <w:p w:rsidR="00F66938" w:rsidRPr="00AB5B64" w:rsidRDefault="008D3BE1" w:rsidP="002C6D00">
      <w:pPr>
        <w:spacing w:line="312" w:lineRule="auto"/>
        <w:jc w:val="both"/>
        <w:rPr>
          <w:rFonts w:ascii="Arial" w:hAnsi="Arial"/>
        </w:rPr>
      </w:pPr>
      <w:r w:rsidRPr="008D3BE1">
        <w:rPr>
          <w:rFonts w:ascii="Arial" w:hAnsi="Arial"/>
        </w:rPr>
        <w:t>Trazendo estas ideias gerais para o tema aqui analisado, pode-se dizer que q</w:t>
      </w:r>
      <w:r w:rsidR="00EF0517" w:rsidRPr="008D3BE1">
        <w:rPr>
          <w:rFonts w:ascii="Arial" w:hAnsi="Arial"/>
        </w:rPr>
        <w:t xml:space="preserve">uaisquer limitações à participação de agentes privados na licitação para outorga de concessão para a prestação de serviços relacionados com a exploração de infraestrutura aeroportuária </w:t>
      </w:r>
      <w:r w:rsidR="00EF0517" w:rsidRPr="008D3BE1">
        <w:rPr>
          <w:rFonts w:ascii="Arial" w:hAnsi="Arial"/>
          <w:b/>
        </w:rPr>
        <w:t>somente se justificarão se contribuírem para garantir o serviço público adequado</w:t>
      </w:r>
      <w:r w:rsidR="00EF0517" w:rsidRPr="008D3BE1">
        <w:rPr>
          <w:rFonts w:ascii="Arial" w:hAnsi="Arial"/>
        </w:rPr>
        <w:t>. Dito de outra forma: se não for possível apontar em que medida a restrição</w:t>
      </w:r>
      <w:r w:rsidRPr="008D3BE1">
        <w:rPr>
          <w:rFonts w:ascii="Arial" w:hAnsi="Arial"/>
        </w:rPr>
        <w:t xml:space="preserve"> estabelecida na Cláusula 3.15.5.</w:t>
      </w:r>
      <w:r w:rsidR="00EF0517" w:rsidRPr="008D3BE1">
        <w:rPr>
          <w:rFonts w:ascii="Arial" w:hAnsi="Arial"/>
        </w:rPr>
        <w:t xml:space="preserve"> </w:t>
      </w:r>
      <w:proofErr w:type="gramStart"/>
      <w:r w:rsidR="00EF0517" w:rsidRPr="008D3BE1">
        <w:rPr>
          <w:rFonts w:ascii="Arial" w:hAnsi="Arial"/>
        </w:rPr>
        <w:t>favorece</w:t>
      </w:r>
      <w:proofErr w:type="gramEnd"/>
      <w:r w:rsidR="00EF0517" w:rsidRPr="008D3BE1">
        <w:rPr>
          <w:rFonts w:ascii="Arial" w:hAnsi="Arial"/>
        </w:rPr>
        <w:t xml:space="preserve"> </w:t>
      </w:r>
      <w:r w:rsidRPr="008D3BE1">
        <w:rPr>
          <w:rFonts w:ascii="Arial" w:hAnsi="Arial"/>
        </w:rPr>
        <w:t>tal objetivo, não será válida. E</w:t>
      </w:r>
      <w:r w:rsidR="00EF0517" w:rsidRPr="008D3BE1">
        <w:rPr>
          <w:rFonts w:ascii="Arial" w:hAnsi="Arial"/>
        </w:rPr>
        <w:t xml:space="preserve"> mais: só o será na exata medida em que estritamente necessária</w:t>
      </w:r>
      <w:r w:rsidRPr="008D3BE1">
        <w:rPr>
          <w:rFonts w:ascii="Arial" w:hAnsi="Arial"/>
        </w:rPr>
        <w:t xml:space="preserve"> e na medida em que tal limitação for convincentemente justificada, à vista da exigência constitucional da motivação das decisões administrativas (art. 93, inc. X, da Constituição da República</w:t>
      </w:r>
      <w:r w:rsidR="008628E2">
        <w:rPr>
          <w:rStyle w:val="Refdenotaderodap"/>
          <w:rFonts w:ascii="Arial" w:hAnsi="Arial"/>
        </w:rPr>
        <w:footnoteReference w:id="9"/>
      </w:r>
      <w:r>
        <w:rPr>
          <w:rFonts w:ascii="Arial" w:hAnsi="Arial"/>
        </w:rPr>
        <w:t>).</w:t>
      </w:r>
      <w:r w:rsidRPr="008D3BE1">
        <w:rPr>
          <w:rFonts w:ascii="Arial" w:hAnsi="Arial"/>
        </w:rPr>
        <w:t xml:space="preserve"> </w:t>
      </w:r>
    </w:p>
    <w:p w:rsidR="00EF0517" w:rsidRDefault="00EF0517" w:rsidP="002C6D00">
      <w:pPr>
        <w:spacing w:line="312" w:lineRule="auto"/>
        <w:jc w:val="both"/>
        <w:rPr>
          <w:rFonts w:ascii="Arial" w:hAnsi="Arial"/>
        </w:rPr>
      </w:pPr>
    </w:p>
    <w:p w:rsidR="00634682" w:rsidRDefault="008D3BE1" w:rsidP="002C6D00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Nesse contexto, i.e., no âmbito dos serviços públicos, a preocupação</w:t>
      </w:r>
      <w:r w:rsidR="00F66938" w:rsidRPr="00AB5B64">
        <w:rPr>
          <w:rFonts w:ascii="Arial" w:hAnsi="Arial"/>
        </w:rPr>
        <w:t xml:space="preserve"> </w:t>
      </w:r>
      <w:r>
        <w:rPr>
          <w:rFonts w:ascii="Arial" w:hAnsi="Arial"/>
        </w:rPr>
        <w:t>com a preservação da concorrência não é um fim em si</w:t>
      </w:r>
      <w:r w:rsidR="00634682">
        <w:rPr>
          <w:rFonts w:ascii="Arial" w:hAnsi="Arial"/>
        </w:rPr>
        <w:t xml:space="preserve"> (não é o interesse público fundamental a ser identificado)</w:t>
      </w:r>
      <w:r>
        <w:rPr>
          <w:rFonts w:ascii="Arial" w:hAnsi="Arial"/>
        </w:rPr>
        <w:t xml:space="preserve">, como ocorre nos setores constitucionalmente </w:t>
      </w:r>
      <w:r w:rsidR="008628E2">
        <w:rPr>
          <w:rFonts w:ascii="Arial" w:hAnsi="Arial"/>
        </w:rPr>
        <w:t xml:space="preserve">afeitos </w:t>
      </w:r>
      <w:r>
        <w:rPr>
          <w:rFonts w:ascii="Arial" w:hAnsi="Arial"/>
        </w:rPr>
        <w:t>à livre iniciativa,</w:t>
      </w:r>
      <w:r w:rsidR="008628E2">
        <w:rPr>
          <w:rFonts w:ascii="Arial" w:hAnsi="Arial"/>
        </w:rPr>
        <w:t xml:space="preserve"> submetidos</w:t>
      </w:r>
      <w:r>
        <w:rPr>
          <w:rFonts w:ascii="Arial" w:hAnsi="Arial"/>
        </w:rPr>
        <w:t xml:space="preserve"> diretamente à incidência do art. 173, § 3</w:t>
      </w:r>
      <w:r w:rsidRPr="008D3BE1">
        <w:rPr>
          <w:rFonts w:ascii="Arial" w:hAnsi="Arial"/>
          <w:vertAlign w:val="superscript"/>
        </w:rPr>
        <w:t>o</w:t>
      </w:r>
      <w:r>
        <w:rPr>
          <w:rFonts w:ascii="Arial" w:hAnsi="Arial"/>
        </w:rPr>
        <w:t>. A preservação da concorrência – se e na medida em que o serviço público é organizado de forma competitiva – é apenas um meio para a obtenção do serviço adequado</w:t>
      </w:r>
      <w:r w:rsidR="00634682">
        <w:rPr>
          <w:rFonts w:ascii="Arial" w:hAnsi="Arial"/>
        </w:rPr>
        <w:t>,</w:t>
      </w:r>
      <w:r>
        <w:rPr>
          <w:rFonts w:ascii="Arial" w:hAnsi="Arial"/>
        </w:rPr>
        <w:t xml:space="preserve"> e a tanto se subordina. De forma bem concreta, em </w:t>
      </w:r>
      <w:r>
        <w:rPr>
          <w:rFonts w:ascii="Arial" w:hAnsi="Arial"/>
        </w:rPr>
        <w:lastRenderedPageBreak/>
        <w:t xml:space="preserve">contextos de atividades reservadas, a </w:t>
      </w:r>
      <w:r w:rsidR="00634682">
        <w:rPr>
          <w:rFonts w:ascii="Arial" w:hAnsi="Arial"/>
        </w:rPr>
        <w:t xml:space="preserve">incidência da Lei 12.529/2011 é </w:t>
      </w:r>
      <w:r w:rsidR="00634682">
        <w:rPr>
          <w:rFonts w:ascii="Arial" w:hAnsi="Arial"/>
          <w:i/>
        </w:rPr>
        <w:t xml:space="preserve">instrumental, </w:t>
      </w:r>
      <w:r w:rsidR="00634682">
        <w:rPr>
          <w:rFonts w:ascii="Arial" w:hAnsi="Arial"/>
        </w:rPr>
        <w:t>em face dos objetivos de serviço público</w:t>
      </w:r>
      <w:r w:rsidR="00634682" w:rsidRPr="00AB5B64">
        <w:rPr>
          <w:rStyle w:val="Refdenotaderodap"/>
          <w:rFonts w:ascii="Arial" w:hAnsi="Arial"/>
        </w:rPr>
        <w:footnoteReference w:id="10"/>
      </w:r>
      <w:r w:rsidR="00634682">
        <w:rPr>
          <w:rFonts w:ascii="Arial" w:hAnsi="Arial"/>
        </w:rPr>
        <w:t>.</w:t>
      </w: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</w:p>
    <w:p w:rsidR="00634682" w:rsidRDefault="00634682" w:rsidP="002C6D00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Essas considerações sugerem distinguir entre</w:t>
      </w:r>
      <w:r w:rsidR="00F66938" w:rsidRPr="00AB5B64">
        <w:rPr>
          <w:rFonts w:ascii="Arial" w:hAnsi="Arial"/>
        </w:rPr>
        <w:t xml:space="preserve"> </w:t>
      </w:r>
      <w:r w:rsidR="00F66938" w:rsidRPr="00AB5B64">
        <w:rPr>
          <w:rFonts w:ascii="Arial" w:hAnsi="Arial"/>
          <w:b/>
        </w:rPr>
        <w:t>(a.)</w:t>
      </w:r>
      <w:r w:rsidR="00F66938" w:rsidRPr="00AB5B64">
        <w:rPr>
          <w:rFonts w:ascii="Arial" w:hAnsi="Arial"/>
        </w:rPr>
        <w:t xml:space="preserve"> </w:t>
      </w:r>
      <w:r w:rsidR="00F66938" w:rsidRPr="00AB5B64">
        <w:rPr>
          <w:rFonts w:ascii="Arial" w:hAnsi="Arial"/>
          <w:i/>
        </w:rPr>
        <w:t xml:space="preserve">elementos </w:t>
      </w:r>
      <w:r>
        <w:rPr>
          <w:rFonts w:ascii="Arial" w:hAnsi="Arial"/>
          <w:i/>
        </w:rPr>
        <w:t xml:space="preserve">constitutivos do </w:t>
      </w:r>
      <w:r w:rsidR="00F66938" w:rsidRPr="00AB5B64">
        <w:rPr>
          <w:rFonts w:ascii="Arial" w:hAnsi="Arial"/>
          <w:i/>
        </w:rPr>
        <w:t>serviço adequado</w:t>
      </w:r>
      <w:r w:rsidRPr="00634682">
        <w:rPr>
          <w:rStyle w:val="Refdenotaderodap"/>
          <w:rFonts w:ascii="Arial" w:hAnsi="Arial"/>
        </w:rPr>
        <w:footnoteReference w:id="11"/>
      </w:r>
      <w:r w:rsidR="00F66938" w:rsidRPr="00AB5B64">
        <w:rPr>
          <w:rFonts w:ascii="Arial" w:hAnsi="Arial"/>
          <w:i/>
        </w:rPr>
        <w:t xml:space="preserve"> </w:t>
      </w:r>
      <w:r w:rsidR="00F66938" w:rsidRPr="00AB5B64">
        <w:rPr>
          <w:rFonts w:ascii="Arial" w:hAnsi="Arial"/>
        </w:rPr>
        <w:t xml:space="preserve">e </w:t>
      </w:r>
      <w:r w:rsidR="00F66938" w:rsidRPr="00AB5B64">
        <w:rPr>
          <w:rFonts w:ascii="Arial" w:hAnsi="Arial"/>
          <w:b/>
        </w:rPr>
        <w:t>(b.)</w:t>
      </w:r>
      <w:r w:rsidR="00F66938" w:rsidRPr="00AB5B64">
        <w:rPr>
          <w:rFonts w:ascii="Arial" w:hAnsi="Arial"/>
        </w:rPr>
        <w:t xml:space="preserve"> </w:t>
      </w:r>
      <w:r w:rsidR="00F66938" w:rsidRPr="00AB5B64">
        <w:rPr>
          <w:rFonts w:ascii="Arial" w:hAnsi="Arial"/>
          <w:i/>
        </w:rPr>
        <w:t>instrumentos de obtenção do serviço adequado</w:t>
      </w:r>
      <w:r w:rsidRPr="00634682">
        <w:rPr>
          <w:rStyle w:val="Refdenotaderodap"/>
          <w:rFonts w:ascii="Arial" w:hAnsi="Arial"/>
        </w:rPr>
        <w:footnoteReference w:id="12"/>
      </w:r>
      <w:r w:rsidR="00F66938" w:rsidRPr="00AB5B64">
        <w:rPr>
          <w:rFonts w:ascii="Arial" w:hAnsi="Arial"/>
        </w:rPr>
        <w:t xml:space="preserve">. </w:t>
      </w:r>
    </w:p>
    <w:p w:rsidR="00634682" w:rsidRDefault="00634682" w:rsidP="002C6D00">
      <w:pPr>
        <w:spacing w:line="312" w:lineRule="auto"/>
        <w:jc w:val="both"/>
        <w:rPr>
          <w:rFonts w:ascii="Arial" w:hAnsi="Arial"/>
        </w:rPr>
      </w:pPr>
    </w:p>
    <w:p w:rsidR="00634682" w:rsidRDefault="00634682" w:rsidP="002C6D00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Pois bem, atentando-se para a Cláusula 3.15.5., percebe-se que ela parece pretender introduzir um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</w:rPr>
        <w:t>elemento do segundo tipo</w:t>
      </w:r>
      <w:r>
        <w:rPr>
          <w:rFonts w:ascii="Arial" w:hAnsi="Arial"/>
          <w:i/>
        </w:rPr>
        <w:t xml:space="preserve">. </w:t>
      </w:r>
      <w:r>
        <w:rPr>
          <w:rFonts w:ascii="Arial" w:hAnsi="Arial"/>
        </w:rPr>
        <w:t xml:space="preserve">Mais especificamente, ela parece pretender estabelecer um instrumento que supostamente garantiria um instrumento assumindo como “desejável” pelo regulador, qual </w:t>
      </w:r>
      <w:proofErr w:type="gramStart"/>
      <w:r>
        <w:rPr>
          <w:rFonts w:ascii="Arial" w:hAnsi="Arial"/>
        </w:rPr>
        <w:t>seja,</w:t>
      </w:r>
      <w:proofErr w:type="gramEnd"/>
      <w:r>
        <w:rPr>
          <w:rFonts w:ascii="Arial" w:hAnsi="Arial"/>
        </w:rPr>
        <w:t xml:space="preserve"> a competição entre aeroportos; tratar-se-ia de um “instrumento do instrumento” destinado a garantir o serviço aeroportuário adequado.</w:t>
      </w:r>
    </w:p>
    <w:p w:rsidR="00F66938" w:rsidRPr="00634682" w:rsidRDefault="00F66938" w:rsidP="002C6D00">
      <w:pPr>
        <w:spacing w:line="312" w:lineRule="auto"/>
        <w:jc w:val="both"/>
        <w:rPr>
          <w:rFonts w:ascii="Arial" w:hAnsi="Arial"/>
        </w:rPr>
      </w:pPr>
    </w:p>
    <w:p w:rsidR="00634682" w:rsidRDefault="00634682" w:rsidP="002C6D00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Analiticamente:</w:t>
      </w:r>
    </w:p>
    <w:p w:rsidR="00634682" w:rsidRDefault="00634682" w:rsidP="002C6D00">
      <w:pPr>
        <w:spacing w:line="312" w:lineRule="auto"/>
        <w:jc w:val="both"/>
        <w:rPr>
          <w:rFonts w:ascii="Arial" w:hAnsi="Arial"/>
        </w:rPr>
      </w:pPr>
    </w:p>
    <w:p w:rsidR="00634682" w:rsidRDefault="00634682" w:rsidP="00634682">
      <w:pPr>
        <w:pStyle w:val="PargrafodaLista"/>
        <w:numPr>
          <w:ilvl w:val="0"/>
          <w:numId w:val="10"/>
        </w:numPr>
        <w:tabs>
          <w:tab w:val="clear" w:pos="227"/>
          <w:tab w:val="num" w:pos="709"/>
        </w:tabs>
        <w:spacing w:line="312" w:lineRule="auto"/>
        <w:ind w:left="709" w:hanging="482"/>
        <w:jc w:val="both"/>
      </w:pPr>
      <w:proofErr w:type="gramStart"/>
      <w:r>
        <w:t>no</w:t>
      </w:r>
      <w:proofErr w:type="gramEnd"/>
      <w:r>
        <w:t xml:space="preserve"> âmbito dos serviços aeroportuários, o fundamento genérico de qualquer exceção possível à regra da mais ampla participação dos interessados em contratar com a Administração Pública só pode ser encontrado em relação com a ideia do serviço público adequado;</w:t>
      </w:r>
    </w:p>
    <w:p w:rsidR="00634682" w:rsidRDefault="00634682" w:rsidP="00634682">
      <w:pPr>
        <w:pStyle w:val="PargrafodaLista"/>
        <w:spacing w:line="312" w:lineRule="auto"/>
        <w:ind w:left="709"/>
        <w:jc w:val="both"/>
      </w:pPr>
    </w:p>
    <w:p w:rsidR="00634682" w:rsidRDefault="00634682" w:rsidP="00634682">
      <w:pPr>
        <w:pStyle w:val="PargrafodaLista"/>
        <w:numPr>
          <w:ilvl w:val="0"/>
          <w:numId w:val="10"/>
        </w:numPr>
        <w:tabs>
          <w:tab w:val="clear" w:pos="227"/>
          <w:tab w:val="num" w:pos="709"/>
        </w:tabs>
        <w:spacing w:line="312" w:lineRule="auto"/>
        <w:ind w:left="709" w:hanging="482"/>
        <w:jc w:val="both"/>
      </w:pPr>
      <w:proofErr w:type="gramStart"/>
      <w:r>
        <w:t>em</w:t>
      </w:r>
      <w:proofErr w:type="gramEnd"/>
      <w:r>
        <w:t xml:space="preserve"> particular, a limitação imposta na Cláusula 3.15.5. </w:t>
      </w:r>
      <w:proofErr w:type="gramStart"/>
      <w:r>
        <w:t>está</w:t>
      </w:r>
      <w:proofErr w:type="gramEnd"/>
      <w:r>
        <w:t xml:space="preserve"> relacionada com um instrumento assumido pelo legislador ordinário como capaz de </w:t>
      </w:r>
      <w:r>
        <w:lastRenderedPageBreak/>
        <w:t>promover o serviço adequado, qual seja, o caráter potencialmente competitivo do setor aeroportuário.</w:t>
      </w:r>
    </w:p>
    <w:p w:rsidR="00634682" w:rsidRDefault="00634682" w:rsidP="00634682">
      <w:pPr>
        <w:tabs>
          <w:tab w:val="num" w:pos="709"/>
        </w:tabs>
        <w:spacing w:line="312" w:lineRule="auto"/>
        <w:jc w:val="both"/>
      </w:pPr>
    </w:p>
    <w:p w:rsidR="00F66938" w:rsidRPr="00AB5B64" w:rsidRDefault="00634682" w:rsidP="00772B14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Ocorre, porém, que a mera identificação abstrata do interesse público protegido pela Cláusula não é minimamente suficiente para torná-la válida. Com isso chegou-se apenas à metade do caminho. A regra geral vista na Seção III exige que a operacionalização deste interesse seja adequada (ou, o que é o mesmo, que ele seja mais precisamente identificado). É o que se passa a ver.</w:t>
      </w:r>
    </w:p>
    <w:p w:rsidR="008D3BE1" w:rsidRDefault="008D3BE1" w:rsidP="002C6D00">
      <w:pPr>
        <w:spacing w:line="312" w:lineRule="auto"/>
        <w:jc w:val="both"/>
        <w:rPr>
          <w:rFonts w:ascii="Arial" w:hAnsi="Arial"/>
        </w:rPr>
      </w:pPr>
    </w:p>
    <w:p w:rsidR="00634682" w:rsidRPr="00AB5B64" w:rsidRDefault="00634682" w:rsidP="00634682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  <w:b/>
          <w:smallCaps/>
        </w:rPr>
        <w:t>V</w:t>
      </w:r>
      <w:r w:rsidRPr="00AB5B64">
        <w:rPr>
          <w:rFonts w:ascii="Arial" w:hAnsi="Arial"/>
          <w:b/>
          <w:smallCaps/>
        </w:rPr>
        <w:t xml:space="preserve"> – </w:t>
      </w:r>
      <w:r>
        <w:rPr>
          <w:rFonts w:ascii="Arial" w:hAnsi="Arial"/>
          <w:b/>
          <w:smallCaps/>
        </w:rPr>
        <w:t xml:space="preserve">A identificação precisa dos parâmetros da competição como pressuposto de validade da </w:t>
      </w:r>
      <w:proofErr w:type="spellStart"/>
      <w:r>
        <w:rPr>
          <w:rFonts w:ascii="Arial" w:hAnsi="Arial"/>
          <w:b/>
          <w:smallCaps/>
        </w:rPr>
        <w:t>clásula</w:t>
      </w:r>
      <w:proofErr w:type="spellEnd"/>
      <w:r>
        <w:rPr>
          <w:rFonts w:ascii="Arial" w:hAnsi="Arial"/>
          <w:b/>
          <w:smallCaps/>
        </w:rPr>
        <w:t xml:space="preserve"> 3.15.5. </w:t>
      </w:r>
    </w:p>
    <w:p w:rsidR="00634682" w:rsidRDefault="00634682" w:rsidP="002C6D00">
      <w:pPr>
        <w:spacing w:line="312" w:lineRule="auto"/>
        <w:jc w:val="both"/>
        <w:rPr>
          <w:rFonts w:ascii="Arial" w:hAnsi="Arial"/>
          <w:b/>
        </w:rPr>
      </w:pPr>
    </w:p>
    <w:p w:rsidR="008D3BE1" w:rsidRPr="00634682" w:rsidRDefault="00634682" w:rsidP="002C6D00">
      <w:pPr>
        <w:spacing w:line="312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Subseção V.1. Competição no setor aeroportuário</w:t>
      </w: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</w:p>
    <w:p w:rsidR="00F66938" w:rsidRPr="00AB5B64" w:rsidRDefault="00634682" w:rsidP="002C6D00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Como visto, na</w:t>
      </w:r>
      <w:r w:rsidR="00F66938" w:rsidRPr="00AB5B64">
        <w:rPr>
          <w:rFonts w:ascii="Arial" w:hAnsi="Arial"/>
        </w:rPr>
        <w:t xml:space="preserve"> medida em que o legislador ordinário decidiu conformar o setor aeroportuário (serviço público</w:t>
      </w:r>
      <w:r w:rsidR="003A743D">
        <w:rPr>
          <w:rFonts w:ascii="Arial" w:hAnsi="Arial"/>
        </w:rPr>
        <w:t xml:space="preserve"> por opção constitucional</w:t>
      </w:r>
      <w:r w:rsidR="00F66938" w:rsidRPr="00AB5B64">
        <w:rPr>
          <w:rFonts w:ascii="Arial" w:hAnsi="Arial"/>
        </w:rPr>
        <w:t xml:space="preserve">) como competitivo, passou também a considerar a promoção e preservação da </w:t>
      </w:r>
      <w:r w:rsidR="003A743D">
        <w:rPr>
          <w:rFonts w:ascii="Arial" w:hAnsi="Arial"/>
        </w:rPr>
        <w:t>competição como um interesse público</w:t>
      </w:r>
      <w:r w:rsidR="00F66938" w:rsidRPr="00AB5B64">
        <w:rPr>
          <w:rFonts w:ascii="Arial" w:hAnsi="Arial"/>
        </w:rPr>
        <w:t xml:space="preserve"> a ser buscado, na qualidade de instrumento do serviço adequado. Assim também seriam dignos de tutela todos os instrumentos que a preservassem (os “instrumentos do instrumento” do serviço adequado). </w:t>
      </w: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</w:p>
    <w:p w:rsidR="003A743D" w:rsidRDefault="00F66938" w:rsidP="002C6D00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 xml:space="preserve">Ocorre, porém, </w:t>
      </w:r>
      <w:r>
        <w:rPr>
          <w:rFonts w:ascii="Arial" w:hAnsi="Arial"/>
        </w:rPr>
        <w:t xml:space="preserve">que </w:t>
      </w:r>
      <w:r w:rsidRPr="00AB5B64">
        <w:rPr>
          <w:rFonts w:ascii="Arial" w:hAnsi="Arial"/>
        </w:rPr>
        <w:t>esta simples assertiva de que o “setor aeropo</w:t>
      </w:r>
      <w:r w:rsidR="003A743D">
        <w:rPr>
          <w:rFonts w:ascii="Arial" w:hAnsi="Arial"/>
        </w:rPr>
        <w:t xml:space="preserve">rtuário é competitivo” não é juridicamente admissível para fazer frente à regra geral vista na Seção III, acima, que pressupõe a mais ampla participação de todos os interessados em tomar parte nas contratações de </w:t>
      </w:r>
      <w:proofErr w:type="gramStart"/>
      <w:r w:rsidR="003A743D">
        <w:rPr>
          <w:rFonts w:ascii="Arial" w:hAnsi="Arial"/>
        </w:rPr>
        <w:t>concessões</w:t>
      </w:r>
      <w:proofErr w:type="gramEnd"/>
    </w:p>
    <w:p w:rsidR="003A743D" w:rsidRDefault="003A743D" w:rsidP="002C6D00">
      <w:pPr>
        <w:spacing w:line="312" w:lineRule="auto"/>
        <w:jc w:val="both"/>
        <w:rPr>
          <w:rFonts w:ascii="Arial" w:hAnsi="Arial"/>
        </w:rPr>
      </w:pPr>
    </w:p>
    <w:p w:rsidR="00F66938" w:rsidRPr="00AB5B64" w:rsidRDefault="003A743D" w:rsidP="002C6D00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É </w:t>
      </w:r>
      <w:r w:rsidR="00F66938" w:rsidRPr="00AB5B64">
        <w:rPr>
          <w:rFonts w:ascii="Arial" w:hAnsi="Arial"/>
        </w:rPr>
        <w:t>absolutamente necessário</w:t>
      </w:r>
      <w:r w:rsidR="00F66938" w:rsidRPr="00AB5B64">
        <w:rPr>
          <w:rFonts w:ascii="Arial" w:hAnsi="Arial"/>
          <w:i/>
        </w:rPr>
        <w:t xml:space="preserve"> identificar exatamente o interesse público a ser preservado, o que importa dizer, </w:t>
      </w:r>
      <w:r w:rsidR="00F66938" w:rsidRPr="00AB5B64">
        <w:rPr>
          <w:rFonts w:ascii="Arial" w:hAnsi="Arial"/>
        </w:rPr>
        <w:t xml:space="preserve">in </w:t>
      </w:r>
      <w:proofErr w:type="spellStart"/>
      <w:r w:rsidR="00F66938" w:rsidRPr="00AB5B64">
        <w:rPr>
          <w:rFonts w:ascii="Arial" w:hAnsi="Arial"/>
        </w:rPr>
        <w:t>casu</w:t>
      </w:r>
      <w:proofErr w:type="spellEnd"/>
      <w:r w:rsidR="00F66938" w:rsidRPr="00AB5B64">
        <w:rPr>
          <w:rFonts w:ascii="Arial" w:hAnsi="Arial"/>
          <w:i/>
        </w:rPr>
        <w:t xml:space="preserve">, </w:t>
      </w:r>
      <w:r w:rsidR="00F66938" w:rsidRPr="003A743D">
        <w:rPr>
          <w:rFonts w:ascii="Arial" w:hAnsi="Arial"/>
          <w:b/>
          <w:i/>
        </w:rPr>
        <w:t>quais os parâmetros da competição que devem ser promovidos</w:t>
      </w:r>
      <w:r w:rsidR="00F66938" w:rsidRPr="00AB5B64">
        <w:rPr>
          <w:rFonts w:ascii="Arial" w:hAnsi="Arial"/>
        </w:rPr>
        <w:t xml:space="preserve">. </w:t>
      </w:r>
    </w:p>
    <w:p w:rsidR="00F66938" w:rsidRPr="00AB5B64" w:rsidRDefault="00F66938" w:rsidP="002C6D00">
      <w:pPr>
        <w:spacing w:line="312" w:lineRule="auto"/>
        <w:jc w:val="both"/>
        <w:rPr>
          <w:rFonts w:ascii="Arial" w:hAnsi="Arial"/>
        </w:rPr>
      </w:pPr>
    </w:p>
    <w:p w:rsidR="003A743D" w:rsidRDefault="003A743D" w:rsidP="003A743D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Há de</w:t>
      </w:r>
      <w:r w:rsidRPr="003A743D">
        <w:rPr>
          <w:rFonts w:ascii="Arial" w:hAnsi="Arial"/>
        </w:rPr>
        <w:t xml:space="preserve"> se explicitar, em primeiro lugar, </w:t>
      </w:r>
      <w:r w:rsidR="00F66938" w:rsidRPr="003A743D">
        <w:rPr>
          <w:rFonts w:ascii="Arial" w:hAnsi="Arial"/>
        </w:rPr>
        <w:t xml:space="preserve">as hipóteses possíveis de competição, sob o critério objetivo, i.e., </w:t>
      </w:r>
      <w:r w:rsidR="00F66938" w:rsidRPr="003A743D">
        <w:rPr>
          <w:rFonts w:ascii="Arial" w:hAnsi="Arial"/>
          <w:b/>
        </w:rPr>
        <w:t>os potenciais aeroportos competidores</w:t>
      </w:r>
      <w:r w:rsidR="00F66938" w:rsidRPr="003A743D">
        <w:rPr>
          <w:rFonts w:ascii="Arial" w:hAnsi="Arial"/>
        </w:rPr>
        <w:t>, a partir da situação atual e d</w:t>
      </w:r>
      <w:r>
        <w:rPr>
          <w:rFonts w:ascii="Arial" w:hAnsi="Arial"/>
        </w:rPr>
        <w:t>aquela projetada para cada qual.</w:t>
      </w:r>
    </w:p>
    <w:p w:rsidR="003A743D" w:rsidRDefault="003A743D" w:rsidP="003A743D">
      <w:pPr>
        <w:spacing w:line="312" w:lineRule="auto"/>
        <w:jc w:val="both"/>
        <w:rPr>
          <w:rFonts w:ascii="Arial" w:hAnsi="Arial"/>
        </w:rPr>
      </w:pPr>
    </w:p>
    <w:p w:rsidR="00C10692" w:rsidRDefault="003A743D" w:rsidP="003A743D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Não é o caso de entrar em longas e sofisticadas discussões acerca dos elementos que conforma</w:t>
      </w:r>
      <w:r w:rsidR="00B167DF">
        <w:rPr>
          <w:rFonts w:ascii="Arial" w:hAnsi="Arial"/>
        </w:rPr>
        <w:t>m</w:t>
      </w:r>
      <w:r>
        <w:rPr>
          <w:rFonts w:ascii="Arial" w:hAnsi="Arial"/>
        </w:rPr>
        <w:t xml:space="preserve"> a competição entre diferentes aeroportos. Para tanto, seria necessário introduzir figuras e conceitos </w:t>
      </w:r>
      <w:r w:rsidR="00C10692">
        <w:rPr>
          <w:rFonts w:ascii="Arial" w:hAnsi="Arial"/>
        </w:rPr>
        <w:t xml:space="preserve">de natureza econômica </w:t>
      </w:r>
      <w:r>
        <w:rPr>
          <w:rFonts w:ascii="Arial" w:hAnsi="Arial"/>
        </w:rPr>
        <w:lastRenderedPageBreak/>
        <w:t xml:space="preserve">tais como de </w:t>
      </w:r>
      <w:proofErr w:type="spellStart"/>
      <w:r>
        <w:rPr>
          <w:rFonts w:ascii="Arial" w:hAnsi="Arial"/>
          <w:i/>
        </w:rPr>
        <w:t>catchment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area</w:t>
      </w:r>
      <w:proofErr w:type="spellEnd"/>
      <w:r>
        <w:rPr>
          <w:rFonts w:ascii="Arial" w:hAnsi="Arial"/>
        </w:rPr>
        <w:t xml:space="preserve"> ou zona de influência de diferentes aeroportos; distinguir entre diversas modalidades de organização de serviços aeroportuários (</w:t>
      </w:r>
      <w:r>
        <w:rPr>
          <w:rFonts w:ascii="Arial" w:hAnsi="Arial"/>
          <w:i/>
        </w:rPr>
        <w:t xml:space="preserve">hub </w:t>
      </w:r>
      <w:proofErr w:type="spellStart"/>
      <w:r>
        <w:rPr>
          <w:rFonts w:ascii="Arial" w:hAnsi="Arial"/>
          <w:i/>
        </w:rPr>
        <w:t>and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spoke</w:t>
      </w:r>
      <w:proofErr w:type="spellEnd"/>
      <w:r>
        <w:rPr>
          <w:rFonts w:ascii="Arial" w:hAnsi="Arial"/>
          <w:i/>
        </w:rPr>
        <w:t xml:space="preserve"> </w:t>
      </w:r>
      <w:r>
        <w:rPr>
          <w:rFonts w:ascii="Arial" w:hAnsi="Arial"/>
        </w:rPr>
        <w:t xml:space="preserve">vs. aeroportos “ponto a ponto”); identificar variáveis capazes de atrair/repelir, para diferentes aeroportos, usuários/passageiros (facilidades de transporte, acomodações, opções de comércio e lazer, além, obviamente, das opções de </w:t>
      </w:r>
      <w:r w:rsidR="00C10692">
        <w:rPr>
          <w:rFonts w:ascii="Arial" w:hAnsi="Arial"/>
        </w:rPr>
        <w:t>voo), dentre outros elementos.</w:t>
      </w:r>
    </w:p>
    <w:p w:rsidR="00C10692" w:rsidRDefault="00C10692" w:rsidP="003A743D">
      <w:pPr>
        <w:spacing w:line="312" w:lineRule="auto"/>
        <w:jc w:val="both"/>
        <w:rPr>
          <w:rFonts w:ascii="Arial" w:hAnsi="Arial"/>
        </w:rPr>
      </w:pPr>
    </w:p>
    <w:p w:rsidR="008628E2" w:rsidRDefault="003A743D" w:rsidP="003A743D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Basta</w:t>
      </w:r>
      <w:r w:rsidR="00C10692">
        <w:rPr>
          <w:rFonts w:ascii="Arial" w:hAnsi="Arial"/>
        </w:rPr>
        <w:t xml:space="preserve"> aqui, apenas,</w:t>
      </w:r>
      <w:r>
        <w:rPr>
          <w:rFonts w:ascii="Arial" w:hAnsi="Arial"/>
        </w:rPr>
        <w:t xml:space="preserve"> apontar o que, de resto, é de domínio do regulador: se presentemente a disciplina normativa não tem os aeroportos como monopólios naturais, por outro lado a configuração empírica da competição no setor não é absolut</w:t>
      </w:r>
      <w:r w:rsidR="00E62499">
        <w:rPr>
          <w:rFonts w:ascii="Arial" w:hAnsi="Arial"/>
        </w:rPr>
        <w:t>a, irrestrita ou indiscriminada.</w:t>
      </w:r>
      <w:r w:rsidR="00C10692">
        <w:rPr>
          <w:rFonts w:ascii="Arial" w:hAnsi="Arial"/>
        </w:rPr>
        <w:t xml:space="preserve"> </w:t>
      </w:r>
      <w:r w:rsidR="008628E2">
        <w:rPr>
          <w:rFonts w:ascii="Arial" w:hAnsi="Arial"/>
        </w:rPr>
        <w:t xml:space="preserve">Por óbvio, que não competem entre si todos os aeroportos do Brasil, o que torna sem sentido – já por este motivo, apenas – prever uma regra restritiva que seja absolutamente incondicionada quanto a este ponto. </w:t>
      </w:r>
    </w:p>
    <w:p w:rsidR="008628E2" w:rsidRDefault="008628E2" w:rsidP="003A743D">
      <w:pPr>
        <w:spacing w:line="312" w:lineRule="auto"/>
        <w:jc w:val="both"/>
        <w:rPr>
          <w:rFonts w:ascii="Arial" w:hAnsi="Arial"/>
        </w:rPr>
      </w:pPr>
    </w:p>
    <w:p w:rsidR="003A743D" w:rsidRPr="003A743D" w:rsidRDefault="008628E2" w:rsidP="003A743D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No mínimo, seria de se esperar que o regulador apresentasse, para cada aeroporto interessado, seus potenciais competidores (a partir da assunção de certas premissas de arranjo econômico setorial) e, apenas a partir dessa projeção, passasse a estabelecer as restrições que entendesse cabíveis, fossem elas relacionadas às participações cruzadas ou de outra natureza. Não existe, simplesmente, interesse público, em proteger-se a competição “nos aeroportos brasileiros”. </w:t>
      </w:r>
    </w:p>
    <w:p w:rsidR="008628E2" w:rsidRDefault="008628E2" w:rsidP="003A743D">
      <w:pPr>
        <w:spacing w:line="312" w:lineRule="auto"/>
        <w:jc w:val="both"/>
        <w:rPr>
          <w:rFonts w:ascii="Arial" w:hAnsi="Arial"/>
        </w:rPr>
      </w:pPr>
    </w:p>
    <w:p w:rsidR="008628E2" w:rsidRDefault="008628E2" w:rsidP="003A743D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Depois de identificados os mercados relevantes e potencialmente competidores, onde há sentido em se estabelecer mecanismos de controle e monitoramento, aí sim seria o caso de se passar a uma segunda série de medidas, também não contempladas na dicção absolutamente abstrata da </w:t>
      </w:r>
      <w:proofErr w:type="spellStart"/>
      <w:r>
        <w:rPr>
          <w:rFonts w:ascii="Arial" w:hAnsi="Arial"/>
        </w:rPr>
        <w:t>Claúsula</w:t>
      </w:r>
      <w:proofErr w:type="spellEnd"/>
      <w:r>
        <w:rPr>
          <w:rFonts w:ascii="Arial" w:hAnsi="Arial"/>
        </w:rPr>
        <w:t xml:space="preserve"> 3.15.5. Refere-se a Consulente àquilo que vem qualificando como adoção de medidas </w:t>
      </w:r>
      <w:r w:rsidRPr="008628E2">
        <w:rPr>
          <w:rFonts w:ascii="Arial" w:hAnsi="Arial"/>
          <w:i/>
        </w:rPr>
        <w:t xml:space="preserve">estritamente </w:t>
      </w:r>
      <w:r>
        <w:rPr>
          <w:rFonts w:ascii="Arial" w:hAnsi="Arial"/>
          <w:i/>
        </w:rPr>
        <w:t xml:space="preserve">necessárias </w:t>
      </w:r>
      <w:r>
        <w:rPr>
          <w:rFonts w:ascii="Arial" w:hAnsi="Arial"/>
        </w:rPr>
        <w:t xml:space="preserve">à preservação da concorrência, tais que não promovam agravos desnecessários à possibilidade de ampla participação de interessados em contratar com a Administração Pública. </w:t>
      </w:r>
    </w:p>
    <w:p w:rsidR="008628E2" w:rsidRDefault="008628E2" w:rsidP="003A743D">
      <w:pPr>
        <w:spacing w:line="312" w:lineRule="auto"/>
        <w:jc w:val="both"/>
        <w:rPr>
          <w:rFonts w:ascii="Arial" w:hAnsi="Arial"/>
        </w:rPr>
      </w:pPr>
    </w:p>
    <w:p w:rsidR="003A743D" w:rsidRPr="008628E2" w:rsidRDefault="008628E2" w:rsidP="003A743D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Com efeito, não basta simplesmente detectar quais são, dentre os aeroportos brasileiros, aqueles que podem disputar mercados; há que se </w:t>
      </w:r>
      <w:proofErr w:type="gramStart"/>
      <w:r>
        <w:rPr>
          <w:rFonts w:ascii="Arial" w:hAnsi="Arial"/>
        </w:rPr>
        <w:t>calibrar</w:t>
      </w:r>
      <w:proofErr w:type="gramEnd"/>
      <w:r>
        <w:rPr>
          <w:rFonts w:ascii="Arial" w:hAnsi="Arial"/>
        </w:rPr>
        <w:t xml:space="preserve"> precisamente as medidas que serão tomadas para equilibrar a necessidade de preservar a concorrência com o princípio constitucional da ampla </w:t>
      </w:r>
      <w:r w:rsidRPr="0007241A">
        <w:rPr>
          <w:rFonts w:ascii="Arial" w:hAnsi="Arial"/>
        </w:rPr>
        <w:t xml:space="preserve">participação dos interessados em contratar. Tal se obtém com a limitação da </w:t>
      </w:r>
      <w:r w:rsidRPr="0007241A">
        <w:rPr>
          <w:rFonts w:ascii="Arial" w:hAnsi="Arial"/>
          <w:i/>
        </w:rPr>
        <w:t xml:space="preserve">participação cruzada </w:t>
      </w:r>
      <w:r w:rsidRPr="0007241A">
        <w:rPr>
          <w:rFonts w:ascii="Arial" w:hAnsi="Arial"/>
          <w:b/>
          <w:i/>
        </w:rPr>
        <w:t>relevante</w:t>
      </w:r>
      <w:r w:rsidRPr="0007241A">
        <w:rPr>
          <w:rFonts w:ascii="Arial" w:hAnsi="Arial"/>
          <w:i/>
        </w:rPr>
        <w:t xml:space="preserve"> </w:t>
      </w:r>
      <w:r w:rsidRPr="0007241A">
        <w:rPr>
          <w:rFonts w:ascii="Arial" w:hAnsi="Arial"/>
        </w:rPr>
        <w:t>em aeroportos potencialmente competidores.</w:t>
      </w:r>
    </w:p>
    <w:p w:rsidR="00F66938" w:rsidRPr="003A743D" w:rsidRDefault="00F66938" w:rsidP="003A743D">
      <w:pPr>
        <w:spacing w:line="312" w:lineRule="auto"/>
        <w:jc w:val="both"/>
        <w:rPr>
          <w:rFonts w:ascii="Arial" w:hAnsi="Arial"/>
        </w:rPr>
      </w:pPr>
    </w:p>
    <w:p w:rsidR="008628E2" w:rsidRPr="008628E2" w:rsidRDefault="008628E2" w:rsidP="00C52A01">
      <w:pPr>
        <w:spacing w:line="312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Subseção V.2. Participação cruzada </w:t>
      </w:r>
      <w:r>
        <w:rPr>
          <w:rFonts w:ascii="Arial" w:hAnsi="Arial"/>
          <w:b/>
          <w:i/>
        </w:rPr>
        <w:t xml:space="preserve">relevante </w:t>
      </w:r>
    </w:p>
    <w:p w:rsidR="008628E2" w:rsidRDefault="008628E2" w:rsidP="00C52A01">
      <w:pPr>
        <w:spacing w:line="312" w:lineRule="auto"/>
        <w:jc w:val="both"/>
        <w:rPr>
          <w:rFonts w:ascii="Arial" w:hAnsi="Arial"/>
          <w:b/>
        </w:rPr>
      </w:pPr>
    </w:p>
    <w:p w:rsidR="008205FA" w:rsidRDefault="008205FA" w:rsidP="00C52A01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Já se disse na Seção II, acima, que a circunstância de alguém ser, simplesmente, </w:t>
      </w:r>
      <w:r>
        <w:rPr>
          <w:rFonts w:ascii="Arial" w:hAnsi="Arial"/>
          <w:i/>
        </w:rPr>
        <w:t xml:space="preserve">acionista </w:t>
      </w:r>
      <w:r>
        <w:rPr>
          <w:rFonts w:ascii="Arial" w:hAnsi="Arial"/>
        </w:rPr>
        <w:t>de concessionária de serviço público aeroportuário e não poder participar de certame licitatório não parece ser uma boa interpretação da Cláusula 3.15.5.</w:t>
      </w:r>
    </w:p>
    <w:p w:rsidR="008205FA" w:rsidRDefault="008205FA" w:rsidP="00C52A01">
      <w:pPr>
        <w:spacing w:line="312" w:lineRule="auto"/>
        <w:jc w:val="both"/>
        <w:rPr>
          <w:rFonts w:ascii="Arial" w:hAnsi="Arial"/>
        </w:rPr>
      </w:pPr>
    </w:p>
    <w:p w:rsidR="00C82756" w:rsidRDefault="008205FA" w:rsidP="00C52A01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Não o é </w:t>
      </w:r>
      <w:r w:rsidR="007A40C1">
        <w:rPr>
          <w:rFonts w:ascii="Arial" w:hAnsi="Arial"/>
        </w:rPr>
        <w:t xml:space="preserve">porque ao mesmo tempo em que </w:t>
      </w:r>
      <w:r w:rsidR="007A40C1">
        <w:rPr>
          <w:rFonts w:ascii="Arial" w:hAnsi="Arial"/>
          <w:i/>
        </w:rPr>
        <w:t>em nada promove ou protege a competição entre aeroportos, restringe inadmissivelmente o universo de interessados em contratar com o poder público</w:t>
      </w:r>
      <w:r w:rsidR="007A40C1">
        <w:rPr>
          <w:rFonts w:ascii="Arial" w:hAnsi="Arial"/>
        </w:rPr>
        <w:t>. Mesmo que se trate de aeroportos competidores, pense-se, p.ex., em participações</w:t>
      </w:r>
      <w:r w:rsidR="00C82756">
        <w:rPr>
          <w:rFonts w:ascii="Arial" w:hAnsi="Arial"/>
        </w:rPr>
        <w:t xml:space="preserve"> acionárias irrelevantes, ou tais que, embora numericamente não irrelevantes, não forneçam ao acionista qualquer poder de influenciar os negócios de um ou de outro serviço concedido. </w:t>
      </w:r>
    </w:p>
    <w:p w:rsidR="00C82756" w:rsidRDefault="00C82756" w:rsidP="00C52A01">
      <w:pPr>
        <w:spacing w:line="312" w:lineRule="auto"/>
        <w:jc w:val="both"/>
        <w:rPr>
          <w:rFonts w:ascii="Arial" w:hAnsi="Arial"/>
        </w:rPr>
      </w:pPr>
    </w:p>
    <w:p w:rsidR="008205FA" w:rsidRPr="007A40C1" w:rsidRDefault="00C82756" w:rsidP="00C52A01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Nessas hipóteses, de que serviria a restrição?</w:t>
      </w:r>
    </w:p>
    <w:p w:rsidR="00C82756" w:rsidRDefault="00C82756" w:rsidP="00772B14">
      <w:pPr>
        <w:spacing w:line="312" w:lineRule="auto"/>
        <w:jc w:val="both"/>
        <w:rPr>
          <w:rFonts w:ascii="Arial" w:hAnsi="Arial"/>
        </w:rPr>
      </w:pPr>
    </w:p>
    <w:p w:rsidR="00C82756" w:rsidRPr="00C82756" w:rsidRDefault="00C82756" w:rsidP="00772B14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Na verdade, chega-se aqui ao cerne de uma interpretação útil da Cláusula 3.15.5.: o que ela deveria significativamente coibir é a participação cruzada que permita a </w:t>
      </w:r>
      <w:r>
        <w:rPr>
          <w:rFonts w:ascii="Arial" w:hAnsi="Arial"/>
          <w:b/>
        </w:rPr>
        <w:t xml:space="preserve">tomada </w:t>
      </w:r>
      <w:r w:rsidR="0007241A">
        <w:rPr>
          <w:rFonts w:ascii="Arial" w:hAnsi="Arial"/>
          <w:b/>
        </w:rPr>
        <w:t xml:space="preserve">de </w:t>
      </w:r>
      <w:r>
        <w:rPr>
          <w:rFonts w:ascii="Arial" w:hAnsi="Arial"/>
          <w:b/>
        </w:rPr>
        <w:t xml:space="preserve">decisões empresariais capazes de, frustrando ou dificultando a disputa entre aeroportos potencialmente competidores, afetar o serviço adequado por eles prestado, tanto em termos de adequação técnica, </w:t>
      </w:r>
      <w:proofErr w:type="gramStart"/>
      <w:r>
        <w:rPr>
          <w:rFonts w:ascii="Arial" w:hAnsi="Arial"/>
          <w:b/>
        </w:rPr>
        <w:t>quanto adequação</w:t>
      </w:r>
      <w:proofErr w:type="gramEnd"/>
      <w:r>
        <w:rPr>
          <w:rFonts w:ascii="Arial" w:hAnsi="Arial"/>
          <w:b/>
        </w:rPr>
        <w:t xml:space="preserve"> econômica. </w:t>
      </w:r>
      <w:r>
        <w:rPr>
          <w:rFonts w:ascii="Arial" w:hAnsi="Arial"/>
        </w:rPr>
        <w:t xml:space="preserve">E isso só é possível quando o sujeito tem uma posição societária de destaque, como Operador, acionista majoritário ou detentor de uma posição capaz de lhe assegurar influência decisiva nos negócios do aeroporto. </w:t>
      </w:r>
    </w:p>
    <w:p w:rsidR="00F66938" w:rsidRPr="00AB5B64" w:rsidRDefault="00F66938" w:rsidP="00772B14">
      <w:pPr>
        <w:spacing w:line="312" w:lineRule="auto"/>
        <w:jc w:val="both"/>
        <w:rPr>
          <w:rFonts w:ascii="Arial" w:hAnsi="Arial"/>
        </w:rPr>
      </w:pPr>
    </w:p>
    <w:p w:rsidR="00F66938" w:rsidRPr="00AB5B64" w:rsidRDefault="00C82756" w:rsidP="00772B14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  <w:i/>
        </w:rPr>
        <w:t xml:space="preserve">Entender a Cláusula 3.15.5., em interpretação lata, significaria </w:t>
      </w:r>
      <w:r w:rsidR="00F66938" w:rsidRPr="00AB5B64">
        <w:rPr>
          <w:rFonts w:ascii="Arial" w:hAnsi="Arial"/>
          <w:i/>
        </w:rPr>
        <w:t>impedir que todo e qualquer sujeito que tivesse qualquer participação econômica em qualquer concessionária de qualquer aeroporto brasileiro pudesse participar, com qualquer grandeza acionária, das licitações dos novos aeroportos nacionais</w:t>
      </w:r>
      <w:r w:rsidR="00F66938" w:rsidRPr="00AB5B64">
        <w:rPr>
          <w:rFonts w:ascii="Arial" w:hAnsi="Arial"/>
        </w:rPr>
        <w:t>. Isso significa não apenas uma vedação absolutamente geral e absoluta – totalmente abstrata - contrária à regra geral da ampla participação dos interessados em contratar com a Administração Pública vigente no direito brasileiro, como, inclusive, propicia um radical fechamento do universo dos proponentes, nocivo ao próprio desiderato de obter-se um amplo leque de propostas que concorram para propiciar o ideal de serviço (público) adequado.</w:t>
      </w:r>
    </w:p>
    <w:p w:rsidR="00C82756" w:rsidRDefault="00C82756" w:rsidP="00772B14">
      <w:pPr>
        <w:spacing w:line="312" w:lineRule="auto"/>
        <w:jc w:val="both"/>
        <w:rPr>
          <w:rFonts w:ascii="Arial" w:hAnsi="Arial"/>
        </w:rPr>
      </w:pPr>
    </w:p>
    <w:p w:rsidR="00C82756" w:rsidRPr="00AB5B64" w:rsidRDefault="00C82756" w:rsidP="00C82756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 xml:space="preserve">Em outras palavras, dever-se-ia, em síntese, identificar os mercados relevantes que devem permanecer segregados em termos de participação de agentes econômicos com posições relevantes, bem como identificar, nestes mercados, o que constitui uma posição efetivamente relevante. </w:t>
      </w:r>
    </w:p>
    <w:p w:rsidR="00F66938" w:rsidRPr="00AB5B64" w:rsidRDefault="00F66938" w:rsidP="00772B14">
      <w:pPr>
        <w:spacing w:line="312" w:lineRule="auto"/>
        <w:jc w:val="both"/>
        <w:rPr>
          <w:rFonts w:ascii="Arial" w:hAnsi="Arial"/>
        </w:rPr>
      </w:pPr>
    </w:p>
    <w:p w:rsidR="00F66938" w:rsidRPr="00AB5B64" w:rsidRDefault="00F66938" w:rsidP="00772B14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>Visto sob outro ângulo, pode-se dizer que uma desco</w:t>
      </w:r>
      <w:r>
        <w:rPr>
          <w:rFonts w:ascii="Arial" w:hAnsi="Arial"/>
        </w:rPr>
        <w:t>n</w:t>
      </w:r>
      <w:r w:rsidRPr="00AB5B64">
        <w:rPr>
          <w:rFonts w:ascii="Arial" w:hAnsi="Arial"/>
        </w:rPr>
        <w:t xml:space="preserve">textualizada afirmação de que “o setor aeroportuário é competitivo”, combinada com uma igualmente abstrata vedação de participação de qualquer sujeito envolvido em licitações anteriores vai contra um postulado básico dos modernos mecanismos de controle dos atos administrativos, qual seja, o da </w:t>
      </w:r>
      <w:r w:rsidRPr="00AB5B64">
        <w:rPr>
          <w:rFonts w:ascii="Arial" w:hAnsi="Arial"/>
          <w:i/>
        </w:rPr>
        <w:t>proporcionalidade</w:t>
      </w:r>
      <w:r w:rsidRPr="00AB5B64">
        <w:rPr>
          <w:rFonts w:ascii="Arial" w:hAnsi="Arial"/>
        </w:rPr>
        <w:t xml:space="preserve">. </w:t>
      </w:r>
    </w:p>
    <w:p w:rsidR="00F66938" w:rsidRPr="00AB5B64" w:rsidRDefault="00F66938" w:rsidP="00772B14">
      <w:pPr>
        <w:spacing w:line="312" w:lineRule="auto"/>
        <w:jc w:val="both"/>
        <w:rPr>
          <w:rFonts w:ascii="Arial" w:hAnsi="Arial"/>
        </w:rPr>
      </w:pPr>
    </w:p>
    <w:p w:rsidR="00F66938" w:rsidRPr="00AB5B64" w:rsidRDefault="00F66938" w:rsidP="00772B14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 xml:space="preserve">Segundo este verdadeiro </w:t>
      </w:r>
      <w:r w:rsidRPr="00AB5B64">
        <w:rPr>
          <w:rFonts w:ascii="Arial" w:hAnsi="Arial"/>
          <w:i/>
        </w:rPr>
        <w:t xml:space="preserve">princípio </w:t>
      </w:r>
      <w:r w:rsidRPr="00AB5B64">
        <w:rPr>
          <w:rFonts w:ascii="Arial" w:hAnsi="Arial"/>
        </w:rPr>
        <w:t>incorporado no quotidiano de nossos tribunais</w:t>
      </w:r>
      <w:r w:rsidRPr="00AB5B64">
        <w:rPr>
          <w:rStyle w:val="Refdenotaderodap"/>
          <w:rFonts w:ascii="Arial" w:hAnsi="Arial"/>
        </w:rPr>
        <w:footnoteReference w:id="13"/>
      </w:r>
      <w:r w:rsidRPr="00AB5B64">
        <w:rPr>
          <w:rFonts w:ascii="Arial" w:hAnsi="Arial"/>
        </w:rPr>
        <w:t xml:space="preserve">, não basta que o ato administrativo seja apto, em tese, a atingir determinada finalidade (contribuir para a obtenção de determinado interesse público); </w:t>
      </w:r>
      <w:proofErr w:type="spellStart"/>
      <w:r w:rsidRPr="00AB5B64">
        <w:rPr>
          <w:rFonts w:ascii="Arial" w:hAnsi="Arial"/>
        </w:rPr>
        <w:t>exige-se-lhe</w:t>
      </w:r>
      <w:proofErr w:type="spellEnd"/>
      <w:r w:rsidRPr="00AB5B64">
        <w:rPr>
          <w:rFonts w:ascii="Arial" w:hAnsi="Arial"/>
        </w:rPr>
        <w:t>, ademais, que o faça, cumprindo outros dois requisitos, quais sejam: (i.) satisfaça seu fim da forma menos gravosa possível para os sujeitos eventualmente atingidos pela medida (o teste da “necessidade”); (</w:t>
      </w:r>
      <w:proofErr w:type="spellStart"/>
      <w:r w:rsidRPr="00AB5B64">
        <w:rPr>
          <w:rFonts w:ascii="Arial" w:hAnsi="Arial"/>
        </w:rPr>
        <w:t>ii</w:t>
      </w:r>
      <w:proofErr w:type="spellEnd"/>
      <w:r w:rsidRPr="00AB5B64">
        <w:rPr>
          <w:rFonts w:ascii="Arial" w:hAnsi="Arial"/>
        </w:rPr>
        <w:t>.) o objetivo que se propõe a atingir seja, ao fim e ao cabo, mais valioso, juridicamente, do que o valor que acabou sendo sacrificado pela medida restritiva (o teste da “proporcionalidade em sentido estrito”).</w:t>
      </w:r>
    </w:p>
    <w:p w:rsidR="00F66938" w:rsidRPr="00AB5B64" w:rsidRDefault="00F66938" w:rsidP="00772B14">
      <w:pPr>
        <w:spacing w:line="312" w:lineRule="auto"/>
        <w:jc w:val="both"/>
        <w:rPr>
          <w:rFonts w:ascii="Arial" w:hAnsi="Arial"/>
        </w:rPr>
      </w:pPr>
    </w:p>
    <w:p w:rsidR="00F66938" w:rsidRPr="00AB5B64" w:rsidRDefault="00F66938" w:rsidP="00772B14">
      <w:pPr>
        <w:spacing w:line="312" w:lineRule="auto"/>
        <w:jc w:val="both"/>
        <w:rPr>
          <w:rFonts w:ascii="Arial" w:hAnsi="Arial"/>
          <w:b/>
        </w:rPr>
      </w:pPr>
      <w:r w:rsidRPr="00AB5B64">
        <w:rPr>
          <w:rFonts w:ascii="Arial" w:hAnsi="Arial"/>
        </w:rPr>
        <w:lastRenderedPageBreak/>
        <w:t xml:space="preserve">Pois bem, no caso em exame, uma cláusula assim genérica como aquela 3.15.5., ainda que pudesse, em tese, contribuir para garantir a competitividade setorial, o faria de modo exagerado, por deixar de atentar para os elementos apontados na página anterior. </w:t>
      </w:r>
      <w:r w:rsidRPr="00AB5B64">
        <w:rPr>
          <w:rFonts w:ascii="Arial" w:hAnsi="Arial"/>
          <w:b/>
        </w:rPr>
        <w:t xml:space="preserve">Sem uma exata identificação dos elementos precisos da competição, limita-se, </w:t>
      </w:r>
      <w:r w:rsidRPr="00AB5B64">
        <w:rPr>
          <w:rFonts w:ascii="Arial" w:hAnsi="Arial"/>
          <w:b/>
          <w:i/>
        </w:rPr>
        <w:t>sem necessidade</w:t>
      </w:r>
      <w:r w:rsidRPr="00AB5B64">
        <w:rPr>
          <w:rFonts w:ascii="Arial" w:hAnsi="Arial"/>
          <w:b/>
        </w:rPr>
        <w:t xml:space="preserve">, i.e., </w:t>
      </w:r>
      <w:r w:rsidRPr="00AB5B64">
        <w:rPr>
          <w:rFonts w:ascii="Arial" w:hAnsi="Arial"/>
          <w:b/>
          <w:i/>
        </w:rPr>
        <w:t>em grau excessivo</w:t>
      </w:r>
      <w:r w:rsidRPr="00AB5B64">
        <w:rPr>
          <w:rFonts w:ascii="Arial" w:hAnsi="Arial"/>
          <w:b/>
        </w:rPr>
        <w:t xml:space="preserve">, a liberdade de iniciativa de sujeitos, sem vantagem relevante para o interesse público tutelado. </w:t>
      </w:r>
    </w:p>
    <w:p w:rsidR="00F66938" w:rsidRPr="00AB5B64" w:rsidRDefault="00F66938" w:rsidP="00772B14">
      <w:pPr>
        <w:spacing w:line="312" w:lineRule="auto"/>
        <w:jc w:val="both"/>
        <w:rPr>
          <w:rFonts w:ascii="Arial" w:hAnsi="Arial"/>
          <w:b/>
        </w:rPr>
      </w:pPr>
    </w:p>
    <w:p w:rsidR="00C82756" w:rsidRDefault="00F66938" w:rsidP="00772B14">
      <w:pPr>
        <w:spacing w:line="312" w:lineRule="auto"/>
        <w:jc w:val="both"/>
        <w:rPr>
          <w:rFonts w:ascii="Arial" w:hAnsi="Arial"/>
        </w:rPr>
      </w:pPr>
      <w:r w:rsidRPr="00AB5B64">
        <w:rPr>
          <w:rFonts w:ascii="Arial" w:hAnsi="Arial"/>
        </w:rPr>
        <w:t xml:space="preserve">A restrição é, pois, juridicamente </w:t>
      </w:r>
      <w:r w:rsidRPr="00AB5B64">
        <w:rPr>
          <w:rFonts w:ascii="Arial" w:hAnsi="Arial"/>
          <w:i/>
        </w:rPr>
        <w:t xml:space="preserve">desproporcional </w:t>
      </w:r>
      <w:r w:rsidRPr="00AB5B64">
        <w:rPr>
          <w:rFonts w:ascii="Arial" w:hAnsi="Arial"/>
        </w:rPr>
        <w:t xml:space="preserve">e, nessa medida, </w:t>
      </w:r>
      <w:r w:rsidRPr="00AB5B64">
        <w:rPr>
          <w:rFonts w:ascii="Arial" w:hAnsi="Arial"/>
          <w:i/>
        </w:rPr>
        <w:t>inconstitucional</w:t>
      </w:r>
      <w:r w:rsidRPr="00AB5B64">
        <w:rPr>
          <w:rFonts w:ascii="Arial" w:hAnsi="Arial"/>
        </w:rPr>
        <w:t>.</w:t>
      </w:r>
      <w:r w:rsidR="00C82756">
        <w:rPr>
          <w:rFonts w:ascii="Arial" w:hAnsi="Arial"/>
        </w:rPr>
        <w:t xml:space="preserve"> Ainda mais quando desprovida de fundamentação suficiente. </w:t>
      </w:r>
    </w:p>
    <w:p w:rsidR="00C82756" w:rsidRDefault="00C82756" w:rsidP="00772B14">
      <w:pPr>
        <w:spacing w:line="312" w:lineRule="auto"/>
        <w:jc w:val="both"/>
        <w:rPr>
          <w:rFonts w:ascii="Arial" w:hAnsi="Arial"/>
        </w:rPr>
      </w:pPr>
    </w:p>
    <w:p w:rsidR="00C82756" w:rsidRDefault="00C82756" w:rsidP="00772B14">
      <w:pPr>
        <w:spacing w:line="312" w:lineRule="auto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Subseção V.3.</w:t>
      </w:r>
    </w:p>
    <w:p w:rsidR="00C82756" w:rsidRDefault="00C82756" w:rsidP="00772B14">
      <w:pPr>
        <w:spacing w:line="312" w:lineRule="auto"/>
        <w:jc w:val="both"/>
        <w:rPr>
          <w:rFonts w:ascii="Arial" w:hAnsi="Arial"/>
          <w:b/>
        </w:rPr>
      </w:pP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C</w:t>
      </w:r>
      <w:r w:rsidRPr="004E014A">
        <w:rPr>
          <w:rFonts w:ascii="Arial" w:hAnsi="Arial" w:cs="Arial"/>
        </w:rPr>
        <w:t xml:space="preserve">láusula 3.15.5. </w:t>
      </w:r>
      <w:proofErr w:type="gramStart"/>
      <w:r w:rsidRPr="004E014A">
        <w:rPr>
          <w:rFonts w:ascii="Arial" w:hAnsi="Arial" w:cs="Arial"/>
        </w:rPr>
        <w:t>do</w:t>
      </w:r>
      <w:proofErr w:type="gramEnd"/>
      <w:r w:rsidRPr="004E014A">
        <w:rPr>
          <w:rFonts w:ascii="Arial" w:hAnsi="Arial" w:cs="Arial"/>
        </w:rPr>
        <w:t xml:space="preserve"> Edital não deriva e também não consiste em recepção </w:t>
      </w:r>
      <w:r>
        <w:rPr>
          <w:rFonts w:ascii="Arial" w:hAnsi="Arial" w:cs="Arial"/>
        </w:rPr>
        <w:t xml:space="preserve">de regra legal ou regulamentar; </w:t>
      </w:r>
      <w:r w:rsidRPr="004E014A">
        <w:rPr>
          <w:rFonts w:ascii="Arial" w:hAnsi="Arial" w:cs="Arial"/>
        </w:rPr>
        <w:t>ela constitui o resultado de uma decisão administrativa discricionária do órgão responsável pela elaboração desse Edital. Por outro lado, ela restringe o princípio geral da igualdade dos competidores, o qual constitui, por sua vez, a "espinha dorsal da licitação</w:t>
      </w:r>
      <w:proofErr w:type="gramStart"/>
      <w:r w:rsidRPr="004E014A">
        <w:rPr>
          <w:rFonts w:ascii="Arial" w:hAnsi="Arial" w:cs="Arial"/>
        </w:rPr>
        <w:t>"</w:t>
      </w:r>
      <w:proofErr w:type="gramEnd"/>
      <w:r w:rsidRPr="004E014A">
        <w:rPr>
          <w:rStyle w:val="Refdenotaderodap"/>
          <w:rFonts w:ascii="Arial" w:hAnsi="Arial" w:cs="Arial"/>
        </w:rPr>
        <w:footnoteReference w:id="14"/>
      </w:r>
      <w:r>
        <w:rPr>
          <w:rFonts w:ascii="Arial" w:hAnsi="Arial" w:cs="Arial"/>
        </w:rPr>
        <w:t>.</w:t>
      </w: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Uma vez que restringe o mais importante direito dos competidores no âmbito de uma limitação, o direito vigente exige expressamente que essa restrição somente </w:t>
      </w:r>
      <w:r w:rsidRPr="000D6577">
        <w:rPr>
          <w:rFonts w:ascii="Arial" w:hAnsi="Arial" w:cs="Arial"/>
        </w:rPr>
        <w:t>pode ser imposta mediante a obediência de certos procedimentos formais e materiais. Trata-se do princípio da motivação (suficiente ou qualificada) dos atos administrativos. A Lei nº 9.784/99 (Lei do Processo Administrativo da União) prescreve o que segue:</w:t>
      </w: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</w:p>
    <w:p w:rsidR="00500254" w:rsidRPr="00500254" w:rsidRDefault="00500254" w:rsidP="00500254">
      <w:pPr>
        <w:pStyle w:val="Estilo1"/>
        <w:spacing w:before="0" w:line="312" w:lineRule="auto"/>
        <w:ind w:left="1701"/>
        <w:rPr>
          <w:i/>
          <w:sz w:val="24"/>
          <w:szCs w:val="20"/>
        </w:rPr>
      </w:pPr>
      <w:r w:rsidRPr="00500254">
        <w:rPr>
          <w:i/>
          <w:sz w:val="24"/>
          <w:szCs w:val="20"/>
        </w:rPr>
        <w:t>Art. 2</w:t>
      </w:r>
      <w:r w:rsidRPr="00500254">
        <w:rPr>
          <w:i/>
          <w:sz w:val="24"/>
          <w:szCs w:val="20"/>
          <w:u w:val="single"/>
          <w:vertAlign w:val="superscript"/>
        </w:rPr>
        <w:t>o</w:t>
      </w:r>
      <w:r w:rsidRPr="00500254">
        <w:rPr>
          <w:i/>
          <w:sz w:val="24"/>
          <w:szCs w:val="20"/>
        </w:rPr>
        <w:t xml:space="preserve"> A Administração Pública obedecerá, dentre outros, aos princípios da (...) motivação (...).</w:t>
      </w:r>
    </w:p>
    <w:p w:rsidR="00500254" w:rsidRPr="00500254" w:rsidRDefault="00500254" w:rsidP="00500254">
      <w:pPr>
        <w:pStyle w:val="Estilo1"/>
        <w:spacing w:before="0" w:line="312" w:lineRule="auto"/>
        <w:ind w:left="1701"/>
        <w:rPr>
          <w:rFonts w:cs="Arial"/>
          <w:i/>
          <w:sz w:val="24"/>
          <w:szCs w:val="20"/>
        </w:rPr>
      </w:pPr>
      <w:r w:rsidRPr="00500254">
        <w:rPr>
          <w:rFonts w:cs="Arial"/>
          <w:i/>
          <w:sz w:val="24"/>
          <w:szCs w:val="20"/>
        </w:rPr>
        <w:t xml:space="preserve">Parágrafo único. Nos processos administrativos serão observados, entre outros, os critérios de: </w:t>
      </w:r>
      <w:r w:rsidRPr="00500254">
        <w:rPr>
          <w:i/>
          <w:sz w:val="24"/>
          <w:szCs w:val="20"/>
        </w:rPr>
        <w:t>(...)</w:t>
      </w:r>
    </w:p>
    <w:p w:rsidR="00500254" w:rsidRPr="00500254" w:rsidRDefault="00500254" w:rsidP="00500254">
      <w:pPr>
        <w:pStyle w:val="Estilo1"/>
        <w:spacing w:before="0" w:line="312" w:lineRule="auto"/>
        <w:ind w:left="1701"/>
        <w:rPr>
          <w:rFonts w:cs="Arial"/>
          <w:i/>
          <w:sz w:val="24"/>
          <w:szCs w:val="20"/>
        </w:rPr>
      </w:pPr>
      <w:r w:rsidRPr="00500254">
        <w:rPr>
          <w:i/>
          <w:sz w:val="24"/>
          <w:szCs w:val="20"/>
        </w:rPr>
        <w:t>VII - indicação dos pressupostos de fato e de direito que determinarem a decisão;</w:t>
      </w:r>
    </w:p>
    <w:p w:rsidR="00500254" w:rsidRPr="00500254" w:rsidRDefault="00500254" w:rsidP="00500254">
      <w:pPr>
        <w:pStyle w:val="NormalWeb"/>
        <w:spacing w:before="0" w:beforeAutospacing="0" w:after="0" w:afterAutospacing="0" w:line="312" w:lineRule="auto"/>
        <w:jc w:val="both"/>
        <w:rPr>
          <w:rFonts w:ascii="Arial" w:hAnsi="Arial" w:cs="Arial"/>
          <w:i/>
          <w:szCs w:val="20"/>
        </w:rPr>
      </w:pPr>
    </w:p>
    <w:p w:rsidR="00500254" w:rsidRPr="00500254" w:rsidRDefault="00500254" w:rsidP="00500254">
      <w:pPr>
        <w:pStyle w:val="NormalWeb"/>
        <w:spacing w:before="0" w:beforeAutospacing="0" w:after="0" w:afterAutospacing="0" w:line="312" w:lineRule="auto"/>
        <w:ind w:left="1701"/>
        <w:jc w:val="both"/>
        <w:rPr>
          <w:rFonts w:ascii="Arial" w:hAnsi="Arial" w:cs="Arial"/>
          <w:i/>
        </w:rPr>
      </w:pPr>
      <w:r w:rsidRPr="00500254">
        <w:rPr>
          <w:rFonts w:ascii="Arial" w:hAnsi="Arial" w:cs="Arial"/>
          <w:i/>
          <w:szCs w:val="20"/>
        </w:rPr>
        <w:t>Art. 50. Os atos administrativos deverão ser motivados, com indicação dos fatos e dos fundamentos jurídicos, quando:</w:t>
      </w:r>
    </w:p>
    <w:p w:rsidR="00500254" w:rsidRPr="00500254" w:rsidRDefault="00500254" w:rsidP="00500254">
      <w:pPr>
        <w:pStyle w:val="NormalWeb"/>
        <w:spacing w:before="0" w:beforeAutospacing="0" w:after="0" w:afterAutospacing="0" w:line="312" w:lineRule="auto"/>
        <w:ind w:left="1701"/>
        <w:jc w:val="both"/>
        <w:rPr>
          <w:rFonts w:ascii="Arial" w:hAnsi="Arial" w:cs="Arial"/>
          <w:i/>
        </w:rPr>
      </w:pPr>
      <w:r w:rsidRPr="00500254">
        <w:rPr>
          <w:rFonts w:ascii="Arial" w:hAnsi="Arial" w:cs="Arial"/>
          <w:i/>
          <w:szCs w:val="20"/>
        </w:rPr>
        <w:t>I - neguem, limitem ou afetem direitos ou interesses;</w:t>
      </w:r>
    </w:p>
    <w:p w:rsidR="00500254" w:rsidRPr="00500254" w:rsidRDefault="00500254" w:rsidP="00500254">
      <w:pPr>
        <w:pStyle w:val="NormalWeb"/>
        <w:spacing w:before="0" w:beforeAutospacing="0" w:after="0" w:afterAutospacing="0" w:line="312" w:lineRule="auto"/>
        <w:ind w:left="1701"/>
        <w:jc w:val="both"/>
        <w:rPr>
          <w:rFonts w:ascii="Arial" w:hAnsi="Arial" w:cs="Arial"/>
          <w:i/>
        </w:rPr>
      </w:pPr>
      <w:r w:rsidRPr="00500254">
        <w:rPr>
          <w:rFonts w:ascii="Arial" w:hAnsi="Arial" w:cs="Arial"/>
          <w:i/>
          <w:szCs w:val="20"/>
        </w:rPr>
        <w:lastRenderedPageBreak/>
        <w:t>II - imponham ou agravem deveres, encargos ou sanções; (...</w:t>
      </w:r>
      <w:proofErr w:type="gramStart"/>
      <w:r w:rsidRPr="00500254">
        <w:rPr>
          <w:rFonts w:ascii="Arial" w:hAnsi="Arial" w:cs="Arial"/>
          <w:i/>
          <w:szCs w:val="20"/>
        </w:rPr>
        <w:t>)</w:t>
      </w:r>
      <w:proofErr w:type="gramEnd"/>
    </w:p>
    <w:p w:rsidR="00500254" w:rsidRPr="000D6577" w:rsidRDefault="00500254" w:rsidP="00500254">
      <w:pPr>
        <w:pStyle w:val="NormalWeb"/>
        <w:spacing w:before="0" w:beforeAutospacing="0" w:after="0" w:afterAutospacing="0" w:line="312" w:lineRule="auto"/>
        <w:ind w:left="1701"/>
        <w:jc w:val="both"/>
        <w:rPr>
          <w:rFonts w:ascii="Arial" w:hAnsi="Arial" w:cs="Arial"/>
        </w:rPr>
      </w:pPr>
      <w:r w:rsidRPr="00500254">
        <w:rPr>
          <w:rFonts w:ascii="Arial" w:hAnsi="Arial" w:cs="Arial"/>
          <w:i/>
          <w:szCs w:val="20"/>
        </w:rPr>
        <w:t>§ 1</w:t>
      </w:r>
      <w:r w:rsidRPr="00500254">
        <w:rPr>
          <w:rFonts w:ascii="Arial" w:hAnsi="Arial" w:cs="Arial"/>
          <w:i/>
          <w:szCs w:val="20"/>
          <w:u w:val="single"/>
          <w:vertAlign w:val="superscript"/>
        </w:rPr>
        <w:t>o</w:t>
      </w:r>
      <w:r w:rsidRPr="00500254">
        <w:rPr>
          <w:rFonts w:ascii="Arial" w:hAnsi="Arial" w:cs="Arial"/>
          <w:i/>
          <w:szCs w:val="20"/>
        </w:rPr>
        <w:t xml:space="preserve"> A motivação deve ser explícita, clara e congruente, podendo consistir em declaração de concordância com fundamentos de anteriores pareceres, informações, decisões ou propostas, que, neste caso, serão parte integrante do ato.</w:t>
      </w: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  <w:r w:rsidRPr="00A55DFB">
        <w:rPr>
          <w:rFonts w:ascii="Arial" w:hAnsi="Arial" w:cs="Arial"/>
        </w:rPr>
        <w:t>Assim, é com a sua motivação que uma decisão passa a ter racionalidade, é dizer: passa a ser compreendida e entendida e, por isso, pode ser considerada como justificada ou legitimada do ponto de vista de seu conteúdo.</w:t>
      </w:r>
      <w:r>
        <w:rPr>
          <w:rFonts w:ascii="Arial" w:hAnsi="Arial" w:cs="Arial"/>
        </w:rPr>
        <w:t xml:space="preserve"> Somente com o cumprimento de tais requisitos iniciais é possível falar em cumprimento ou obediência ao princípio da motivação, tal e qual previsto nos incisos I e II do art. 50 da Lei nº 9.784/99.</w:t>
      </w: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Quando se trata de decisões vinculadas, a motivação pode ser simples e rasa. É que nesses casos a lei só autoriza a adoção de uma dada e certa conduta pelo agente administrativo. A motivação administrativa se cumpre, aliás, com a simples indicação do dispositivo legal que deu suporte à ação administrativa (trata-se do que comumente se denomina de motivação formal).</w:t>
      </w: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Todavia, quando a lei abre margem ao poder discricionário da Administração a fim de poder adotar diversas e diferentes restrições de liberdades dos administrados (ou: dos competidores em </w:t>
      </w:r>
      <w:proofErr w:type="gramStart"/>
      <w:r>
        <w:rPr>
          <w:rFonts w:ascii="Arial" w:hAnsi="Arial" w:cs="Arial"/>
        </w:rPr>
        <w:t>um licitação</w:t>
      </w:r>
      <w:proofErr w:type="gramEnd"/>
      <w:r>
        <w:rPr>
          <w:rFonts w:ascii="Arial" w:hAnsi="Arial" w:cs="Arial"/>
        </w:rPr>
        <w:t xml:space="preserve">), sobretudo neste caso aqueles </w:t>
      </w:r>
      <w:r w:rsidRPr="00A55DFB">
        <w:rPr>
          <w:rFonts w:ascii="Arial" w:hAnsi="Arial" w:cs="Arial"/>
        </w:rPr>
        <w:t xml:space="preserve">fatos e fundamentos jurídicos </w:t>
      </w:r>
      <w:r>
        <w:rPr>
          <w:rFonts w:ascii="Arial" w:hAnsi="Arial" w:cs="Arial"/>
        </w:rPr>
        <w:t xml:space="preserve">que legitimam a tomada de decisão </w:t>
      </w:r>
      <w:r w:rsidRPr="00A55DFB">
        <w:rPr>
          <w:rFonts w:ascii="Arial" w:hAnsi="Arial" w:cs="Arial"/>
        </w:rPr>
        <w:t>devem ainda ser explícitos, claros e congruentes</w:t>
      </w:r>
      <w:r>
        <w:rPr>
          <w:rFonts w:ascii="Arial" w:hAnsi="Arial" w:cs="Arial"/>
        </w:rPr>
        <w:t>, pois é exatamente quando existe liberdade de escolha pelo agente administrativo que a fundamentação ou motivação de uma escolha (em vez de outra que seria possível, e sobretudo que restringisse em menor extensão o direito de igualdade dos competidores) ganha importância prática e se torna passível de ser aceita como válida e legítima</w:t>
      </w:r>
      <w:r w:rsidRPr="00A55DFB">
        <w:rPr>
          <w:rFonts w:ascii="Arial" w:hAnsi="Arial" w:cs="Arial"/>
        </w:rPr>
        <w:t>. Trata-se assim de uma motivação que deve ser suficiente ou qualificada, e não apenas uma simples motivação de caráter formal</w:t>
      </w:r>
      <w:r>
        <w:rPr>
          <w:rFonts w:ascii="Arial" w:hAnsi="Arial" w:cs="Arial"/>
        </w:rPr>
        <w:t>.</w:t>
      </w:r>
      <w:r w:rsidRPr="00896BB2">
        <w:rPr>
          <w:rFonts w:ascii="Arial" w:hAnsi="Arial" w:cs="Arial"/>
        </w:rPr>
        <w:t xml:space="preserve"> </w:t>
      </w:r>
      <w:r w:rsidRPr="00A55DFB">
        <w:rPr>
          <w:rFonts w:ascii="Arial" w:hAnsi="Arial" w:cs="Arial"/>
        </w:rPr>
        <w:t xml:space="preserve">Explícita, clara e congruente são atributos ou adjetivos da motivação, logo: não basta haver </w:t>
      </w:r>
      <w:r>
        <w:rPr>
          <w:rFonts w:ascii="Arial" w:hAnsi="Arial" w:cs="Arial"/>
        </w:rPr>
        <w:t xml:space="preserve">simplesmente </w:t>
      </w:r>
      <w:r w:rsidRPr="00A55DFB">
        <w:rPr>
          <w:rFonts w:ascii="Arial" w:hAnsi="Arial" w:cs="Arial"/>
        </w:rPr>
        <w:t xml:space="preserve">motivação, mas é necessário que ela contenha </w:t>
      </w:r>
      <w:r>
        <w:rPr>
          <w:rFonts w:ascii="Arial" w:hAnsi="Arial" w:cs="Arial"/>
        </w:rPr>
        <w:t xml:space="preserve">todos </w:t>
      </w:r>
      <w:r w:rsidRPr="00A55DFB">
        <w:rPr>
          <w:rFonts w:ascii="Arial" w:hAnsi="Arial" w:cs="Arial"/>
        </w:rPr>
        <w:t>esses atributos</w:t>
      </w:r>
      <w:r>
        <w:rPr>
          <w:rFonts w:ascii="Arial" w:hAnsi="Arial" w:cs="Arial"/>
        </w:rPr>
        <w:t>, conforme jurisprudência já existente nos tribunais superiores</w:t>
      </w:r>
      <w:r>
        <w:rPr>
          <w:rStyle w:val="Refdenotaderodap"/>
          <w:rFonts w:ascii="Arial" w:hAnsi="Arial" w:cs="Arial"/>
        </w:rPr>
        <w:footnoteReference w:id="15"/>
      </w:r>
      <w:r w:rsidRPr="00A55DFB">
        <w:rPr>
          <w:rFonts w:ascii="Arial" w:hAnsi="Arial" w:cs="Arial"/>
        </w:rPr>
        <w:t>.</w:t>
      </w: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  <w:r w:rsidRPr="00F81629">
        <w:rPr>
          <w:rFonts w:ascii="Arial" w:hAnsi="Arial"/>
        </w:rPr>
        <w:t>Assim, a motivação substancial pressupõe a “</w:t>
      </w:r>
      <w:r w:rsidRPr="00F81629">
        <w:rPr>
          <w:rFonts w:ascii="Arial" w:hAnsi="Arial"/>
          <w:i/>
        </w:rPr>
        <w:t>recondução do decidido a um parâmetro valorativo que o justifique</w:t>
      </w:r>
      <w:r w:rsidRPr="00F81629">
        <w:rPr>
          <w:rFonts w:ascii="Arial" w:hAnsi="Arial"/>
        </w:rPr>
        <w:t>”, ou ainda: "</w:t>
      </w:r>
      <w:r w:rsidRPr="00F81629">
        <w:rPr>
          <w:rFonts w:ascii="Arial" w:hAnsi="Arial"/>
          <w:i/>
        </w:rPr>
        <w:t xml:space="preserve">a fundamentação substancial exige a existência de pressupostos reais e de motivos </w:t>
      </w:r>
      <w:proofErr w:type="spellStart"/>
      <w:r w:rsidRPr="00F81629">
        <w:rPr>
          <w:rFonts w:ascii="Arial" w:hAnsi="Arial"/>
          <w:i/>
        </w:rPr>
        <w:t>correctos</w:t>
      </w:r>
      <w:proofErr w:type="spellEnd"/>
      <w:r w:rsidRPr="00F81629">
        <w:rPr>
          <w:rFonts w:ascii="Arial" w:hAnsi="Arial"/>
          <w:i/>
        </w:rPr>
        <w:t xml:space="preserve"> susceptíveis de suportarem uma decisão legítima quanto ao fundo</w:t>
      </w:r>
      <w:proofErr w:type="gramStart"/>
      <w:r w:rsidRPr="00F81629">
        <w:rPr>
          <w:rFonts w:ascii="Arial" w:hAnsi="Arial"/>
        </w:rPr>
        <w:t>"</w:t>
      </w:r>
      <w:proofErr w:type="gramEnd"/>
      <w:r w:rsidRPr="00F81629">
        <w:rPr>
          <w:rStyle w:val="Refdenotaderodap"/>
          <w:rFonts w:ascii="Arial" w:hAnsi="Arial"/>
        </w:rPr>
        <w:footnoteReference w:id="16"/>
      </w:r>
      <w:r w:rsidRPr="00F81629">
        <w:rPr>
          <w:rFonts w:ascii="Arial" w:hAnsi="Arial"/>
        </w:rPr>
        <w:t xml:space="preserve">. Aqui já não se trata pura e simplesmente de reconduzir um fato a um dispositivo legal, uma vez que a partir </w:t>
      </w:r>
      <w:r>
        <w:rPr>
          <w:rFonts w:ascii="Arial" w:hAnsi="Arial"/>
        </w:rPr>
        <w:t>de um</w:t>
      </w:r>
      <w:r w:rsidRPr="00F81629">
        <w:rPr>
          <w:rFonts w:ascii="Arial" w:hAnsi="Arial"/>
        </w:rPr>
        <w:t xml:space="preserve"> dispositivo legal </w:t>
      </w:r>
      <w:r>
        <w:rPr>
          <w:rFonts w:ascii="Arial" w:hAnsi="Arial"/>
        </w:rPr>
        <w:t xml:space="preserve">que concede margem de liberdade de decisão </w:t>
      </w:r>
      <w:r w:rsidRPr="00F81629">
        <w:rPr>
          <w:rFonts w:ascii="Arial" w:hAnsi="Arial"/>
        </w:rPr>
        <w:t xml:space="preserve">não é possível, de antemão, obter </w:t>
      </w:r>
      <w:r>
        <w:rPr>
          <w:rFonts w:ascii="Arial" w:hAnsi="Arial"/>
        </w:rPr>
        <w:t>de modo explícito, claro e congruente</w:t>
      </w:r>
      <w:r w:rsidRPr="00F81629">
        <w:rPr>
          <w:rFonts w:ascii="Arial" w:hAnsi="Arial"/>
        </w:rPr>
        <w:t xml:space="preserve"> por</w:t>
      </w:r>
      <w:r>
        <w:rPr>
          <w:rFonts w:ascii="Arial" w:hAnsi="Arial"/>
        </w:rPr>
        <w:t xml:space="preserve"> </w:t>
      </w:r>
      <w:r w:rsidRPr="00F81629">
        <w:rPr>
          <w:rFonts w:ascii="Arial" w:hAnsi="Arial"/>
        </w:rPr>
        <w:t>que houve uma decisão específica para o caso concreto</w:t>
      </w:r>
      <w:r>
        <w:rPr>
          <w:rFonts w:ascii="Arial" w:hAnsi="Arial"/>
        </w:rPr>
        <w:t xml:space="preserve"> em um dado sentido e não em outro</w:t>
      </w:r>
      <w:r w:rsidRPr="00F81629">
        <w:rPr>
          <w:rFonts w:ascii="Arial" w:hAnsi="Arial"/>
        </w:rPr>
        <w:t xml:space="preserve">. </w:t>
      </w:r>
      <w:r>
        <w:rPr>
          <w:rFonts w:ascii="Arial" w:hAnsi="Arial"/>
        </w:rPr>
        <w:t>E t</w:t>
      </w:r>
      <w:r w:rsidRPr="00F81629">
        <w:rPr>
          <w:rFonts w:ascii="Arial" w:hAnsi="Arial"/>
        </w:rPr>
        <w:t>ambém não se trata meramente de referir expressões genéricas do tipo "</w:t>
      </w:r>
      <w:r w:rsidRPr="00F81629">
        <w:rPr>
          <w:rFonts w:ascii="Arial" w:hAnsi="Arial"/>
          <w:i/>
        </w:rPr>
        <w:t>a bem do serviço público</w:t>
      </w:r>
      <w:r w:rsidRPr="00F81629">
        <w:rPr>
          <w:rFonts w:ascii="Arial" w:hAnsi="Arial"/>
        </w:rPr>
        <w:t>", ou "</w:t>
      </w:r>
      <w:r w:rsidRPr="00F81629">
        <w:rPr>
          <w:rFonts w:ascii="Arial" w:hAnsi="Arial"/>
          <w:i/>
        </w:rPr>
        <w:t>em nome da primazia do interesse público</w:t>
      </w:r>
      <w:r w:rsidRPr="00F81629">
        <w:rPr>
          <w:rFonts w:ascii="Arial" w:hAnsi="Arial"/>
        </w:rPr>
        <w:t>"</w:t>
      </w:r>
      <w:r>
        <w:rPr>
          <w:rFonts w:ascii="Arial" w:hAnsi="Arial"/>
        </w:rPr>
        <w:t xml:space="preserve">, vez que nesse caso tem-se mera petição de princípios ou argumento de círculo vicioso (i.e., a discricionariedade é </w:t>
      </w:r>
      <w:proofErr w:type="gramStart"/>
      <w:r>
        <w:rPr>
          <w:rFonts w:ascii="Arial" w:hAnsi="Arial"/>
        </w:rPr>
        <w:t>respondida com outros conceitos discricionários ou indeterminados</w:t>
      </w:r>
      <w:proofErr w:type="gramEnd"/>
      <w:r>
        <w:rPr>
          <w:rFonts w:ascii="Arial" w:hAnsi="Arial"/>
        </w:rPr>
        <w:t>)</w:t>
      </w:r>
      <w:r w:rsidRPr="00F81629">
        <w:rPr>
          <w:rFonts w:ascii="Arial" w:hAnsi="Arial"/>
        </w:rPr>
        <w:t>.</w:t>
      </w:r>
    </w:p>
    <w:p w:rsidR="00500254" w:rsidRPr="00F36354" w:rsidRDefault="00500254" w:rsidP="00500254">
      <w:pPr>
        <w:spacing w:line="312" w:lineRule="auto"/>
        <w:jc w:val="both"/>
        <w:rPr>
          <w:rFonts w:ascii="Arial" w:hAnsi="Arial" w:cs="Arial"/>
        </w:rPr>
      </w:pPr>
    </w:p>
    <w:p w:rsidR="00500254" w:rsidRDefault="0007241A" w:rsidP="00500254">
      <w:pPr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00254" w:rsidRPr="00F36354">
        <w:rPr>
          <w:rFonts w:ascii="Arial" w:hAnsi="Arial" w:cs="Arial"/>
        </w:rPr>
        <w:t xml:space="preserve"> Administração licitante que decidiu por impor discricionariamente a </w:t>
      </w:r>
      <w:r w:rsidR="00500254">
        <w:rPr>
          <w:rFonts w:ascii="Arial" w:hAnsi="Arial" w:cs="Arial"/>
        </w:rPr>
        <w:t>cláusula</w:t>
      </w:r>
      <w:r w:rsidR="00500254" w:rsidRPr="004E014A">
        <w:rPr>
          <w:rFonts w:ascii="Arial" w:hAnsi="Arial" w:cs="Arial"/>
        </w:rPr>
        <w:t xml:space="preserve"> 3.15.5. </w:t>
      </w:r>
      <w:proofErr w:type="gramStart"/>
      <w:r w:rsidR="00500254" w:rsidRPr="004E014A">
        <w:rPr>
          <w:rFonts w:ascii="Arial" w:hAnsi="Arial" w:cs="Arial"/>
        </w:rPr>
        <w:t>do</w:t>
      </w:r>
      <w:proofErr w:type="gramEnd"/>
      <w:r w:rsidR="00500254" w:rsidRPr="004E014A">
        <w:rPr>
          <w:rFonts w:ascii="Arial" w:hAnsi="Arial" w:cs="Arial"/>
        </w:rPr>
        <w:t xml:space="preserve"> Edital</w:t>
      </w:r>
      <w:r w:rsidR="00500254">
        <w:rPr>
          <w:rFonts w:ascii="Arial" w:hAnsi="Arial" w:cs="Arial"/>
        </w:rPr>
        <w:t xml:space="preserve"> também chamou para si</w:t>
      </w:r>
      <w:r>
        <w:rPr>
          <w:rFonts w:ascii="Arial" w:hAnsi="Arial" w:cs="Arial"/>
        </w:rPr>
        <w:t>, portanto,</w:t>
      </w:r>
      <w:r w:rsidR="00500254">
        <w:rPr>
          <w:rFonts w:ascii="Arial" w:hAnsi="Arial" w:cs="Arial"/>
        </w:rPr>
        <w:t xml:space="preserve"> o ônus de comprovar de modo explícito, claro e congruente o porquê da inserção de uma tal cláusula restritiva no Edital, isto é, ela está obrigada a fundamentar de modo substancial, é dizer, de maneira explícita, clara e congruente o próprio conteúdo de sua decisão. Isso significa dizer que a Administração contratante terá de demonstrar desde uma perspectiva individual e concreta por que essa cláusula pode ou deve constar do Edital, e, a partir disso, por que ela se coaduna juridicamente como uma restrição ao direito geral da igualdade entre os competidores.</w:t>
      </w:r>
    </w:p>
    <w:p w:rsidR="00500254" w:rsidRDefault="00500254" w:rsidP="00500254">
      <w:pPr>
        <w:spacing w:line="312" w:lineRule="auto"/>
        <w:jc w:val="both"/>
        <w:rPr>
          <w:rFonts w:ascii="Arial" w:hAnsi="Arial" w:cs="Arial"/>
        </w:rPr>
      </w:pPr>
    </w:p>
    <w:p w:rsidR="00C82756" w:rsidRPr="00C82756" w:rsidRDefault="00500254" w:rsidP="00500254">
      <w:pPr>
        <w:spacing w:line="312" w:lineRule="auto"/>
        <w:jc w:val="both"/>
        <w:rPr>
          <w:rFonts w:ascii="Arial" w:hAnsi="Arial"/>
          <w:b/>
        </w:rPr>
      </w:pPr>
      <w:r>
        <w:rPr>
          <w:rFonts w:ascii="Arial" w:hAnsi="Arial" w:cs="Arial"/>
        </w:rPr>
        <w:t>E isto não foi feito.</w:t>
      </w:r>
    </w:p>
    <w:p w:rsidR="00C82756" w:rsidRDefault="00C82756" w:rsidP="00772B14">
      <w:pPr>
        <w:spacing w:line="312" w:lineRule="auto"/>
        <w:jc w:val="both"/>
        <w:rPr>
          <w:rFonts w:ascii="Arial" w:hAnsi="Arial"/>
        </w:rPr>
      </w:pPr>
    </w:p>
    <w:p w:rsidR="00C82756" w:rsidRDefault="00C82756" w:rsidP="00772B14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Diante dessas considerações todas, </w:t>
      </w:r>
      <w:r w:rsidR="00500254">
        <w:rPr>
          <w:rFonts w:ascii="Arial" w:hAnsi="Arial"/>
        </w:rPr>
        <w:t xml:space="preserve">só </w:t>
      </w:r>
      <w:r>
        <w:rPr>
          <w:rFonts w:ascii="Arial" w:hAnsi="Arial"/>
        </w:rPr>
        <w:t>resta concluir, sumariamente.</w:t>
      </w:r>
    </w:p>
    <w:p w:rsidR="00C82756" w:rsidRDefault="00C82756" w:rsidP="00772B14">
      <w:pPr>
        <w:spacing w:line="312" w:lineRule="auto"/>
        <w:jc w:val="both"/>
        <w:rPr>
          <w:rFonts w:ascii="Arial" w:hAnsi="Arial"/>
        </w:rPr>
      </w:pPr>
    </w:p>
    <w:p w:rsidR="00C82756" w:rsidRPr="00C82756" w:rsidRDefault="00C82756" w:rsidP="00772B14">
      <w:pPr>
        <w:spacing w:line="312" w:lineRule="auto"/>
        <w:jc w:val="both"/>
        <w:rPr>
          <w:rFonts w:ascii="Arial" w:hAnsi="Arial"/>
          <w:b/>
          <w:smallCaps/>
        </w:rPr>
      </w:pPr>
      <w:proofErr w:type="gramStart"/>
      <w:r>
        <w:rPr>
          <w:rFonts w:ascii="Arial" w:hAnsi="Arial"/>
          <w:b/>
          <w:smallCaps/>
        </w:rPr>
        <w:t>Seção VI</w:t>
      </w:r>
      <w:proofErr w:type="gramEnd"/>
      <w:r>
        <w:rPr>
          <w:rFonts w:ascii="Arial" w:hAnsi="Arial"/>
          <w:b/>
          <w:smallCaps/>
        </w:rPr>
        <w:t xml:space="preserve"> – Conclusões</w:t>
      </w:r>
    </w:p>
    <w:p w:rsidR="00C82756" w:rsidRDefault="00C82756" w:rsidP="00772B14">
      <w:pPr>
        <w:spacing w:line="312" w:lineRule="auto"/>
        <w:jc w:val="both"/>
        <w:rPr>
          <w:rFonts w:ascii="Arial" w:hAnsi="Arial"/>
        </w:rPr>
      </w:pPr>
    </w:p>
    <w:p w:rsidR="00C82756" w:rsidRDefault="00C82756" w:rsidP="00772B14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Como disse no início de suas considerações, entende a Consulente que a Cláusula 3.15.5. </w:t>
      </w:r>
      <w:proofErr w:type="gramStart"/>
      <w:r>
        <w:rPr>
          <w:rFonts w:ascii="Arial" w:hAnsi="Arial"/>
        </w:rPr>
        <w:t>não</w:t>
      </w:r>
      <w:proofErr w:type="gramEnd"/>
      <w:r>
        <w:rPr>
          <w:rFonts w:ascii="Arial" w:hAnsi="Arial"/>
        </w:rPr>
        <w:t xml:space="preserve"> lhe alcança. Isto </w:t>
      </w:r>
      <w:proofErr w:type="gramStart"/>
      <w:r>
        <w:rPr>
          <w:rFonts w:ascii="Arial" w:hAnsi="Arial"/>
        </w:rPr>
        <w:t>porque</w:t>
      </w:r>
      <w:proofErr w:type="gramEnd"/>
      <w:r>
        <w:rPr>
          <w:rFonts w:ascii="Arial" w:hAnsi="Arial"/>
        </w:rPr>
        <w:t>:</w:t>
      </w:r>
    </w:p>
    <w:p w:rsidR="00C82756" w:rsidRDefault="00C82756" w:rsidP="00772B14">
      <w:pPr>
        <w:spacing w:line="312" w:lineRule="auto"/>
        <w:jc w:val="both"/>
        <w:rPr>
          <w:rFonts w:ascii="Arial" w:hAnsi="Arial"/>
        </w:rPr>
      </w:pPr>
    </w:p>
    <w:p w:rsidR="00C82756" w:rsidRDefault="00C82756" w:rsidP="00C82756">
      <w:pPr>
        <w:pStyle w:val="PargrafodaLista"/>
        <w:numPr>
          <w:ilvl w:val="0"/>
          <w:numId w:val="11"/>
        </w:numPr>
        <w:tabs>
          <w:tab w:val="clear" w:pos="227"/>
          <w:tab w:val="num" w:pos="709"/>
        </w:tabs>
        <w:spacing w:line="312" w:lineRule="auto"/>
        <w:ind w:left="567" w:hanging="283"/>
        <w:jc w:val="both"/>
      </w:pPr>
      <w:r>
        <w:lastRenderedPageBreak/>
        <w:t xml:space="preserve">Ela não tipifica qualquer uma das figuras previstas no dispositivo </w:t>
      </w:r>
      <w:r w:rsidRPr="00C82756">
        <w:rPr>
          <w:b/>
        </w:rPr>
        <w:t>(Seção II)</w:t>
      </w:r>
      <w:r>
        <w:t xml:space="preserve">, o qual deve, ainda, receber uma </w:t>
      </w:r>
      <w:r w:rsidRPr="00C82756">
        <w:rPr>
          <w:i/>
        </w:rPr>
        <w:t>interpretação restritiva</w:t>
      </w:r>
      <w:r>
        <w:rPr>
          <w:i/>
        </w:rPr>
        <w:t>.</w:t>
      </w:r>
    </w:p>
    <w:p w:rsidR="00C82756" w:rsidRDefault="00C82756" w:rsidP="00C82756">
      <w:pPr>
        <w:pStyle w:val="PargrafodaLista"/>
        <w:spacing w:line="312" w:lineRule="auto"/>
        <w:ind w:left="567"/>
        <w:jc w:val="both"/>
      </w:pPr>
    </w:p>
    <w:p w:rsidR="00C82756" w:rsidRPr="00C82756" w:rsidRDefault="00C82756" w:rsidP="00C82756">
      <w:pPr>
        <w:pStyle w:val="PargrafodaLista"/>
        <w:numPr>
          <w:ilvl w:val="0"/>
          <w:numId w:val="11"/>
        </w:numPr>
        <w:tabs>
          <w:tab w:val="clear" w:pos="227"/>
          <w:tab w:val="num" w:pos="709"/>
        </w:tabs>
        <w:spacing w:line="312" w:lineRule="auto"/>
        <w:ind w:left="567" w:hanging="283"/>
        <w:jc w:val="both"/>
      </w:pPr>
      <w:r>
        <w:t xml:space="preserve">Em razão da disciplina normativa vigente em tema de licitações e contratos administrativos, que garante a mais ampla participação dos interessados e que admite exceções apenas </w:t>
      </w:r>
      <w:proofErr w:type="gramStart"/>
      <w:r>
        <w:t>sob certas</w:t>
      </w:r>
      <w:proofErr w:type="gramEnd"/>
      <w:r>
        <w:t xml:space="preserve"> condições </w:t>
      </w:r>
      <w:r>
        <w:rPr>
          <w:b/>
        </w:rPr>
        <w:t>(Seção III).</w:t>
      </w:r>
    </w:p>
    <w:p w:rsidR="00C82756" w:rsidRDefault="00C82756" w:rsidP="00C82756">
      <w:pPr>
        <w:tabs>
          <w:tab w:val="num" w:pos="709"/>
        </w:tabs>
        <w:spacing w:line="312" w:lineRule="auto"/>
        <w:jc w:val="both"/>
      </w:pPr>
    </w:p>
    <w:p w:rsidR="00C82756" w:rsidRDefault="00C82756" w:rsidP="00C82756">
      <w:pPr>
        <w:pStyle w:val="PargrafodaLista"/>
        <w:numPr>
          <w:ilvl w:val="0"/>
          <w:numId w:val="11"/>
        </w:numPr>
        <w:tabs>
          <w:tab w:val="clear" w:pos="227"/>
          <w:tab w:val="num" w:pos="709"/>
        </w:tabs>
        <w:spacing w:line="312" w:lineRule="auto"/>
        <w:ind w:left="567" w:hanging="283"/>
        <w:jc w:val="both"/>
      </w:pPr>
      <w:r>
        <w:t>Essas condições são:</w:t>
      </w:r>
    </w:p>
    <w:p w:rsidR="00C82756" w:rsidRDefault="00C82756" w:rsidP="00C82756">
      <w:pPr>
        <w:tabs>
          <w:tab w:val="num" w:pos="709"/>
        </w:tabs>
        <w:spacing w:line="312" w:lineRule="auto"/>
        <w:jc w:val="both"/>
      </w:pPr>
    </w:p>
    <w:p w:rsidR="00C82756" w:rsidRPr="00C82756" w:rsidRDefault="00C82756" w:rsidP="00C82756">
      <w:pPr>
        <w:pStyle w:val="PargrafodaLista"/>
        <w:numPr>
          <w:ilvl w:val="1"/>
          <w:numId w:val="11"/>
        </w:numPr>
        <w:spacing w:line="312" w:lineRule="auto"/>
        <w:jc w:val="both"/>
      </w:pPr>
      <w:r>
        <w:t xml:space="preserve">O serviço adequado, em face do qual a promoção ou preservação da competição no setor aeroportuário é um instrumento </w:t>
      </w:r>
      <w:r>
        <w:rPr>
          <w:b/>
        </w:rPr>
        <w:t>(Seção IV).</w:t>
      </w:r>
    </w:p>
    <w:p w:rsidR="00C82756" w:rsidRPr="00C82756" w:rsidRDefault="00C82756" w:rsidP="00C82756">
      <w:pPr>
        <w:pStyle w:val="PargrafodaLista"/>
        <w:spacing w:line="312" w:lineRule="auto"/>
        <w:ind w:left="1440"/>
        <w:jc w:val="both"/>
      </w:pPr>
    </w:p>
    <w:p w:rsidR="00C82756" w:rsidRDefault="00C82756" w:rsidP="00C82756">
      <w:pPr>
        <w:pStyle w:val="PargrafodaLista"/>
        <w:numPr>
          <w:ilvl w:val="1"/>
          <w:numId w:val="11"/>
        </w:numPr>
        <w:spacing w:line="312" w:lineRule="auto"/>
        <w:jc w:val="both"/>
      </w:pPr>
      <w:r>
        <w:t xml:space="preserve">A identificação precisa dos parâmetros desta competição, i.e., a indicação, pelo regulador, dos aeroportos potencialmente competidores entre si </w:t>
      </w:r>
      <w:r>
        <w:rPr>
          <w:b/>
        </w:rPr>
        <w:t>(subseção V.1.).</w:t>
      </w:r>
    </w:p>
    <w:p w:rsidR="00C82756" w:rsidRDefault="00C82756" w:rsidP="00C82756">
      <w:pPr>
        <w:spacing w:line="312" w:lineRule="auto"/>
        <w:jc w:val="both"/>
      </w:pPr>
    </w:p>
    <w:p w:rsidR="00C82756" w:rsidRDefault="00C82756" w:rsidP="00C82756">
      <w:pPr>
        <w:pStyle w:val="PargrafodaLista"/>
        <w:numPr>
          <w:ilvl w:val="1"/>
          <w:numId w:val="11"/>
        </w:numPr>
        <w:spacing w:line="312" w:lineRule="auto"/>
        <w:jc w:val="both"/>
      </w:pPr>
      <w:r>
        <w:t xml:space="preserve">A </w:t>
      </w:r>
      <w:proofErr w:type="gramStart"/>
      <w:r>
        <w:t>implementação</w:t>
      </w:r>
      <w:proofErr w:type="gramEnd"/>
      <w:r>
        <w:t xml:space="preserve"> de restrições aos agentes interessados em participar no limite estritamente necessário à promoção do objetivo concorrencial </w:t>
      </w:r>
      <w:r>
        <w:rPr>
          <w:b/>
        </w:rPr>
        <w:t>(subseção V.2.)</w:t>
      </w:r>
      <w:r>
        <w:t>.</w:t>
      </w:r>
    </w:p>
    <w:p w:rsidR="00C82756" w:rsidRDefault="00C82756" w:rsidP="00C82756">
      <w:pPr>
        <w:spacing w:line="312" w:lineRule="auto"/>
        <w:jc w:val="both"/>
      </w:pPr>
    </w:p>
    <w:p w:rsidR="00F66938" w:rsidRDefault="00C82756" w:rsidP="0003751A">
      <w:pPr>
        <w:pStyle w:val="PargrafodaLista"/>
        <w:numPr>
          <w:ilvl w:val="1"/>
          <w:numId w:val="11"/>
        </w:numPr>
        <w:spacing w:line="312" w:lineRule="auto"/>
        <w:jc w:val="both"/>
      </w:pPr>
      <w:r>
        <w:t xml:space="preserve">A devida fundamentação prévia dos pontos identificados nas subseções V.1. </w:t>
      </w:r>
      <w:proofErr w:type="gramStart"/>
      <w:r>
        <w:t>e</w:t>
      </w:r>
      <w:proofErr w:type="gramEnd"/>
      <w:r>
        <w:t xml:space="preserve"> V.2.</w:t>
      </w:r>
    </w:p>
    <w:p w:rsidR="0007241A" w:rsidRDefault="0007241A" w:rsidP="0007241A">
      <w:pPr>
        <w:pStyle w:val="PargrafodaLista"/>
      </w:pPr>
    </w:p>
    <w:p w:rsidR="0007241A" w:rsidRPr="0007241A" w:rsidRDefault="0007241A" w:rsidP="0007241A">
      <w:pPr>
        <w:spacing w:line="312" w:lineRule="auto"/>
        <w:jc w:val="both"/>
        <w:rPr>
          <w:rFonts w:ascii="Arial" w:hAnsi="Arial"/>
        </w:rPr>
      </w:pPr>
      <w:r>
        <w:rPr>
          <w:rFonts w:ascii="Arial" w:hAnsi="Arial"/>
        </w:rPr>
        <w:t>Pede-se, portanto,</w:t>
      </w:r>
      <w:r w:rsidRPr="0007241A">
        <w:rPr>
          <w:rFonts w:ascii="Arial" w:hAnsi="Arial"/>
        </w:rPr>
        <w:t xml:space="preserve"> o pronunciamento </w:t>
      </w:r>
      <w:r>
        <w:rPr>
          <w:rFonts w:ascii="Arial" w:hAnsi="Arial"/>
        </w:rPr>
        <w:t xml:space="preserve">dessa Agência para que </w:t>
      </w:r>
      <w:r w:rsidRPr="0007241A">
        <w:rPr>
          <w:rFonts w:ascii="Arial" w:hAnsi="Arial"/>
        </w:rPr>
        <w:t xml:space="preserve">confirme tal </w:t>
      </w:r>
      <w:r>
        <w:rPr>
          <w:rFonts w:ascii="Arial" w:hAnsi="Arial"/>
        </w:rPr>
        <w:t>entendimento</w:t>
      </w:r>
      <w:r w:rsidR="00EF7393">
        <w:rPr>
          <w:rFonts w:ascii="Arial" w:hAnsi="Arial"/>
        </w:rPr>
        <w:t>, nos termos antes expostos</w:t>
      </w:r>
      <w:r w:rsidRPr="0007241A">
        <w:rPr>
          <w:rFonts w:ascii="Arial" w:hAnsi="Arial"/>
        </w:rPr>
        <w:t>.</w:t>
      </w:r>
    </w:p>
    <w:p w:rsidR="0007241A" w:rsidRPr="00500254" w:rsidRDefault="0007241A" w:rsidP="0007241A">
      <w:pPr>
        <w:spacing w:line="312" w:lineRule="auto"/>
        <w:jc w:val="both"/>
      </w:pPr>
      <w:bookmarkStart w:id="0" w:name="_GoBack"/>
      <w:bookmarkEnd w:id="0"/>
    </w:p>
    <w:sectPr w:rsidR="0007241A" w:rsidRPr="00500254" w:rsidSect="001C48D6">
      <w:footerReference w:type="even" r:id="rId8"/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6C" w:rsidRDefault="002B7F6C">
      <w:r>
        <w:separator/>
      </w:r>
    </w:p>
  </w:endnote>
  <w:endnote w:type="continuationSeparator" w:id="0">
    <w:p w:rsidR="002B7F6C" w:rsidRDefault="002B7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756" w:rsidRDefault="00C82756" w:rsidP="00EE5FAE">
    <w:pPr>
      <w:pStyle w:val="Rodap"/>
      <w:framePr w:wrap="around" w:vAnchor="text" w:hAnchor="margin" w:xAlign="right" w:y="1"/>
      <w:rPr>
        <w:rStyle w:val="Nmerodepgina"/>
        <w:rFonts w:ascii="Cambria" w:hAnsi="Cambri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82756" w:rsidRDefault="00C82756" w:rsidP="00EE5FA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756" w:rsidRDefault="00C82756" w:rsidP="00EE5FAE">
    <w:pPr>
      <w:pStyle w:val="Rodap"/>
      <w:framePr w:wrap="around" w:vAnchor="text" w:hAnchor="margin" w:xAlign="right" w:y="1"/>
      <w:rPr>
        <w:rStyle w:val="Nmerodepgina"/>
        <w:rFonts w:ascii="Cambria" w:hAnsi="Cambri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55EB">
      <w:rPr>
        <w:rStyle w:val="Nmerodepgina"/>
        <w:noProof/>
      </w:rPr>
      <w:t>19</w:t>
    </w:r>
    <w:r>
      <w:rPr>
        <w:rStyle w:val="Nmerodepgina"/>
      </w:rPr>
      <w:fldChar w:fldCharType="end"/>
    </w:r>
  </w:p>
  <w:p w:rsidR="00C82756" w:rsidRDefault="00C82756" w:rsidP="00EE5FAE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6C" w:rsidRDefault="002B7F6C">
      <w:r>
        <w:separator/>
      </w:r>
    </w:p>
  </w:footnote>
  <w:footnote w:type="continuationSeparator" w:id="0">
    <w:p w:rsidR="002B7F6C" w:rsidRDefault="002B7F6C">
      <w:r>
        <w:continuationSeparator/>
      </w:r>
    </w:p>
  </w:footnote>
  <w:footnote w:id="1">
    <w:p w:rsidR="00C82756" w:rsidRDefault="00C82756" w:rsidP="00634682">
      <w:pPr>
        <w:pStyle w:val="Textodenotaderodap"/>
      </w:pPr>
      <w:r>
        <w:rPr>
          <w:rStyle w:val="Refdenotaderodap"/>
        </w:rPr>
        <w:footnoteRef/>
      </w:r>
      <w:r>
        <w:t xml:space="preserve"> Itens 1.1.9.; 1.1.17; 1.1.18; 1.1.20; 1.1.21. </w:t>
      </w:r>
    </w:p>
  </w:footnote>
  <w:footnote w:id="2">
    <w:p w:rsidR="00C82756" w:rsidRDefault="00C82756" w:rsidP="00E62499">
      <w:pPr>
        <w:pStyle w:val="Textodenotaderodap"/>
      </w:pPr>
      <w:r>
        <w:rPr>
          <w:rStyle w:val="Refdenotaderodap"/>
        </w:rPr>
        <w:footnoteRef/>
      </w:r>
      <w:r>
        <w:t xml:space="preserve"> Reproduz-se o dispositivo da Lei 6.404/1976, para facilitar a leitura: </w:t>
      </w:r>
    </w:p>
    <w:p w:rsidR="00C82756" w:rsidRPr="00AC0ED5" w:rsidRDefault="00C82756" w:rsidP="00E62499">
      <w:pPr>
        <w:pStyle w:val="Textodenotaderodap"/>
        <w:rPr>
          <w:sz w:val="32"/>
          <w:szCs w:val="32"/>
          <w:lang w:eastAsia="pt-BR"/>
        </w:rPr>
      </w:pPr>
      <w:proofErr w:type="gramStart"/>
      <w:r>
        <w:t>“</w:t>
      </w:r>
      <w:r w:rsidRPr="00AC0ED5">
        <w:rPr>
          <w:lang w:eastAsia="pt-BR"/>
        </w:rPr>
        <w:t>Art. 243.</w:t>
      </w:r>
      <w:proofErr w:type="gramEnd"/>
      <w:r w:rsidRPr="00AC0ED5">
        <w:rPr>
          <w:lang w:eastAsia="pt-BR"/>
        </w:rPr>
        <w:t xml:space="preserve"> O relatório anual da administração deve relacionar os investimentos da companhia em sociedades coligadas e controladas e mencionar as modificações ocorridas durante o exercício.</w:t>
      </w:r>
    </w:p>
    <w:p w:rsidR="00C82756" w:rsidRPr="00AC0ED5" w:rsidRDefault="00C82756" w:rsidP="00E62499">
      <w:pPr>
        <w:pStyle w:val="Textodenotaderodap"/>
        <w:rPr>
          <w:sz w:val="32"/>
          <w:szCs w:val="32"/>
          <w:lang w:eastAsia="pt-BR"/>
        </w:rPr>
      </w:pPr>
      <w:r w:rsidRPr="00AC0ED5">
        <w:rPr>
          <w:lang w:eastAsia="pt-BR"/>
        </w:rPr>
        <w:t>§ 1</w:t>
      </w:r>
      <w:r w:rsidRPr="00AC0ED5">
        <w:rPr>
          <w:sz w:val="22"/>
          <w:szCs w:val="22"/>
          <w:vertAlign w:val="superscript"/>
          <w:lang w:eastAsia="pt-BR"/>
        </w:rPr>
        <w:t>o</w:t>
      </w:r>
      <w:r w:rsidRPr="00AC0ED5">
        <w:rPr>
          <w:lang w:eastAsia="pt-BR"/>
        </w:rPr>
        <w:t xml:space="preserve">  São coligadas as sociedades nas quais a investidora tenha influência significativa. </w:t>
      </w:r>
    </w:p>
    <w:p w:rsidR="00C82756" w:rsidRPr="00AC0ED5" w:rsidRDefault="00C82756" w:rsidP="00E62499">
      <w:pPr>
        <w:pStyle w:val="Textodenotaderodap"/>
        <w:rPr>
          <w:sz w:val="32"/>
          <w:szCs w:val="32"/>
          <w:lang w:eastAsia="pt-BR"/>
        </w:rPr>
      </w:pPr>
      <w:r w:rsidRPr="00AC0ED5">
        <w:rPr>
          <w:lang w:eastAsia="pt-BR"/>
        </w:rPr>
        <w:t>§ 2º Considera-se controlada a sociedade na qual a controladora, diretamente ou através de outras controladas, é titular de direitos de sócio que lhe assegurem, de modo permanente, preponderância nas deliberações sociais e o poder de eleger a maioria dos administradores.</w:t>
      </w:r>
    </w:p>
    <w:p w:rsidR="00C82756" w:rsidRPr="00AC0ED5" w:rsidRDefault="00C82756" w:rsidP="00E62499">
      <w:pPr>
        <w:pStyle w:val="Textodenotaderodap"/>
        <w:rPr>
          <w:sz w:val="32"/>
          <w:szCs w:val="32"/>
          <w:lang w:eastAsia="pt-BR"/>
        </w:rPr>
      </w:pPr>
      <w:r w:rsidRPr="00AC0ED5">
        <w:rPr>
          <w:lang w:eastAsia="pt-BR"/>
        </w:rPr>
        <w:t>§ 3º A companhia aberta divulgará as informações adicionais, sobre coligadas e controladas, que forem exigidas pela Comissão de Valores Mobiliários.</w:t>
      </w:r>
    </w:p>
    <w:p w:rsidR="00C82756" w:rsidRPr="00AC0ED5" w:rsidRDefault="00C82756" w:rsidP="00E62499">
      <w:pPr>
        <w:pStyle w:val="Textodenotaderodap"/>
        <w:rPr>
          <w:kern w:val="1"/>
          <w:lang w:eastAsia="pt-BR"/>
        </w:rPr>
      </w:pPr>
      <w:r w:rsidRPr="00AC0ED5">
        <w:rPr>
          <w:kern w:val="1"/>
          <w:lang w:eastAsia="pt-BR"/>
        </w:rPr>
        <w:t xml:space="preserve">§ 4º  Considera-se que há influência significativa quando a investidora detém ou exerce o poder de participar nas decisões das políticas financeira ou operacional da investida, sem controlá-la.   </w:t>
      </w:r>
    </w:p>
    <w:p w:rsidR="00C82756" w:rsidRDefault="00C82756" w:rsidP="00E62499">
      <w:pPr>
        <w:pStyle w:val="Textodenotaderodap"/>
      </w:pPr>
      <w:r w:rsidRPr="00AC0ED5">
        <w:rPr>
          <w:kern w:val="1"/>
          <w:lang w:eastAsia="pt-BR"/>
        </w:rPr>
        <w:t>§ 5</w:t>
      </w:r>
      <w:r w:rsidRPr="00AC0ED5">
        <w:rPr>
          <w:kern w:val="1"/>
          <w:sz w:val="22"/>
          <w:szCs w:val="22"/>
          <w:vertAlign w:val="superscript"/>
          <w:lang w:eastAsia="pt-BR"/>
        </w:rPr>
        <w:t>o</w:t>
      </w:r>
      <w:r w:rsidRPr="00AC0ED5">
        <w:rPr>
          <w:kern w:val="1"/>
          <w:lang w:eastAsia="pt-BR"/>
        </w:rPr>
        <w:t>  É presumida influência significativa quando a investidora for titular de 20% (vinte por cento) ou mais do capital votante da investida, sem controlá-la.</w:t>
      </w:r>
      <w:proofErr w:type="gramStart"/>
      <w:r w:rsidRPr="00AC0ED5">
        <w:rPr>
          <w:kern w:val="1"/>
          <w:lang w:eastAsia="pt-BR"/>
        </w:rPr>
        <w:t>”</w:t>
      </w:r>
      <w:proofErr w:type="gramEnd"/>
    </w:p>
  </w:footnote>
  <w:footnote w:id="3">
    <w:p w:rsidR="00C82756" w:rsidRDefault="00C8275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C82756">
        <w:t xml:space="preserve">José </w:t>
      </w:r>
      <w:proofErr w:type="spellStart"/>
      <w:r w:rsidRPr="00C82756">
        <w:t>Waldecy</w:t>
      </w:r>
      <w:proofErr w:type="spellEnd"/>
      <w:r w:rsidRPr="00C82756">
        <w:t xml:space="preserve"> Lucena, </w:t>
      </w:r>
      <w:r w:rsidRPr="00C82756">
        <w:rPr>
          <w:i/>
        </w:rPr>
        <w:t>Comentários à Lei das Sociedades Anônimas</w:t>
      </w:r>
      <w:r>
        <w:t xml:space="preserve">, Renovar, 2012, vol. </w:t>
      </w:r>
      <w:proofErr w:type="gramStart"/>
      <w:r>
        <w:t>III, p.</w:t>
      </w:r>
      <w:proofErr w:type="gramEnd"/>
      <w:r>
        <w:t xml:space="preserve"> 272.</w:t>
      </w:r>
    </w:p>
  </w:footnote>
  <w:footnote w:id="4">
    <w:p w:rsidR="00C82756" w:rsidRDefault="00C82756">
      <w:pPr>
        <w:pStyle w:val="Textodenotaderodap"/>
      </w:pPr>
      <w:r>
        <w:rPr>
          <w:rStyle w:val="Refdenotaderodap"/>
        </w:rPr>
        <w:footnoteRef/>
      </w:r>
      <w:r w:rsidRPr="00C82756">
        <w:t xml:space="preserve">José </w:t>
      </w:r>
      <w:proofErr w:type="spellStart"/>
      <w:r w:rsidRPr="00C82756">
        <w:t>Waldecy</w:t>
      </w:r>
      <w:proofErr w:type="spellEnd"/>
      <w:r w:rsidRPr="00C82756">
        <w:t xml:space="preserve"> Lucena, </w:t>
      </w:r>
      <w:r w:rsidRPr="00C82756">
        <w:rPr>
          <w:i/>
        </w:rPr>
        <w:t>Comentários à Lei das Sociedades Anônimas</w:t>
      </w:r>
      <w:r>
        <w:t xml:space="preserve">, Renovar, 2012, vol. </w:t>
      </w:r>
      <w:proofErr w:type="gramStart"/>
      <w:r>
        <w:t>III, p.</w:t>
      </w:r>
      <w:proofErr w:type="gramEnd"/>
      <w:r>
        <w:t xml:space="preserve"> 272.</w:t>
      </w:r>
    </w:p>
  </w:footnote>
  <w:footnote w:id="5">
    <w:p w:rsidR="00C82756" w:rsidRPr="00AC0ED5" w:rsidRDefault="00C82756" w:rsidP="00634682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>
        <w:t xml:space="preserve"> </w:t>
      </w:r>
      <w:r w:rsidRPr="008D3BE1">
        <w:t xml:space="preserve">Diz-se “relativamente” porque aqui também há certos parâmetros de controle, indicados genericamente pela doutrina e jurisprudência. Na jurisprudência dos tribunais superiores, pode-se afirmar que os padrões de controle se dirigem basicamente contra as exigências </w:t>
      </w:r>
      <w:proofErr w:type="spellStart"/>
      <w:r w:rsidRPr="008D3BE1">
        <w:rPr>
          <w:szCs w:val="20"/>
        </w:rPr>
        <w:t>irrazoáveis</w:t>
      </w:r>
      <w:proofErr w:type="spellEnd"/>
      <w:r w:rsidRPr="008D3BE1">
        <w:rPr>
          <w:szCs w:val="20"/>
        </w:rPr>
        <w:t>, despropositadas ou imotivadas e o formalismo excessivo, que acabam por violar a igualdade e limitar o número de competidores, cf. v.g. STF (</w:t>
      </w:r>
      <w:proofErr w:type="spellStart"/>
      <w:proofErr w:type="gramStart"/>
      <w:r w:rsidRPr="008D3BE1">
        <w:rPr>
          <w:rFonts w:cs="Arial"/>
          <w:szCs w:val="20"/>
        </w:rPr>
        <w:t>ADIn</w:t>
      </w:r>
      <w:proofErr w:type="spellEnd"/>
      <w:proofErr w:type="gramEnd"/>
      <w:r w:rsidRPr="008D3BE1">
        <w:rPr>
          <w:rFonts w:cs="Arial"/>
          <w:szCs w:val="20"/>
        </w:rPr>
        <w:t xml:space="preserve"> 4.105, in Notícias STF, 17.03.2010; MS 27.813, in Notícias STF, 20.02.2009; </w:t>
      </w:r>
      <w:proofErr w:type="spellStart"/>
      <w:r w:rsidRPr="008D3BE1">
        <w:rPr>
          <w:rFonts w:cs="Arial"/>
          <w:szCs w:val="20"/>
        </w:rPr>
        <w:t>ADIn</w:t>
      </w:r>
      <w:proofErr w:type="spellEnd"/>
      <w:r w:rsidRPr="008D3BE1">
        <w:rPr>
          <w:rFonts w:cs="Arial"/>
          <w:szCs w:val="20"/>
        </w:rPr>
        <w:t xml:space="preserve"> 2.716, in DJe-041, </w:t>
      </w:r>
      <w:proofErr w:type="spellStart"/>
      <w:r w:rsidRPr="008D3BE1">
        <w:rPr>
          <w:rFonts w:cs="Arial"/>
          <w:szCs w:val="20"/>
        </w:rPr>
        <w:t>publ</w:t>
      </w:r>
      <w:proofErr w:type="spellEnd"/>
      <w:r w:rsidRPr="008D3BE1">
        <w:rPr>
          <w:rFonts w:cs="Arial"/>
          <w:szCs w:val="20"/>
        </w:rPr>
        <w:t xml:space="preserve">. </w:t>
      </w:r>
      <w:r w:rsidRPr="008D3BE1">
        <w:rPr>
          <w:rFonts w:cs="Arial"/>
          <w:szCs w:val="20"/>
          <w:lang w:val="en-US"/>
        </w:rPr>
        <w:t xml:space="preserve">07.03.2008; </w:t>
      </w:r>
      <w:proofErr w:type="spellStart"/>
      <w:r w:rsidRPr="008D3BE1">
        <w:rPr>
          <w:rFonts w:cs="Arial"/>
          <w:szCs w:val="20"/>
          <w:lang w:val="en-US"/>
        </w:rPr>
        <w:t>ADIn</w:t>
      </w:r>
      <w:proofErr w:type="spellEnd"/>
      <w:r w:rsidRPr="008D3BE1">
        <w:rPr>
          <w:rFonts w:cs="Arial"/>
          <w:szCs w:val="20"/>
          <w:lang w:val="en-US"/>
        </w:rPr>
        <w:t xml:space="preserve"> 3.070, DJU 19.12.2007, p. 13; </w:t>
      </w:r>
      <w:proofErr w:type="spellStart"/>
      <w:r w:rsidRPr="008D3BE1">
        <w:rPr>
          <w:rFonts w:cs="Arial"/>
          <w:szCs w:val="20"/>
          <w:lang w:val="en-US"/>
        </w:rPr>
        <w:t>ADIn</w:t>
      </w:r>
      <w:proofErr w:type="spellEnd"/>
      <w:r w:rsidRPr="008D3BE1">
        <w:rPr>
          <w:rFonts w:cs="Arial"/>
          <w:szCs w:val="20"/>
          <w:lang w:val="en-US"/>
        </w:rPr>
        <w:t xml:space="preserve"> 3.583, in </w:t>
      </w:r>
      <w:proofErr w:type="spellStart"/>
      <w:r w:rsidRPr="008D3BE1">
        <w:rPr>
          <w:rFonts w:cs="Arial"/>
          <w:szCs w:val="20"/>
          <w:lang w:val="en-US"/>
        </w:rPr>
        <w:t>Notícias</w:t>
      </w:r>
      <w:proofErr w:type="spellEnd"/>
      <w:r w:rsidRPr="008D3BE1">
        <w:rPr>
          <w:rFonts w:cs="Arial"/>
          <w:szCs w:val="20"/>
          <w:lang w:val="en-US"/>
        </w:rPr>
        <w:t xml:space="preserve"> STF, 19.09.2005 </w:t>
      </w:r>
      <w:r w:rsidRPr="008D3BE1">
        <w:rPr>
          <w:szCs w:val="20"/>
          <w:lang w:val="en-US"/>
        </w:rPr>
        <w:t xml:space="preserve">) e </w:t>
      </w:r>
      <w:r w:rsidRPr="008D3BE1">
        <w:rPr>
          <w:rFonts w:cs="Arial"/>
          <w:szCs w:val="20"/>
          <w:lang w:val="en-US"/>
        </w:rPr>
        <w:t>STJ (</w:t>
      </w:r>
      <w:proofErr w:type="spellStart"/>
      <w:r w:rsidRPr="008D3BE1">
        <w:rPr>
          <w:rFonts w:cs="Arial"/>
          <w:szCs w:val="20"/>
          <w:lang w:val="en-US"/>
        </w:rPr>
        <w:t>REsp</w:t>
      </w:r>
      <w:proofErr w:type="spellEnd"/>
      <w:r w:rsidRPr="008D3BE1">
        <w:rPr>
          <w:rFonts w:cs="Arial"/>
          <w:szCs w:val="20"/>
          <w:lang w:val="en-US"/>
        </w:rPr>
        <w:t xml:space="preserve"> 1.190.793, in </w:t>
      </w:r>
      <w:proofErr w:type="spellStart"/>
      <w:r w:rsidRPr="008D3BE1">
        <w:rPr>
          <w:rFonts w:cs="Arial"/>
          <w:szCs w:val="20"/>
          <w:lang w:val="en-US"/>
        </w:rPr>
        <w:t>Notícias</w:t>
      </w:r>
      <w:proofErr w:type="spellEnd"/>
      <w:r w:rsidRPr="008D3BE1">
        <w:rPr>
          <w:rFonts w:cs="Arial"/>
          <w:szCs w:val="20"/>
          <w:lang w:val="en-US"/>
        </w:rPr>
        <w:t xml:space="preserve"> STJ, 1º.09.2010; RMS 24.665, in </w:t>
      </w:r>
      <w:proofErr w:type="spellStart"/>
      <w:r w:rsidRPr="008D3BE1">
        <w:rPr>
          <w:rFonts w:cs="Arial"/>
          <w:szCs w:val="20"/>
          <w:lang w:val="en-US"/>
        </w:rPr>
        <w:t>DJe</w:t>
      </w:r>
      <w:proofErr w:type="spellEnd"/>
      <w:r w:rsidRPr="008D3BE1">
        <w:rPr>
          <w:rFonts w:cs="Arial"/>
          <w:szCs w:val="20"/>
          <w:lang w:val="en-US"/>
        </w:rPr>
        <w:t xml:space="preserve"> 08/09/2009; </w:t>
      </w:r>
      <w:proofErr w:type="spellStart"/>
      <w:r w:rsidRPr="008D3BE1">
        <w:rPr>
          <w:rFonts w:cs="Arial"/>
          <w:szCs w:val="20"/>
          <w:lang w:val="en-US"/>
        </w:rPr>
        <w:t>REsp</w:t>
      </w:r>
      <w:proofErr w:type="spellEnd"/>
      <w:r w:rsidRPr="008D3BE1">
        <w:rPr>
          <w:rFonts w:cs="Arial"/>
          <w:szCs w:val="20"/>
          <w:lang w:val="en-US"/>
        </w:rPr>
        <w:t xml:space="preserve"> 974.854, in </w:t>
      </w:r>
      <w:proofErr w:type="spellStart"/>
      <w:r w:rsidRPr="008D3BE1">
        <w:rPr>
          <w:rFonts w:cs="Arial"/>
          <w:szCs w:val="20"/>
          <w:lang w:val="en-US"/>
        </w:rPr>
        <w:t>Notícias</w:t>
      </w:r>
      <w:proofErr w:type="spellEnd"/>
      <w:r w:rsidRPr="008D3BE1">
        <w:rPr>
          <w:rFonts w:cs="Arial"/>
          <w:szCs w:val="20"/>
          <w:lang w:val="en-US"/>
        </w:rPr>
        <w:t xml:space="preserve"> STJ, 26.05.2008; </w:t>
      </w:r>
      <w:proofErr w:type="spellStart"/>
      <w:r w:rsidRPr="008D3BE1">
        <w:rPr>
          <w:rFonts w:cs="Arial"/>
          <w:szCs w:val="20"/>
          <w:lang w:val="en-US"/>
        </w:rPr>
        <w:t>REsp</w:t>
      </w:r>
      <w:proofErr w:type="spellEnd"/>
      <w:r w:rsidRPr="008D3BE1">
        <w:rPr>
          <w:rFonts w:cs="Arial"/>
          <w:szCs w:val="20"/>
          <w:lang w:val="en-US"/>
        </w:rPr>
        <w:t xml:space="preserve"> 927.804, in DJU 01.10.2007, p. 241; </w:t>
      </w:r>
      <w:proofErr w:type="spellStart"/>
      <w:r w:rsidRPr="008D3BE1">
        <w:rPr>
          <w:rFonts w:cs="Arial"/>
          <w:szCs w:val="20"/>
          <w:lang w:val="en-US"/>
        </w:rPr>
        <w:t>REsp</w:t>
      </w:r>
      <w:proofErr w:type="spellEnd"/>
      <w:r w:rsidRPr="008D3BE1">
        <w:rPr>
          <w:rFonts w:cs="Arial"/>
          <w:szCs w:val="20"/>
          <w:lang w:val="en-US"/>
        </w:rPr>
        <w:t xml:space="preserve"> 295.806, in DJU 06.03.2006, p. 275)</w:t>
      </w:r>
      <w:r w:rsidRPr="008D3BE1">
        <w:rPr>
          <w:szCs w:val="20"/>
          <w:lang w:val="en-US"/>
        </w:rPr>
        <w:t>.</w:t>
      </w:r>
    </w:p>
  </w:footnote>
  <w:footnote w:id="6">
    <w:p w:rsidR="00C82756" w:rsidRPr="00AC0ED5" w:rsidRDefault="00C82756" w:rsidP="00634682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465C58">
        <w:rPr>
          <w:lang w:val="en-US"/>
        </w:rPr>
        <w:t xml:space="preserve"> </w:t>
      </w:r>
      <w:r>
        <w:rPr>
          <w:lang w:val="en-US"/>
        </w:rPr>
        <w:t xml:space="preserve">STJ in </w:t>
      </w:r>
      <w:r w:rsidRPr="00465C58">
        <w:rPr>
          <w:lang w:val="en-US"/>
        </w:rPr>
        <w:t>MS 5693-DF, in DJU 22.5.2000, p. 62</w:t>
      </w:r>
      <w:r>
        <w:rPr>
          <w:lang w:val="en-US"/>
        </w:rPr>
        <w:t>.</w:t>
      </w:r>
    </w:p>
  </w:footnote>
  <w:footnote w:id="7">
    <w:p w:rsidR="00C82756" w:rsidRPr="00AC0ED5" w:rsidRDefault="00C82756" w:rsidP="00634682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465C58">
        <w:rPr>
          <w:lang w:val="en-US"/>
        </w:rPr>
        <w:t xml:space="preserve"> </w:t>
      </w:r>
      <w:r>
        <w:rPr>
          <w:lang w:val="en-US"/>
        </w:rPr>
        <w:t xml:space="preserve">STJ in </w:t>
      </w:r>
      <w:r w:rsidRPr="00465C58">
        <w:rPr>
          <w:lang w:val="en-US"/>
        </w:rPr>
        <w:t>MS 5602-DF, in DJU 4.2.1998, p. 4</w:t>
      </w:r>
      <w:r>
        <w:rPr>
          <w:lang w:val="en-US"/>
        </w:rPr>
        <w:t>.</w:t>
      </w:r>
    </w:p>
  </w:footnote>
  <w:footnote w:id="8">
    <w:p w:rsidR="00C82756" w:rsidRDefault="00C82756" w:rsidP="00634682">
      <w:pPr>
        <w:pStyle w:val="Textodenotaderodap"/>
      </w:pPr>
      <w:r>
        <w:rPr>
          <w:rStyle w:val="Refdenotaderodap"/>
        </w:rPr>
        <w:footnoteRef/>
      </w:r>
      <w:r w:rsidRPr="00465C58">
        <w:rPr>
          <w:lang w:val="en-US"/>
        </w:rPr>
        <w:t xml:space="preserve"> </w:t>
      </w:r>
      <w:proofErr w:type="gramStart"/>
      <w:r w:rsidRPr="00465C58">
        <w:rPr>
          <w:lang w:val="en-US"/>
        </w:rPr>
        <w:t xml:space="preserve">STF in </w:t>
      </w:r>
      <w:proofErr w:type="spellStart"/>
      <w:r w:rsidRPr="00465C58">
        <w:rPr>
          <w:lang w:val="en-US"/>
        </w:rPr>
        <w:t>ADIn</w:t>
      </w:r>
      <w:proofErr w:type="spellEnd"/>
      <w:r w:rsidRPr="00465C58">
        <w:rPr>
          <w:lang w:val="en-US"/>
        </w:rPr>
        <w:t xml:space="preserve"> 2.716, in DJe-041, publ. 07.03.2008.</w:t>
      </w:r>
      <w:proofErr w:type="gramEnd"/>
    </w:p>
  </w:footnote>
  <w:footnote w:id="9">
    <w:p w:rsidR="00C82756" w:rsidRDefault="00C8275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8D3BE1">
        <w:t xml:space="preserve">Note-se que o ônus de demonstrar recai sobre a Administração, </w:t>
      </w:r>
      <w:r>
        <w:t xml:space="preserve">eis </w:t>
      </w:r>
      <w:r w:rsidRPr="008D3BE1">
        <w:t>que introduz ela uma exceção à regra geral da ampla participação dos interessados em contratar.</w:t>
      </w:r>
    </w:p>
  </w:footnote>
  <w:footnote w:id="10">
    <w:p w:rsidR="00C82756" w:rsidRDefault="00C82756" w:rsidP="00634682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C82756">
        <w:t xml:space="preserve">De resto, esta é a tendência na União Europeia, que mitiga a incidência dos princípios concorrenciais quando em questão a prestação de serviços públicos, valendo-se para tanto do conceito de "serviços de interesse geral" bem como por deveres de "universalização" de certos serviços. </w:t>
      </w:r>
    </w:p>
  </w:footnote>
  <w:footnote w:id="11">
    <w:p w:rsidR="00C82756" w:rsidRDefault="00C82756" w:rsidP="00634682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AB5B64">
        <w:t>Os primeiros são de variado tipo e estão genericamente indicados no artigo 6</w:t>
      </w:r>
      <w:r w:rsidRPr="00AB5B64">
        <w:rPr>
          <w:vertAlign w:val="superscript"/>
        </w:rPr>
        <w:t>o</w:t>
      </w:r>
      <w:r w:rsidRPr="00AB5B64">
        <w:t xml:space="preserve"> acima referido; </w:t>
      </w:r>
      <w:r w:rsidRPr="00AB5B64">
        <w:rPr>
          <w:i/>
        </w:rPr>
        <w:t xml:space="preserve">grosso modo, </w:t>
      </w:r>
      <w:r w:rsidRPr="00AB5B64">
        <w:t xml:space="preserve">podem ser agrupados em critérios </w:t>
      </w:r>
      <w:r w:rsidRPr="00AB5B64">
        <w:rPr>
          <w:i/>
        </w:rPr>
        <w:t xml:space="preserve">de adequação técnica </w:t>
      </w:r>
      <w:r w:rsidRPr="00AB5B64">
        <w:t xml:space="preserve">e </w:t>
      </w:r>
      <w:r w:rsidRPr="00AB5B64">
        <w:rPr>
          <w:i/>
        </w:rPr>
        <w:t>critérios de adequação econômica.</w:t>
      </w:r>
      <w:r w:rsidRPr="00AB5B64">
        <w:t xml:space="preserve"> A adequação técnica envolve (ainda em perspectiva genérica), os objetivos de “regularidade”, “continuidade”, “eficiência”, “segurança”, “generalidade” e “atualidade”, enquanto que a adequação econômica está centrada em torno da ideia guia de “modicidade tarifária”. O equilíbrio entre estes objetivos, bem como a configuração concreta que devem tomar é uma tarefa de construção regulatória específica setorial, a ser feita para cada serviço, de acordo com suas características.</w:t>
      </w:r>
    </w:p>
  </w:footnote>
  <w:footnote w:id="12">
    <w:p w:rsidR="00C82756" w:rsidRPr="00634682" w:rsidRDefault="00C82756" w:rsidP="00634682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AB5B64">
        <w:t xml:space="preserve">Já os </w:t>
      </w:r>
      <w:r w:rsidRPr="00AB5B64">
        <w:rPr>
          <w:i/>
        </w:rPr>
        <w:t xml:space="preserve">instrumentos de obtenção do serviço adequado </w:t>
      </w:r>
      <w:r w:rsidRPr="00AB5B64">
        <w:t>são os veículos que, tendencialmente, devem levar aos elementos determinantes. Eles são estabelecidos em vista destes últimos e não se c</w:t>
      </w:r>
      <w:r>
        <w:t>onstituem como fins em si</w:t>
      </w:r>
      <w:r w:rsidRPr="00AB5B64">
        <w:t xml:space="preserve">. </w:t>
      </w:r>
      <w:r w:rsidRPr="00634682">
        <w:t xml:space="preserve">Exemplo disto é quanto se contém na Cláusula 4.46. </w:t>
      </w:r>
      <w:proofErr w:type="gramStart"/>
      <w:r w:rsidRPr="00634682">
        <w:t>do</w:t>
      </w:r>
      <w:proofErr w:type="gramEnd"/>
      <w:r w:rsidRPr="00634682">
        <w:t xml:space="preserve"> Edital. Ela introduz uma limitação que parece dirigir-se à obtenção de uma melhor qualificação de ordem técnica: “4.46. É requisito de qualificação técnica para apresentação de propostas para quaisquer dos aeroportos que o Operador Aeroportuário possua experiência </w:t>
      </w:r>
      <w:proofErr w:type="spellStart"/>
      <w:r w:rsidRPr="00634682">
        <w:t>mínimia</w:t>
      </w:r>
      <w:proofErr w:type="spellEnd"/>
      <w:r w:rsidRPr="00634682">
        <w:t xml:space="preserve"> de </w:t>
      </w:r>
      <w:proofErr w:type="gramStart"/>
      <w:r w:rsidRPr="00634682">
        <w:t>5</w:t>
      </w:r>
      <w:proofErr w:type="gramEnd"/>
      <w:r w:rsidRPr="00634682">
        <w:t xml:space="preserve"> (cinco) anos na operação de um mesmo aeroporto que tenha processado, no mínimo, 35 (trinta e cinco) milhões de passageiros em pelo menos 1 (um) ano civil, nos últimos 5 (cinco) anos anteriores ao da publicação deste Edital, considerando o somatório de passageiros embarcados, desembarcados e em trânsito.”</w:t>
      </w:r>
    </w:p>
    <w:p w:rsidR="00C82756" w:rsidRDefault="00C82756" w:rsidP="00634682">
      <w:pPr>
        <w:pStyle w:val="Textodenotaderodap"/>
      </w:pPr>
    </w:p>
  </w:footnote>
  <w:footnote w:id="13">
    <w:p w:rsidR="00C82756" w:rsidRDefault="00C82756" w:rsidP="00634682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C82756">
        <w:t xml:space="preserve">O </w:t>
      </w:r>
      <w:r w:rsidRPr="00C82756">
        <w:rPr>
          <w:i/>
        </w:rPr>
        <w:t xml:space="preserve">princípio da proporcionalidade </w:t>
      </w:r>
      <w:r w:rsidRPr="00C82756">
        <w:t xml:space="preserve">tem sede constitucional, segundo decidiu o Supremo Tribunal Federal, que afirma sua vigência implícita (juntamente com a exigência de razoabilidade) como </w:t>
      </w:r>
      <w:proofErr w:type="gramStart"/>
      <w:r w:rsidRPr="00C82756">
        <w:t>elementos integrante do princípio do "devido</w:t>
      </w:r>
      <w:proofErr w:type="gramEnd"/>
      <w:r w:rsidRPr="00C82756">
        <w:t xml:space="preserve"> processo legal material" (ou substantivo), previsto no art. 5°, LIV, CF 1988 (cf. v.g. </w:t>
      </w:r>
      <w:proofErr w:type="spellStart"/>
      <w:r w:rsidRPr="00C82756">
        <w:t>ADIn</w:t>
      </w:r>
      <w:proofErr w:type="spellEnd"/>
      <w:r w:rsidRPr="00C82756">
        <w:t xml:space="preserve"> 1.158, in RTDP 11/251 e RDA 200/242; </w:t>
      </w:r>
      <w:proofErr w:type="spellStart"/>
      <w:r w:rsidRPr="00C82756">
        <w:t>ADIn</w:t>
      </w:r>
      <w:proofErr w:type="spellEnd"/>
      <w:r w:rsidRPr="00C82756">
        <w:t xml:space="preserve">-MC 1.407; </w:t>
      </w:r>
      <w:proofErr w:type="spellStart"/>
      <w:r w:rsidRPr="00C82756">
        <w:t>ADIn</w:t>
      </w:r>
      <w:proofErr w:type="spellEnd"/>
      <w:r w:rsidRPr="00C82756">
        <w:t xml:space="preserve">-MC 1.753). É já bastante considerável o número de julgados do STF e do STJ que fizeram uso desses princípios no âmbito do direito público, v.g. STJ (RMS 29.290; RMS 20.665; RESP 544.763; </w:t>
      </w:r>
      <w:r w:rsidRPr="00C82756">
        <w:rPr>
          <w:rStyle w:val="Forte"/>
          <w:rFonts w:cs="Arial"/>
          <w:b w:val="0"/>
          <w:bCs/>
          <w:szCs w:val="20"/>
        </w:rPr>
        <w:t xml:space="preserve">MS 14.993; </w:t>
      </w:r>
      <w:r w:rsidRPr="00C82756">
        <w:t xml:space="preserve">MS 13.742; MS 7.966; MS 7.983; </w:t>
      </w:r>
      <w:proofErr w:type="spellStart"/>
      <w:proofErr w:type="gramStart"/>
      <w:r w:rsidRPr="00C82756">
        <w:t>REsp</w:t>
      </w:r>
      <w:proofErr w:type="spellEnd"/>
      <w:proofErr w:type="gramEnd"/>
      <w:r w:rsidRPr="00C82756">
        <w:t xml:space="preserve"> 429.570) e STF (</w:t>
      </w:r>
      <w:proofErr w:type="spellStart"/>
      <w:r w:rsidRPr="00C82756">
        <w:t>ADIn</w:t>
      </w:r>
      <w:proofErr w:type="spellEnd"/>
      <w:r w:rsidRPr="00C82756">
        <w:t xml:space="preserve"> 4.125; RE 634.900; RE 595.553; RE 511.961; RE 205.535-AgR; AI 800.892; ADC 30; ADC 29). Logo, não basta o uso válido da discricionariedade, o agente administrativo deve, também, usá-la dentro de padrões de razoabilidade e de proporcionalidade quanto à sua decisão de mérito. Além disso, o princípio da proporcionalidade está previsto expressamente em diversos dispositivos da Lei do Processo Administrativo da União, v.g. art. 2°, caput; art. 2°, § único, VI e art. 2°, § único, IX da Lei 9.784/99.</w:t>
      </w:r>
      <w:r w:rsidRPr="00C82756">
        <w:rPr>
          <w:i/>
        </w:rPr>
        <w:t xml:space="preserve"> </w:t>
      </w:r>
      <w:r w:rsidRPr="00C82756">
        <w:t xml:space="preserve"> Sucintamente, ele demanda, em prova de três </w:t>
      </w:r>
      <w:proofErr w:type="spellStart"/>
      <w:r w:rsidRPr="00C82756">
        <w:t>eestágios</w:t>
      </w:r>
      <w:proofErr w:type="spellEnd"/>
      <w:r w:rsidRPr="00C82756">
        <w:t xml:space="preserve">, que os atos administrativos sejam "adequados", i.e., que a </w:t>
      </w:r>
      <w:proofErr w:type="spellStart"/>
      <w:r w:rsidRPr="00C82756">
        <w:t>conseqüência</w:t>
      </w:r>
      <w:proofErr w:type="spellEnd"/>
      <w:r w:rsidRPr="00C82756">
        <w:t xml:space="preserve"> jurídica seja adequada em relação ao suporte fático da norma</w:t>
      </w:r>
      <w:r w:rsidRPr="00465C58">
        <w:t xml:space="preserve"> (relação entre causa e efeito); "necessário", i.e., inexiste perante o caso concreto qualquer outra medida jurídica que possa ser adotada pelo Estado e que seja menos gravosa para o cidadão; e "conveniente" ou "proporcional em sentido estrito", i.e., que a relação entre causa e </w:t>
      </w:r>
      <w:proofErr w:type="spellStart"/>
      <w:r w:rsidRPr="00465C58">
        <w:t>conseqüência</w:t>
      </w:r>
      <w:proofErr w:type="spellEnd"/>
      <w:r w:rsidRPr="00465C58">
        <w:t xml:space="preserve"> afasta de modo sopesado e ponderado outros princípios jurídicos que incidiriam sobre o caso concreto (portanto conflitantes), mas que são menos importantes perante esse caso concreto (trata-se em suma de aceitar os resultados dentro de uma relação custo x benefício): a medida é restritiva</w:t>
      </w:r>
      <w:proofErr w:type="gramStart"/>
      <w:r w:rsidRPr="00465C58">
        <w:t xml:space="preserve"> porém</w:t>
      </w:r>
      <w:proofErr w:type="gramEnd"/>
      <w:r w:rsidRPr="00465C58">
        <w:t xml:space="preserve"> aceitável e/ou conveniente.</w:t>
      </w:r>
    </w:p>
  </w:footnote>
  <w:footnote w:id="14">
    <w:p w:rsidR="00500254" w:rsidRDefault="00500254" w:rsidP="00500254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>
        <w:rPr>
          <w:rFonts w:cs="Arial"/>
          <w:szCs w:val="22"/>
        </w:rPr>
        <w:t>Carlos Ari Sundfeld. "Licitação e contrato administrativo".</w:t>
      </w:r>
      <w:r w:rsidRPr="00130D39">
        <w:rPr>
          <w:rFonts w:cs="Arial"/>
        </w:rPr>
        <w:t xml:space="preserve"> 2ª ed., São Paulo: Malheiros, 1994, p. 20</w:t>
      </w:r>
      <w:r>
        <w:rPr>
          <w:rFonts w:cs="Arial"/>
        </w:rPr>
        <w:t>.</w:t>
      </w:r>
    </w:p>
  </w:footnote>
  <w:footnote w:id="15">
    <w:p w:rsidR="00500254" w:rsidRPr="00912E2A" w:rsidRDefault="00500254" w:rsidP="00500254">
      <w:pPr>
        <w:rPr>
          <w:rFonts w:ascii="Arial" w:hAnsi="Arial" w:cs="Arial"/>
          <w:sz w:val="20"/>
          <w:szCs w:val="20"/>
          <w:lang w:val="en-US"/>
        </w:rPr>
      </w:pPr>
      <w:r>
        <w:rPr>
          <w:rStyle w:val="Refdenotaderodap"/>
        </w:rPr>
        <w:footnoteRef/>
      </w:r>
      <w:r w:rsidRPr="00E64E5D">
        <w:rPr>
          <w:lang w:val="en-US"/>
        </w:rPr>
        <w:t xml:space="preserve"> </w:t>
      </w:r>
      <w:r w:rsidRPr="00912E2A">
        <w:rPr>
          <w:rFonts w:ascii="Arial" w:hAnsi="Arial" w:cs="Arial"/>
          <w:sz w:val="20"/>
          <w:szCs w:val="20"/>
          <w:lang w:val="en-US"/>
        </w:rPr>
        <w:t xml:space="preserve">Cf. </w:t>
      </w:r>
      <w:proofErr w:type="spellStart"/>
      <w:r w:rsidRPr="00912E2A">
        <w:rPr>
          <w:rFonts w:ascii="Arial" w:hAnsi="Arial" w:cs="Arial"/>
          <w:sz w:val="20"/>
          <w:szCs w:val="20"/>
          <w:lang w:val="en-US"/>
        </w:rPr>
        <w:t>v.g</w:t>
      </w:r>
      <w:proofErr w:type="spellEnd"/>
      <w:r w:rsidRPr="00912E2A">
        <w:rPr>
          <w:rFonts w:ascii="Arial" w:hAnsi="Arial" w:cs="Arial"/>
          <w:sz w:val="20"/>
          <w:szCs w:val="20"/>
          <w:lang w:val="en-US"/>
        </w:rPr>
        <w:t xml:space="preserve">. STJ, in </w:t>
      </w:r>
      <w:proofErr w:type="spellStart"/>
      <w:r w:rsidRPr="00912E2A">
        <w:rPr>
          <w:rFonts w:ascii="Arial" w:hAnsi="Arial" w:cs="Arial"/>
          <w:sz w:val="20"/>
          <w:szCs w:val="20"/>
          <w:lang w:val="en-US"/>
        </w:rPr>
        <w:t>REsp</w:t>
      </w:r>
      <w:proofErr w:type="spellEnd"/>
      <w:r w:rsidRPr="00912E2A">
        <w:rPr>
          <w:rFonts w:ascii="Arial" w:hAnsi="Arial" w:cs="Arial"/>
          <w:sz w:val="20"/>
          <w:szCs w:val="20"/>
          <w:lang w:val="en-US"/>
        </w:rPr>
        <w:t xml:space="preserve"> 965.223, in </w:t>
      </w:r>
      <w:proofErr w:type="spellStart"/>
      <w:r w:rsidRPr="00912E2A">
        <w:rPr>
          <w:rFonts w:ascii="Arial" w:hAnsi="Arial" w:cs="Arial"/>
          <w:sz w:val="20"/>
          <w:szCs w:val="20"/>
          <w:lang w:val="en-US"/>
        </w:rPr>
        <w:t>Informativo</w:t>
      </w:r>
      <w:proofErr w:type="spellEnd"/>
      <w:r w:rsidRPr="00912E2A">
        <w:rPr>
          <w:rFonts w:ascii="Arial" w:hAnsi="Arial" w:cs="Arial"/>
          <w:sz w:val="20"/>
          <w:szCs w:val="20"/>
          <w:lang w:val="en-US"/>
        </w:rPr>
        <w:t xml:space="preserve"> STJ nº 368; </w:t>
      </w:r>
      <w:proofErr w:type="spellStart"/>
      <w:r w:rsidRPr="00912E2A">
        <w:rPr>
          <w:rFonts w:ascii="Arial" w:hAnsi="Arial" w:cs="Arial"/>
          <w:sz w:val="20"/>
          <w:szCs w:val="20"/>
          <w:lang w:val="en-US"/>
        </w:rPr>
        <w:t>REsp</w:t>
      </w:r>
      <w:proofErr w:type="spellEnd"/>
      <w:r w:rsidRPr="00912E2A">
        <w:rPr>
          <w:rFonts w:ascii="Arial" w:hAnsi="Arial" w:cs="Arial"/>
          <w:sz w:val="20"/>
          <w:szCs w:val="20"/>
          <w:lang w:val="en-US"/>
        </w:rPr>
        <w:t xml:space="preserve"> 776.176, in </w:t>
      </w:r>
      <w:proofErr w:type="spellStart"/>
      <w:r w:rsidRPr="00912E2A">
        <w:rPr>
          <w:rFonts w:ascii="Arial" w:hAnsi="Arial" w:cs="Arial"/>
          <w:sz w:val="20"/>
          <w:szCs w:val="20"/>
          <w:lang w:val="en-US"/>
        </w:rPr>
        <w:t>Notícias</w:t>
      </w:r>
      <w:proofErr w:type="spellEnd"/>
      <w:r w:rsidRPr="00912E2A">
        <w:rPr>
          <w:rFonts w:ascii="Arial" w:hAnsi="Arial" w:cs="Arial"/>
          <w:sz w:val="20"/>
          <w:szCs w:val="20"/>
          <w:lang w:val="en-US"/>
        </w:rPr>
        <w:t xml:space="preserve"> STJ, 12.09.2007; RMS 23.206, in </w:t>
      </w:r>
      <w:proofErr w:type="spellStart"/>
      <w:r w:rsidRPr="00912E2A">
        <w:rPr>
          <w:rFonts w:ascii="Arial" w:hAnsi="Arial" w:cs="Arial"/>
          <w:sz w:val="20"/>
          <w:szCs w:val="20"/>
          <w:lang w:val="en-US"/>
        </w:rPr>
        <w:t>Notícias</w:t>
      </w:r>
      <w:proofErr w:type="spellEnd"/>
      <w:r w:rsidRPr="00912E2A">
        <w:rPr>
          <w:rFonts w:ascii="Arial" w:hAnsi="Arial" w:cs="Arial"/>
          <w:sz w:val="20"/>
          <w:szCs w:val="20"/>
          <w:lang w:val="en-US"/>
        </w:rPr>
        <w:t xml:space="preserve"> STJ, 23.05.2008; MS 9.944, in </w:t>
      </w:r>
      <w:proofErr w:type="spellStart"/>
      <w:r w:rsidRPr="00912E2A">
        <w:rPr>
          <w:rFonts w:ascii="Arial" w:hAnsi="Arial" w:cs="Arial"/>
          <w:sz w:val="20"/>
          <w:szCs w:val="20"/>
          <w:lang w:val="en-US"/>
        </w:rPr>
        <w:t>Informativo</w:t>
      </w:r>
      <w:proofErr w:type="spellEnd"/>
      <w:r w:rsidRPr="00912E2A">
        <w:rPr>
          <w:rFonts w:ascii="Arial" w:hAnsi="Arial" w:cs="Arial"/>
          <w:sz w:val="20"/>
          <w:szCs w:val="20"/>
          <w:lang w:val="en-US"/>
        </w:rPr>
        <w:t xml:space="preserve"> STJ nº 248; MC 7.325, in DJU 04.10.2004 p. 210.</w:t>
      </w:r>
    </w:p>
  </w:footnote>
  <w:footnote w:id="16">
    <w:p w:rsidR="00500254" w:rsidRDefault="00500254" w:rsidP="00500254">
      <w:pPr>
        <w:pStyle w:val="Textodenotaderodap"/>
      </w:pPr>
      <w:r>
        <w:rPr>
          <w:rStyle w:val="Refdenotaderodap"/>
        </w:rPr>
        <w:footnoteRef/>
      </w:r>
      <w:r>
        <w:t xml:space="preserve"> José Carlos Vieira de Andrade. O dever da fundamentação expressa de </w:t>
      </w:r>
      <w:proofErr w:type="spellStart"/>
      <w:r>
        <w:t>actos</w:t>
      </w:r>
      <w:proofErr w:type="spellEnd"/>
      <w:r>
        <w:t xml:space="preserve"> administrativos. Lisboa: Almedina, 1992.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7073"/>
    <w:multiLevelType w:val="hybridMultilevel"/>
    <w:tmpl w:val="3136670C"/>
    <w:lvl w:ilvl="0" w:tplc="DDCC88E4">
      <w:start w:val="1"/>
      <w:numFmt w:val="lowerRoman"/>
      <w:lvlText w:val="(%1.)"/>
      <w:lvlJc w:val="left"/>
      <w:pPr>
        <w:ind w:left="1429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760B66"/>
    <w:multiLevelType w:val="hybridMultilevel"/>
    <w:tmpl w:val="FFAE4470"/>
    <w:lvl w:ilvl="0" w:tplc="C7D601B4">
      <w:start w:val="1"/>
      <w:numFmt w:val="bullet"/>
      <w:lvlText w:val=""/>
      <w:lvlJc w:val="left"/>
      <w:pPr>
        <w:tabs>
          <w:tab w:val="num" w:pos="227"/>
        </w:tabs>
        <w:ind w:left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5098F"/>
    <w:multiLevelType w:val="hybridMultilevel"/>
    <w:tmpl w:val="DBC017EA"/>
    <w:lvl w:ilvl="0" w:tplc="C7D601B4">
      <w:start w:val="1"/>
      <w:numFmt w:val="bullet"/>
      <w:lvlText w:val=""/>
      <w:lvlJc w:val="left"/>
      <w:pPr>
        <w:tabs>
          <w:tab w:val="num" w:pos="227"/>
        </w:tabs>
        <w:ind w:left="227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5241C"/>
    <w:multiLevelType w:val="hybridMultilevel"/>
    <w:tmpl w:val="2834AFAA"/>
    <w:lvl w:ilvl="0" w:tplc="BFB86F30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CD38B7"/>
    <w:multiLevelType w:val="hybridMultilevel"/>
    <w:tmpl w:val="912A5A20"/>
    <w:lvl w:ilvl="0" w:tplc="C1D2318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CF4E46"/>
    <w:multiLevelType w:val="hybridMultilevel"/>
    <w:tmpl w:val="487E80EA"/>
    <w:lvl w:ilvl="0" w:tplc="C7D601B4">
      <w:start w:val="1"/>
      <w:numFmt w:val="bullet"/>
      <w:lvlText w:val=""/>
      <w:lvlJc w:val="left"/>
      <w:pPr>
        <w:tabs>
          <w:tab w:val="num" w:pos="227"/>
        </w:tabs>
        <w:ind w:left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9C724B"/>
    <w:multiLevelType w:val="hybridMultilevel"/>
    <w:tmpl w:val="A47CCCD4"/>
    <w:lvl w:ilvl="0" w:tplc="6DCA4514">
      <w:start w:val="1"/>
      <w:numFmt w:val="lowerLetter"/>
      <w:lvlText w:val="%1.)"/>
      <w:lvlJc w:val="left"/>
      <w:pPr>
        <w:ind w:left="150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7">
    <w:nsid w:val="53C874BB"/>
    <w:multiLevelType w:val="hybridMultilevel"/>
    <w:tmpl w:val="E118F2E0"/>
    <w:lvl w:ilvl="0" w:tplc="C7D601B4">
      <w:start w:val="1"/>
      <w:numFmt w:val="bullet"/>
      <w:lvlText w:val=""/>
      <w:lvlJc w:val="left"/>
      <w:pPr>
        <w:tabs>
          <w:tab w:val="num" w:pos="227"/>
        </w:tabs>
        <w:ind w:left="227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73268C"/>
    <w:multiLevelType w:val="hybridMultilevel"/>
    <w:tmpl w:val="5E625FC4"/>
    <w:lvl w:ilvl="0" w:tplc="290AEBB6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9770CCA"/>
    <w:multiLevelType w:val="hybridMultilevel"/>
    <w:tmpl w:val="BC58ECD2"/>
    <w:lvl w:ilvl="0" w:tplc="07DA9C94">
      <w:start w:val="1"/>
      <w:numFmt w:val="bullet"/>
      <w:lvlText w:val=""/>
      <w:lvlJc w:val="left"/>
      <w:pPr>
        <w:tabs>
          <w:tab w:val="num" w:pos="284"/>
        </w:tabs>
        <w:ind w:left="284" w:hanging="227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555A4A"/>
    <w:multiLevelType w:val="hybridMultilevel"/>
    <w:tmpl w:val="15B40682"/>
    <w:lvl w:ilvl="0" w:tplc="E8466EFC">
      <w:start w:val="1"/>
      <w:numFmt w:val="lowerRoman"/>
      <w:lvlText w:val="%1."/>
      <w:lvlJc w:val="left"/>
      <w:pPr>
        <w:ind w:left="1440" w:hanging="72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00"/>
    <w:rsid w:val="0000493D"/>
    <w:rsid w:val="0003751A"/>
    <w:rsid w:val="0007241A"/>
    <w:rsid w:val="00081361"/>
    <w:rsid w:val="000A20A9"/>
    <w:rsid w:val="00100773"/>
    <w:rsid w:val="00121C42"/>
    <w:rsid w:val="00157D70"/>
    <w:rsid w:val="001A4798"/>
    <w:rsid w:val="001B39D9"/>
    <w:rsid w:val="001C48D6"/>
    <w:rsid w:val="001F2A23"/>
    <w:rsid w:val="00252658"/>
    <w:rsid w:val="002A07EB"/>
    <w:rsid w:val="002B7F6C"/>
    <w:rsid w:val="002C6D00"/>
    <w:rsid w:val="002F57C2"/>
    <w:rsid w:val="003012DC"/>
    <w:rsid w:val="003456C1"/>
    <w:rsid w:val="00392AF8"/>
    <w:rsid w:val="003947F3"/>
    <w:rsid w:val="00395EAF"/>
    <w:rsid w:val="003A743D"/>
    <w:rsid w:val="0041018C"/>
    <w:rsid w:val="00463BD4"/>
    <w:rsid w:val="00465C58"/>
    <w:rsid w:val="00485F6A"/>
    <w:rsid w:val="004D1DFF"/>
    <w:rsid w:val="00500254"/>
    <w:rsid w:val="00520700"/>
    <w:rsid w:val="00522F23"/>
    <w:rsid w:val="00553EFD"/>
    <w:rsid w:val="00560202"/>
    <w:rsid w:val="00584EEF"/>
    <w:rsid w:val="00634682"/>
    <w:rsid w:val="0064336D"/>
    <w:rsid w:val="006A624A"/>
    <w:rsid w:val="00720478"/>
    <w:rsid w:val="00772B14"/>
    <w:rsid w:val="0079295C"/>
    <w:rsid w:val="007A3CB2"/>
    <w:rsid w:val="007A40C1"/>
    <w:rsid w:val="00813EA6"/>
    <w:rsid w:val="008205FA"/>
    <w:rsid w:val="0084602B"/>
    <w:rsid w:val="008628E2"/>
    <w:rsid w:val="00867B9A"/>
    <w:rsid w:val="00873A75"/>
    <w:rsid w:val="008A52A9"/>
    <w:rsid w:val="008B1B40"/>
    <w:rsid w:val="008B36F6"/>
    <w:rsid w:val="008D3BE1"/>
    <w:rsid w:val="00956649"/>
    <w:rsid w:val="00A07A7D"/>
    <w:rsid w:val="00A54242"/>
    <w:rsid w:val="00AB5B64"/>
    <w:rsid w:val="00AC0ED5"/>
    <w:rsid w:val="00AE3B67"/>
    <w:rsid w:val="00AE62E0"/>
    <w:rsid w:val="00AE676D"/>
    <w:rsid w:val="00B1486A"/>
    <w:rsid w:val="00B167DF"/>
    <w:rsid w:val="00B371D6"/>
    <w:rsid w:val="00B558AA"/>
    <w:rsid w:val="00BE3C11"/>
    <w:rsid w:val="00C10692"/>
    <w:rsid w:val="00C52A01"/>
    <w:rsid w:val="00C677B5"/>
    <w:rsid w:val="00C82756"/>
    <w:rsid w:val="00C955EB"/>
    <w:rsid w:val="00CB3F25"/>
    <w:rsid w:val="00CC0E53"/>
    <w:rsid w:val="00CD0B84"/>
    <w:rsid w:val="00CF5602"/>
    <w:rsid w:val="00CF5B0C"/>
    <w:rsid w:val="00D47C30"/>
    <w:rsid w:val="00D8787D"/>
    <w:rsid w:val="00D878CD"/>
    <w:rsid w:val="00E53D11"/>
    <w:rsid w:val="00E62499"/>
    <w:rsid w:val="00ED698C"/>
    <w:rsid w:val="00EE5FAE"/>
    <w:rsid w:val="00EF0517"/>
    <w:rsid w:val="00EF7393"/>
    <w:rsid w:val="00F10F17"/>
    <w:rsid w:val="00F20A36"/>
    <w:rsid w:val="00F66938"/>
    <w:rsid w:val="00F7504C"/>
    <w:rsid w:val="00F913BF"/>
    <w:rsid w:val="00FA6CE7"/>
    <w:rsid w:val="00FC5C33"/>
    <w:rsid w:val="00FD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pt-BR" w:eastAsia="pt-BR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B5B64"/>
    <w:rPr>
      <w:rFonts w:eastAsia="Times New Roman"/>
      <w:sz w:val="24"/>
      <w:szCs w:val="24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AE3B67"/>
    <w:pPr>
      <w:keepNext/>
      <w:keepLines/>
      <w:spacing w:before="480"/>
      <w:outlineLvl w:val="0"/>
    </w:pPr>
    <w:rPr>
      <w:rFonts w:ascii="Calibri" w:hAnsi="Calibri"/>
      <w:b/>
      <w:bCs/>
      <w:smallCaps/>
      <w:color w:val="345A8A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AE3B67"/>
    <w:pPr>
      <w:keepNext/>
      <w:keepLines/>
      <w:spacing w:before="200"/>
      <w:outlineLvl w:val="1"/>
    </w:pPr>
    <w:rPr>
      <w:rFonts w:ascii="Calibri" w:hAnsi="Calibri"/>
      <w:b/>
      <w:bCs/>
      <w:smallCaps/>
      <w:color w:val="4F81BD"/>
      <w:sz w:val="30"/>
      <w:szCs w:val="26"/>
    </w:rPr>
  </w:style>
  <w:style w:type="paragraph" w:styleId="Ttulo3">
    <w:name w:val="heading 3"/>
    <w:basedOn w:val="Normal"/>
    <w:next w:val="Normal"/>
    <w:link w:val="Ttulo3Char"/>
    <w:uiPriority w:val="99"/>
    <w:qFormat/>
    <w:rsid w:val="00AE3B67"/>
    <w:pPr>
      <w:keepNext/>
      <w:keepLines/>
      <w:spacing w:before="100" w:after="100"/>
      <w:ind w:left="227"/>
      <w:outlineLvl w:val="2"/>
    </w:pPr>
    <w:rPr>
      <w:rFonts w:ascii="Calibri" w:hAnsi="Calibri"/>
      <w:b/>
      <w:bCs/>
      <w:color w:val="4F81BD"/>
      <w:sz w:val="28"/>
    </w:rPr>
  </w:style>
  <w:style w:type="paragraph" w:styleId="Ttulo4">
    <w:name w:val="heading 4"/>
    <w:basedOn w:val="Normal"/>
    <w:next w:val="Normal"/>
    <w:link w:val="Ttulo4Char"/>
    <w:uiPriority w:val="99"/>
    <w:qFormat/>
    <w:rsid w:val="00AE3B67"/>
    <w:pPr>
      <w:keepNext/>
      <w:keepLines/>
      <w:spacing w:before="100" w:after="100"/>
      <w:ind w:left="340"/>
      <w:outlineLvl w:val="3"/>
    </w:pPr>
    <w:rPr>
      <w:rFonts w:ascii="Calibri" w:hAnsi="Calibri"/>
      <w:b/>
      <w:bCs/>
      <w:iCs/>
      <w:color w:val="4F81BD"/>
    </w:rPr>
  </w:style>
  <w:style w:type="paragraph" w:styleId="Ttulo5">
    <w:name w:val="heading 5"/>
    <w:basedOn w:val="Normal"/>
    <w:next w:val="Normal"/>
    <w:link w:val="Ttulo5Char"/>
    <w:uiPriority w:val="99"/>
    <w:qFormat/>
    <w:rsid w:val="00AE3B67"/>
    <w:pPr>
      <w:keepNext/>
      <w:keepLines/>
      <w:spacing w:before="100" w:after="100"/>
      <w:ind w:left="454"/>
      <w:outlineLvl w:val="4"/>
    </w:pPr>
    <w:rPr>
      <w:rFonts w:ascii="Calibri" w:hAnsi="Calibri"/>
      <w:color w:val="4F81BD"/>
    </w:rPr>
  </w:style>
  <w:style w:type="paragraph" w:styleId="Ttulo6">
    <w:name w:val="heading 6"/>
    <w:basedOn w:val="Normal"/>
    <w:next w:val="Normal"/>
    <w:link w:val="Ttulo6Char"/>
    <w:uiPriority w:val="99"/>
    <w:qFormat/>
    <w:rsid w:val="00AE3B67"/>
    <w:pPr>
      <w:keepNext/>
      <w:keepLines/>
      <w:spacing w:before="100" w:after="100"/>
      <w:ind w:left="567"/>
      <w:outlineLvl w:val="5"/>
    </w:pPr>
    <w:rPr>
      <w:rFonts w:ascii="Calibri" w:hAnsi="Calibri"/>
      <w:iCs/>
      <w:color w:val="4F81BD"/>
      <w:sz w:val="20"/>
    </w:rPr>
  </w:style>
  <w:style w:type="paragraph" w:styleId="Ttulo7">
    <w:name w:val="heading 7"/>
    <w:basedOn w:val="Normal"/>
    <w:next w:val="Normal"/>
    <w:link w:val="Ttulo7Char"/>
    <w:uiPriority w:val="99"/>
    <w:qFormat/>
    <w:rsid w:val="00AE3B67"/>
    <w:pPr>
      <w:keepNext/>
      <w:keepLines/>
      <w:spacing w:before="100" w:after="100"/>
      <w:ind w:left="680"/>
      <w:outlineLvl w:val="6"/>
    </w:pPr>
    <w:rPr>
      <w:rFonts w:ascii="Calibri" w:hAnsi="Calibri"/>
      <w:i/>
      <w:iCs/>
      <w:color w:val="4F81BD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AE3B67"/>
    <w:pPr>
      <w:keepNext/>
      <w:keepLines/>
      <w:spacing w:before="200"/>
      <w:outlineLvl w:val="7"/>
    </w:pPr>
    <w:rPr>
      <w:rFonts w:ascii="Calibri" w:hAnsi="Calibri"/>
      <w:color w:val="363636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AE3B67"/>
    <w:pPr>
      <w:keepNext/>
      <w:keepLines/>
      <w:spacing w:before="200"/>
      <w:outlineLvl w:val="8"/>
    </w:pPr>
    <w:rPr>
      <w:rFonts w:ascii="Calibri" w:hAnsi="Calibri"/>
      <w:i/>
      <w:iCs/>
      <w:color w:val="36363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rsid w:val="00AE3B67"/>
    <w:rPr>
      <w:rFonts w:ascii="Lucida Grande" w:eastAsia="Cambria" w:hAnsi="Lucida Grande"/>
      <w:sz w:val="18"/>
      <w:szCs w:val="18"/>
    </w:rPr>
  </w:style>
  <w:style w:type="character" w:customStyle="1" w:styleId="BalloonTextChar">
    <w:name w:val="Balloon Text Char"/>
    <w:basedOn w:val="Fontepargpadro"/>
    <w:uiPriority w:val="99"/>
    <w:semiHidden/>
    <w:rsid w:val="00396E9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Fontepargpadro"/>
    <w:uiPriority w:val="99"/>
    <w:semiHidden/>
    <w:rsid w:val="00396E95"/>
    <w:rPr>
      <w:rFonts w:ascii="Lucida Grande" w:hAnsi="Lucida Grande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9"/>
    <w:locked/>
    <w:rsid w:val="00AE3B67"/>
    <w:rPr>
      <w:rFonts w:ascii="Calibri" w:hAnsi="Calibri" w:cs="Times New Roman"/>
      <w:b/>
      <w:bCs/>
      <w:smallCaps/>
      <w:color w:val="345A8A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locked/>
    <w:rsid w:val="00AE3B67"/>
    <w:rPr>
      <w:rFonts w:ascii="Calibri" w:hAnsi="Calibri" w:cs="Times New Roman"/>
      <w:b/>
      <w:bCs/>
      <w:smallCap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9"/>
    <w:locked/>
    <w:rsid w:val="00AE3B67"/>
    <w:rPr>
      <w:rFonts w:ascii="Calibri" w:hAnsi="Calibri" w:cs="Times New Roman"/>
      <w:b/>
      <w:bCs/>
      <w:color w:val="4F81BD"/>
      <w:sz w:val="28"/>
    </w:rPr>
  </w:style>
  <w:style w:type="character" w:customStyle="1" w:styleId="Ttulo4Char">
    <w:name w:val="Título 4 Char"/>
    <w:basedOn w:val="Fontepargpadro"/>
    <w:link w:val="Ttulo4"/>
    <w:uiPriority w:val="99"/>
    <w:locked/>
    <w:rsid w:val="00AE3B67"/>
    <w:rPr>
      <w:rFonts w:ascii="Calibri" w:hAnsi="Calibri" w:cs="Times New Roman"/>
      <w:b/>
      <w:bCs/>
      <w:iCs/>
      <w:color w:val="4F81BD"/>
    </w:rPr>
  </w:style>
  <w:style w:type="character" w:customStyle="1" w:styleId="Ttulo5Char">
    <w:name w:val="Título 5 Char"/>
    <w:basedOn w:val="Fontepargpadro"/>
    <w:link w:val="Ttulo5"/>
    <w:uiPriority w:val="99"/>
    <w:locked/>
    <w:rsid w:val="00AE3B67"/>
    <w:rPr>
      <w:rFonts w:ascii="Calibri" w:hAnsi="Calibri" w:cs="Times New Roman"/>
      <w:color w:val="4F81BD"/>
    </w:rPr>
  </w:style>
  <w:style w:type="character" w:customStyle="1" w:styleId="Ttulo6Char">
    <w:name w:val="Título 6 Char"/>
    <w:basedOn w:val="Fontepargpadro"/>
    <w:link w:val="Ttulo6"/>
    <w:uiPriority w:val="99"/>
    <w:locked/>
    <w:rsid w:val="00AE3B67"/>
    <w:rPr>
      <w:rFonts w:ascii="Calibri" w:hAnsi="Calibri" w:cs="Times New Roman"/>
      <w:iCs/>
      <w:color w:val="4F81BD"/>
      <w:sz w:val="20"/>
    </w:rPr>
  </w:style>
  <w:style w:type="character" w:customStyle="1" w:styleId="Ttulo7Char">
    <w:name w:val="Título 7 Char"/>
    <w:basedOn w:val="Fontepargpadro"/>
    <w:link w:val="Ttulo7"/>
    <w:uiPriority w:val="99"/>
    <w:locked/>
    <w:rsid w:val="00AE3B67"/>
    <w:rPr>
      <w:rFonts w:ascii="Calibri" w:hAnsi="Calibri" w:cs="Times New Roman"/>
      <w:i/>
      <w:iCs/>
      <w:color w:val="4F81BD"/>
      <w:sz w:val="20"/>
    </w:rPr>
  </w:style>
  <w:style w:type="character" w:customStyle="1" w:styleId="Ttulo8Char">
    <w:name w:val="Título 8 Char"/>
    <w:basedOn w:val="Fontepargpadro"/>
    <w:link w:val="Ttulo8"/>
    <w:uiPriority w:val="99"/>
    <w:locked/>
    <w:rsid w:val="00AE3B67"/>
    <w:rPr>
      <w:rFonts w:ascii="Calibri" w:hAnsi="Calibri" w:cs="Times New Roman"/>
      <w:color w:val="363636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9"/>
    <w:locked/>
    <w:rsid w:val="00AE3B67"/>
    <w:rPr>
      <w:rFonts w:ascii="Calibri" w:hAnsi="Calibri" w:cs="Times New Roman"/>
      <w:i/>
      <w:iCs/>
      <w:color w:val="363636"/>
      <w:sz w:val="20"/>
      <w:szCs w:val="20"/>
    </w:rPr>
  </w:style>
  <w:style w:type="character" w:customStyle="1" w:styleId="BalloonTextChar1">
    <w:name w:val="Balloon Text Char"/>
    <w:basedOn w:val="Fontepargpadro"/>
    <w:uiPriority w:val="99"/>
    <w:semiHidden/>
    <w:locked/>
    <w:rsid w:val="00AE3B67"/>
    <w:rPr>
      <w:rFonts w:ascii="Lucida Grande" w:hAnsi="Lucida Grande" w:cs="Times New Roman"/>
      <w:sz w:val="18"/>
      <w:szCs w:val="18"/>
    </w:rPr>
  </w:style>
  <w:style w:type="character" w:customStyle="1" w:styleId="BalloonTextChar2">
    <w:name w:val="Balloon Text Char2"/>
    <w:basedOn w:val="Fontepargpadro"/>
    <w:uiPriority w:val="99"/>
    <w:semiHidden/>
    <w:locked/>
    <w:rsid w:val="00AE3B67"/>
    <w:rPr>
      <w:rFonts w:ascii="Lucida Grande" w:hAnsi="Lucida Grande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AE3B67"/>
    <w:rPr>
      <w:rFonts w:ascii="Lucida Grande" w:hAnsi="Lucida Grande" w:cs="Times New Roman"/>
      <w:sz w:val="18"/>
      <w:szCs w:val="18"/>
    </w:rPr>
  </w:style>
  <w:style w:type="paragraph" w:styleId="Textodenotaderodap">
    <w:name w:val="footnote text"/>
    <w:basedOn w:val="Normal"/>
    <w:link w:val="TextodenotaderodapChar"/>
    <w:autoRedefine/>
    <w:rsid w:val="00634682"/>
    <w:pPr>
      <w:jc w:val="both"/>
    </w:pPr>
    <w:rPr>
      <w:rFonts w:ascii="Arial" w:eastAsia="Cambria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locked/>
    <w:rsid w:val="00634682"/>
    <w:rPr>
      <w:rFonts w:ascii="Arial" w:hAnsi="Arial"/>
      <w:sz w:val="20"/>
      <w:szCs w:val="24"/>
      <w:lang w:eastAsia="en-US"/>
    </w:rPr>
  </w:style>
  <w:style w:type="paragraph" w:styleId="PargrafodaLista">
    <w:name w:val="List Paragraph"/>
    <w:basedOn w:val="Normal"/>
    <w:uiPriority w:val="99"/>
    <w:qFormat/>
    <w:rsid w:val="002C6D00"/>
    <w:pPr>
      <w:ind w:left="720"/>
      <w:contextualSpacing/>
    </w:pPr>
    <w:rPr>
      <w:rFonts w:ascii="Arial" w:eastAsia="Cambria" w:hAnsi="Arial"/>
    </w:rPr>
  </w:style>
  <w:style w:type="character" w:styleId="Refdenotaderodap">
    <w:name w:val="footnote reference"/>
    <w:basedOn w:val="Fontepargpadro"/>
    <w:rsid w:val="00EE5FAE"/>
    <w:rPr>
      <w:rFonts w:cs="Times New Roman"/>
      <w:vertAlign w:val="superscript"/>
    </w:rPr>
  </w:style>
  <w:style w:type="paragraph" w:styleId="Rodap">
    <w:name w:val="footer"/>
    <w:basedOn w:val="Normal"/>
    <w:link w:val="RodapChar"/>
    <w:uiPriority w:val="99"/>
    <w:rsid w:val="00EE5FAE"/>
    <w:pPr>
      <w:tabs>
        <w:tab w:val="center" w:pos="4320"/>
        <w:tab w:val="right" w:pos="8640"/>
      </w:tabs>
    </w:pPr>
    <w:rPr>
      <w:rFonts w:ascii="Arial" w:eastAsia="Cambria" w:hAnsi="Arial"/>
    </w:rPr>
  </w:style>
  <w:style w:type="character" w:customStyle="1" w:styleId="RodapChar">
    <w:name w:val="Rodapé Char"/>
    <w:basedOn w:val="Fontepargpadro"/>
    <w:link w:val="Rodap"/>
    <w:uiPriority w:val="99"/>
    <w:locked/>
    <w:rsid w:val="00EE5FAE"/>
    <w:rPr>
      <w:rFonts w:ascii="Arial" w:hAnsi="Arial" w:cs="Times New Roman"/>
    </w:rPr>
  </w:style>
  <w:style w:type="character" w:styleId="Nmerodepgina">
    <w:name w:val="page number"/>
    <w:basedOn w:val="Fontepargpadro"/>
    <w:uiPriority w:val="99"/>
    <w:rsid w:val="00EE5FAE"/>
    <w:rPr>
      <w:rFonts w:cs="Times New Roman"/>
    </w:rPr>
  </w:style>
  <w:style w:type="character" w:styleId="Forte">
    <w:name w:val="Strong"/>
    <w:basedOn w:val="Fontepargpadro"/>
    <w:uiPriority w:val="99"/>
    <w:qFormat/>
    <w:locked/>
    <w:rsid w:val="008B36F6"/>
    <w:rPr>
      <w:b/>
    </w:rPr>
  </w:style>
  <w:style w:type="character" w:styleId="Refdecomentrio">
    <w:name w:val="annotation reference"/>
    <w:basedOn w:val="Fontepargpadro"/>
    <w:uiPriority w:val="99"/>
    <w:semiHidden/>
    <w:unhideWhenUsed/>
    <w:rsid w:val="00C677B5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677B5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677B5"/>
    <w:rPr>
      <w:rFonts w:eastAsia="Times New Roman"/>
      <w:sz w:val="24"/>
      <w:szCs w:val="24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677B5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677B5"/>
    <w:rPr>
      <w:rFonts w:eastAsia="Times New Roman"/>
      <w:b/>
      <w:bCs/>
      <w:sz w:val="20"/>
      <w:szCs w:val="20"/>
      <w:lang w:eastAsia="en-US"/>
    </w:rPr>
  </w:style>
  <w:style w:type="paragraph" w:styleId="NormalWeb">
    <w:name w:val="Normal (Web)"/>
    <w:basedOn w:val="Normal"/>
    <w:rsid w:val="00500254"/>
    <w:pPr>
      <w:spacing w:before="100" w:beforeAutospacing="1" w:after="100" w:afterAutospacing="1"/>
    </w:pPr>
    <w:rPr>
      <w:rFonts w:ascii="Times New Roman" w:hAnsi="Times New Roman"/>
      <w:lang w:eastAsia="pt-BR"/>
    </w:rPr>
  </w:style>
  <w:style w:type="paragraph" w:customStyle="1" w:styleId="Estilo1">
    <w:name w:val="Estilo1"/>
    <w:basedOn w:val="Normal"/>
    <w:rsid w:val="0050025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before="120"/>
      <w:jc w:val="both"/>
    </w:pPr>
    <w:rPr>
      <w:rFonts w:ascii="Arial" w:eastAsia="MS Mincho" w:hAnsi="Arial"/>
      <w:color w:val="000000"/>
      <w:sz w:val="22"/>
      <w:szCs w:val="22"/>
      <w:lang w:val="de-DE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pt-BR" w:eastAsia="pt-BR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B5B64"/>
    <w:rPr>
      <w:rFonts w:eastAsia="Times New Roman"/>
      <w:sz w:val="24"/>
      <w:szCs w:val="24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AE3B67"/>
    <w:pPr>
      <w:keepNext/>
      <w:keepLines/>
      <w:spacing w:before="480"/>
      <w:outlineLvl w:val="0"/>
    </w:pPr>
    <w:rPr>
      <w:rFonts w:ascii="Calibri" w:hAnsi="Calibri"/>
      <w:b/>
      <w:bCs/>
      <w:smallCaps/>
      <w:color w:val="345A8A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AE3B67"/>
    <w:pPr>
      <w:keepNext/>
      <w:keepLines/>
      <w:spacing w:before="200"/>
      <w:outlineLvl w:val="1"/>
    </w:pPr>
    <w:rPr>
      <w:rFonts w:ascii="Calibri" w:hAnsi="Calibri"/>
      <w:b/>
      <w:bCs/>
      <w:smallCaps/>
      <w:color w:val="4F81BD"/>
      <w:sz w:val="30"/>
      <w:szCs w:val="26"/>
    </w:rPr>
  </w:style>
  <w:style w:type="paragraph" w:styleId="Ttulo3">
    <w:name w:val="heading 3"/>
    <w:basedOn w:val="Normal"/>
    <w:next w:val="Normal"/>
    <w:link w:val="Ttulo3Char"/>
    <w:uiPriority w:val="99"/>
    <w:qFormat/>
    <w:rsid w:val="00AE3B67"/>
    <w:pPr>
      <w:keepNext/>
      <w:keepLines/>
      <w:spacing w:before="100" w:after="100"/>
      <w:ind w:left="227"/>
      <w:outlineLvl w:val="2"/>
    </w:pPr>
    <w:rPr>
      <w:rFonts w:ascii="Calibri" w:hAnsi="Calibri"/>
      <w:b/>
      <w:bCs/>
      <w:color w:val="4F81BD"/>
      <w:sz w:val="28"/>
    </w:rPr>
  </w:style>
  <w:style w:type="paragraph" w:styleId="Ttulo4">
    <w:name w:val="heading 4"/>
    <w:basedOn w:val="Normal"/>
    <w:next w:val="Normal"/>
    <w:link w:val="Ttulo4Char"/>
    <w:uiPriority w:val="99"/>
    <w:qFormat/>
    <w:rsid w:val="00AE3B67"/>
    <w:pPr>
      <w:keepNext/>
      <w:keepLines/>
      <w:spacing w:before="100" w:after="100"/>
      <w:ind w:left="340"/>
      <w:outlineLvl w:val="3"/>
    </w:pPr>
    <w:rPr>
      <w:rFonts w:ascii="Calibri" w:hAnsi="Calibri"/>
      <w:b/>
      <w:bCs/>
      <w:iCs/>
      <w:color w:val="4F81BD"/>
    </w:rPr>
  </w:style>
  <w:style w:type="paragraph" w:styleId="Ttulo5">
    <w:name w:val="heading 5"/>
    <w:basedOn w:val="Normal"/>
    <w:next w:val="Normal"/>
    <w:link w:val="Ttulo5Char"/>
    <w:uiPriority w:val="99"/>
    <w:qFormat/>
    <w:rsid w:val="00AE3B67"/>
    <w:pPr>
      <w:keepNext/>
      <w:keepLines/>
      <w:spacing w:before="100" w:after="100"/>
      <w:ind w:left="454"/>
      <w:outlineLvl w:val="4"/>
    </w:pPr>
    <w:rPr>
      <w:rFonts w:ascii="Calibri" w:hAnsi="Calibri"/>
      <w:color w:val="4F81BD"/>
    </w:rPr>
  </w:style>
  <w:style w:type="paragraph" w:styleId="Ttulo6">
    <w:name w:val="heading 6"/>
    <w:basedOn w:val="Normal"/>
    <w:next w:val="Normal"/>
    <w:link w:val="Ttulo6Char"/>
    <w:uiPriority w:val="99"/>
    <w:qFormat/>
    <w:rsid w:val="00AE3B67"/>
    <w:pPr>
      <w:keepNext/>
      <w:keepLines/>
      <w:spacing w:before="100" w:after="100"/>
      <w:ind w:left="567"/>
      <w:outlineLvl w:val="5"/>
    </w:pPr>
    <w:rPr>
      <w:rFonts w:ascii="Calibri" w:hAnsi="Calibri"/>
      <w:iCs/>
      <w:color w:val="4F81BD"/>
      <w:sz w:val="20"/>
    </w:rPr>
  </w:style>
  <w:style w:type="paragraph" w:styleId="Ttulo7">
    <w:name w:val="heading 7"/>
    <w:basedOn w:val="Normal"/>
    <w:next w:val="Normal"/>
    <w:link w:val="Ttulo7Char"/>
    <w:uiPriority w:val="99"/>
    <w:qFormat/>
    <w:rsid w:val="00AE3B67"/>
    <w:pPr>
      <w:keepNext/>
      <w:keepLines/>
      <w:spacing w:before="100" w:after="100"/>
      <w:ind w:left="680"/>
      <w:outlineLvl w:val="6"/>
    </w:pPr>
    <w:rPr>
      <w:rFonts w:ascii="Calibri" w:hAnsi="Calibri"/>
      <w:i/>
      <w:iCs/>
      <w:color w:val="4F81BD"/>
      <w:sz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AE3B67"/>
    <w:pPr>
      <w:keepNext/>
      <w:keepLines/>
      <w:spacing w:before="200"/>
      <w:outlineLvl w:val="7"/>
    </w:pPr>
    <w:rPr>
      <w:rFonts w:ascii="Calibri" w:hAnsi="Calibri"/>
      <w:color w:val="363636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9"/>
    <w:qFormat/>
    <w:rsid w:val="00AE3B67"/>
    <w:pPr>
      <w:keepNext/>
      <w:keepLines/>
      <w:spacing w:before="200"/>
      <w:outlineLvl w:val="8"/>
    </w:pPr>
    <w:rPr>
      <w:rFonts w:ascii="Calibri" w:hAnsi="Calibri"/>
      <w:i/>
      <w:iCs/>
      <w:color w:val="36363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rsid w:val="00AE3B67"/>
    <w:rPr>
      <w:rFonts w:ascii="Lucida Grande" w:eastAsia="Cambria" w:hAnsi="Lucida Grande"/>
      <w:sz w:val="18"/>
      <w:szCs w:val="18"/>
    </w:rPr>
  </w:style>
  <w:style w:type="character" w:customStyle="1" w:styleId="BalloonTextChar">
    <w:name w:val="Balloon Text Char"/>
    <w:basedOn w:val="Fontepargpadro"/>
    <w:uiPriority w:val="99"/>
    <w:semiHidden/>
    <w:rsid w:val="00396E95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Fontepargpadro"/>
    <w:uiPriority w:val="99"/>
    <w:semiHidden/>
    <w:rsid w:val="00396E95"/>
    <w:rPr>
      <w:rFonts w:ascii="Lucida Grande" w:hAnsi="Lucida Grande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9"/>
    <w:locked/>
    <w:rsid w:val="00AE3B67"/>
    <w:rPr>
      <w:rFonts w:ascii="Calibri" w:hAnsi="Calibri" w:cs="Times New Roman"/>
      <w:b/>
      <w:bCs/>
      <w:smallCaps/>
      <w:color w:val="345A8A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locked/>
    <w:rsid w:val="00AE3B67"/>
    <w:rPr>
      <w:rFonts w:ascii="Calibri" w:hAnsi="Calibri" w:cs="Times New Roman"/>
      <w:b/>
      <w:bCs/>
      <w:smallCap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9"/>
    <w:locked/>
    <w:rsid w:val="00AE3B67"/>
    <w:rPr>
      <w:rFonts w:ascii="Calibri" w:hAnsi="Calibri" w:cs="Times New Roman"/>
      <w:b/>
      <w:bCs/>
      <w:color w:val="4F81BD"/>
      <w:sz w:val="28"/>
    </w:rPr>
  </w:style>
  <w:style w:type="character" w:customStyle="1" w:styleId="Ttulo4Char">
    <w:name w:val="Título 4 Char"/>
    <w:basedOn w:val="Fontepargpadro"/>
    <w:link w:val="Ttulo4"/>
    <w:uiPriority w:val="99"/>
    <w:locked/>
    <w:rsid w:val="00AE3B67"/>
    <w:rPr>
      <w:rFonts w:ascii="Calibri" w:hAnsi="Calibri" w:cs="Times New Roman"/>
      <w:b/>
      <w:bCs/>
      <w:iCs/>
      <w:color w:val="4F81BD"/>
    </w:rPr>
  </w:style>
  <w:style w:type="character" w:customStyle="1" w:styleId="Ttulo5Char">
    <w:name w:val="Título 5 Char"/>
    <w:basedOn w:val="Fontepargpadro"/>
    <w:link w:val="Ttulo5"/>
    <w:uiPriority w:val="99"/>
    <w:locked/>
    <w:rsid w:val="00AE3B67"/>
    <w:rPr>
      <w:rFonts w:ascii="Calibri" w:hAnsi="Calibri" w:cs="Times New Roman"/>
      <w:color w:val="4F81BD"/>
    </w:rPr>
  </w:style>
  <w:style w:type="character" w:customStyle="1" w:styleId="Ttulo6Char">
    <w:name w:val="Título 6 Char"/>
    <w:basedOn w:val="Fontepargpadro"/>
    <w:link w:val="Ttulo6"/>
    <w:uiPriority w:val="99"/>
    <w:locked/>
    <w:rsid w:val="00AE3B67"/>
    <w:rPr>
      <w:rFonts w:ascii="Calibri" w:hAnsi="Calibri" w:cs="Times New Roman"/>
      <w:iCs/>
      <w:color w:val="4F81BD"/>
      <w:sz w:val="20"/>
    </w:rPr>
  </w:style>
  <w:style w:type="character" w:customStyle="1" w:styleId="Ttulo7Char">
    <w:name w:val="Título 7 Char"/>
    <w:basedOn w:val="Fontepargpadro"/>
    <w:link w:val="Ttulo7"/>
    <w:uiPriority w:val="99"/>
    <w:locked/>
    <w:rsid w:val="00AE3B67"/>
    <w:rPr>
      <w:rFonts w:ascii="Calibri" w:hAnsi="Calibri" w:cs="Times New Roman"/>
      <w:i/>
      <w:iCs/>
      <w:color w:val="4F81BD"/>
      <w:sz w:val="20"/>
    </w:rPr>
  </w:style>
  <w:style w:type="character" w:customStyle="1" w:styleId="Ttulo8Char">
    <w:name w:val="Título 8 Char"/>
    <w:basedOn w:val="Fontepargpadro"/>
    <w:link w:val="Ttulo8"/>
    <w:uiPriority w:val="99"/>
    <w:locked/>
    <w:rsid w:val="00AE3B67"/>
    <w:rPr>
      <w:rFonts w:ascii="Calibri" w:hAnsi="Calibri" w:cs="Times New Roman"/>
      <w:color w:val="363636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9"/>
    <w:locked/>
    <w:rsid w:val="00AE3B67"/>
    <w:rPr>
      <w:rFonts w:ascii="Calibri" w:hAnsi="Calibri" w:cs="Times New Roman"/>
      <w:i/>
      <w:iCs/>
      <w:color w:val="363636"/>
      <w:sz w:val="20"/>
      <w:szCs w:val="20"/>
    </w:rPr>
  </w:style>
  <w:style w:type="character" w:customStyle="1" w:styleId="BalloonTextChar1">
    <w:name w:val="Balloon Text Char"/>
    <w:basedOn w:val="Fontepargpadro"/>
    <w:uiPriority w:val="99"/>
    <w:semiHidden/>
    <w:locked/>
    <w:rsid w:val="00AE3B67"/>
    <w:rPr>
      <w:rFonts w:ascii="Lucida Grande" w:hAnsi="Lucida Grande" w:cs="Times New Roman"/>
      <w:sz w:val="18"/>
      <w:szCs w:val="18"/>
    </w:rPr>
  </w:style>
  <w:style w:type="character" w:customStyle="1" w:styleId="BalloonTextChar2">
    <w:name w:val="Balloon Text Char2"/>
    <w:basedOn w:val="Fontepargpadro"/>
    <w:uiPriority w:val="99"/>
    <w:semiHidden/>
    <w:locked/>
    <w:rsid w:val="00AE3B67"/>
    <w:rPr>
      <w:rFonts w:ascii="Lucida Grande" w:hAnsi="Lucida Grande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AE3B67"/>
    <w:rPr>
      <w:rFonts w:ascii="Lucida Grande" w:hAnsi="Lucida Grande" w:cs="Times New Roman"/>
      <w:sz w:val="18"/>
      <w:szCs w:val="18"/>
    </w:rPr>
  </w:style>
  <w:style w:type="paragraph" w:styleId="Textodenotaderodap">
    <w:name w:val="footnote text"/>
    <w:basedOn w:val="Normal"/>
    <w:link w:val="TextodenotaderodapChar"/>
    <w:autoRedefine/>
    <w:rsid w:val="00634682"/>
    <w:pPr>
      <w:jc w:val="both"/>
    </w:pPr>
    <w:rPr>
      <w:rFonts w:ascii="Arial" w:eastAsia="Cambria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locked/>
    <w:rsid w:val="00634682"/>
    <w:rPr>
      <w:rFonts w:ascii="Arial" w:hAnsi="Arial"/>
      <w:sz w:val="20"/>
      <w:szCs w:val="24"/>
      <w:lang w:eastAsia="en-US"/>
    </w:rPr>
  </w:style>
  <w:style w:type="paragraph" w:styleId="PargrafodaLista">
    <w:name w:val="List Paragraph"/>
    <w:basedOn w:val="Normal"/>
    <w:uiPriority w:val="99"/>
    <w:qFormat/>
    <w:rsid w:val="002C6D00"/>
    <w:pPr>
      <w:ind w:left="720"/>
      <w:contextualSpacing/>
    </w:pPr>
    <w:rPr>
      <w:rFonts w:ascii="Arial" w:eastAsia="Cambria" w:hAnsi="Arial"/>
    </w:rPr>
  </w:style>
  <w:style w:type="character" w:styleId="Refdenotaderodap">
    <w:name w:val="footnote reference"/>
    <w:basedOn w:val="Fontepargpadro"/>
    <w:rsid w:val="00EE5FAE"/>
    <w:rPr>
      <w:rFonts w:cs="Times New Roman"/>
      <w:vertAlign w:val="superscript"/>
    </w:rPr>
  </w:style>
  <w:style w:type="paragraph" w:styleId="Rodap">
    <w:name w:val="footer"/>
    <w:basedOn w:val="Normal"/>
    <w:link w:val="RodapChar"/>
    <w:uiPriority w:val="99"/>
    <w:rsid w:val="00EE5FAE"/>
    <w:pPr>
      <w:tabs>
        <w:tab w:val="center" w:pos="4320"/>
        <w:tab w:val="right" w:pos="8640"/>
      </w:tabs>
    </w:pPr>
    <w:rPr>
      <w:rFonts w:ascii="Arial" w:eastAsia="Cambria" w:hAnsi="Arial"/>
    </w:rPr>
  </w:style>
  <w:style w:type="character" w:customStyle="1" w:styleId="RodapChar">
    <w:name w:val="Rodapé Char"/>
    <w:basedOn w:val="Fontepargpadro"/>
    <w:link w:val="Rodap"/>
    <w:uiPriority w:val="99"/>
    <w:locked/>
    <w:rsid w:val="00EE5FAE"/>
    <w:rPr>
      <w:rFonts w:ascii="Arial" w:hAnsi="Arial" w:cs="Times New Roman"/>
    </w:rPr>
  </w:style>
  <w:style w:type="character" w:styleId="Nmerodepgina">
    <w:name w:val="page number"/>
    <w:basedOn w:val="Fontepargpadro"/>
    <w:uiPriority w:val="99"/>
    <w:rsid w:val="00EE5FAE"/>
    <w:rPr>
      <w:rFonts w:cs="Times New Roman"/>
    </w:rPr>
  </w:style>
  <w:style w:type="character" w:styleId="Forte">
    <w:name w:val="Strong"/>
    <w:basedOn w:val="Fontepargpadro"/>
    <w:uiPriority w:val="99"/>
    <w:qFormat/>
    <w:locked/>
    <w:rsid w:val="008B36F6"/>
    <w:rPr>
      <w:b/>
    </w:rPr>
  </w:style>
  <w:style w:type="character" w:styleId="Refdecomentrio">
    <w:name w:val="annotation reference"/>
    <w:basedOn w:val="Fontepargpadro"/>
    <w:uiPriority w:val="99"/>
    <w:semiHidden/>
    <w:unhideWhenUsed/>
    <w:rsid w:val="00C677B5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677B5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677B5"/>
    <w:rPr>
      <w:rFonts w:eastAsia="Times New Roman"/>
      <w:sz w:val="24"/>
      <w:szCs w:val="24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677B5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677B5"/>
    <w:rPr>
      <w:rFonts w:eastAsia="Times New Roman"/>
      <w:b/>
      <w:bCs/>
      <w:sz w:val="20"/>
      <w:szCs w:val="20"/>
      <w:lang w:eastAsia="en-US"/>
    </w:rPr>
  </w:style>
  <w:style w:type="paragraph" w:styleId="NormalWeb">
    <w:name w:val="Normal (Web)"/>
    <w:basedOn w:val="Normal"/>
    <w:rsid w:val="00500254"/>
    <w:pPr>
      <w:spacing w:before="100" w:beforeAutospacing="1" w:after="100" w:afterAutospacing="1"/>
    </w:pPr>
    <w:rPr>
      <w:rFonts w:ascii="Times New Roman" w:hAnsi="Times New Roman"/>
      <w:lang w:eastAsia="pt-BR"/>
    </w:rPr>
  </w:style>
  <w:style w:type="paragraph" w:customStyle="1" w:styleId="Estilo1">
    <w:name w:val="Estilo1"/>
    <w:basedOn w:val="Normal"/>
    <w:rsid w:val="0050025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before="120"/>
      <w:jc w:val="both"/>
    </w:pPr>
    <w:rPr>
      <w:rFonts w:ascii="Arial" w:eastAsia="MS Mincho" w:hAnsi="Arial"/>
      <w:color w:val="000000"/>
      <w:sz w:val="22"/>
      <w:szCs w:val="22"/>
      <w:lang w:val="de-DE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5309</Words>
  <Characters>28670</Characters>
  <Application>Microsoft Office Word</Application>
  <DocSecurity>0</DocSecurity>
  <Lines>238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 - A DISPOSIÇÃO EDITALÍCIA FORMULADA E SEU QUESTIONAMENTO</vt:lpstr>
    </vt:vector>
  </TitlesOfParts>
  <LinksUpToDate>false</LinksUpToDate>
  <CharactersWithSpaces>33912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2013-06-27T00:04:00Z</dcterms:created>
  <dcterms:modified xsi:type="dcterms:W3CDTF">2013-06-27T00:04:00Z</dcterms:modified>
</cp:coreProperties>
</file>