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13" w:rsidRPr="00806CC0" w:rsidRDefault="00300F13" w:rsidP="00300F13">
      <w:pPr>
        <w:pStyle w:val="Default"/>
        <w:rPr>
          <w:b/>
        </w:rPr>
      </w:pPr>
      <w:r w:rsidRPr="00806CC0">
        <w:rPr>
          <w:b/>
        </w:rPr>
        <w:t>SUPERINTENDÊNCIA DE ADMINISTRAÇÃO E FINANÇAS – SAF</w:t>
      </w:r>
    </w:p>
    <w:p w:rsidR="00300F13" w:rsidRPr="00806CC0" w:rsidRDefault="00300F13" w:rsidP="00300F13">
      <w:pPr>
        <w:pStyle w:val="Default"/>
        <w:rPr>
          <w:b/>
          <w:bCs/>
        </w:rPr>
      </w:pPr>
      <w:r w:rsidRPr="00806CC0">
        <w:t>Gerência de Gestão de Pessoas – GGEP</w:t>
      </w:r>
    </w:p>
    <w:p w:rsidR="00300F13" w:rsidRPr="00806CC0" w:rsidRDefault="00300F13" w:rsidP="00300F13">
      <w:pPr>
        <w:pStyle w:val="Default"/>
        <w:jc w:val="center"/>
        <w:rPr>
          <w:b/>
          <w:bCs/>
        </w:rPr>
      </w:pPr>
    </w:p>
    <w:p w:rsidR="00300F13" w:rsidRDefault="00300F13" w:rsidP="00300F13">
      <w:pPr>
        <w:spacing w:after="0" w:line="240" w:lineRule="auto"/>
        <w:jc w:val="center"/>
        <w:rPr>
          <w:rFonts w:cs="Calibri"/>
          <w:b/>
          <w:sz w:val="24"/>
          <w:szCs w:val="24"/>
        </w:rPr>
      </w:pPr>
    </w:p>
    <w:p w:rsidR="00300F13" w:rsidRDefault="00D15588" w:rsidP="00BF5A75">
      <w:pPr>
        <w:spacing w:after="0" w:line="240" w:lineRule="auto"/>
        <w:jc w:val="center"/>
        <w:rPr>
          <w:rFonts w:ascii="Times New Roman" w:hAnsi="Times New Roman"/>
          <w:b/>
          <w:sz w:val="24"/>
          <w:szCs w:val="24"/>
        </w:rPr>
      </w:pPr>
      <w:r w:rsidRPr="00D15588">
        <w:rPr>
          <w:rFonts w:cs="Calibri"/>
          <w:b/>
          <w:sz w:val="24"/>
          <w:szCs w:val="24"/>
        </w:rPr>
        <w:t>DECLARAÇÃO DE ACUMULAÇÃO DE CARGOS</w:t>
      </w:r>
    </w:p>
    <w:p w:rsidR="00D15588" w:rsidRDefault="00D15588" w:rsidP="00D15588">
      <w:pPr>
        <w:spacing w:after="0" w:line="240" w:lineRule="auto"/>
        <w:jc w:val="center"/>
        <w:rPr>
          <w:rFonts w:ascii="Times New Roman" w:hAnsi="Times New Roman"/>
          <w:b/>
          <w:sz w:val="24"/>
          <w:szCs w:val="24"/>
        </w:rPr>
      </w:pPr>
    </w:p>
    <w:tbl>
      <w:tblPr>
        <w:tblStyle w:val="Tabelacomgrade"/>
        <w:tblW w:w="9781" w:type="dxa"/>
        <w:tblInd w:w="108" w:type="dxa"/>
        <w:tblLook w:val="04A0"/>
      </w:tblPr>
      <w:tblGrid>
        <w:gridCol w:w="6081"/>
        <w:gridCol w:w="3700"/>
      </w:tblGrid>
      <w:tr w:rsidR="00D15588" w:rsidRPr="00F70F1B" w:rsidTr="00F70F1B">
        <w:trPr>
          <w:trHeight w:hRule="exact" w:val="680"/>
        </w:trPr>
        <w:tc>
          <w:tcPr>
            <w:tcW w:w="6081" w:type="dxa"/>
            <w:tcBorders>
              <w:top w:val="nil"/>
              <w:left w:val="nil"/>
              <w:bottom w:val="single" w:sz="8" w:space="0" w:color="FFFFFF" w:themeColor="background1"/>
              <w:right w:val="single" w:sz="8" w:space="0" w:color="FFFFFF" w:themeColor="background1"/>
            </w:tcBorders>
            <w:shd w:val="clear" w:color="auto" w:fill="F2F2F2" w:themeFill="background1" w:themeFillShade="F2"/>
          </w:tcPr>
          <w:p w:rsidR="00D15588" w:rsidRPr="00F70F1B" w:rsidRDefault="00D15588" w:rsidP="00F70F1B">
            <w:pPr>
              <w:spacing w:before="40" w:after="0" w:line="240" w:lineRule="auto"/>
              <w:rPr>
                <w:rFonts w:cs="Calibri"/>
                <w:sz w:val="20"/>
                <w:szCs w:val="20"/>
              </w:rPr>
            </w:pPr>
            <w:r w:rsidRPr="00F70F1B">
              <w:rPr>
                <w:rFonts w:cs="Calibri"/>
                <w:sz w:val="20"/>
                <w:szCs w:val="20"/>
              </w:rPr>
              <w:t>NOME:</w:t>
            </w:r>
          </w:p>
        </w:tc>
        <w:tc>
          <w:tcPr>
            <w:tcW w:w="3700" w:type="dxa"/>
            <w:tcBorders>
              <w:top w:val="nil"/>
              <w:left w:val="single" w:sz="8" w:space="0" w:color="FFFFFF" w:themeColor="background1"/>
              <w:bottom w:val="single" w:sz="8" w:space="0" w:color="FFFFFF" w:themeColor="background1"/>
              <w:right w:val="nil"/>
            </w:tcBorders>
            <w:shd w:val="clear" w:color="auto" w:fill="F2F2F2" w:themeFill="background1" w:themeFillShade="F2"/>
          </w:tcPr>
          <w:p w:rsidR="00D15588" w:rsidRPr="00F70F1B" w:rsidRDefault="00D15588" w:rsidP="00F70F1B">
            <w:pPr>
              <w:spacing w:before="40" w:after="0" w:line="240" w:lineRule="auto"/>
              <w:rPr>
                <w:rFonts w:cs="Calibri"/>
                <w:sz w:val="20"/>
                <w:szCs w:val="20"/>
              </w:rPr>
            </w:pPr>
            <w:r w:rsidRPr="00F70F1B">
              <w:rPr>
                <w:rFonts w:cs="Calibri"/>
                <w:sz w:val="20"/>
                <w:szCs w:val="20"/>
              </w:rPr>
              <w:t>CPF:</w:t>
            </w:r>
          </w:p>
        </w:tc>
      </w:tr>
      <w:tr w:rsidR="00D15588" w:rsidRPr="00F70F1B" w:rsidTr="00F70F1B">
        <w:trPr>
          <w:trHeight w:hRule="exact" w:val="680"/>
        </w:trPr>
        <w:tc>
          <w:tcPr>
            <w:tcW w:w="6081" w:type="dxa"/>
            <w:tcBorders>
              <w:top w:val="single" w:sz="8" w:space="0" w:color="FFFFFF" w:themeColor="background1"/>
              <w:left w:val="nil"/>
              <w:bottom w:val="single" w:sz="8" w:space="0" w:color="FFFFFF" w:themeColor="background1"/>
              <w:right w:val="single" w:sz="8" w:space="0" w:color="FFFFFF" w:themeColor="background1"/>
            </w:tcBorders>
            <w:shd w:val="clear" w:color="auto" w:fill="F2F2F2" w:themeFill="background1" w:themeFillShade="F2"/>
          </w:tcPr>
          <w:p w:rsidR="00D15588" w:rsidRPr="00F70F1B" w:rsidRDefault="00D15588" w:rsidP="00F70F1B">
            <w:pPr>
              <w:spacing w:before="40" w:after="0" w:line="240" w:lineRule="auto"/>
              <w:rPr>
                <w:rFonts w:cs="Calibri"/>
                <w:sz w:val="20"/>
                <w:szCs w:val="20"/>
              </w:rPr>
            </w:pPr>
            <w:r w:rsidRPr="00F70F1B">
              <w:rPr>
                <w:rFonts w:cs="Calibri"/>
                <w:sz w:val="20"/>
                <w:szCs w:val="20"/>
              </w:rPr>
              <w:t>TELEFONE:</w:t>
            </w:r>
          </w:p>
        </w:tc>
        <w:tc>
          <w:tcPr>
            <w:tcW w:w="3700" w:type="dxa"/>
            <w:tcBorders>
              <w:top w:val="single" w:sz="8" w:space="0" w:color="FFFFFF" w:themeColor="background1"/>
              <w:left w:val="single" w:sz="8" w:space="0" w:color="FFFFFF" w:themeColor="background1"/>
              <w:bottom w:val="single" w:sz="8" w:space="0" w:color="FFFFFF" w:themeColor="background1"/>
              <w:right w:val="nil"/>
            </w:tcBorders>
            <w:shd w:val="clear" w:color="auto" w:fill="F2F2F2" w:themeFill="background1" w:themeFillShade="F2"/>
          </w:tcPr>
          <w:p w:rsidR="00D15588" w:rsidRPr="00F70F1B" w:rsidRDefault="00D15588" w:rsidP="00F70F1B">
            <w:pPr>
              <w:spacing w:before="40" w:after="0" w:line="240" w:lineRule="auto"/>
              <w:rPr>
                <w:rFonts w:cs="Calibri"/>
                <w:sz w:val="20"/>
                <w:szCs w:val="20"/>
              </w:rPr>
            </w:pPr>
            <w:r w:rsidRPr="00F70F1B">
              <w:rPr>
                <w:rFonts w:cs="Calibri"/>
                <w:sz w:val="20"/>
                <w:szCs w:val="20"/>
              </w:rPr>
              <w:t>E-MAIL:</w:t>
            </w:r>
          </w:p>
        </w:tc>
      </w:tr>
      <w:tr w:rsidR="00D15588" w:rsidRPr="00F70F1B" w:rsidTr="00F70F1B">
        <w:trPr>
          <w:trHeight w:hRule="exact" w:val="680"/>
        </w:trPr>
        <w:tc>
          <w:tcPr>
            <w:tcW w:w="9781" w:type="dxa"/>
            <w:gridSpan w:val="2"/>
            <w:tcBorders>
              <w:top w:val="single" w:sz="8" w:space="0" w:color="FFFFFF" w:themeColor="background1"/>
              <w:left w:val="nil"/>
              <w:bottom w:val="nil"/>
              <w:right w:val="nil"/>
            </w:tcBorders>
            <w:shd w:val="clear" w:color="auto" w:fill="F2F2F2" w:themeFill="background1" w:themeFillShade="F2"/>
          </w:tcPr>
          <w:p w:rsidR="00D15588" w:rsidRPr="00F70F1B" w:rsidRDefault="00D15588" w:rsidP="00F70F1B">
            <w:pPr>
              <w:spacing w:before="40" w:after="0" w:line="240" w:lineRule="auto"/>
              <w:rPr>
                <w:rFonts w:cs="Calibri"/>
                <w:sz w:val="20"/>
                <w:szCs w:val="20"/>
              </w:rPr>
            </w:pPr>
            <w:r w:rsidRPr="00F70F1B">
              <w:rPr>
                <w:rFonts w:cs="Calibri"/>
                <w:sz w:val="20"/>
                <w:szCs w:val="20"/>
              </w:rPr>
              <w:t>CARGO / FUNÇÃO:</w:t>
            </w:r>
          </w:p>
        </w:tc>
      </w:tr>
    </w:tbl>
    <w:p w:rsidR="00D15588" w:rsidRDefault="00D15588" w:rsidP="00F70F1B">
      <w:pPr>
        <w:spacing w:after="0" w:line="240" w:lineRule="auto"/>
        <w:ind w:left="284"/>
        <w:rPr>
          <w:rFonts w:cs="Calibri"/>
          <w:b/>
          <w:sz w:val="24"/>
          <w:szCs w:val="24"/>
        </w:rPr>
      </w:pPr>
    </w:p>
    <w:tbl>
      <w:tblPr>
        <w:tblStyle w:val="Tabelacomgrade"/>
        <w:tblW w:w="0" w:type="auto"/>
        <w:tblInd w:w="108" w:type="dxa"/>
        <w:tblLook w:val="04A0"/>
      </w:tblPr>
      <w:tblGrid>
        <w:gridCol w:w="9746"/>
      </w:tblGrid>
      <w:tr w:rsidR="004B2ECF" w:rsidTr="003149AD">
        <w:tc>
          <w:tcPr>
            <w:tcW w:w="9746" w:type="dxa"/>
            <w:tcBorders>
              <w:top w:val="nil"/>
              <w:left w:val="nil"/>
              <w:bottom w:val="nil"/>
              <w:right w:val="nil"/>
            </w:tcBorders>
            <w:shd w:val="clear" w:color="auto" w:fill="F2F2F2" w:themeFill="background1" w:themeFillShade="F2"/>
          </w:tcPr>
          <w:p w:rsidR="004B2ECF" w:rsidRDefault="004B2ECF" w:rsidP="004B2ECF">
            <w:pPr>
              <w:spacing w:after="0" w:line="240" w:lineRule="auto"/>
              <w:ind w:left="142"/>
              <w:rPr>
                <w:rFonts w:cs="Calibri"/>
                <w:b/>
                <w:sz w:val="24"/>
              </w:rPr>
            </w:pPr>
          </w:p>
          <w:p w:rsidR="004B2ECF" w:rsidRPr="00F70F1B" w:rsidRDefault="000B4776" w:rsidP="003149AD">
            <w:pPr>
              <w:spacing w:after="0" w:line="240" w:lineRule="auto"/>
              <w:jc w:val="both"/>
              <w:rPr>
                <w:rFonts w:cs="Calibri"/>
                <w:b/>
                <w:sz w:val="24"/>
              </w:rPr>
            </w:pPr>
            <w:r w:rsidRPr="000B4776">
              <w:rPr>
                <w:rFonts w:cs="Calibri"/>
                <w:sz w:val="24"/>
              </w:rPr>
            </w:r>
            <w:r w:rsidRPr="000B4776">
              <w:rPr>
                <w:rFonts w:cs="Calibri"/>
                <w:sz w:val="24"/>
              </w:rPr>
              <w:pict>
                <v:rect id="_x0000_s2055" style="width:5.35pt;height:7.15pt;mso-position-horizontal-relative:char;mso-position-vertical-relative:line">
                  <w10:wrap type="none"/>
                  <w10:anchorlock/>
                </v:rect>
              </w:pict>
            </w:r>
            <w:r w:rsidR="00C001FD">
              <w:rPr>
                <w:rFonts w:cs="Calibri"/>
                <w:sz w:val="24"/>
              </w:rPr>
              <w:t xml:space="preserve"> </w:t>
            </w:r>
            <w:r w:rsidR="004B2ECF" w:rsidRPr="00F70F1B">
              <w:rPr>
                <w:rFonts w:cs="Calibri"/>
                <w:b/>
                <w:sz w:val="24"/>
              </w:rPr>
              <w:t>Declaração de não acumulação de cargos:</w:t>
            </w:r>
          </w:p>
          <w:p w:rsidR="004B2ECF" w:rsidRPr="00F70F1B" w:rsidRDefault="004B2ECF" w:rsidP="003149AD">
            <w:pPr>
              <w:spacing w:after="0" w:line="240" w:lineRule="auto"/>
              <w:jc w:val="both"/>
              <w:rPr>
                <w:rFonts w:cs="Calibri"/>
                <w:sz w:val="24"/>
              </w:rPr>
            </w:pPr>
            <w:r w:rsidRPr="00F70F1B">
              <w:rPr>
                <w:rFonts w:cs="Calibri"/>
                <w:sz w:val="24"/>
              </w:rPr>
              <w:t xml:space="preserve">Declaro, nos termos do § 3º do art. 70, da Lei nº 10.233, de </w:t>
            </w:r>
            <w:proofErr w:type="gramStart"/>
            <w:r w:rsidRPr="00F70F1B">
              <w:rPr>
                <w:rFonts w:cs="Calibri"/>
                <w:sz w:val="24"/>
              </w:rPr>
              <w:t>5</w:t>
            </w:r>
            <w:proofErr w:type="gramEnd"/>
            <w:r w:rsidRPr="00F70F1B">
              <w:rPr>
                <w:rFonts w:cs="Calibri"/>
                <w:sz w:val="24"/>
              </w:rPr>
              <w:t xml:space="preserve"> de junho de 2001, com a redação dada pelo art. 35 da Lei nº 10.871, de 20 de maio de 2004, que não exerço outra atividade profissional, inclusive gestão operacional de empresa ou direção político-partidária, desde a minha posse no cargo comissionado </w:t>
            </w:r>
            <w:r w:rsidR="000B4776">
              <w:rPr>
                <w:rFonts w:cs="Calibri"/>
                <w:sz w:val="24"/>
              </w:rPr>
            </w:r>
            <w:r w:rsidR="000B4776">
              <w:rPr>
                <w:rFonts w:cs="Calibri"/>
                <w:sz w:val="24"/>
              </w:rPr>
              <w:pict>
                <v:rect id="_x0000_s2054" style="width:5.35pt;height:7.15pt;mso-position-horizontal-relative:char;mso-position-vertical-relative:line">
                  <w10:wrap type="none"/>
                  <w10:anchorlock/>
                </v:rect>
              </w:pict>
            </w:r>
            <w:r w:rsidR="00C001FD">
              <w:rPr>
                <w:rFonts w:cs="Calibri"/>
                <w:sz w:val="24"/>
              </w:rPr>
              <w:t xml:space="preserve"> </w:t>
            </w:r>
            <w:r w:rsidRPr="00F70F1B">
              <w:rPr>
                <w:rFonts w:cs="Calibri"/>
                <w:sz w:val="24"/>
              </w:rPr>
              <w:t>e / ou no cargo efetivo</w:t>
            </w:r>
            <w:r w:rsidR="00C001FD">
              <w:rPr>
                <w:rFonts w:cs="Calibri"/>
                <w:sz w:val="24"/>
              </w:rPr>
              <w:t xml:space="preserve"> </w:t>
            </w:r>
            <w:r w:rsidR="000B4776">
              <w:rPr>
                <w:rFonts w:cs="Calibri"/>
                <w:sz w:val="24"/>
              </w:rPr>
            </w:r>
            <w:r w:rsidR="000B4776">
              <w:rPr>
                <w:rFonts w:cs="Calibri"/>
                <w:sz w:val="24"/>
              </w:rPr>
              <w:pict>
                <v:rect id="_x0000_s2053" style="width:5.35pt;height:7.15pt;mso-position-horizontal-relative:char;mso-position-vertical-relative:line">
                  <w10:wrap type="none"/>
                  <w10:anchorlock/>
                </v:rect>
              </w:pict>
            </w:r>
            <w:r w:rsidRPr="00F70F1B">
              <w:rPr>
                <w:rFonts w:cs="Calibri"/>
                <w:sz w:val="24"/>
              </w:rPr>
              <w:t xml:space="preserve"> que exerço nesta Agência.</w:t>
            </w:r>
          </w:p>
          <w:p w:rsidR="004B2ECF" w:rsidRPr="00F70F1B" w:rsidRDefault="004B2ECF" w:rsidP="003149AD">
            <w:pPr>
              <w:spacing w:after="0" w:line="240" w:lineRule="auto"/>
              <w:jc w:val="both"/>
              <w:rPr>
                <w:rFonts w:cs="Calibri"/>
                <w:sz w:val="24"/>
              </w:rPr>
            </w:pPr>
          </w:p>
          <w:p w:rsidR="004B2ECF" w:rsidRPr="00F70F1B" w:rsidRDefault="000B4776" w:rsidP="003149AD">
            <w:pPr>
              <w:spacing w:after="0" w:line="240" w:lineRule="auto"/>
              <w:jc w:val="both"/>
              <w:rPr>
                <w:rFonts w:cs="Calibri"/>
                <w:b/>
                <w:sz w:val="24"/>
              </w:rPr>
            </w:pPr>
            <w:r w:rsidRPr="000B4776">
              <w:rPr>
                <w:rFonts w:cs="Calibri"/>
                <w:sz w:val="24"/>
              </w:rPr>
            </w:r>
            <w:r w:rsidRPr="000B4776">
              <w:rPr>
                <w:rFonts w:cs="Calibri"/>
                <w:sz w:val="24"/>
              </w:rPr>
              <w:pict>
                <v:rect id="_x0000_s2052" style="width:5.35pt;height:7.15pt;mso-position-horizontal-relative:char;mso-position-vertical-relative:line">
                  <w10:wrap type="none"/>
                  <w10:anchorlock/>
                </v:rect>
              </w:pict>
            </w:r>
            <w:r w:rsidR="00C001FD">
              <w:rPr>
                <w:rFonts w:cs="Calibri"/>
                <w:sz w:val="24"/>
              </w:rPr>
              <w:t xml:space="preserve"> </w:t>
            </w:r>
            <w:r w:rsidR="004B2ECF" w:rsidRPr="00F70F1B">
              <w:rPr>
                <w:rFonts w:cs="Calibri"/>
                <w:b/>
                <w:sz w:val="24"/>
              </w:rPr>
              <w:t>Declaração de acumulação de cargos:</w:t>
            </w:r>
          </w:p>
          <w:p w:rsidR="004B2ECF" w:rsidRDefault="004B2ECF" w:rsidP="00E55B99">
            <w:pPr>
              <w:spacing w:after="0" w:line="360" w:lineRule="auto"/>
              <w:jc w:val="both"/>
              <w:rPr>
                <w:rFonts w:cs="Calibri"/>
                <w:sz w:val="24"/>
              </w:rPr>
            </w:pPr>
            <w:r w:rsidRPr="00F70F1B">
              <w:rPr>
                <w:rFonts w:cs="Calibri"/>
                <w:sz w:val="24"/>
              </w:rPr>
              <w:t>Declaro, para fins do contido nos incisos XVI e XVII do art. 37 da Constituição Federal e no Decreto nº 2.027, de 11 de outubro de 1996, que exerço o cargo / emprego de ______________________________________</w:t>
            </w:r>
            <w:r w:rsidR="003149AD">
              <w:rPr>
                <w:rFonts w:cs="Calibri"/>
                <w:sz w:val="24"/>
              </w:rPr>
              <w:t>_______</w:t>
            </w:r>
            <w:r w:rsidRPr="00F70F1B">
              <w:rPr>
                <w:rFonts w:cs="Calibri"/>
                <w:sz w:val="24"/>
              </w:rPr>
              <w:t>____________, ou percebo aposentadoria relativa ao cargo de ________________________________________________, pertencente à estrutura do órgão ________________</w:t>
            </w:r>
            <w:r w:rsidR="00F75405">
              <w:rPr>
                <w:rFonts w:cs="Calibri"/>
                <w:sz w:val="24"/>
              </w:rPr>
              <w:t>, ou percebo pensão civil referente ao ex-servidor ______________________________________________________, CPF nº __________________</w:t>
            </w:r>
            <w:r w:rsidRPr="00F70F1B">
              <w:rPr>
                <w:rFonts w:cs="Calibri"/>
                <w:sz w:val="24"/>
              </w:rPr>
              <w:t xml:space="preserve">. Declaro, ainda, que estou sujeito à carga horária de_______ horas semanais, que cumpro diariamente </w:t>
            </w:r>
            <w:r w:rsidR="000B4776">
              <w:rPr>
                <w:rFonts w:cs="Calibri"/>
                <w:sz w:val="24"/>
              </w:rPr>
            </w:r>
            <w:r w:rsidR="000B4776">
              <w:rPr>
                <w:rFonts w:cs="Calibri"/>
                <w:sz w:val="24"/>
              </w:rPr>
              <w:pict>
                <v:rect id="_x0000_s2051" style="width:5.35pt;height:7.15pt;mso-position-horizontal-relative:char;mso-position-vertical-relative:line">
                  <w10:wrap type="none"/>
                  <w10:anchorlock/>
                </v:rect>
              </w:pict>
            </w:r>
            <w:r w:rsidRPr="00F70F1B">
              <w:rPr>
                <w:rFonts w:cs="Calibri"/>
                <w:sz w:val="24"/>
              </w:rPr>
              <w:t xml:space="preserve">, semanalmente </w:t>
            </w:r>
            <w:r w:rsidR="000B4776">
              <w:rPr>
                <w:rFonts w:cs="Calibri"/>
                <w:sz w:val="24"/>
              </w:rPr>
            </w:r>
            <w:r w:rsidR="000B4776">
              <w:rPr>
                <w:rFonts w:cs="Calibri"/>
                <w:sz w:val="24"/>
              </w:rPr>
              <w:pict>
                <v:rect id="_x0000_s2050" style="width:5.35pt;height:7.15pt;mso-position-horizontal-relative:char;mso-position-vertical-relative:line">
                  <w10:wrap type="none"/>
                  <w10:anchorlock/>
                </v:rect>
              </w:pict>
            </w:r>
            <w:r w:rsidRPr="00F70F1B">
              <w:rPr>
                <w:rFonts w:cs="Calibri"/>
                <w:sz w:val="24"/>
              </w:rPr>
              <w:t>, no horário de ______</w:t>
            </w:r>
            <w:r w:rsidR="003149AD">
              <w:rPr>
                <w:rFonts w:cs="Calibri"/>
                <w:sz w:val="24"/>
              </w:rPr>
              <w:t>___</w:t>
            </w:r>
            <w:r w:rsidRPr="00F70F1B">
              <w:rPr>
                <w:rFonts w:cs="Calibri"/>
                <w:sz w:val="24"/>
              </w:rPr>
              <w:t xml:space="preserve">__ às </w:t>
            </w:r>
            <w:r w:rsidR="003149AD">
              <w:rPr>
                <w:rFonts w:cs="Calibri"/>
                <w:sz w:val="24"/>
              </w:rPr>
              <w:t>____</w:t>
            </w:r>
            <w:r w:rsidRPr="00F70F1B">
              <w:rPr>
                <w:rFonts w:cs="Calibri"/>
                <w:sz w:val="24"/>
              </w:rPr>
              <w:t>________ horas, conforme Certidão anexa, expedida por _______________________</w:t>
            </w:r>
            <w:r w:rsidR="003149AD">
              <w:rPr>
                <w:rFonts w:cs="Calibri"/>
                <w:sz w:val="24"/>
              </w:rPr>
              <w:t>______</w:t>
            </w:r>
            <w:r w:rsidRPr="00F70F1B">
              <w:rPr>
                <w:rFonts w:cs="Calibri"/>
                <w:sz w:val="24"/>
              </w:rPr>
              <w:t>________________________</w:t>
            </w:r>
            <w:r>
              <w:rPr>
                <w:rFonts w:cs="Calibri"/>
                <w:sz w:val="24"/>
              </w:rPr>
              <w:t>.</w:t>
            </w:r>
          </w:p>
          <w:p w:rsidR="004B2ECF" w:rsidRDefault="004B2ECF" w:rsidP="004B2ECF">
            <w:pPr>
              <w:spacing w:after="0" w:line="240" w:lineRule="auto"/>
              <w:rPr>
                <w:rFonts w:cs="Calibri"/>
                <w:b/>
                <w:sz w:val="24"/>
                <w:szCs w:val="24"/>
              </w:rPr>
            </w:pPr>
          </w:p>
        </w:tc>
      </w:tr>
    </w:tbl>
    <w:p w:rsidR="00D15588" w:rsidRDefault="00D15588" w:rsidP="00E55B99">
      <w:pPr>
        <w:spacing w:after="0" w:line="240" w:lineRule="auto"/>
        <w:rPr>
          <w:rFonts w:cs="Calibri"/>
          <w:b/>
          <w:sz w:val="24"/>
          <w:szCs w:val="24"/>
        </w:rPr>
      </w:pPr>
    </w:p>
    <w:tbl>
      <w:tblPr>
        <w:tblStyle w:val="Tabelacomgrade"/>
        <w:tblW w:w="9781" w:type="dxa"/>
        <w:tblInd w:w="108" w:type="dxa"/>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shd w:val="clear" w:color="auto" w:fill="F2F2F2" w:themeFill="background1" w:themeFillShade="F2"/>
        <w:tblLook w:val="04A0"/>
      </w:tblPr>
      <w:tblGrid>
        <w:gridCol w:w="9781"/>
      </w:tblGrid>
      <w:tr w:rsidR="00E55B99" w:rsidTr="00E55B99">
        <w:tc>
          <w:tcPr>
            <w:tcW w:w="9781" w:type="dxa"/>
            <w:shd w:val="clear" w:color="auto" w:fill="D9D9D9" w:themeFill="background1" w:themeFillShade="D9"/>
          </w:tcPr>
          <w:p w:rsidR="00E55B99" w:rsidRDefault="00E55B99" w:rsidP="00E55B99">
            <w:pPr>
              <w:spacing w:after="0" w:line="240" w:lineRule="auto"/>
              <w:rPr>
                <w:rFonts w:cs="Calibri"/>
                <w:b/>
                <w:sz w:val="20"/>
                <w:szCs w:val="20"/>
              </w:rPr>
            </w:pPr>
            <w:r w:rsidRPr="00E55B99">
              <w:rPr>
                <w:rFonts w:cs="Calibri"/>
                <w:b/>
                <w:sz w:val="20"/>
                <w:szCs w:val="20"/>
              </w:rPr>
              <w:t>LOCAL E DATA</w:t>
            </w:r>
            <w:r>
              <w:rPr>
                <w:rFonts w:cs="Calibri"/>
                <w:b/>
                <w:sz w:val="20"/>
                <w:szCs w:val="20"/>
              </w:rPr>
              <w:t>:</w:t>
            </w:r>
          </w:p>
          <w:p w:rsidR="00E55B99" w:rsidRPr="00E55B99" w:rsidRDefault="00E55B99" w:rsidP="00E55B99">
            <w:pPr>
              <w:spacing w:after="0" w:line="240" w:lineRule="auto"/>
              <w:rPr>
                <w:rFonts w:cs="Calibri"/>
                <w:b/>
                <w:sz w:val="20"/>
                <w:szCs w:val="20"/>
              </w:rPr>
            </w:pPr>
          </w:p>
        </w:tc>
      </w:tr>
      <w:tr w:rsidR="00E55B99" w:rsidTr="00E55B99">
        <w:tc>
          <w:tcPr>
            <w:tcW w:w="9781" w:type="dxa"/>
            <w:shd w:val="clear" w:color="auto" w:fill="F2F2F2" w:themeFill="background1" w:themeFillShade="F2"/>
          </w:tcPr>
          <w:p w:rsidR="00E55B99" w:rsidRPr="00E55B99" w:rsidRDefault="00E55B99" w:rsidP="00E55B99">
            <w:pPr>
              <w:spacing w:after="0" w:line="240" w:lineRule="auto"/>
              <w:rPr>
                <w:rFonts w:cs="Calibri"/>
                <w:b/>
                <w:sz w:val="20"/>
                <w:szCs w:val="20"/>
              </w:rPr>
            </w:pPr>
          </w:p>
          <w:p w:rsidR="00E55B99" w:rsidRDefault="00E55B99" w:rsidP="00E55B99">
            <w:pPr>
              <w:spacing w:after="0" w:line="240" w:lineRule="auto"/>
              <w:rPr>
                <w:rFonts w:cs="Calibri"/>
                <w:b/>
                <w:sz w:val="20"/>
                <w:szCs w:val="20"/>
              </w:rPr>
            </w:pPr>
          </w:p>
          <w:p w:rsidR="00F75405" w:rsidRDefault="00F75405" w:rsidP="00E55B99">
            <w:pPr>
              <w:spacing w:after="0" w:line="240" w:lineRule="auto"/>
              <w:rPr>
                <w:rFonts w:cs="Calibri"/>
                <w:b/>
                <w:sz w:val="20"/>
                <w:szCs w:val="20"/>
              </w:rPr>
            </w:pPr>
          </w:p>
          <w:p w:rsidR="00E55B99" w:rsidRPr="00E55B99" w:rsidRDefault="00E55B99" w:rsidP="00E55B99">
            <w:pPr>
              <w:spacing w:after="0" w:line="240" w:lineRule="auto"/>
              <w:jc w:val="center"/>
              <w:rPr>
                <w:rFonts w:cs="Calibri"/>
                <w:b/>
                <w:sz w:val="20"/>
                <w:szCs w:val="20"/>
              </w:rPr>
            </w:pPr>
            <w:r w:rsidRPr="00E55B99">
              <w:rPr>
                <w:rFonts w:cs="Calibri"/>
                <w:b/>
                <w:sz w:val="20"/>
                <w:szCs w:val="20"/>
              </w:rPr>
              <w:t>____________________________________________________________</w:t>
            </w:r>
          </w:p>
          <w:p w:rsidR="00E55B99" w:rsidRPr="00E55B99" w:rsidRDefault="00E55B99" w:rsidP="00E55B99">
            <w:pPr>
              <w:spacing w:after="0" w:line="240" w:lineRule="auto"/>
              <w:jc w:val="center"/>
              <w:rPr>
                <w:rFonts w:cs="Calibri"/>
                <w:b/>
                <w:sz w:val="20"/>
                <w:szCs w:val="20"/>
              </w:rPr>
            </w:pPr>
            <w:r w:rsidRPr="00E55B99">
              <w:rPr>
                <w:rFonts w:cs="Calibri"/>
                <w:b/>
                <w:sz w:val="20"/>
                <w:szCs w:val="20"/>
              </w:rPr>
              <w:t xml:space="preserve">Assinatura </w:t>
            </w:r>
            <w:proofErr w:type="gramStart"/>
            <w:r w:rsidRPr="00E55B99">
              <w:rPr>
                <w:rFonts w:cs="Calibri"/>
                <w:b/>
                <w:sz w:val="20"/>
                <w:szCs w:val="20"/>
              </w:rPr>
              <w:t>do(</w:t>
            </w:r>
            <w:proofErr w:type="gramEnd"/>
            <w:r w:rsidRPr="00E55B99">
              <w:rPr>
                <w:rFonts w:cs="Calibri"/>
                <w:b/>
                <w:sz w:val="20"/>
                <w:szCs w:val="20"/>
              </w:rPr>
              <w:t>a) Servidor(a)</w:t>
            </w:r>
          </w:p>
          <w:p w:rsidR="00E55B99" w:rsidRDefault="00E55B99" w:rsidP="00E55B99">
            <w:pPr>
              <w:spacing w:after="0" w:line="240" w:lineRule="auto"/>
              <w:rPr>
                <w:rFonts w:cs="Calibri"/>
                <w:b/>
                <w:sz w:val="20"/>
                <w:szCs w:val="20"/>
              </w:rPr>
            </w:pPr>
          </w:p>
          <w:p w:rsidR="00F75405" w:rsidRPr="00E55B99" w:rsidRDefault="00F75405" w:rsidP="00E55B99">
            <w:pPr>
              <w:spacing w:after="0" w:line="240" w:lineRule="auto"/>
              <w:rPr>
                <w:rFonts w:cs="Calibri"/>
                <w:b/>
                <w:sz w:val="20"/>
                <w:szCs w:val="20"/>
              </w:rPr>
            </w:pPr>
          </w:p>
        </w:tc>
      </w:tr>
    </w:tbl>
    <w:p w:rsidR="00D15588" w:rsidRPr="00E55B99" w:rsidRDefault="00D15588" w:rsidP="00D15588">
      <w:pPr>
        <w:spacing w:before="60" w:after="60"/>
        <w:jc w:val="center"/>
        <w:rPr>
          <w:rFonts w:ascii="Times New Roman" w:hAnsi="Times New Roman"/>
          <w:b/>
          <w:bCs/>
          <w:sz w:val="24"/>
          <w:szCs w:val="24"/>
        </w:rPr>
      </w:pPr>
      <w:r w:rsidRPr="00E55B99">
        <w:rPr>
          <w:rFonts w:ascii="Times New Roman" w:hAnsi="Times New Roman"/>
          <w:b/>
          <w:bCs/>
          <w:sz w:val="24"/>
          <w:szCs w:val="24"/>
        </w:rPr>
        <w:lastRenderedPageBreak/>
        <w:t>CONSTITUIÇÃO DA REPÚBLICA FEDERATIVA DO BRASIL</w:t>
      </w:r>
    </w:p>
    <w:p w:rsidR="00D15588" w:rsidRPr="00E55B99" w:rsidRDefault="00D15588" w:rsidP="00D15588">
      <w:pPr>
        <w:pStyle w:val="Corpodetexto"/>
        <w:spacing w:before="60" w:after="60"/>
        <w:rPr>
          <w:rFonts w:ascii="Times New Roman" w:hAnsi="Times New Roman"/>
          <w:sz w:val="20"/>
          <w:szCs w:val="20"/>
        </w:rPr>
      </w:pPr>
      <w:r w:rsidRPr="00E55B99">
        <w:rPr>
          <w:rFonts w:ascii="Times New Roman" w:hAnsi="Times New Roman"/>
          <w:sz w:val="20"/>
          <w:szCs w:val="20"/>
        </w:rPr>
        <w:t>“Art. 37. A administração pública direta e indireta de qualquer dos Poderes da União, dos Estados, do Distrito Federal e dos Municípios obedecerá aos princípios de legalidade, impessoalidade, moralidade, publicidade e eficiência e, também, ao seguinte:</w:t>
      </w:r>
    </w:p>
    <w:p w:rsidR="00D15588" w:rsidRPr="00E55B99" w:rsidRDefault="00D15588" w:rsidP="00D15588">
      <w:pPr>
        <w:pStyle w:val="Corpodetexto"/>
        <w:spacing w:before="60" w:after="60"/>
        <w:rPr>
          <w:rFonts w:ascii="Times New Roman" w:hAnsi="Times New Roman"/>
          <w:sz w:val="20"/>
          <w:szCs w:val="20"/>
        </w:rPr>
      </w:pPr>
      <w:r w:rsidRPr="00E55B99">
        <w:rPr>
          <w:rFonts w:ascii="Times New Roman" w:hAnsi="Times New Roman"/>
          <w:sz w:val="20"/>
          <w:szCs w:val="20"/>
        </w:rPr>
        <w:t>(...)</w:t>
      </w:r>
    </w:p>
    <w:p w:rsidR="00D15588" w:rsidRPr="00E55B99" w:rsidRDefault="00D15588" w:rsidP="00D15588">
      <w:pPr>
        <w:pStyle w:val="Corpodetexto"/>
        <w:spacing w:before="60" w:after="60"/>
        <w:rPr>
          <w:rFonts w:ascii="Times New Roman" w:hAnsi="Times New Roman"/>
          <w:sz w:val="20"/>
          <w:szCs w:val="20"/>
        </w:rPr>
      </w:pPr>
      <w:r w:rsidRPr="00E55B99">
        <w:rPr>
          <w:rFonts w:ascii="Times New Roman" w:hAnsi="Times New Roman"/>
          <w:sz w:val="20"/>
          <w:szCs w:val="20"/>
        </w:rPr>
        <w:t xml:space="preserve">XVI - é vedada a acumulação remunerada de cargos públicos, exceto, quando houver compatibilidade de horários, observado em qualquer caso o disposto no inciso XI. </w:t>
      </w:r>
    </w:p>
    <w:p w:rsidR="00D15588" w:rsidRPr="00E55B99" w:rsidRDefault="00D15588" w:rsidP="00D15588">
      <w:pPr>
        <w:pStyle w:val="Corpodetexto"/>
        <w:spacing w:before="60" w:after="60"/>
        <w:rPr>
          <w:rFonts w:ascii="Times New Roman" w:hAnsi="Times New Roman"/>
          <w:sz w:val="20"/>
          <w:szCs w:val="20"/>
        </w:rPr>
      </w:pPr>
      <w:r w:rsidRPr="00E55B99">
        <w:rPr>
          <w:rFonts w:ascii="Times New Roman" w:hAnsi="Times New Roman"/>
          <w:sz w:val="20"/>
          <w:szCs w:val="20"/>
        </w:rPr>
        <w:t>a) a de dois cargos de professor;</w:t>
      </w:r>
    </w:p>
    <w:p w:rsidR="00D15588" w:rsidRPr="00E55B99" w:rsidRDefault="00D15588" w:rsidP="00D15588">
      <w:pPr>
        <w:pStyle w:val="Corpodetexto"/>
        <w:spacing w:before="60" w:after="60"/>
        <w:rPr>
          <w:rFonts w:ascii="Times New Roman" w:hAnsi="Times New Roman"/>
          <w:sz w:val="20"/>
          <w:szCs w:val="20"/>
        </w:rPr>
      </w:pPr>
      <w:r w:rsidRPr="00E55B99">
        <w:rPr>
          <w:rFonts w:ascii="Times New Roman" w:hAnsi="Times New Roman"/>
          <w:sz w:val="20"/>
          <w:szCs w:val="20"/>
        </w:rPr>
        <w:t xml:space="preserve">b) a de um cargo de professor com outro técnico ou científico; </w:t>
      </w:r>
    </w:p>
    <w:p w:rsidR="00D15588" w:rsidRPr="00E55B99" w:rsidRDefault="00D15588" w:rsidP="00D15588">
      <w:pPr>
        <w:pStyle w:val="Corpodetexto"/>
        <w:spacing w:before="60" w:after="60"/>
        <w:rPr>
          <w:rFonts w:ascii="Times New Roman" w:hAnsi="Times New Roman"/>
          <w:sz w:val="20"/>
          <w:szCs w:val="20"/>
        </w:rPr>
      </w:pPr>
      <w:r w:rsidRPr="00E55B99">
        <w:rPr>
          <w:rFonts w:ascii="Times New Roman" w:hAnsi="Times New Roman"/>
          <w:sz w:val="20"/>
          <w:szCs w:val="20"/>
        </w:rPr>
        <w:t>c) a de dois cargos ou empregos privativos de profissionais de saúde, com profissões regulamentadas;</w:t>
      </w:r>
    </w:p>
    <w:p w:rsidR="00D15588" w:rsidRPr="00E55B99" w:rsidRDefault="00D15588" w:rsidP="00D15588">
      <w:pPr>
        <w:pStyle w:val="Corpodetexto"/>
        <w:spacing w:before="60" w:after="60"/>
        <w:rPr>
          <w:rFonts w:ascii="Times New Roman" w:hAnsi="Times New Roman"/>
          <w:sz w:val="20"/>
          <w:szCs w:val="20"/>
        </w:rPr>
      </w:pPr>
      <w:proofErr w:type="gramStart"/>
      <w:r w:rsidRPr="00E55B99">
        <w:rPr>
          <w:rFonts w:ascii="Times New Roman" w:hAnsi="Times New Roman"/>
          <w:sz w:val="20"/>
          <w:szCs w:val="20"/>
        </w:rPr>
        <w:t>XVII - a proibição de acumular estende-se a empregos e funções e abrange autarquias, fundações, empresas públicas, sociedades de economia mista, suas subsidiárias, e sociedades controladas, direta ou indiretamente, pelo poder público;“</w:t>
      </w:r>
      <w:proofErr w:type="gramEnd"/>
    </w:p>
    <w:p w:rsidR="00D15588" w:rsidRPr="00E55B99" w:rsidRDefault="00D15588" w:rsidP="00D15588">
      <w:pPr>
        <w:pStyle w:val="Corpodetexto"/>
        <w:spacing w:before="60" w:after="60"/>
        <w:rPr>
          <w:rFonts w:ascii="Times New Roman" w:hAnsi="Times New Roman"/>
          <w:b/>
          <w:bCs/>
          <w:sz w:val="20"/>
          <w:szCs w:val="20"/>
        </w:rPr>
      </w:pPr>
    </w:p>
    <w:p w:rsidR="00D15588" w:rsidRPr="00E55B99" w:rsidRDefault="00D15588" w:rsidP="00D15588">
      <w:pPr>
        <w:spacing w:before="60" w:after="60"/>
        <w:jc w:val="center"/>
        <w:rPr>
          <w:rFonts w:ascii="Times New Roman" w:hAnsi="Times New Roman"/>
          <w:b/>
          <w:bCs/>
          <w:sz w:val="20"/>
          <w:szCs w:val="20"/>
        </w:rPr>
      </w:pPr>
      <w:r w:rsidRPr="00E55B99">
        <w:rPr>
          <w:rFonts w:ascii="Times New Roman" w:hAnsi="Times New Roman"/>
          <w:b/>
          <w:bCs/>
          <w:sz w:val="20"/>
          <w:szCs w:val="20"/>
        </w:rPr>
        <w:t>DECRETO Nº 2.027, DE 11 DE OUTIBRO DE 1996</w:t>
      </w:r>
    </w:p>
    <w:p w:rsidR="00D15588" w:rsidRPr="00E55B99" w:rsidRDefault="00D15588" w:rsidP="00D15588">
      <w:pPr>
        <w:pStyle w:val="Citaes"/>
        <w:spacing w:before="60" w:after="60"/>
        <w:ind w:left="0" w:right="0"/>
        <w:rPr>
          <w:rFonts w:ascii="Times New Roman" w:hAnsi="Times New Roman"/>
          <w:color w:val="000000"/>
          <w:sz w:val="20"/>
          <w:szCs w:val="20"/>
        </w:rPr>
      </w:pPr>
      <w:r w:rsidRPr="00E55B99">
        <w:rPr>
          <w:rFonts w:ascii="Times New Roman" w:hAnsi="Times New Roman"/>
          <w:color w:val="000000"/>
          <w:sz w:val="20"/>
          <w:szCs w:val="20"/>
        </w:rPr>
        <w:t>“Dispõe obre a nomeação para cargo ou emprego efetivo na Administração Pública Federal direta e indireta do servidor público civil aposentado ou servidor público militar reformato ou da reserva remunerada.</w:t>
      </w:r>
    </w:p>
    <w:p w:rsidR="00D15588" w:rsidRPr="00E55B99" w:rsidRDefault="00D15588" w:rsidP="00D15588">
      <w:pPr>
        <w:pStyle w:val="Citaes"/>
        <w:spacing w:before="60" w:after="60"/>
        <w:ind w:left="0" w:right="0"/>
        <w:rPr>
          <w:rFonts w:ascii="Times New Roman" w:hAnsi="Times New Roman"/>
          <w:sz w:val="20"/>
          <w:szCs w:val="20"/>
        </w:rPr>
      </w:pPr>
      <w:r w:rsidRPr="00E55B99">
        <w:rPr>
          <w:rStyle w:val="Forte"/>
          <w:rFonts w:ascii="Times New Roman" w:hAnsi="Times New Roman"/>
          <w:b w:val="0"/>
          <w:bCs w:val="0"/>
          <w:sz w:val="20"/>
          <w:szCs w:val="20"/>
        </w:rPr>
        <w:t xml:space="preserve">O PRESIDENTE DA </w:t>
      </w:r>
      <w:proofErr w:type="gramStart"/>
      <w:r w:rsidRPr="00E55B99">
        <w:rPr>
          <w:rStyle w:val="Forte"/>
          <w:rFonts w:ascii="Times New Roman" w:hAnsi="Times New Roman"/>
          <w:b w:val="0"/>
          <w:bCs w:val="0"/>
          <w:sz w:val="20"/>
          <w:szCs w:val="20"/>
        </w:rPr>
        <w:t>REPÚBLICA</w:t>
      </w:r>
      <w:r w:rsidRPr="00E55B99">
        <w:rPr>
          <w:rFonts w:ascii="Times New Roman" w:hAnsi="Times New Roman"/>
          <w:sz w:val="20"/>
          <w:szCs w:val="20"/>
        </w:rPr>
        <w:t xml:space="preserve"> ,</w:t>
      </w:r>
      <w:proofErr w:type="gramEnd"/>
      <w:r w:rsidRPr="00E55B99">
        <w:rPr>
          <w:rFonts w:ascii="Times New Roman" w:hAnsi="Times New Roman"/>
          <w:sz w:val="20"/>
          <w:szCs w:val="20"/>
        </w:rPr>
        <w:t xml:space="preserve"> no uso da atribuição que lhe confere o art. 84, inciso IV, da Constituição, e  Considerando que o Supremo Tribunal Federal, ao julgar o RE nº 163.204-6, firmou entendimento no sentido de que a acumulação de proventos e vencimentos somente é permitida quando se tratar de cargos, funções ou empregos acumuláveis na atividade, na forma permitida nos incisos XVI o XVII do art. 37 da Constituição; Considerando que o Supremo Tribunal Federal, ao apreciar o Mandado de Segurança nº 22.182-8, pronunciou-se no sentido de que a acumulação de proventos com vencimentos disciplina-se constitucionalmente de modo igual, trate-se de servidor público militar ou civil, ou seja, proventos não podem ser acumulados com vencimentos;</w:t>
      </w:r>
    </w:p>
    <w:p w:rsidR="00D15588" w:rsidRPr="00E55B99" w:rsidRDefault="00D15588" w:rsidP="00D15588">
      <w:pPr>
        <w:pStyle w:val="Citaes"/>
        <w:spacing w:before="60" w:after="60"/>
        <w:ind w:left="0" w:right="0"/>
        <w:rPr>
          <w:rFonts w:ascii="Times New Roman" w:hAnsi="Times New Roman"/>
          <w:sz w:val="20"/>
          <w:szCs w:val="20"/>
        </w:rPr>
      </w:pPr>
      <w:r w:rsidRPr="00E55B99">
        <w:rPr>
          <w:rFonts w:ascii="Times New Roman" w:hAnsi="Times New Roman"/>
          <w:sz w:val="20"/>
          <w:szCs w:val="20"/>
        </w:rPr>
        <w:t xml:space="preserve">Considerando ainda, em conseqüência, que o servidor somente poderá tomar posse no novo cargo se fizer opção pela remuneração deste, com renúncia da percepção dos proventos, face ao impedimento de se exercer cargo público de forma gratuita; </w:t>
      </w:r>
      <w:r w:rsidRPr="00E55B99">
        <w:rPr>
          <w:rStyle w:val="Forte"/>
          <w:rFonts w:ascii="Times New Roman" w:hAnsi="Times New Roman"/>
          <w:b w:val="0"/>
          <w:bCs w:val="0"/>
          <w:sz w:val="20"/>
          <w:szCs w:val="20"/>
        </w:rPr>
        <w:t>DECRETA</w:t>
      </w:r>
      <w:r w:rsidRPr="00E55B99">
        <w:rPr>
          <w:rFonts w:ascii="Times New Roman" w:hAnsi="Times New Roman"/>
          <w:sz w:val="20"/>
          <w:szCs w:val="20"/>
        </w:rPr>
        <w:t>:</w:t>
      </w:r>
    </w:p>
    <w:p w:rsidR="00D15588" w:rsidRPr="00E55B99" w:rsidRDefault="00D15588" w:rsidP="00D15588">
      <w:pPr>
        <w:pStyle w:val="Citaes"/>
        <w:spacing w:before="60" w:after="60"/>
        <w:ind w:left="0" w:right="0"/>
        <w:rPr>
          <w:rFonts w:ascii="Times New Roman" w:hAnsi="Times New Roman"/>
          <w:sz w:val="20"/>
          <w:szCs w:val="20"/>
        </w:rPr>
      </w:pPr>
      <w:r w:rsidRPr="00E55B99">
        <w:rPr>
          <w:rFonts w:ascii="Times New Roman" w:hAnsi="Times New Roman"/>
          <w:sz w:val="20"/>
          <w:szCs w:val="20"/>
        </w:rPr>
        <w:t>Art. 1º Somente poderá tomar posse em cargo efetivo ou assumir emprego permanente na Administração Pública Federal direta, nas autarquias, nas fundações mantidas pelo Poder Público, nas empresas públicas e nas sociedades de economia mista, ressalvados os cargos ou empregos acumuláveis na atividade, o servidor público civil aposentado e o militar reformado ou da reserva remunerada da União, dos Estados, do Distrito Federal ou dos Municípios que fizer a opção pela remuneração do cargo ou emprego.</w:t>
      </w:r>
    </w:p>
    <w:p w:rsidR="00D15588" w:rsidRPr="00E55B99" w:rsidRDefault="00D15588" w:rsidP="00D15588">
      <w:pPr>
        <w:pStyle w:val="Citaes"/>
        <w:spacing w:before="60" w:after="60"/>
        <w:ind w:left="0" w:right="0"/>
        <w:rPr>
          <w:rFonts w:ascii="Times New Roman" w:hAnsi="Times New Roman"/>
          <w:sz w:val="20"/>
          <w:szCs w:val="20"/>
        </w:rPr>
      </w:pPr>
      <w:r w:rsidRPr="00E55B99">
        <w:rPr>
          <w:rFonts w:ascii="Times New Roman" w:hAnsi="Times New Roman"/>
          <w:sz w:val="20"/>
          <w:szCs w:val="20"/>
        </w:rPr>
        <w:t>§ 1º Até a data da sua posse, o nomeado deverá comunicar ao respectivo órgão de pessoal sua situação de aposentado, apresentando seu termo de opção.</w:t>
      </w:r>
    </w:p>
    <w:p w:rsidR="00D15588" w:rsidRPr="00E55B99" w:rsidRDefault="00D15588" w:rsidP="00D15588">
      <w:pPr>
        <w:pStyle w:val="Citaes"/>
        <w:spacing w:before="60" w:after="60"/>
        <w:ind w:left="0" w:right="0"/>
        <w:rPr>
          <w:rFonts w:ascii="Times New Roman" w:hAnsi="Times New Roman"/>
          <w:sz w:val="20"/>
          <w:szCs w:val="20"/>
        </w:rPr>
      </w:pPr>
      <w:r w:rsidRPr="00E55B99">
        <w:rPr>
          <w:rFonts w:ascii="Times New Roman" w:hAnsi="Times New Roman"/>
          <w:sz w:val="20"/>
          <w:szCs w:val="20"/>
        </w:rPr>
        <w:t>§ 2º Readquirirá o direito à percepção dos proventos o servidor, a que se refere este artigo, exonerado do cargo efetivo ou emprego permanente.</w:t>
      </w:r>
    </w:p>
    <w:p w:rsidR="00D15588" w:rsidRPr="00E55B99" w:rsidRDefault="00D15588" w:rsidP="00D15588">
      <w:pPr>
        <w:pStyle w:val="Citaes"/>
        <w:spacing w:before="60" w:after="60"/>
        <w:ind w:left="0" w:right="0"/>
        <w:rPr>
          <w:rFonts w:ascii="Times New Roman" w:hAnsi="Times New Roman"/>
          <w:sz w:val="20"/>
          <w:szCs w:val="20"/>
        </w:rPr>
      </w:pPr>
      <w:r w:rsidRPr="00E55B99">
        <w:rPr>
          <w:rFonts w:ascii="Times New Roman" w:hAnsi="Times New Roman"/>
          <w:sz w:val="20"/>
          <w:szCs w:val="20"/>
        </w:rPr>
        <w:t>Art. 2º O servidor que estiver no exercício de cargo ou emprego a que se refere o artigo anterior deverá proceder à comunicação ali prevista até 14 de novembro de 1996.</w:t>
      </w:r>
    </w:p>
    <w:p w:rsidR="00D15588" w:rsidRPr="00E55B99" w:rsidRDefault="00D15588" w:rsidP="00D15588">
      <w:pPr>
        <w:pStyle w:val="Citaes"/>
        <w:spacing w:before="60" w:after="60"/>
        <w:ind w:left="0" w:right="0"/>
        <w:rPr>
          <w:rFonts w:ascii="Times New Roman" w:hAnsi="Times New Roman"/>
          <w:sz w:val="20"/>
          <w:szCs w:val="20"/>
        </w:rPr>
      </w:pPr>
      <w:r w:rsidRPr="00E55B99">
        <w:rPr>
          <w:rFonts w:ascii="Times New Roman" w:hAnsi="Times New Roman"/>
          <w:sz w:val="20"/>
          <w:szCs w:val="20"/>
        </w:rPr>
        <w:t>Art. 3º A inobservância do disposto no § 1º do art. 1º e no artigo anterior importará na nulidade do ato de nomeação do servidor, com ressarcimento à administração da remuneração por ele percebida em razão do exercício do seu cargo ou emprego, sem prejuízo das demais sanções previstas em lei.</w:t>
      </w:r>
    </w:p>
    <w:p w:rsidR="00D15588" w:rsidRPr="00E55B99" w:rsidRDefault="00D15588" w:rsidP="00D15588">
      <w:pPr>
        <w:pStyle w:val="Citaes"/>
        <w:spacing w:before="60" w:after="60"/>
        <w:ind w:left="0" w:right="0"/>
        <w:rPr>
          <w:rFonts w:ascii="Times New Roman" w:hAnsi="Times New Roman"/>
          <w:sz w:val="20"/>
          <w:szCs w:val="20"/>
        </w:rPr>
      </w:pPr>
      <w:r w:rsidRPr="00E55B99">
        <w:rPr>
          <w:rFonts w:ascii="Times New Roman" w:hAnsi="Times New Roman"/>
          <w:sz w:val="20"/>
          <w:szCs w:val="20"/>
        </w:rPr>
        <w:t>Art. 4° O Ministério da Administração Federal e Reforma do Estado baixará as instruções complementares necessárias à execução deste Decreto.</w:t>
      </w:r>
    </w:p>
    <w:p w:rsidR="00D15588" w:rsidRPr="00E55B99" w:rsidRDefault="00D15588" w:rsidP="00D15588">
      <w:pPr>
        <w:pStyle w:val="Citaes"/>
        <w:spacing w:before="60" w:after="60"/>
        <w:ind w:left="0" w:right="0"/>
        <w:rPr>
          <w:rFonts w:ascii="Times New Roman" w:hAnsi="Times New Roman"/>
          <w:sz w:val="20"/>
          <w:szCs w:val="20"/>
        </w:rPr>
      </w:pPr>
      <w:r w:rsidRPr="00E55B99">
        <w:rPr>
          <w:rFonts w:ascii="Times New Roman" w:hAnsi="Times New Roman"/>
          <w:sz w:val="20"/>
          <w:szCs w:val="20"/>
        </w:rPr>
        <w:t xml:space="preserve">Art. </w:t>
      </w:r>
      <w:proofErr w:type="gramStart"/>
      <w:r w:rsidRPr="00E55B99">
        <w:rPr>
          <w:rFonts w:ascii="Times New Roman" w:hAnsi="Times New Roman"/>
          <w:sz w:val="20"/>
          <w:szCs w:val="20"/>
        </w:rPr>
        <w:t>5º Este Decreto entra em vigor na data de sua publicação.”</w:t>
      </w:r>
      <w:proofErr w:type="gramEnd"/>
    </w:p>
    <w:p w:rsidR="00D15588" w:rsidRPr="00E55B99" w:rsidRDefault="00D15588" w:rsidP="00D15588">
      <w:pPr>
        <w:pStyle w:val="Citaes"/>
        <w:spacing w:before="60" w:after="60"/>
        <w:ind w:left="0" w:right="0"/>
        <w:rPr>
          <w:rFonts w:ascii="Times New Roman" w:hAnsi="Times New Roman"/>
          <w:sz w:val="20"/>
          <w:szCs w:val="20"/>
        </w:rPr>
      </w:pPr>
      <w:r w:rsidRPr="00E55B99">
        <w:rPr>
          <w:rFonts w:ascii="Times New Roman" w:hAnsi="Times New Roman"/>
          <w:sz w:val="20"/>
          <w:szCs w:val="20"/>
        </w:rPr>
        <w:t xml:space="preserve">Brasília, 11 de outubro 1996; 175º da Independência e 108º da República. </w:t>
      </w:r>
    </w:p>
    <w:p w:rsidR="00AD0CA0" w:rsidRPr="00E55B99" w:rsidRDefault="00D15588" w:rsidP="001E0459">
      <w:pPr>
        <w:pStyle w:val="Citaes"/>
        <w:spacing w:before="60" w:after="60"/>
        <w:ind w:left="0" w:right="0"/>
        <w:jc w:val="left"/>
        <w:rPr>
          <w:rFonts w:ascii="Times New Roman" w:hAnsi="Times New Roman"/>
          <w:sz w:val="20"/>
          <w:szCs w:val="20"/>
        </w:rPr>
      </w:pPr>
      <w:r w:rsidRPr="00E55B99">
        <w:rPr>
          <w:rFonts w:ascii="Times New Roman" w:hAnsi="Times New Roman"/>
          <w:sz w:val="20"/>
          <w:szCs w:val="20"/>
        </w:rPr>
        <w:t>FERNANDO HENRIQUE CARDOSO</w:t>
      </w:r>
      <w:r w:rsidRPr="00E55B99">
        <w:rPr>
          <w:rFonts w:ascii="Times New Roman" w:hAnsi="Times New Roman"/>
          <w:sz w:val="20"/>
          <w:szCs w:val="20"/>
        </w:rPr>
        <w:br/>
      </w:r>
      <w:r w:rsidRPr="00E55B99">
        <w:rPr>
          <w:rStyle w:val="nfase"/>
          <w:rFonts w:ascii="Times New Roman" w:hAnsi="Times New Roman"/>
          <w:sz w:val="20"/>
          <w:szCs w:val="20"/>
        </w:rPr>
        <w:t xml:space="preserve">Pedro Malan </w:t>
      </w:r>
      <w:r w:rsidRPr="00E55B99">
        <w:rPr>
          <w:rStyle w:val="nfase"/>
          <w:rFonts w:ascii="Times New Roman" w:hAnsi="Times New Roman"/>
          <w:sz w:val="20"/>
          <w:szCs w:val="20"/>
        </w:rPr>
        <w:br/>
        <w:t xml:space="preserve">Antonio Kandir </w:t>
      </w:r>
      <w:r w:rsidRPr="00E55B99">
        <w:rPr>
          <w:rStyle w:val="nfase"/>
          <w:rFonts w:ascii="Times New Roman" w:hAnsi="Times New Roman"/>
          <w:sz w:val="20"/>
          <w:szCs w:val="20"/>
        </w:rPr>
        <w:br/>
        <w:t xml:space="preserve">Luiz Carlos Bresser Pereira </w:t>
      </w:r>
    </w:p>
    <w:sectPr w:rsidR="00AD0CA0" w:rsidRPr="00E55B99" w:rsidSect="00F70F1B">
      <w:headerReference w:type="default" r:id="rId7"/>
      <w:headerReference w:type="first" r:id="rId8"/>
      <w:pgSz w:w="11906" w:h="16838"/>
      <w:pgMar w:top="2835" w:right="567" w:bottom="567" w:left="1701" w:header="851"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C14" w:rsidRDefault="00587C14" w:rsidP="00401AD0">
      <w:pPr>
        <w:spacing w:after="0" w:line="240" w:lineRule="auto"/>
      </w:pPr>
      <w:r>
        <w:separator/>
      </w:r>
    </w:p>
  </w:endnote>
  <w:endnote w:type="continuationSeparator" w:id="0">
    <w:p w:rsidR="00587C14" w:rsidRDefault="00587C14" w:rsidP="00401A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C14" w:rsidRDefault="00587C14" w:rsidP="00401AD0">
      <w:pPr>
        <w:spacing w:after="0" w:line="240" w:lineRule="auto"/>
      </w:pPr>
      <w:r>
        <w:separator/>
      </w:r>
    </w:p>
  </w:footnote>
  <w:footnote w:type="continuationSeparator" w:id="0">
    <w:p w:rsidR="00587C14" w:rsidRDefault="00587C14" w:rsidP="00401A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395" w:rsidRDefault="000B4776" w:rsidP="002B069D">
    <w:pPr>
      <w:pStyle w:val="Cabealho"/>
      <w:jc w:val="right"/>
    </w:pPr>
    <w:r>
      <w:fldChar w:fldCharType="begin"/>
    </w:r>
    <w:r w:rsidR="001B4A71">
      <w:instrText xml:space="preserve"> PAGE   \* MERGEFORMAT </w:instrText>
    </w:r>
    <w:r>
      <w:fldChar w:fldCharType="separate"/>
    </w:r>
    <w:r w:rsidR="00260731">
      <w:rPr>
        <w:noProof/>
      </w:rPr>
      <w:t>2</w:t>
    </w:r>
    <w:r>
      <w:fldChar w:fldCharType="end"/>
    </w:r>
    <w:r w:rsidR="002B069D" w:rsidRPr="002B069D">
      <w:rPr>
        <w:noProof/>
        <w:lang w:eastAsia="pt-BR"/>
      </w:rPr>
      <w:drawing>
        <wp:anchor distT="0" distB="0" distL="114300" distR="114300" simplePos="0" relativeHeight="251660288" behindDoc="1" locked="0" layoutInCell="1" allowOverlap="1">
          <wp:simplePos x="0" y="0"/>
          <wp:positionH relativeFrom="page">
            <wp:posOffset>1080135</wp:posOffset>
          </wp:positionH>
          <wp:positionV relativeFrom="page">
            <wp:posOffset>540385</wp:posOffset>
          </wp:positionV>
          <wp:extent cx="3440179" cy="754912"/>
          <wp:effectExtent l="19050" t="0" r="0" b="0"/>
          <wp:wrapNone/>
          <wp:docPr id="3" name="Imagem 0" descr="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anac_comp_horz_esp-cor.png"/>
                  <pic:cNvPicPr>
                    <a:picLocks noChangeAspect="1" noChangeArrowheads="1"/>
                  </pic:cNvPicPr>
                </pic:nvPicPr>
                <pic:blipFill>
                  <a:blip r:embed="rId1"/>
                  <a:srcRect/>
                  <a:stretch>
                    <a:fillRect/>
                  </a:stretch>
                </pic:blipFill>
                <pic:spPr bwMode="auto">
                  <a:xfrm>
                    <a:off x="0" y="0"/>
                    <a:ext cx="3441065" cy="75565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C67" w:rsidRPr="00746C6D" w:rsidRDefault="00746C6D" w:rsidP="00746C6D">
    <w:pPr>
      <w:pStyle w:val="Cabealho"/>
      <w:rPr>
        <w:rStyle w:val="Hyperlink"/>
        <w:color w:val="auto"/>
        <w:szCs w:val="20"/>
        <w:u w:val="none"/>
      </w:rPr>
    </w:pPr>
    <w:r>
      <w:rPr>
        <w:noProof/>
        <w:szCs w:val="20"/>
        <w:lang w:eastAsia="pt-BR"/>
      </w:rPr>
      <w:drawing>
        <wp:anchor distT="0" distB="0" distL="114300" distR="114300" simplePos="0" relativeHeight="251658240" behindDoc="1" locked="0" layoutInCell="1" allowOverlap="1">
          <wp:simplePos x="0" y="0"/>
          <wp:positionH relativeFrom="page">
            <wp:posOffset>1080135</wp:posOffset>
          </wp:positionH>
          <wp:positionV relativeFrom="page">
            <wp:posOffset>540385</wp:posOffset>
          </wp:positionV>
          <wp:extent cx="3441065" cy="755650"/>
          <wp:effectExtent l="19050" t="0" r="6985" b="0"/>
          <wp:wrapNone/>
          <wp:docPr id="1" name="Imagem 0" descr="anac_comp_horz_esp-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anac_comp_horz_esp-cor.png"/>
                  <pic:cNvPicPr>
                    <a:picLocks noChangeAspect="1" noChangeArrowheads="1"/>
                  </pic:cNvPicPr>
                </pic:nvPicPr>
                <pic:blipFill>
                  <a:blip r:embed="rId1"/>
                  <a:srcRect/>
                  <a:stretch>
                    <a:fillRect/>
                  </a:stretch>
                </pic:blipFill>
                <pic:spPr bwMode="auto">
                  <a:xfrm>
                    <a:off x="0" y="0"/>
                    <a:ext cx="3441065" cy="755650"/>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66562"/>
  </w:hdrShapeDefaults>
  <w:footnotePr>
    <w:footnote w:id="-1"/>
    <w:footnote w:id="0"/>
  </w:footnotePr>
  <w:endnotePr>
    <w:endnote w:id="-1"/>
    <w:endnote w:id="0"/>
  </w:endnotePr>
  <w:compat/>
  <w:rsids>
    <w:rsidRoot w:val="00401AD0"/>
    <w:rsid w:val="0000776B"/>
    <w:rsid w:val="0004202A"/>
    <w:rsid w:val="00043FC1"/>
    <w:rsid w:val="0005667C"/>
    <w:rsid w:val="0006443C"/>
    <w:rsid w:val="000739D0"/>
    <w:rsid w:val="00097532"/>
    <w:rsid w:val="000B4776"/>
    <w:rsid w:val="000C2A38"/>
    <w:rsid w:val="000E0A2A"/>
    <w:rsid w:val="000E7C3F"/>
    <w:rsid w:val="000F1050"/>
    <w:rsid w:val="000F1F6F"/>
    <w:rsid w:val="000F2BC0"/>
    <w:rsid w:val="000F6BD4"/>
    <w:rsid w:val="00103F21"/>
    <w:rsid w:val="00104649"/>
    <w:rsid w:val="00131564"/>
    <w:rsid w:val="00137D90"/>
    <w:rsid w:val="001409EF"/>
    <w:rsid w:val="001455AC"/>
    <w:rsid w:val="0015680B"/>
    <w:rsid w:val="00157F15"/>
    <w:rsid w:val="00166056"/>
    <w:rsid w:val="00171E1D"/>
    <w:rsid w:val="001941A1"/>
    <w:rsid w:val="001A18D3"/>
    <w:rsid w:val="001B4A71"/>
    <w:rsid w:val="001D0CC3"/>
    <w:rsid w:val="001E0459"/>
    <w:rsid w:val="00212C67"/>
    <w:rsid w:val="00242903"/>
    <w:rsid w:val="00244E16"/>
    <w:rsid w:val="00260731"/>
    <w:rsid w:val="0027761C"/>
    <w:rsid w:val="002A3D47"/>
    <w:rsid w:val="002B069D"/>
    <w:rsid w:val="002C7E09"/>
    <w:rsid w:val="002E0F28"/>
    <w:rsid w:val="002E1712"/>
    <w:rsid w:val="002E4195"/>
    <w:rsid w:val="00300F13"/>
    <w:rsid w:val="00302B36"/>
    <w:rsid w:val="00302C6D"/>
    <w:rsid w:val="003149AD"/>
    <w:rsid w:val="00322B88"/>
    <w:rsid w:val="00353932"/>
    <w:rsid w:val="00371AD2"/>
    <w:rsid w:val="003C47D0"/>
    <w:rsid w:val="003D4749"/>
    <w:rsid w:val="003E09AE"/>
    <w:rsid w:val="003F3D6D"/>
    <w:rsid w:val="003F58D6"/>
    <w:rsid w:val="00401AD0"/>
    <w:rsid w:val="00416433"/>
    <w:rsid w:val="004241CC"/>
    <w:rsid w:val="00425423"/>
    <w:rsid w:val="004277E0"/>
    <w:rsid w:val="004512C6"/>
    <w:rsid w:val="00481CC0"/>
    <w:rsid w:val="00484E40"/>
    <w:rsid w:val="004B2ECF"/>
    <w:rsid w:val="004C2A92"/>
    <w:rsid w:val="004D62CC"/>
    <w:rsid w:val="004E0AFB"/>
    <w:rsid w:val="00511903"/>
    <w:rsid w:val="005174BD"/>
    <w:rsid w:val="005178AF"/>
    <w:rsid w:val="00522956"/>
    <w:rsid w:val="00536658"/>
    <w:rsid w:val="00550C5D"/>
    <w:rsid w:val="0058336E"/>
    <w:rsid w:val="00587780"/>
    <w:rsid w:val="00587C14"/>
    <w:rsid w:val="005F73AD"/>
    <w:rsid w:val="0068040E"/>
    <w:rsid w:val="0069274A"/>
    <w:rsid w:val="006A06EE"/>
    <w:rsid w:val="006B15A8"/>
    <w:rsid w:val="006B3515"/>
    <w:rsid w:val="00705CC4"/>
    <w:rsid w:val="007242B0"/>
    <w:rsid w:val="00725277"/>
    <w:rsid w:val="00746C6D"/>
    <w:rsid w:val="0075370D"/>
    <w:rsid w:val="00771C79"/>
    <w:rsid w:val="00784DBE"/>
    <w:rsid w:val="007B5350"/>
    <w:rsid w:val="007C03F4"/>
    <w:rsid w:val="007D0DAB"/>
    <w:rsid w:val="00813EEE"/>
    <w:rsid w:val="00826007"/>
    <w:rsid w:val="00835014"/>
    <w:rsid w:val="00840B37"/>
    <w:rsid w:val="008468DB"/>
    <w:rsid w:val="008474E0"/>
    <w:rsid w:val="008810F8"/>
    <w:rsid w:val="008815E0"/>
    <w:rsid w:val="00883B73"/>
    <w:rsid w:val="008C616B"/>
    <w:rsid w:val="008D6DA0"/>
    <w:rsid w:val="008E2E78"/>
    <w:rsid w:val="008F648E"/>
    <w:rsid w:val="00901660"/>
    <w:rsid w:val="009746A0"/>
    <w:rsid w:val="009A315E"/>
    <w:rsid w:val="009A66DB"/>
    <w:rsid w:val="009E1E94"/>
    <w:rsid w:val="00A02031"/>
    <w:rsid w:val="00A10468"/>
    <w:rsid w:val="00A1374E"/>
    <w:rsid w:val="00A17128"/>
    <w:rsid w:val="00A202AA"/>
    <w:rsid w:val="00A40C7C"/>
    <w:rsid w:val="00A91BAF"/>
    <w:rsid w:val="00AA72D8"/>
    <w:rsid w:val="00AC5CFD"/>
    <w:rsid w:val="00AD0CA0"/>
    <w:rsid w:val="00AD4A7B"/>
    <w:rsid w:val="00AD4D3F"/>
    <w:rsid w:val="00B04B38"/>
    <w:rsid w:val="00B174C6"/>
    <w:rsid w:val="00B35AD6"/>
    <w:rsid w:val="00B50395"/>
    <w:rsid w:val="00B53021"/>
    <w:rsid w:val="00B61A44"/>
    <w:rsid w:val="00B66441"/>
    <w:rsid w:val="00B93E71"/>
    <w:rsid w:val="00BA0A0C"/>
    <w:rsid w:val="00BC4C31"/>
    <w:rsid w:val="00BD4EB0"/>
    <w:rsid w:val="00BF5A75"/>
    <w:rsid w:val="00C001FD"/>
    <w:rsid w:val="00C13132"/>
    <w:rsid w:val="00C23AFC"/>
    <w:rsid w:val="00C24375"/>
    <w:rsid w:val="00C44018"/>
    <w:rsid w:val="00C54C41"/>
    <w:rsid w:val="00CB273F"/>
    <w:rsid w:val="00CF4F7C"/>
    <w:rsid w:val="00D15588"/>
    <w:rsid w:val="00D300FF"/>
    <w:rsid w:val="00D41368"/>
    <w:rsid w:val="00D840C9"/>
    <w:rsid w:val="00D86380"/>
    <w:rsid w:val="00D87D0B"/>
    <w:rsid w:val="00DA4750"/>
    <w:rsid w:val="00DC66F8"/>
    <w:rsid w:val="00DD0268"/>
    <w:rsid w:val="00DD36C8"/>
    <w:rsid w:val="00E37E15"/>
    <w:rsid w:val="00E40875"/>
    <w:rsid w:val="00E55B99"/>
    <w:rsid w:val="00E563BB"/>
    <w:rsid w:val="00E64FB8"/>
    <w:rsid w:val="00E721FB"/>
    <w:rsid w:val="00EC791A"/>
    <w:rsid w:val="00F14B3B"/>
    <w:rsid w:val="00F50334"/>
    <w:rsid w:val="00F70F1B"/>
    <w:rsid w:val="00F75405"/>
    <w:rsid w:val="00FA4DB5"/>
    <w:rsid w:val="00FB3B86"/>
    <w:rsid w:val="00FC2C7C"/>
    <w:rsid w:val="00FE3E6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C31"/>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01AD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01AD0"/>
  </w:style>
  <w:style w:type="paragraph" w:styleId="Rodap">
    <w:name w:val="footer"/>
    <w:basedOn w:val="Normal"/>
    <w:link w:val="RodapChar"/>
    <w:uiPriority w:val="99"/>
    <w:unhideWhenUsed/>
    <w:rsid w:val="00401AD0"/>
    <w:pPr>
      <w:tabs>
        <w:tab w:val="center" w:pos="4252"/>
        <w:tab w:val="right" w:pos="8504"/>
      </w:tabs>
      <w:spacing w:after="0" w:line="240" w:lineRule="auto"/>
    </w:pPr>
  </w:style>
  <w:style w:type="character" w:customStyle="1" w:styleId="RodapChar">
    <w:name w:val="Rodapé Char"/>
    <w:basedOn w:val="Fontepargpadro"/>
    <w:link w:val="Rodap"/>
    <w:uiPriority w:val="99"/>
    <w:rsid w:val="00401AD0"/>
  </w:style>
  <w:style w:type="paragraph" w:styleId="Textodebalo">
    <w:name w:val="Balloon Text"/>
    <w:basedOn w:val="Normal"/>
    <w:link w:val="TextodebaloChar"/>
    <w:uiPriority w:val="99"/>
    <w:semiHidden/>
    <w:unhideWhenUsed/>
    <w:rsid w:val="00401AD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01AD0"/>
    <w:rPr>
      <w:rFonts w:ascii="Tahoma" w:hAnsi="Tahoma" w:cs="Tahoma"/>
      <w:sz w:val="16"/>
      <w:szCs w:val="16"/>
    </w:rPr>
  </w:style>
  <w:style w:type="character" w:styleId="TextodoEspaoReservado">
    <w:name w:val="Placeholder Text"/>
    <w:basedOn w:val="Fontepargpadro"/>
    <w:uiPriority w:val="99"/>
    <w:semiHidden/>
    <w:rsid w:val="00A10468"/>
    <w:rPr>
      <w:color w:val="808080"/>
    </w:rPr>
  </w:style>
  <w:style w:type="paragraph" w:styleId="PargrafodaLista">
    <w:name w:val="List Paragraph"/>
    <w:basedOn w:val="Normal"/>
    <w:uiPriority w:val="34"/>
    <w:qFormat/>
    <w:rsid w:val="00AA72D8"/>
    <w:pPr>
      <w:spacing w:after="0" w:line="240" w:lineRule="auto"/>
      <w:ind w:left="708"/>
    </w:pPr>
    <w:rPr>
      <w:rFonts w:ascii="Times New Roman" w:eastAsia="Times New Roman" w:hAnsi="Times New Roman"/>
      <w:sz w:val="24"/>
      <w:szCs w:val="24"/>
      <w:lang w:eastAsia="pt-BR"/>
    </w:rPr>
  </w:style>
  <w:style w:type="table" w:styleId="Tabelacomgrade">
    <w:name w:val="Table Grid"/>
    <w:basedOn w:val="Tabelanormal"/>
    <w:uiPriority w:val="59"/>
    <w:rsid w:val="00AA72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uiPriority w:val="99"/>
    <w:unhideWhenUsed/>
    <w:rsid w:val="00212C67"/>
    <w:rPr>
      <w:color w:val="0000FF"/>
      <w:u w:val="single"/>
    </w:rPr>
  </w:style>
  <w:style w:type="paragraph" w:customStyle="1" w:styleId="Default">
    <w:name w:val="Default"/>
    <w:rsid w:val="00BF5A75"/>
    <w:pPr>
      <w:autoSpaceDE w:val="0"/>
      <w:autoSpaceDN w:val="0"/>
      <w:adjustRightInd w:val="0"/>
    </w:pPr>
    <w:rPr>
      <w:rFonts w:ascii="Times New Roman" w:hAnsi="Times New Roman"/>
      <w:color w:val="000000"/>
      <w:sz w:val="24"/>
      <w:szCs w:val="24"/>
      <w:lang w:eastAsia="en-US"/>
    </w:rPr>
  </w:style>
  <w:style w:type="character" w:styleId="Refdecomentrio">
    <w:name w:val="annotation reference"/>
    <w:basedOn w:val="Fontepargpadro"/>
    <w:uiPriority w:val="99"/>
    <w:semiHidden/>
    <w:unhideWhenUsed/>
    <w:rsid w:val="00EC791A"/>
    <w:rPr>
      <w:sz w:val="16"/>
      <w:szCs w:val="16"/>
    </w:rPr>
  </w:style>
  <w:style w:type="paragraph" w:styleId="Textodecomentrio">
    <w:name w:val="annotation text"/>
    <w:basedOn w:val="Normal"/>
    <w:link w:val="TextodecomentrioChar"/>
    <w:uiPriority w:val="99"/>
    <w:semiHidden/>
    <w:unhideWhenUsed/>
    <w:rsid w:val="00EC791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C791A"/>
    <w:rPr>
      <w:lang w:eastAsia="en-US"/>
    </w:rPr>
  </w:style>
  <w:style w:type="paragraph" w:styleId="Assuntodocomentrio">
    <w:name w:val="annotation subject"/>
    <w:basedOn w:val="Textodecomentrio"/>
    <w:next w:val="Textodecomentrio"/>
    <w:link w:val="AssuntodocomentrioChar"/>
    <w:uiPriority w:val="99"/>
    <w:semiHidden/>
    <w:unhideWhenUsed/>
    <w:rsid w:val="00EC791A"/>
    <w:rPr>
      <w:b/>
      <w:bCs/>
    </w:rPr>
  </w:style>
  <w:style w:type="character" w:customStyle="1" w:styleId="AssuntodocomentrioChar">
    <w:name w:val="Assunto do comentário Char"/>
    <w:basedOn w:val="TextodecomentrioChar"/>
    <w:link w:val="Assuntodocomentrio"/>
    <w:uiPriority w:val="99"/>
    <w:semiHidden/>
    <w:rsid w:val="00EC791A"/>
    <w:rPr>
      <w:b/>
      <w:bCs/>
    </w:rPr>
  </w:style>
  <w:style w:type="character" w:styleId="nfase">
    <w:name w:val="Emphasis"/>
    <w:qFormat/>
    <w:rsid w:val="00D15588"/>
    <w:rPr>
      <w:i/>
      <w:iCs/>
    </w:rPr>
  </w:style>
  <w:style w:type="character" w:styleId="Forte">
    <w:name w:val="Strong"/>
    <w:qFormat/>
    <w:rsid w:val="00D15588"/>
    <w:rPr>
      <w:b/>
      <w:bCs/>
    </w:rPr>
  </w:style>
  <w:style w:type="paragraph" w:styleId="Corpodetexto">
    <w:name w:val="Body Text"/>
    <w:basedOn w:val="Normal"/>
    <w:link w:val="CorpodetextoChar"/>
    <w:semiHidden/>
    <w:rsid w:val="00D15588"/>
    <w:pPr>
      <w:suppressAutoHyphens/>
      <w:spacing w:after="120" w:line="240" w:lineRule="auto"/>
      <w:jc w:val="both"/>
    </w:pPr>
    <w:rPr>
      <w:rFonts w:ascii="Arial" w:eastAsia="Times New Roman" w:hAnsi="Arial"/>
      <w:szCs w:val="24"/>
      <w:lang w:eastAsia="ar-SA"/>
    </w:rPr>
  </w:style>
  <w:style w:type="character" w:customStyle="1" w:styleId="CorpodetextoChar">
    <w:name w:val="Corpo de texto Char"/>
    <w:basedOn w:val="Fontepargpadro"/>
    <w:link w:val="Corpodetexto"/>
    <w:semiHidden/>
    <w:rsid w:val="00D15588"/>
    <w:rPr>
      <w:rFonts w:ascii="Arial" w:eastAsia="Times New Roman" w:hAnsi="Arial"/>
      <w:sz w:val="22"/>
      <w:szCs w:val="24"/>
      <w:lang w:eastAsia="ar-SA"/>
    </w:rPr>
  </w:style>
  <w:style w:type="paragraph" w:customStyle="1" w:styleId="Citaes">
    <w:name w:val="Citações"/>
    <w:basedOn w:val="Normal"/>
    <w:rsid w:val="00D15588"/>
    <w:pPr>
      <w:suppressAutoHyphens/>
      <w:spacing w:after="283" w:line="240" w:lineRule="auto"/>
      <w:ind w:left="567" w:right="567"/>
      <w:jc w:val="both"/>
    </w:pPr>
    <w:rPr>
      <w:rFonts w:ascii="Arial" w:eastAsia="Times New Roman" w:hAnsi="Arial"/>
      <w:szCs w:val="24"/>
      <w:lang w:eastAsia="ar-SA"/>
    </w:rPr>
  </w:style>
</w:styles>
</file>

<file path=word/webSettings.xml><?xml version="1.0" encoding="utf-8"?>
<w:webSettings xmlns:r="http://schemas.openxmlformats.org/officeDocument/2006/relationships" xmlns:w="http://schemas.openxmlformats.org/wordprocessingml/2006/main">
  <w:divs>
    <w:div w:id="1583029361">
      <w:bodyDiv w:val="1"/>
      <w:marLeft w:val="0"/>
      <w:marRight w:val="0"/>
      <w:marTop w:val="0"/>
      <w:marBottom w:val="0"/>
      <w:divBdr>
        <w:top w:val="none" w:sz="0" w:space="0" w:color="auto"/>
        <w:left w:val="none" w:sz="0" w:space="0" w:color="auto"/>
        <w:bottom w:val="none" w:sz="0" w:space="0" w:color="auto"/>
        <w:right w:val="none" w:sz="0" w:space="0" w:color="auto"/>
      </w:divBdr>
      <w:divsChild>
        <w:div w:id="1535996365">
          <w:marLeft w:val="0"/>
          <w:marRight w:val="0"/>
          <w:marTop w:val="0"/>
          <w:marBottom w:val="0"/>
          <w:divBdr>
            <w:top w:val="none" w:sz="0" w:space="0" w:color="auto"/>
            <w:left w:val="none" w:sz="0" w:space="0" w:color="auto"/>
            <w:bottom w:val="none" w:sz="0" w:space="0" w:color="auto"/>
            <w:right w:val="none" w:sz="0" w:space="0" w:color="auto"/>
          </w:divBdr>
          <w:divsChild>
            <w:div w:id="105849564">
              <w:marLeft w:val="0"/>
              <w:marRight w:val="0"/>
              <w:marTop w:val="75"/>
              <w:marBottom w:val="0"/>
              <w:divBdr>
                <w:top w:val="single" w:sz="4"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F5BB8-0533-4BCD-9BE7-22FB4B1A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849</Words>
  <Characters>4588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Agencia Nacional de Aviação Civil</Company>
  <LinksUpToDate>false</LinksUpToDate>
  <CharactersWithSpaces>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fabio.brumana</dc:creator>
  <cp:lastModifiedBy>ANAC</cp:lastModifiedBy>
  <cp:revision>7</cp:revision>
  <cp:lastPrinted>2011-04-01T18:24:00Z</cp:lastPrinted>
  <dcterms:created xsi:type="dcterms:W3CDTF">2012-03-27T19:24:00Z</dcterms:created>
  <dcterms:modified xsi:type="dcterms:W3CDTF">2012-04-13T13:50:00Z</dcterms:modified>
</cp:coreProperties>
</file>