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5.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6.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7.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8.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9.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0.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1.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309FCC" w14:textId="36D2407F" w:rsidR="00F1231C" w:rsidRDefault="00557100">
      <w:r>
        <w:rPr>
          <w:noProof/>
          <w:lang w:eastAsia="pt-BR"/>
        </w:rPr>
        <mc:AlternateContent>
          <mc:Choice Requires="wps">
            <w:drawing>
              <wp:anchor distT="0" distB="0" distL="114300" distR="114300" simplePos="0" relativeHeight="251658242" behindDoc="0" locked="0" layoutInCell="1" allowOverlap="1" wp14:anchorId="3B011EFB" wp14:editId="3D7D5679">
                <wp:simplePos x="0" y="0"/>
                <wp:positionH relativeFrom="margin">
                  <wp:align>right</wp:align>
                </wp:positionH>
                <wp:positionV relativeFrom="paragraph">
                  <wp:posOffset>8829675</wp:posOffset>
                </wp:positionV>
                <wp:extent cx="3495675" cy="781050"/>
                <wp:effectExtent l="0" t="0" r="0" b="0"/>
                <wp:wrapNone/>
                <wp:docPr id="4" name="Caixa de Texto 4"/>
                <wp:cNvGraphicFramePr/>
                <a:graphic xmlns:a="http://schemas.openxmlformats.org/drawingml/2006/main">
                  <a:graphicData uri="http://schemas.microsoft.com/office/word/2010/wordprocessingShape">
                    <wps:wsp>
                      <wps:cNvSpPr txBox="1"/>
                      <wps:spPr>
                        <a:xfrm>
                          <a:off x="0" y="0"/>
                          <a:ext cx="3495675" cy="781050"/>
                        </a:xfrm>
                        <a:prstGeom prst="rect">
                          <a:avLst/>
                        </a:prstGeom>
                        <a:noFill/>
                        <a:ln w="6350">
                          <a:noFill/>
                        </a:ln>
                      </wps:spPr>
                      <wps:txbx>
                        <w:txbxContent>
                          <w:p w14:paraId="2007D7DC" w14:textId="77777777" w:rsidR="005954C3" w:rsidRDefault="005954C3" w:rsidP="00557100">
                            <w:pPr>
                              <w:spacing w:after="0" w:line="240" w:lineRule="auto"/>
                              <w:contextualSpacing/>
                              <w:jc w:val="center"/>
                              <w:rPr>
                                <w:rFonts w:ascii="Bebas Neue" w:hAnsi="Bebas Neue"/>
                                <w:color w:val="FFFFFF" w:themeColor="background1"/>
                                <w:sz w:val="40"/>
                                <w:szCs w:val="40"/>
                              </w:rPr>
                            </w:pPr>
                            <w:r w:rsidRPr="00D76951">
                              <w:rPr>
                                <w:rFonts w:ascii="Bebas Neue" w:hAnsi="Bebas Neue"/>
                                <w:color w:val="FFFFFF" w:themeColor="background1"/>
                                <w:sz w:val="40"/>
                                <w:szCs w:val="40"/>
                              </w:rPr>
                              <w:t xml:space="preserve">CADERNO DE </w:t>
                            </w:r>
                            <w:r>
                              <w:rPr>
                                <w:rFonts w:ascii="Bebas Neue" w:hAnsi="Bebas Neue"/>
                                <w:color w:val="FFFFFF" w:themeColor="background1"/>
                                <w:sz w:val="40"/>
                                <w:szCs w:val="40"/>
                              </w:rPr>
                              <w:t>R</w:t>
                            </w:r>
                            <w:r w:rsidRPr="00D76951">
                              <w:rPr>
                                <w:rFonts w:ascii="Bebas Neue" w:hAnsi="Bebas Neue"/>
                                <w:color w:val="FFFFFF" w:themeColor="background1"/>
                                <w:sz w:val="40"/>
                                <w:szCs w:val="40"/>
                              </w:rPr>
                              <w:t>ESULTADOS</w:t>
                            </w:r>
                          </w:p>
                          <w:p w14:paraId="055F0645" w14:textId="07335DA4" w:rsidR="005954C3" w:rsidRPr="00D76951" w:rsidRDefault="005954C3" w:rsidP="00557100">
                            <w:pPr>
                              <w:spacing w:after="0" w:line="240" w:lineRule="auto"/>
                              <w:contextualSpacing/>
                              <w:jc w:val="center"/>
                              <w:rPr>
                                <w:rFonts w:ascii="Bebas Neue" w:hAnsi="Bebas Neue"/>
                                <w:color w:val="FFFFFF" w:themeColor="background1"/>
                                <w:sz w:val="40"/>
                                <w:szCs w:val="40"/>
                              </w:rPr>
                            </w:pPr>
                            <w:r w:rsidRPr="00D76951">
                              <w:rPr>
                                <w:rFonts w:ascii="Bebas Neue" w:hAnsi="Bebas Neue"/>
                                <w:color w:val="FFFFFF" w:themeColor="background1"/>
                                <w:sz w:val="40"/>
                                <w:szCs w:val="40"/>
                              </w:rPr>
                              <w:t>202</w:t>
                            </w:r>
                            <w:r w:rsidR="00D47A8A">
                              <w:rPr>
                                <w:rFonts w:ascii="Bebas Neue" w:hAnsi="Bebas Neue"/>
                                <w:color w:val="FFFFFF" w:themeColor="background1"/>
                                <w:sz w:val="40"/>
                                <w:szCs w:val="40"/>
                              </w:rPr>
                              <w:t>2 / 1º SEMESTRE</w:t>
                            </w:r>
                          </w:p>
                          <w:p w14:paraId="29803732" w14:textId="77777777" w:rsidR="005954C3" w:rsidRPr="00D76951" w:rsidRDefault="005954C3" w:rsidP="00557100">
                            <w:pPr>
                              <w:spacing w:after="0" w:line="240" w:lineRule="auto"/>
                              <w:contextualSpacing/>
                              <w:jc w:val="center"/>
                              <w:rPr>
                                <w:rFonts w:ascii="Bebas Neue" w:hAnsi="Bebas Neue"/>
                                <w:color w:val="FFFFFF" w:themeColor="background1"/>
                                <w:sz w:val="40"/>
                                <w:szCs w:val="40"/>
                              </w:rPr>
                            </w:pPr>
                            <w:r w:rsidRPr="00D76951">
                              <w:rPr>
                                <w:rFonts w:ascii="Bebas Neue" w:hAnsi="Bebas Neue"/>
                                <w:color w:val="FFFFFF" w:themeColor="background1"/>
                                <w:sz w:val="40"/>
                                <w:szCs w:val="40"/>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011EFB" id="_x0000_t202" coordsize="21600,21600" o:spt="202" path="m,l,21600r21600,l21600,xe">
                <v:stroke joinstyle="miter"/>
                <v:path gradientshapeok="t" o:connecttype="rect"/>
              </v:shapetype>
              <v:shape id="Caixa de Texto 4" o:spid="_x0000_s1026" type="#_x0000_t202" style="position:absolute;margin-left:224.05pt;margin-top:695.25pt;width:275.25pt;height:61.5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" filled="f" stroked="f" strokeweight=".5pt">
                <v:textbox>
                  <w:txbxContent>
                    <w:p w14:paraId="2007D7DC" w14:textId="77777777" w:rsidR="005954C3" w:rsidRDefault="005954C3" w:rsidP="00557100">
                      <w:pPr>
                        <w:spacing w:after="0" w:line="240" w:lineRule="auto"/>
                        <w:contextualSpacing/>
                        <w:jc w:val="center"/>
                        <w:rPr>
                          <w:rFonts w:ascii="Bebas Neue" w:hAnsi="Bebas Neue"/>
                          <w:color w:val="FFFFFF" w:themeColor="background1"/>
                          <w:sz w:val="40"/>
                          <w:szCs w:val="40"/>
                        </w:rPr>
                      </w:pPr>
                      <w:r w:rsidRPr="00D76951">
                        <w:rPr>
                          <w:rFonts w:ascii="Bebas Neue" w:hAnsi="Bebas Neue"/>
                          <w:color w:val="FFFFFF" w:themeColor="background1"/>
                          <w:sz w:val="40"/>
                          <w:szCs w:val="40"/>
                        </w:rPr>
                        <w:t xml:space="preserve">CADERNO DE </w:t>
                      </w:r>
                      <w:r>
                        <w:rPr>
                          <w:rFonts w:ascii="Bebas Neue" w:hAnsi="Bebas Neue"/>
                          <w:color w:val="FFFFFF" w:themeColor="background1"/>
                          <w:sz w:val="40"/>
                          <w:szCs w:val="40"/>
                        </w:rPr>
                        <w:t>R</w:t>
                      </w:r>
                      <w:r w:rsidRPr="00D76951">
                        <w:rPr>
                          <w:rFonts w:ascii="Bebas Neue" w:hAnsi="Bebas Neue"/>
                          <w:color w:val="FFFFFF" w:themeColor="background1"/>
                          <w:sz w:val="40"/>
                          <w:szCs w:val="40"/>
                        </w:rPr>
                        <w:t>ESULTADOS</w:t>
                      </w:r>
                    </w:p>
                    <w:p w14:paraId="055F0645" w14:textId="07335DA4" w:rsidR="005954C3" w:rsidRPr="00D76951" w:rsidRDefault="005954C3" w:rsidP="00557100">
                      <w:pPr>
                        <w:spacing w:after="0" w:line="240" w:lineRule="auto"/>
                        <w:contextualSpacing/>
                        <w:jc w:val="center"/>
                        <w:rPr>
                          <w:rFonts w:ascii="Bebas Neue" w:hAnsi="Bebas Neue"/>
                          <w:color w:val="FFFFFF" w:themeColor="background1"/>
                          <w:sz w:val="40"/>
                          <w:szCs w:val="40"/>
                        </w:rPr>
                      </w:pPr>
                      <w:r w:rsidRPr="00D76951">
                        <w:rPr>
                          <w:rFonts w:ascii="Bebas Neue" w:hAnsi="Bebas Neue"/>
                          <w:color w:val="FFFFFF" w:themeColor="background1"/>
                          <w:sz w:val="40"/>
                          <w:szCs w:val="40"/>
                        </w:rPr>
                        <w:t>202</w:t>
                      </w:r>
                      <w:r w:rsidR="00D47A8A">
                        <w:rPr>
                          <w:rFonts w:ascii="Bebas Neue" w:hAnsi="Bebas Neue"/>
                          <w:color w:val="FFFFFF" w:themeColor="background1"/>
                          <w:sz w:val="40"/>
                          <w:szCs w:val="40"/>
                        </w:rPr>
                        <w:t>2 / 1º SEMESTRE</w:t>
                      </w:r>
                    </w:p>
                    <w:p w14:paraId="29803732" w14:textId="77777777" w:rsidR="005954C3" w:rsidRPr="00D76951" w:rsidRDefault="005954C3" w:rsidP="00557100">
                      <w:pPr>
                        <w:spacing w:after="0" w:line="240" w:lineRule="auto"/>
                        <w:contextualSpacing/>
                        <w:jc w:val="center"/>
                        <w:rPr>
                          <w:rFonts w:ascii="Bebas Neue" w:hAnsi="Bebas Neue"/>
                          <w:color w:val="FFFFFF" w:themeColor="background1"/>
                          <w:sz w:val="40"/>
                          <w:szCs w:val="40"/>
                        </w:rPr>
                      </w:pPr>
                      <w:r w:rsidRPr="00D76951">
                        <w:rPr>
                          <w:rFonts w:ascii="Bebas Neue" w:hAnsi="Bebas Neue"/>
                          <w:color w:val="FFFFFF" w:themeColor="background1"/>
                          <w:sz w:val="40"/>
                          <w:szCs w:val="40"/>
                        </w:rPr>
                        <w:t>2020</w:t>
                      </w:r>
                    </w:p>
                  </w:txbxContent>
                </v:textbox>
                <w10:wrap anchorx="margin"/>
              </v:shape>
            </w:pict>
          </mc:Fallback>
        </mc:AlternateContent>
      </w:r>
      <w:r w:rsidR="002430FF">
        <w:rPr>
          <w:noProof/>
          <w:lang w:eastAsia="pt-BR"/>
        </w:rPr>
        <mc:AlternateContent>
          <mc:Choice Requires="wps">
            <w:drawing>
              <wp:anchor distT="0" distB="0" distL="114300" distR="114300" simplePos="0" relativeHeight="251658241" behindDoc="0" locked="0" layoutInCell="1" allowOverlap="1" wp14:anchorId="10B58CED" wp14:editId="5FFBB0C3">
                <wp:simplePos x="0" y="0"/>
                <wp:positionH relativeFrom="margin">
                  <wp:align>center</wp:align>
                </wp:positionH>
                <wp:positionV relativeFrom="paragraph">
                  <wp:posOffset>7562850</wp:posOffset>
                </wp:positionV>
                <wp:extent cx="5593715" cy="857250"/>
                <wp:effectExtent l="0" t="0" r="0" b="0"/>
                <wp:wrapNone/>
                <wp:docPr id="44" name="Caixa de Texto 44"/>
                <wp:cNvGraphicFramePr/>
                <a:graphic xmlns:a="http://schemas.openxmlformats.org/drawingml/2006/main">
                  <a:graphicData uri="http://schemas.microsoft.com/office/word/2010/wordprocessingShape">
                    <wps:wsp>
                      <wps:cNvSpPr txBox="1"/>
                      <wps:spPr>
                        <a:xfrm>
                          <a:off x="0" y="0"/>
                          <a:ext cx="5593715" cy="857250"/>
                        </a:xfrm>
                        <a:prstGeom prst="rect">
                          <a:avLst/>
                        </a:prstGeom>
                        <a:noFill/>
                        <a:ln w="6350">
                          <a:noFill/>
                        </a:ln>
                      </wps:spPr>
                      <wps:txbx>
                        <w:txbxContent>
                          <w:p w14:paraId="7A6F6190" w14:textId="77777777" w:rsidR="005954C3" w:rsidRPr="00C11804" w:rsidRDefault="005954C3" w:rsidP="002430FF">
                            <w:pPr>
                              <w:spacing w:after="0" w:line="240" w:lineRule="auto"/>
                              <w:jc w:val="center"/>
                              <w:rPr>
                                <w:rFonts w:ascii="Bebas Neue" w:hAnsi="Bebas Neue"/>
                                <w:color w:val="FFFFFF" w:themeColor="background1"/>
                                <w:sz w:val="44"/>
                                <w:szCs w:val="44"/>
                              </w:rPr>
                            </w:pPr>
                            <w:r w:rsidRPr="00C11804">
                              <w:rPr>
                                <w:rFonts w:ascii="Bebas Neue" w:hAnsi="Bebas Neue"/>
                                <w:color w:val="FFFFFF" w:themeColor="background1"/>
                                <w:sz w:val="44"/>
                                <w:szCs w:val="44"/>
                              </w:rPr>
                              <w:t>SUPERINTENDÊNCIA DE ADMINISTRAÇÃO NO</w:t>
                            </w:r>
                          </w:p>
                          <w:p w14:paraId="1DFEC827" w14:textId="77777777" w:rsidR="005954C3" w:rsidRPr="00C11804" w:rsidRDefault="005954C3" w:rsidP="002430FF">
                            <w:pPr>
                              <w:spacing w:after="0" w:line="240" w:lineRule="auto"/>
                              <w:jc w:val="center"/>
                              <w:rPr>
                                <w:rFonts w:ascii="Bebas Neue" w:hAnsi="Bebas Neue"/>
                                <w:color w:val="FFFFFF" w:themeColor="background1"/>
                                <w:sz w:val="44"/>
                                <w:szCs w:val="44"/>
                              </w:rPr>
                            </w:pPr>
                            <w:r w:rsidRPr="00C11804">
                              <w:rPr>
                                <w:rFonts w:ascii="Bebas Neue" w:hAnsi="Bebas Neue"/>
                                <w:color w:val="FFFFFF" w:themeColor="background1"/>
                                <w:sz w:val="44"/>
                                <w:szCs w:val="44"/>
                              </w:rPr>
                              <w:t>ESTADO DO RIO GRANDE DO SUL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58CED" id="Caixa de Texto 44" o:spid="_x0000_s1027" type="#_x0000_t202" style="position:absolute;margin-left:0;margin-top:595.5pt;width:440.45pt;height:67.5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" filled="f" stroked="f" strokeweight=".5pt">
                <v:textbox>
                  <w:txbxContent>
                    <w:p w14:paraId="7A6F6190" w14:textId="77777777" w:rsidR="005954C3" w:rsidRPr="00C11804" w:rsidRDefault="005954C3" w:rsidP="002430FF">
                      <w:pPr>
                        <w:spacing w:after="0" w:line="240" w:lineRule="auto"/>
                        <w:jc w:val="center"/>
                        <w:rPr>
                          <w:rFonts w:ascii="Bebas Neue" w:hAnsi="Bebas Neue"/>
                          <w:color w:val="FFFFFF" w:themeColor="background1"/>
                          <w:sz w:val="44"/>
                          <w:szCs w:val="44"/>
                        </w:rPr>
                      </w:pPr>
                      <w:r w:rsidRPr="00C11804">
                        <w:rPr>
                          <w:rFonts w:ascii="Bebas Neue" w:hAnsi="Bebas Neue"/>
                          <w:color w:val="FFFFFF" w:themeColor="background1"/>
                          <w:sz w:val="44"/>
                          <w:szCs w:val="44"/>
                        </w:rPr>
                        <w:t>SUPERINTENDÊNCIA DE ADMINISTRAÇÃO NO</w:t>
                      </w:r>
                    </w:p>
                    <w:p w14:paraId="1DFEC827" w14:textId="77777777" w:rsidR="005954C3" w:rsidRPr="00C11804" w:rsidRDefault="005954C3" w:rsidP="002430FF">
                      <w:pPr>
                        <w:spacing w:after="0" w:line="240" w:lineRule="auto"/>
                        <w:jc w:val="center"/>
                        <w:rPr>
                          <w:rFonts w:ascii="Bebas Neue" w:hAnsi="Bebas Neue"/>
                          <w:color w:val="FFFFFF" w:themeColor="background1"/>
                          <w:sz w:val="44"/>
                          <w:szCs w:val="44"/>
                        </w:rPr>
                      </w:pPr>
                      <w:r w:rsidRPr="00C11804">
                        <w:rPr>
                          <w:rFonts w:ascii="Bebas Neue" w:hAnsi="Bebas Neue"/>
                          <w:color w:val="FFFFFF" w:themeColor="background1"/>
                          <w:sz w:val="44"/>
                          <w:szCs w:val="44"/>
                        </w:rPr>
                        <w:t>ESTADO DO RIO GRANDE DO SUL</w:t>
                      </w:r>
                    </w:p>
                  </w:txbxContent>
                </v:textbox>
                <w10:wrap anchorx="margin"/>
              </v:shape>
            </w:pict>
          </mc:Fallback>
        </mc:AlternateContent>
      </w:r>
      <w:r w:rsidR="00B4031D">
        <w:rPr>
          <w:noProof/>
          <w:lang w:eastAsia="pt-BR"/>
        </w:rPr>
        <w:drawing>
          <wp:anchor distT="0" distB="0" distL="114300" distR="114300" simplePos="0" relativeHeight="251658240" behindDoc="1" locked="0" layoutInCell="1" allowOverlap="1" wp14:anchorId="4B8938D0" wp14:editId="6C59D831">
            <wp:simplePos x="0" y="0"/>
            <wp:positionH relativeFrom="column">
              <wp:align>left</wp:align>
            </wp:positionH>
            <wp:positionV relativeFrom="paragraph">
              <wp:posOffset>0</wp:posOffset>
            </wp:positionV>
            <wp:extent cx="7573010" cy="10707089"/>
            <wp:effectExtent l="0" t="0" r="0" b="0"/>
            <wp:wrapNone/>
            <wp:docPr id="2006030910"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pic:nvPicPr>
                  <pic:blipFill>
                    <a:blip r:embed="rId11">
                      <a:extLst>
                        <a:ext uri="{28A0092B-C50C-407E-A947-70E740481C1C}">
                          <a14:useLocalDpi xmlns:a14="http://schemas.microsoft.com/office/drawing/2010/main" val="0"/>
                        </a:ext>
                      </a:extLst>
                    </a:blip>
                    <a:stretch>
                      <a:fillRect/>
                    </a:stretch>
                  </pic:blipFill>
                  <pic:spPr>
                    <a:xfrm>
                      <a:off x="0" y="0"/>
                      <a:ext cx="7573010" cy="10707089"/>
                    </a:xfrm>
                    <a:prstGeom prst="rect">
                      <a:avLst/>
                    </a:prstGeom>
                  </pic:spPr>
                </pic:pic>
              </a:graphicData>
            </a:graphic>
            <wp14:sizeRelH relativeFrom="page">
              <wp14:pctWidth>0</wp14:pctWidth>
            </wp14:sizeRelH>
            <wp14:sizeRelV relativeFrom="page">
              <wp14:pctHeight>0</wp14:pctHeight>
            </wp14:sizeRelV>
          </wp:anchor>
        </w:drawing>
      </w:r>
      <w:r w:rsidR="00F1231C">
        <w:br w:type="page"/>
      </w:r>
    </w:p>
    <w:p w14:paraId="6AAAE3FC" w14:textId="77777777" w:rsidR="000D66CD" w:rsidRDefault="000D66CD" w:rsidP="006C4FF1">
      <w:pPr>
        <w:jc w:val="center"/>
        <w:sectPr w:rsidR="000D66CD" w:rsidSect="00561563">
          <w:headerReference w:type="default" r:id="rId12"/>
          <w:footerReference w:type="default" r:id="rId13"/>
          <w:pgSz w:w="11907" w:h="16840" w:code="9"/>
          <w:pgMar w:top="0" w:right="0" w:bottom="0" w:left="0" w:header="709" w:footer="709" w:gutter="0"/>
          <w:cols w:space="708"/>
          <w:titlePg/>
          <w:docGrid w:linePitch="360"/>
        </w:sectPr>
      </w:pPr>
    </w:p>
    <w:p w14:paraId="70D91B70" w14:textId="4E50FF26" w:rsidR="008654EB" w:rsidRDefault="00CA6292" w:rsidP="006C4FF1">
      <w:pPr>
        <w:jc w:val="center"/>
      </w:pPr>
      <w:r>
        <w:object w:dxaOrig="1192" w:dyaOrig="1200" w14:anchorId="434EA5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1pt;height:58.2pt" o:ole="" filled="t">
            <v:fill color2="black" type="frame"/>
            <v:imagedata r:id="rId14" o:title=""/>
          </v:shape>
          <o:OLEObject Type="Embed" ProgID="PBrush" ShapeID="_x0000_i1025" DrawAspect="Content" ObjectID="_1724655720" r:id="rId15"/>
        </w:object>
      </w:r>
    </w:p>
    <w:p w14:paraId="6772D4AF" w14:textId="3FD3F5B0" w:rsidR="005025E3" w:rsidRDefault="005025E3" w:rsidP="00EA64E0">
      <w:pPr>
        <w:spacing w:after="0" w:line="240" w:lineRule="auto"/>
        <w:jc w:val="center"/>
        <w:rPr>
          <w:rFonts w:eastAsia="Times New Roman" w:cstheme="minorHAnsi"/>
          <w:b/>
          <w:sz w:val="28"/>
          <w:szCs w:val="28"/>
          <w:lang w:eastAsia="pt-BR"/>
        </w:rPr>
      </w:pPr>
    </w:p>
    <w:p w14:paraId="45CE001F" w14:textId="77777777" w:rsidR="00EA64E0" w:rsidRPr="009E42BF" w:rsidRDefault="00EA64E0" w:rsidP="00EA64E0">
      <w:pPr>
        <w:spacing w:after="0" w:line="240" w:lineRule="auto"/>
        <w:jc w:val="center"/>
        <w:rPr>
          <w:rFonts w:eastAsia="Times New Roman" w:cstheme="minorHAnsi"/>
          <w:b/>
          <w:sz w:val="28"/>
          <w:szCs w:val="28"/>
          <w:lang w:eastAsia="pt-BR"/>
        </w:rPr>
      </w:pPr>
      <w:r w:rsidRPr="009E42BF">
        <w:rPr>
          <w:rFonts w:eastAsia="Times New Roman" w:cstheme="minorHAnsi"/>
          <w:b/>
          <w:sz w:val="28"/>
          <w:szCs w:val="28"/>
          <w:lang w:eastAsia="pt-BR"/>
        </w:rPr>
        <w:t>Advogado</w:t>
      </w:r>
      <w:r>
        <w:rPr>
          <w:rFonts w:eastAsia="Times New Roman" w:cstheme="minorHAnsi"/>
          <w:b/>
          <w:sz w:val="28"/>
          <w:szCs w:val="28"/>
          <w:lang w:eastAsia="pt-BR"/>
        </w:rPr>
        <w:t>-</w:t>
      </w:r>
      <w:r w:rsidRPr="009E42BF">
        <w:rPr>
          <w:rFonts w:eastAsia="Times New Roman" w:cstheme="minorHAnsi"/>
          <w:b/>
          <w:sz w:val="28"/>
          <w:szCs w:val="28"/>
          <w:lang w:eastAsia="pt-BR"/>
        </w:rPr>
        <w:t>Geral da União</w:t>
      </w:r>
    </w:p>
    <w:p w14:paraId="0AE78639" w14:textId="372F73B4" w:rsidR="00EA64E0" w:rsidRPr="0064778C" w:rsidRDefault="00324F0B" w:rsidP="00EA64E0">
      <w:pPr>
        <w:spacing w:after="0" w:line="240" w:lineRule="auto"/>
        <w:jc w:val="center"/>
        <w:rPr>
          <w:rFonts w:eastAsia="Times New Roman" w:cstheme="minorHAnsi"/>
          <w:b/>
          <w:sz w:val="28"/>
          <w:szCs w:val="28"/>
          <w:lang w:eastAsia="pt-BR"/>
        </w:rPr>
      </w:pPr>
      <w:r>
        <w:rPr>
          <w:b/>
          <w:bCs/>
          <w:i/>
          <w:iCs/>
          <w:color w:val="201F1E"/>
          <w:sz w:val="28"/>
          <w:szCs w:val="28"/>
          <w:bdr w:val="none" w:sz="0" w:space="0" w:color="auto" w:frame="1"/>
          <w:shd w:val="clear" w:color="auto" w:fill="FFFFFF"/>
        </w:rPr>
        <w:t>Bruno Bianco Leal</w:t>
      </w:r>
    </w:p>
    <w:p w14:paraId="6F14EDD4" w14:textId="77777777" w:rsidR="00EA64E0" w:rsidRDefault="00EA64E0" w:rsidP="00EA64E0">
      <w:pPr>
        <w:spacing w:after="0" w:line="240" w:lineRule="auto"/>
        <w:jc w:val="center"/>
        <w:rPr>
          <w:rFonts w:eastAsia="Times New Roman" w:cstheme="minorHAnsi"/>
          <w:sz w:val="28"/>
          <w:szCs w:val="28"/>
          <w:lang w:eastAsia="pt-BR"/>
        </w:rPr>
      </w:pPr>
    </w:p>
    <w:p w14:paraId="55782760" w14:textId="77777777" w:rsidR="0030032D" w:rsidRDefault="0030032D" w:rsidP="00EA64E0">
      <w:pPr>
        <w:spacing w:after="0" w:line="240" w:lineRule="auto"/>
        <w:jc w:val="center"/>
        <w:rPr>
          <w:rFonts w:eastAsia="Times New Roman" w:cstheme="minorHAnsi"/>
          <w:sz w:val="28"/>
          <w:szCs w:val="28"/>
          <w:lang w:eastAsia="pt-BR"/>
        </w:rPr>
      </w:pPr>
    </w:p>
    <w:p w14:paraId="10F4D5E7" w14:textId="77777777" w:rsidR="00EA64E0" w:rsidRDefault="00EA64E0" w:rsidP="00EA64E0">
      <w:pPr>
        <w:spacing w:after="0" w:line="240" w:lineRule="auto"/>
        <w:jc w:val="center"/>
        <w:rPr>
          <w:rFonts w:eastAsia="Times New Roman" w:cstheme="minorHAnsi"/>
          <w:b/>
          <w:sz w:val="28"/>
          <w:szCs w:val="28"/>
          <w:lang w:eastAsia="pt-BR"/>
        </w:rPr>
      </w:pPr>
    </w:p>
    <w:p w14:paraId="1BBECA60" w14:textId="6BDDB8DF" w:rsidR="00EA64E0" w:rsidRPr="009E42BF" w:rsidRDefault="00EA64E0" w:rsidP="00EA64E0">
      <w:pPr>
        <w:spacing w:after="0" w:line="240" w:lineRule="auto"/>
        <w:jc w:val="center"/>
        <w:rPr>
          <w:rFonts w:eastAsia="Times New Roman" w:cstheme="minorHAnsi"/>
          <w:b/>
          <w:sz w:val="28"/>
          <w:szCs w:val="28"/>
          <w:lang w:eastAsia="pt-BR"/>
        </w:rPr>
      </w:pPr>
      <w:r>
        <w:rPr>
          <w:rFonts w:eastAsia="Times New Roman" w:cstheme="minorHAnsi"/>
          <w:b/>
          <w:sz w:val="28"/>
          <w:szCs w:val="28"/>
          <w:lang w:eastAsia="pt-BR"/>
        </w:rPr>
        <w:t>Secret</w:t>
      </w:r>
      <w:r w:rsidR="00B81274">
        <w:rPr>
          <w:rFonts w:eastAsia="Times New Roman" w:cstheme="minorHAnsi"/>
          <w:b/>
          <w:sz w:val="28"/>
          <w:szCs w:val="28"/>
          <w:lang w:eastAsia="pt-BR"/>
        </w:rPr>
        <w:t>a</w:t>
      </w:r>
      <w:r>
        <w:rPr>
          <w:rFonts w:eastAsia="Times New Roman" w:cstheme="minorHAnsi"/>
          <w:b/>
          <w:sz w:val="28"/>
          <w:szCs w:val="28"/>
          <w:lang w:eastAsia="pt-BR"/>
        </w:rPr>
        <w:t>ria-Geral de Administração</w:t>
      </w:r>
    </w:p>
    <w:p w14:paraId="016674FC" w14:textId="5E6D2C59" w:rsidR="00EA64E0" w:rsidRPr="0064778C" w:rsidRDefault="008654EB" w:rsidP="00EA64E0">
      <w:pPr>
        <w:spacing w:after="0" w:line="240" w:lineRule="auto"/>
        <w:jc w:val="center"/>
        <w:rPr>
          <w:rFonts w:eastAsia="Times New Roman" w:cstheme="minorHAnsi"/>
          <w:b/>
          <w:sz w:val="28"/>
          <w:szCs w:val="28"/>
          <w:lang w:eastAsia="pt-BR"/>
        </w:rPr>
      </w:pPr>
      <w:proofErr w:type="spellStart"/>
      <w:r w:rsidRPr="00C7429D">
        <w:rPr>
          <w:b/>
          <w:bCs/>
          <w:i/>
          <w:iCs/>
          <w:color w:val="201F1E"/>
          <w:sz w:val="28"/>
          <w:szCs w:val="28"/>
          <w:bdr w:val="none" w:sz="0" w:space="0" w:color="auto" w:frame="1"/>
          <w:shd w:val="clear" w:color="auto" w:fill="FFFFFF"/>
        </w:rPr>
        <w:t>I</w:t>
      </w:r>
      <w:r w:rsidR="0064778C">
        <w:rPr>
          <w:b/>
          <w:bCs/>
          <w:i/>
          <w:iCs/>
          <w:color w:val="201F1E"/>
          <w:sz w:val="28"/>
          <w:szCs w:val="28"/>
          <w:bdr w:val="none" w:sz="0" w:space="0" w:color="auto" w:frame="1"/>
          <w:shd w:val="clear" w:color="auto" w:fill="FFFFFF"/>
        </w:rPr>
        <w:t>êda</w:t>
      </w:r>
      <w:proofErr w:type="spellEnd"/>
      <w:r w:rsidRPr="00C7429D">
        <w:rPr>
          <w:b/>
          <w:bCs/>
          <w:i/>
          <w:iCs/>
          <w:color w:val="201F1E"/>
          <w:sz w:val="28"/>
          <w:szCs w:val="28"/>
          <w:bdr w:val="none" w:sz="0" w:space="0" w:color="auto" w:frame="1"/>
          <w:shd w:val="clear" w:color="auto" w:fill="FFFFFF"/>
        </w:rPr>
        <w:t xml:space="preserve"> A</w:t>
      </w:r>
      <w:r w:rsidR="0064778C">
        <w:rPr>
          <w:b/>
          <w:bCs/>
          <w:i/>
          <w:iCs/>
          <w:color w:val="201F1E"/>
          <w:sz w:val="28"/>
          <w:szCs w:val="28"/>
          <w:bdr w:val="none" w:sz="0" w:space="0" w:color="auto" w:frame="1"/>
          <w:shd w:val="clear" w:color="auto" w:fill="FFFFFF"/>
        </w:rPr>
        <w:t>parecida</w:t>
      </w:r>
      <w:r w:rsidRPr="00C7429D">
        <w:rPr>
          <w:b/>
          <w:bCs/>
          <w:i/>
          <w:iCs/>
          <w:color w:val="201F1E"/>
          <w:sz w:val="28"/>
          <w:szCs w:val="28"/>
          <w:bdr w:val="none" w:sz="0" w:space="0" w:color="auto" w:frame="1"/>
          <w:shd w:val="clear" w:color="auto" w:fill="FFFFFF"/>
        </w:rPr>
        <w:t xml:space="preserve"> </w:t>
      </w:r>
      <w:r w:rsidR="0064778C">
        <w:rPr>
          <w:b/>
          <w:bCs/>
          <w:i/>
          <w:iCs/>
          <w:color w:val="201F1E"/>
          <w:sz w:val="28"/>
          <w:szCs w:val="28"/>
          <w:bdr w:val="none" w:sz="0" w:space="0" w:color="auto" w:frame="1"/>
          <w:shd w:val="clear" w:color="auto" w:fill="FFFFFF"/>
        </w:rPr>
        <w:t>de</w:t>
      </w:r>
      <w:r w:rsidRPr="00C7429D">
        <w:rPr>
          <w:b/>
          <w:bCs/>
          <w:i/>
          <w:iCs/>
          <w:color w:val="201F1E"/>
          <w:sz w:val="28"/>
          <w:szCs w:val="28"/>
          <w:bdr w:val="none" w:sz="0" w:space="0" w:color="auto" w:frame="1"/>
          <w:shd w:val="clear" w:color="auto" w:fill="FFFFFF"/>
        </w:rPr>
        <w:t xml:space="preserve"> M</w:t>
      </w:r>
      <w:r w:rsidR="0064778C">
        <w:rPr>
          <w:b/>
          <w:bCs/>
          <w:i/>
          <w:iCs/>
          <w:color w:val="201F1E"/>
          <w:sz w:val="28"/>
          <w:szCs w:val="28"/>
          <w:bdr w:val="none" w:sz="0" w:space="0" w:color="auto" w:frame="1"/>
          <w:shd w:val="clear" w:color="auto" w:fill="FFFFFF"/>
        </w:rPr>
        <w:t>oura</w:t>
      </w:r>
      <w:r w:rsidRPr="00C7429D">
        <w:rPr>
          <w:b/>
          <w:bCs/>
          <w:i/>
          <w:iCs/>
          <w:color w:val="201F1E"/>
          <w:sz w:val="28"/>
          <w:szCs w:val="28"/>
          <w:bdr w:val="none" w:sz="0" w:space="0" w:color="auto" w:frame="1"/>
          <w:shd w:val="clear" w:color="auto" w:fill="FFFFFF"/>
        </w:rPr>
        <w:t xml:space="preserve"> </w:t>
      </w:r>
      <w:proofErr w:type="spellStart"/>
      <w:r w:rsidRPr="00C7429D">
        <w:rPr>
          <w:b/>
          <w:bCs/>
          <w:i/>
          <w:iCs/>
          <w:color w:val="201F1E"/>
          <w:sz w:val="28"/>
          <w:szCs w:val="28"/>
          <w:bdr w:val="none" w:sz="0" w:space="0" w:color="auto" w:frame="1"/>
          <w:shd w:val="clear" w:color="auto" w:fill="FFFFFF"/>
        </w:rPr>
        <w:t>C</w:t>
      </w:r>
      <w:r w:rsidR="0064778C">
        <w:rPr>
          <w:b/>
          <w:bCs/>
          <w:i/>
          <w:iCs/>
          <w:color w:val="201F1E"/>
          <w:sz w:val="28"/>
          <w:szCs w:val="28"/>
          <w:bdr w:val="none" w:sz="0" w:space="0" w:color="auto" w:frame="1"/>
          <w:shd w:val="clear" w:color="auto" w:fill="FFFFFF"/>
        </w:rPr>
        <w:t>agni</w:t>
      </w:r>
      <w:proofErr w:type="spellEnd"/>
    </w:p>
    <w:p w14:paraId="5D23C6DB" w14:textId="77777777" w:rsidR="00400804" w:rsidRDefault="00400804" w:rsidP="00EA64E0">
      <w:pPr>
        <w:spacing w:after="0" w:line="240" w:lineRule="auto"/>
        <w:jc w:val="center"/>
        <w:rPr>
          <w:rFonts w:eastAsia="Times New Roman" w:cstheme="minorHAnsi"/>
          <w:b/>
          <w:sz w:val="28"/>
          <w:szCs w:val="28"/>
          <w:lang w:eastAsia="pt-BR"/>
        </w:rPr>
      </w:pPr>
    </w:p>
    <w:p w14:paraId="570F8B13" w14:textId="66BF3B3B" w:rsidR="00EA64E0" w:rsidRDefault="00EA64E0" w:rsidP="00B520D7">
      <w:pPr>
        <w:spacing w:after="0" w:line="240" w:lineRule="auto"/>
        <w:jc w:val="center"/>
        <w:rPr>
          <w:rFonts w:eastAsia="Times New Roman" w:cstheme="minorHAnsi"/>
          <w:b/>
          <w:sz w:val="28"/>
          <w:szCs w:val="28"/>
          <w:lang w:eastAsia="pt-BR"/>
        </w:rPr>
      </w:pPr>
    </w:p>
    <w:p w14:paraId="51502F2F" w14:textId="77777777" w:rsidR="008F4323" w:rsidRDefault="008F4323" w:rsidP="00B520D7">
      <w:pPr>
        <w:spacing w:after="0" w:line="240" w:lineRule="auto"/>
        <w:jc w:val="center"/>
        <w:rPr>
          <w:rFonts w:eastAsia="Times New Roman" w:cstheme="minorHAnsi"/>
          <w:b/>
          <w:sz w:val="28"/>
          <w:szCs w:val="28"/>
          <w:lang w:eastAsia="pt-BR"/>
        </w:rPr>
      </w:pPr>
    </w:p>
    <w:p w14:paraId="209EAE37" w14:textId="77777777" w:rsidR="009F01C5" w:rsidRPr="000E0B98" w:rsidRDefault="009F01C5" w:rsidP="009F01C5">
      <w:pPr>
        <w:spacing w:after="0" w:line="240" w:lineRule="auto"/>
        <w:jc w:val="center"/>
        <w:rPr>
          <w:b/>
          <w:bCs/>
          <w:iCs/>
          <w:color w:val="201F1E"/>
          <w:sz w:val="28"/>
          <w:szCs w:val="28"/>
          <w:bdr w:val="none" w:sz="0" w:space="0" w:color="auto" w:frame="1"/>
          <w:shd w:val="clear" w:color="auto" w:fill="FFFFFF"/>
        </w:rPr>
      </w:pPr>
      <w:r>
        <w:rPr>
          <w:b/>
          <w:bCs/>
          <w:iCs/>
          <w:color w:val="201F1E"/>
          <w:sz w:val="28"/>
          <w:szCs w:val="28"/>
          <w:bdr w:val="none" w:sz="0" w:space="0" w:color="auto" w:frame="1"/>
          <w:shd w:val="clear" w:color="auto" w:fill="FFFFFF"/>
        </w:rPr>
        <w:t>Coordenação-Geral de Estratégia, Governança e Inovação</w:t>
      </w:r>
    </w:p>
    <w:p w14:paraId="68261E0A" w14:textId="77777777" w:rsidR="00AC4078" w:rsidRDefault="009F01C5" w:rsidP="009F01C5">
      <w:pPr>
        <w:spacing w:after="0" w:line="240" w:lineRule="auto"/>
        <w:jc w:val="center"/>
        <w:rPr>
          <w:rFonts w:eastAsia="Times New Roman" w:cstheme="minorHAnsi"/>
          <w:b/>
          <w:sz w:val="28"/>
          <w:szCs w:val="28"/>
          <w:lang w:eastAsia="pt-BR"/>
        </w:rPr>
      </w:pPr>
      <w:r w:rsidRPr="00E53138">
        <w:rPr>
          <w:rFonts w:cs="Segoe UI"/>
          <w:b/>
          <w:bCs/>
          <w:i/>
          <w:iCs/>
          <w:color w:val="201F1E"/>
          <w:sz w:val="28"/>
          <w:szCs w:val="28"/>
          <w:bdr w:val="none" w:sz="0" w:space="0" w:color="auto" w:frame="1"/>
          <w:shd w:val="clear" w:color="auto" w:fill="FFFFFF"/>
        </w:rPr>
        <w:t>M</w:t>
      </w:r>
      <w:r>
        <w:rPr>
          <w:rFonts w:cs="Segoe UI"/>
          <w:b/>
          <w:bCs/>
          <w:i/>
          <w:iCs/>
          <w:color w:val="201F1E"/>
          <w:sz w:val="28"/>
          <w:szCs w:val="28"/>
          <w:bdr w:val="none" w:sz="0" w:space="0" w:color="auto" w:frame="1"/>
          <w:shd w:val="clear" w:color="auto" w:fill="FFFFFF"/>
        </w:rPr>
        <w:t>arco</w:t>
      </w:r>
      <w:r w:rsidRPr="00E53138">
        <w:rPr>
          <w:rFonts w:cs="Segoe UI"/>
          <w:b/>
          <w:bCs/>
          <w:i/>
          <w:iCs/>
          <w:color w:val="201F1E"/>
          <w:sz w:val="28"/>
          <w:szCs w:val="28"/>
          <w:bdr w:val="none" w:sz="0" w:space="0" w:color="auto" w:frame="1"/>
          <w:shd w:val="clear" w:color="auto" w:fill="FFFFFF"/>
        </w:rPr>
        <w:t xml:space="preserve"> A</w:t>
      </w:r>
      <w:r>
        <w:rPr>
          <w:rFonts w:cs="Segoe UI"/>
          <w:b/>
          <w:bCs/>
          <w:i/>
          <w:iCs/>
          <w:color w:val="201F1E"/>
          <w:sz w:val="28"/>
          <w:szCs w:val="28"/>
          <w:bdr w:val="none" w:sz="0" w:space="0" w:color="auto" w:frame="1"/>
          <w:shd w:val="clear" w:color="auto" w:fill="FFFFFF"/>
        </w:rPr>
        <w:t>ntônio</w:t>
      </w:r>
      <w:r w:rsidRPr="00E53138">
        <w:rPr>
          <w:rFonts w:cs="Segoe UI"/>
          <w:b/>
          <w:bCs/>
          <w:i/>
          <w:iCs/>
          <w:color w:val="201F1E"/>
          <w:sz w:val="28"/>
          <w:szCs w:val="28"/>
          <w:bdr w:val="none" w:sz="0" w:space="0" w:color="auto" w:frame="1"/>
          <w:shd w:val="clear" w:color="auto" w:fill="FFFFFF"/>
        </w:rPr>
        <w:t xml:space="preserve"> R</w:t>
      </w:r>
      <w:r>
        <w:rPr>
          <w:rFonts w:cs="Segoe UI"/>
          <w:b/>
          <w:bCs/>
          <w:i/>
          <w:iCs/>
          <w:color w:val="201F1E"/>
          <w:sz w:val="28"/>
          <w:szCs w:val="28"/>
          <w:bdr w:val="none" w:sz="0" w:space="0" w:color="auto" w:frame="1"/>
          <w:shd w:val="clear" w:color="auto" w:fill="FFFFFF"/>
        </w:rPr>
        <w:t>odrigues</w:t>
      </w:r>
      <w:r w:rsidRPr="00E53138">
        <w:rPr>
          <w:rFonts w:cs="Segoe UI"/>
          <w:b/>
          <w:bCs/>
          <w:i/>
          <w:iCs/>
          <w:color w:val="201F1E"/>
          <w:sz w:val="28"/>
          <w:szCs w:val="28"/>
          <w:bdr w:val="none" w:sz="0" w:space="0" w:color="auto" w:frame="1"/>
          <w:shd w:val="clear" w:color="auto" w:fill="FFFFFF"/>
        </w:rPr>
        <w:t xml:space="preserve"> </w:t>
      </w:r>
      <w:proofErr w:type="spellStart"/>
      <w:r w:rsidRPr="00E53138">
        <w:rPr>
          <w:rFonts w:cs="Segoe UI"/>
          <w:b/>
          <w:bCs/>
          <w:i/>
          <w:iCs/>
          <w:color w:val="201F1E"/>
          <w:sz w:val="28"/>
          <w:szCs w:val="28"/>
          <w:bdr w:val="none" w:sz="0" w:space="0" w:color="auto" w:frame="1"/>
          <w:shd w:val="clear" w:color="auto" w:fill="FFFFFF"/>
        </w:rPr>
        <w:t>P</w:t>
      </w:r>
      <w:r>
        <w:rPr>
          <w:rFonts w:cs="Segoe UI"/>
          <w:b/>
          <w:bCs/>
          <w:i/>
          <w:iCs/>
          <w:color w:val="201F1E"/>
          <w:sz w:val="28"/>
          <w:szCs w:val="28"/>
          <w:bdr w:val="none" w:sz="0" w:space="0" w:color="auto" w:frame="1"/>
          <w:shd w:val="clear" w:color="auto" w:fill="FFFFFF"/>
        </w:rPr>
        <w:t>ieroni</w:t>
      </w:r>
      <w:proofErr w:type="spellEnd"/>
      <w:r>
        <w:rPr>
          <w:rFonts w:eastAsia="Times New Roman" w:cstheme="minorHAnsi"/>
          <w:b/>
          <w:sz w:val="28"/>
          <w:szCs w:val="28"/>
          <w:lang w:eastAsia="pt-BR"/>
        </w:rPr>
        <w:t xml:space="preserve"> </w:t>
      </w:r>
    </w:p>
    <w:p w14:paraId="1BC07C24" w14:textId="748B9C1B" w:rsidR="00AC4078" w:rsidRDefault="00AC4078" w:rsidP="009F01C5">
      <w:pPr>
        <w:spacing w:after="0" w:line="240" w:lineRule="auto"/>
        <w:jc w:val="center"/>
        <w:rPr>
          <w:rFonts w:eastAsia="Times New Roman" w:cstheme="minorHAnsi"/>
          <w:b/>
          <w:sz w:val="28"/>
          <w:szCs w:val="28"/>
          <w:lang w:eastAsia="pt-BR"/>
        </w:rPr>
      </w:pPr>
    </w:p>
    <w:p w14:paraId="2AF0A76A" w14:textId="0C2EF55F" w:rsidR="00AC4078" w:rsidRDefault="00AC4078" w:rsidP="009F01C5">
      <w:pPr>
        <w:spacing w:after="0" w:line="240" w:lineRule="auto"/>
        <w:jc w:val="center"/>
        <w:rPr>
          <w:rFonts w:eastAsia="Times New Roman" w:cstheme="minorHAnsi"/>
          <w:b/>
          <w:sz w:val="28"/>
          <w:szCs w:val="28"/>
          <w:lang w:eastAsia="pt-BR"/>
        </w:rPr>
      </w:pPr>
    </w:p>
    <w:p w14:paraId="0087E215" w14:textId="77777777" w:rsidR="008F4323" w:rsidRDefault="008F4323" w:rsidP="009F01C5">
      <w:pPr>
        <w:spacing w:after="0" w:line="240" w:lineRule="auto"/>
        <w:jc w:val="center"/>
        <w:rPr>
          <w:rFonts w:eastAsia="Times New Roman" w:cstheme="minorHAnsi"/>
          <w:b/>
          <w:sz w:val="28"/>
          <w:szCs w:val="28"/>
          <w:lang w:eastAsia="pt-BR"/>
        </w:rPr>
      </w:pPr>
    </w:p>
    <w:p w14:paraId="2587347F" w14:textId="45F46910" w:rsidR="008654EB" w:rsidRDefault="005B25A2" w:rsidP="009F01C5">
      <w:pPr>
        <w:spacing w:after="0" w:line="240" w:lineRule="auto"/>
        <w:jc w:val="center"/>
        <w:rPr>
          <w:rFonts w:eastAsia="Times New Roman" w:cstheme="minorHAnsi"/>
          <w:b/>
          <w:sz w:val="28"/>
          <w:szCs w:val="28"/>
          <w:lang w:eastAsia="pt-BR"/>
        </w:rPr>
      </w:pPr>
      <w:r>
        <w:rPr>
          <w:rFonts w:eastAsia="Times New Roman" w:cstheme="minorHAnsi"/>
          <w:b/>
          <w:sz w:val="28"/>
          <w:szCs w:val="28"/>
          <w:lang w:eastAsia="pt-BR"/>
        </w:rPr>
        <w:t>Diretora de Gestão de Pessoas e Desenvolvimento Institucional</w:t>
      </w:r>
    </w:p>
    <w:p w14:paraId="66B1F5FC" w14:textId="0C0B4AFF" w:rsidR="008654EB" w:rsidRPr="00AB52B3" w:rsidRDefault="00AB52B3" w:rsidP="00B520D7">
      <w:pPr>
        <w:spacing w:after="0" w:line="240" w:lineRule="auto"/>
        <w:jc w:val="center"/>
        <w:rPr>
          <w:rFonts w:eastAsia="Times New Roman" w:cstheme="minorHAnsi"/>
          <w:b/>
          <w:i/>
          <w:iCs/>
          <w:sz w:val="28"/>
          <w:szCs w:val="28"/>
          <w:lang w:eastAsia="pt-BR"/>
        </w:rPr>
      </w:pPr>
      <w:r w:rsidRPr="00AB52B3">
        <w:rPr>
          <w:rFonts w:eastAsia="Times New Roman" w:cstheme="minorHAnsi"/>
          <w:b/>
          <w:i/>
          <w:iCs/>
          <w:sz w:val="28"/>
          <w:szCs w:val="28"/>
          <w:lang w:eastAsia="pt-BR"/>
        </w:rPr>
        <w:t xml:space="preserve">Neleide </w:t>
      </w:r>
      <w:proofErr w:type="spellStart"/>
      <w:r w:rsidRPr="00AB52B3">
        <w:rPr>
          <w:rFonts w:eastAsia="Times New Roman" w:cstheme="minorHAnsi"/>
          <w:b/>
          <w:i/>
          <w:iCs/>
          <w:sz w:val="28"/>
          <w:szCs w:val="28"/>
          <w:lang w:eastAsia="pt-BR"/>
        </w:rPr>
        <w:t>Ábila</w:t>
      </w:r>
      <w:proofErr w:type="spellEnd"/>
    </w:p>
    <w:p w14:paraId="22823C48" w14:textId="77777777" w:rsidR="008F4323" w:rsidRDefault="008F4323" w:rsidP="00B520D7">
      <w:pPr>
        <w:spacing w:after="0" w:line="240" w:lineRule="auto"/>
        <w:jc w:val="center"/>
        <w:rPr>
          <w:rFonts w:eastAsia="Times New Roman" w:cstheme="minorHAnsi"/>
          <w:b/>
          <w:sz w:val="28"/>
          <w:szCs w:val="28"/>
          <w:lang w:eastAsia="pt-BR"/>
        </w:rPr>
      </w:pPr>
    </w:p>
    <w:p w14:paraId="4A908D85" w14:textId="0572B298" w:rsidR="00B520D7" w:rsidRDefault="00320AA6" w:rsidP="00B520D7">
      <w:pPr>
        <w:spacing w:after="0" w:line="240" w:lineRule="auto"/>
        <w:jc w:val="center"/>
        <w:rPr>
          <w:rFonts w:eastAsia="Times New Roman" w:cstheme="minorHAnsi"/>
          <w:b/>
          <w:sz w:val="28"/>
          <w:szCs w:val="28"/>
          <w:lang w:eastAsia="pt-BR"/>
        </w:rPr>
      </w:pPr>
      <w:r w:rsidRPr="00320AA6">
        <w:rPr>
          <w:rFonts w:eastAsia="Times New Roman" w:cstheme="minorHAnsi"/>
          <w:b/>
          <w:sz w:val="28"/>
          <w:szCs w:val="28"/>
          <w:lang w:eastAsia="pt-BR"/>
        </w:rPr>
        <w:t>Diretoria de Planejamento, Orçamento, Finanças e Contabilidade</w:t>
      </w:r>
    </w:p>
    <w:p w14:paraId="2691F5C5" w14:textId="6A75B524" w:rsidR="00B520D7" w:rsidRPr="0064778C" w:rsidRDefault="008654EB" w:rsidP="00B520D7">
      <w:pPr>
        <w:spacing w:after="0" w:line="240" w:lineRule="auto"/>
        <w:jc w:val="center"/>
        <w:rPr>
          <w:rFonts w:eastAsia="Times New Roman" w:cstheme="minorHAnsi"/>
          <w:b/>
          <w:sz w:val="28"/>
          <w:szCs w:val="28"/>
          <w:lang w:eastAsia="pt-BR"/>
        </w:rPr>
      </w:pPr>
      <w:r w:rsidRPr="00C7429D">
        <w:rPr>
          <w:rFonts w:cs="Segoe UI"/>
          <w:b/>
          <w:bCs/>
          <w:i/>
          <w:iCs/>
          <w:color w:val="201F1E"/>
          <w:sz w:val="28"/>
          <w:szCs w:val="28"/>
          <w:bdr w:val="none" w:sz="0" w:space="0" w:color="auto" w:frame="1"/>
          <w:shd w:val="clear" w:color="auto" w:fill="FFFFFF"/>
        </w:rPr>
        <w:t xml:space="preserve"> M</w:t>
      </w:r>
      <w:r w:rsidR="0064778C">
        <w:rPr>
          <w:rFonts w:cs="Segoe UI"/>
          <w:b/>
          <w:bCs/>
          <w:i/>
          <w:iCs/>
          <w:color w:val="201F1E"/>
          <w:sz w:val="28"/>
          <w:szCs w:val="28"/>
          <w:bdr w:val="none" w:sz="0" w:space="0" w:color="auto" w:frame="1"/>
          <w:shd w:val="clear" w:color="auto" w:fill="FFFFFF"/>
        </w:rPr>
        <w:t>arcio</w:t>
      </w:r>
      <w:r w:rsidRPr="00C7429D">
        <w:rPr>
          <w:rFonts w:cs="Segoe UI"/>
          <w:b/>
          <w:bCs/>
          <w:i/>
          <w:iCs/>
          <w:color w:val="201F1E"/>
          <w:sz w:val="28"/>
          <w:szCs w:val="28"/>
          <w:bdr w:val="none" w:sz="0" w:space="0" w:color="auto" w:frame="1"/>
          <w:shd w:val="clear" w:color="auto" w:fill="FFFFFF"/>
        </w:rPr>
        <w:t xml:space="preserve"> B</w:t>
      </w:r>
      <w:r w:rsidR="0064778C">
        <w:rPr>
          <w:rFonts w:cs="Segoe UI"/>
          <w:b/>
          <w:bCs/>
          <w:i/>
          <w:iCs/>
          <w:color w:val="201F1E"/>
          <w:sz w:val="28"/>
          <w:szCs w:val="28"/>
          <w:bdr w:val="none" w:sz="0" w:space="0" w:color="auto" w:frame="1"/>
          <w:shd w:val="clear" w:color="auto" w:fill="FFFFFF"/>
        </w:rPr>
        <w:t>astos</w:t>
      </w:r>
      <w:r w:rsidRPr="00C7429D">
        <w:rPr>
          <w:rFonts w:cs="Segoe UI"/>
          <w:b/>
          <w:bCs/>
          <w:i/>
          <w:iCs/>
          <w:color w:val="201F1E"/>
          <w:sz w:val="28"/>
          <w:szCs w:val="28"/>
          <w:bdr w:val="none" w:sz="0" w:space="0" w:color="auto" w:frame="1"/>
          <w:shd w:val="clear" w:color="auto" w:fill="FFFFFF"/>
        </w:rPr>
        <w:t xml:space="preserve"> M</w:t>
      </w:r>
      <w:r w:rsidR="0064778C">
        <w:rPr>
          <w:rFonts w:cs="Segoe UI"/>
          <w:b/>
          <w:bCs/>
          <w:i/>
          <w:iCs/>
          <w:color w:val="201F1E"/>
          <w:sz w:val="28"/>
          <w:szCs w:val="28"/>
          <w:bdr w:val="none" w:sz="0" w:space="0" w:color="auto" w:frame="1"/>
          <w:shd w:val="clear" w:color="auto" w:fill="FFFFFF"/>
        </w:rPr>
        <w:t>edeiros</w:t>
      </w:r>
    </w:p>
    <w:p w14:paraId="488E40DC" w14:textId="77777777" w:rsidR="00B520D7" w:rsidRPr="0067332E" w:rsidRDefault="00B520D7" w:rsidP="00B520D7">
      <w:pPr>
        <w:spacing w:after="0" w:line="240" w:lineRule="auto"/>
        <w:jc w:val="center"/>
        <w:rPr>
          <w:rFonts w:eastAsia="Times New Roman" w:cstheme="minorHAnsi"/>
          <w:b/>
          <w:sz w:val="28"/>
          <w:szCs w:val="28"/>
          <w:lang w:eastAsia="pt-BR"/>
        </w:rPr>
      </w:pPr>
    </w:p>
    <w:p w14:paraId="145B1DE7" w14:textId="77777777" w:rsidR="00B520D7" w:rsidRDefault="00B520D7" w:rsidP="00B520D7">
      <w:pPr>
        <w:spacing w:after="0" w:line="240" w:lineRule="auto"/>
        <w:jc w:val="center"/>
        <w:rPr>
          <w:rFonts w:eastAsia="Times New Roman" w:cstheme="minorHAnsi"/>
          <w:b/>
          <w:sz w:val="28"/>
          <w:szCs w:val="28"/>
          <w:lang w:eastAsia="pt-BR"/>
        </w:rPr>
      </w:pPr>
    </w:p>
    <w:p w14:paraId="4D8A6248" w14:textId="77777777" w:rsidR="0030032D" w:rsidRPr="0067332E" w:rsidRDefault="0030032D" w:rsidP="00B520D7">
      <w:pPr>
        <w:spacing w:after="0" w:line="240" w:lineRule="auto"/>
        <w:jc w:val="center"/>
        <w:rPr>
          <w:rFonts w:eastAsia="Times New Roman" w:cstheme="minorHAnsi"/>
          <w:b/>
          <w:sz w:val="28"/>
          <w:szCs w:val="28"/>
          <w:lang w:eastAsia="pt-BR"/>
        </w:rPr>
      </w:pPr>
    </w:p>
    <w:p w14:paraId="7F26C22A" w14:textId="77777777" w:rsidR="00E7120C" w:rsidRDefault="00E7120C" w:rsidP="00E7120C">
      <w:pPr>
        <w:spacing w:after="0" w:line="240" w:lineRule="auto"/>
        <w:jc w:val="center"/>
        <w:rPr>
          <w:rFonts w:eastAsia="Times New Roman" w:cstheme="minorHAnsi"/>
          <w:b/>
          <w:sz w:val="28"/>
          <w:szCs w:val="28"/>
          <w:lang w:eastAsia="pt-BR"/>
        </w:rPr>
      </w:pPr>
      <w:r>
        <w:rPr>
          <w:rFonts w:eastAsia="Times New Roman" w:cstheme="minorHAnsi"/>
          <w:b/>
          <w:sz w:val="28"/>
          <w:szCs w:val="28"/>
          <w:lang w:eastAsia="pt-BR"/>
        </w:rPr>
        <w:t>Diretoria de Logística e Gestão Documental</w:t>
      </w:r>
    </w:p>
    <w:p w14:paraId="2896CD50" w14:textId="0CF3B308" w:rsidR="00B520D7" w:rsidRPr="0064778C" w:rsidRDefault="00E7120C" w:rsidP="00E7120C">
      <w:pPr>
        <w:spacing w:after="0" w:line="240" w:lineRule="auto"/>
        <w:jc w:val="center"/>
        <w:rPr>
          <w:rFonts w:eastAsia="Times New Roman" w:cstheme="minorHAnsi"/>
          <w:b/>
          <w:sz w:val="28"/>
          <w:szCs w:val="28"/>
          <w:lang w:eastAsia="pt-BR"/>
        </w:rPr>
      </w:pPr>
      <w:r>
        <w:rPr>
          <w:rFonts w:cs="Segoe UI"/>
          <w:b/>
          <w:bCs/>
          <w:i/>
          <w:iCs/>
          <w:color w:val="201F1E"/>
          <w:sz w:val="28"/>
          <w:szCs w:val="28"/>
          <w:bdr w:val="none" w:sz="0" w:space="0" w:color="auto" w:frame="1"/>
          <w:shd w:val="clear" w:color="auto" w:fill="FFFFFF"/>
        </w:rPr>
        <w:t>Fábia Lopes Junqueira</w:t>
      </w:r>
    </w:p>
    <w:p w14:paraId="3C4F3D05" w14:textId="77777777" w:rsidR="00B520D7" w:rsidRDefault="00B520D7" w:rsidP="00B520D7">
      <w:pPr>
        <w:spacing w:after="0" w:line="240" w:lineRule="auto"/>
        <w:jc w:val="center"/>
        <w:rPr>
          <w:rFonts w:eastAsia="Times New Roman" w:cstheme="minorHAnsi"/>
          <w:b/>
          <w:sz w:val="28"/>
          <w:szCs w:val="28"/>
          <w:lang w:eastAsia="pt-BR"/>
        </w:rPr>
      </w:pPr>
    </w:p>
    <w:p w14:paraId="169A3464" w14:textId="77777777" w:rsidR="0030032D" w:rsidRPr="0067332E" w:rsidRDefault="0030032D" w:rsidP="00B520D7">
      <w:pPr>
        <w:spacing w:after="0" w:line="240" w:lineRule="auto"/>
        <w:jc w:val="center"/>
        <w:rPr>
          <w:rFonts w:eastAsia="Times New Roman" w:cstheme="minorHAnsi"/>
          <w:b/>
          <w:sz w:val="28"/>
          <w:szCs w:val="28"/>
          <w:lang w:eastAsia="pt-BR"/>
        </w:rPr>
      </w:pPr>
    </w:p>
    <w:p w14:paraId="46E4C32E" w14:textId="77777777" w:rsidR="00B520D7" w:rsidRPr="0067332E" w:rsidRDefault="00B520D7" w:rsidP="00B520D7">
      <w:pPr>
        <w:spacing w:after="0" w:line="240" w:lineRule="auto"/>
        <w:jc w:val="center"/>
        <w:rPr>
          <w:rFonts w:eastAsia="Times New Roman" w:cstheme="minorHAnsi"/>
          <w:b/>
          <w:sz w:val="28"/>
          <w:szCs w:val="28"/>
          <w:lang w:eastAsia="pt-BR"/>
        </w:rPr>
      </w:pPr>
    </w:p>
    <w:p w14:paraId="512097CC" w14:textId="77777777" w:rsidR="00B520D7" w:rsidRPr="0067332E" w:rsidRDefault="00B520D7" w:rsidP="00B520D7">
      <w:pPr>
        <w:spacing w:after="0" w:line="240" w:lineRule="auto"/>
        <w:jc w:val="center"/>
        <w:rPr>
          <w:rFonts w:eastAsia="Times New Roman" w:cstheme="minorHAnsi"/>
          <w:b/>
          <w:sz w:val="28"/>
          <w:szCs w:val="28"/>
          <w:lang w:eastAsia="pt-BR"/>
        </w:rPr>
      </w:pPr>
      <w:r w:rsidRPr="0067332E">
        <w:rPr>
          <w:rFonts w:eastAsia="Times New Roman" w:cstheme="minorHAnsi"/>
          <w:b/>
          <w:sz w:val="28"/>
          <w:szCs w:val="28"/>
          <w:lang w:eastAsia="pt-BR"/>
        </w:rPr>
        <w:t xml:space="preserve">Superintendência de Administração no </w:t>
      </w:r>
      <w:r w:rsidR="001200CC" w:rsidRPr="0067332E">
        <w:rPr>
          <w:rFonts w:eastAsia="Times New Roman" w:cstheme="minorHAnsi"/>
          <w:b/>
          <w:sz w:val="28"/>
          <w:szCs w:val="28"/>
          <w:lang w:eastAsia="pt-BR"/>
        </w:rPr>
        <w:t>Rio Grande do Sul</w:t>
      </w:r>
    </w:p>
    <w:p w14:paraId="6A6C5003" w14:textId="4CB8C8DC" w:rsidR="00B520D7" w:rsidRPr="0064778C" w:rsidRDefault="008654EB" w:rsidP="00B520D7">
      <w:pPr>
        <w:spacing w:after="0" w:line="240" w:lineRule="auto"/>
        <w:jc w:val="center"/>
        <w:rPr>
          <w:rFonts w:eastAsia="Times New Roman" w:cstheme="minorHAnsi"/>
          <w:b/>
          <w:sz w:val="28"/>
          <w:szCs w:val="28"/>
          <w:lang w:eastAsia="pt-BR"/>
        </w:rPr>
      </w:pPr>
      <w:r w:rsidRPr="00C7429D">
        <w:rPr>
          <w:rFonts w:cs="Segoe UI"/>
          <w:b/>
          <w:bCs/>
          <w:i/>
          <w:iCs/>
          <w:color w:val="201F1E"/>
          <w:sz w:val="28"/>
          <w:szCs w:val="28"/>
          <w:bdr w:val="none" w:sz="0" w:space="0" w:color="auto" w:frame="1"/>
          <w:shd w:val="clear" w:color="auto" w:fill="FFFFFF"/>
        </w:rPr>
        <w:t>R</w:t>
      </w:r>
      <w:r w:rsidR="0064778C">
        <w:rPr>
          <w:rFonts w:cs="Segoe UI"/>
          <w:b/>
          <w:bCs/>
          <w:i/>
          <w:iCs/>
          <w:color w:val="201F1E"/>
          <w:sz w:val="28"/>
          <w:szCs w:val="28"/>
          <w:bdr w:val="none" w:sz="0" w:space="0" w:color="auto" w:frame="1"/>
          <w:shd w:val="clear" w:color="auto" w:fill="FFFFFF"/>
        </w:rPr>
        <w:t>obledo</w:t>
      </w:r>
      <w:r w:rsidRPr="00C7429D">
        <w:rPr>
          <w:rFonts w:cs="Segoe UI"/>
          <w:b/>
          <w:bCs/>
          <w:i/>
          <w:iCs/>
          <w:color w:val="201F1E"/>
          <w:sz w:val="28"/>
          <w:szCs w:val="28"/>
          <w:bdr w:val="none" w:sz="0" w:space="0" w:color="auto" w:frame="1"/>
          <w:shd w:val="clear" w:color="auto" w:fill="FFFFFF"/>
        </w:rPr>
        <w:t xml:space="preserve"> D</w:t>
      </w:r>
      <w:r w:rsidR="0064778C">
        <w:rPr>
          <w:rFonts w:cs="Segoe UI"/>
          <w:b/>
          <w:bCs/>
          <w:i/>
          <w:iCs/>
          <w:color w:val="201F1E"/>
          <w:sz w:val="28"/>
          <w:szCs w:val="28"/>
          <w:bdr w:val="none" w:sz="0" w:space="0" w:color="auto" w:frame="1"/>
          <w:shd w:val="clear" w:color="auto" w:fill="FFFFFF"/>
        </w:rPr>
        <w:t>ohmer</w:t>
      </w:r>
    </w:p>
    <w:p w14:paraId="58467A4D" w14:textId="77777777" w:rsidR="00DA0813" w:rsidRDefault="00DA0813">
      <w:pPr>
        <w:rPr>
          <w:sz w:val="24"/>
          <w:szCs w:val="24"/>
        </w:rPr>
      </w:pPr>
    </w:p>
    <w:p w14:paraId="4116032A" w14:textId="6BEBE177" w:rsidR="00EA64E0" w:rsidRPr="00C22576" w:rsidRDefault="00211CDE" w:rsidP="00EA64E0">
      <w:pPr>
        <w:autoSpaceDE w:val="0"/>
        <w:autoSpaceDN w:val="0"/>
        <w:adjustRightInd w:val="0"/>
        <w:spacing w:after="0" w:line="240" w:lineRule="auto"/>
        <w:jc w:val="center"/>
        <w:rPr>
          <w:rFonts w:cstheme="minorHAnsi"/>
          <w:b/>
          <w:iCs/>
          <w:color w:val="000000"/>
          <w:sz w:val="28"/>
          <w:szCs w:val="28"/>
        </w:rPr>
      </w:pPr>
      <w:r>
        <w:rPr>
          <w:sz w:val="24"/>
          <w:szCs w:val="24"/>
        </w:rPr>
        <w:br w:type="page"/>
      </w:r>
      <w:r w:rsidR="00EA64E0" w:rsidRPr="00C22576">
        <w:rPr>
          <w:rFonts w:cstheme="minorHAnsi"/>
          <w:b/>
          <w:iCs/>
          <w:color w:val="000000"/>
          <w:sz w:val="28"/>
          <w:szCs w:val="28"/>
        </w:rPr>
        <w:lastRenderedPageBreak/>
        <w:t>Realização:</w:t>
      </w:r>
    </w:p>
    <w:p w14:paraId="0484337C" w14:textId="41540B52" w:rsidR="00EA64E0" w:rsidRPr="00C22576" w:rsidRDefault="00EA64E0" w:rsidP="00EA64E0">
      <w:pPr>
        <w:autoSpaceDE w:val="0"/>
        <w:autoSpaceDN w:val="0"/>
        <w:adjustRightInd w:val="0"/>
        <w:spacing w:after="0" w:line="240" w:lineRule="auto"/>
        <w:jc w:val="center"/>
        <w:rPr>
          <w:rFonts w:cstheme="minorHAnsi"/>
          <w:b/>
          <w:iCs/>
          <w:color w:val="000000"/>
          <w:sz w:val="28"/>
          <w:szCs w:val="28"/>
        </w:rPr>
      </w:pPr>
      <w:r w:rsidRPr="00C22576">
        <w:rPr>
          <w:rFonts w:cstheme="minorHAnsi"/>
          <w:b/>
          <w:iCs/>
          <w:color w:val="000000"/>
          <w:sz w:val="28"/>
          <w:szCs w:val="28"/>
        </w:rPr>
        <w:t>Secretaria-Geral de Administração</w:t>
      </w:r>
      <w:r w:rsidR="009C0C0C" w:rsidRPr="00C22576">
        <w:rPr>
          <w:rFonts w:cstheme="minorHAnsi"/>
          <w:b/>
          <w:iCs/>
          <w:color w:val="000000"/>
          <w:sz w:val="28"/>
          <w:szCs w:val="28"/>
        </w:rPr>
        <w:t xml:space="preserve"> - SGA</w:t>
      </w:r>
    </w:p>
    <w:p w14:paraId="6118BE28" w14:textId="1D729651" w:rsidR="00621C4B" w:rsidRPr="00C22576" w:rsidRDefault="00621C4B" w:rsidP="00EA64E0">
      <w:pPr>
        <w:autoSpaceDE w:val="0"/>
        <w:autoSpaceDN w:val="0"/>
        <w:adjustRightInd w:val="0"/>
        <w:spacing w:after="0" w:line="240" w:lineRule="auto"/>
        <w:jc w:val="center"/>
        <w:rPr>
          <w:rFonts w:cstheme="minorHAnsi"/>
          <w:b/>
          <w:iCs/>
          <w:color w:val="000000"/>
          <w:sz w:val="28"/>
          <w:szCs w:val="28"/>
        </w:rPr>
      </w:pPr>
    </w:p>
    <w:p w14:paraId="4FFD604A" w14:textId="77777777" w:rsidR="00275A2C" w:rsidRPr="00C22576" w:rsidRDefault="00275A2C" w:rsidP="00EA64E0">
      <w:pPr>
        <w:autoSpaceDE w:val="0"/>
        <w:autoSpaceDN w:val="0"/>
        <w:adjustRightInd w:val="0"/>
        <w:spacing w:after="0" w:line="240" w:lineRule="auto"/>
        <w:jc w:val="center"/>
        <w:rPr>
          <w:rFonts w:cstheme="minorHAnsi"/>
          <w:b/>
          <w:iCs/>
          <w:color w:val="000000"/>
          <w:sz w:val="28"/>
          <w:szCs w:val="28"/>
        </w:rPr>
      </w:pPr>
    </w:p>
    <w:p w14:paraId="4439BF99" w14:textId="77777777" w:rsidR="00265E4C" w:rsidRPr="00C22576" w:rsidRDefault="00265E4C" w:rsidP="00EA64E0">
      <w:pPr>
        <w:autoSpaceDE w:val="0"/>
        <w:autoSpaceDN w:val="0"/>
        <w:adjustRightInd w:val="0"/>
        <w:spacing w:after="0" w:line="240" w:lineRule="auto"/>
        <w:jc w:val="center"/>
        <w:rPr>
          <w:rFonts w:ascii="Calibri" w:hAnsi="Calibri" w:cs="Calibri"/>
          <w:b/>
          <w:color w:val="000000"/>
          <w:sz w:val="28"/>
          <w:szCs w:val="28"/>
        </w:rPr>
      </w:pPr>
    </w:p>
    <w:p w14:paraId="4C0BA013" w14:textId="29EE9843" w:rsidR="00EA64E0" w:rsidRPr="00C22576" w:rsidRDefault="00EA64E0" w:rsidP="00EA64E0">
      <w:pPr>
        <w:autoSpaceDE w:val="0"/>
        <w:autoSpaceDN w:val="0"/>
        <w:adjustRightInd w:val="0"/>
        <w:spacing w:after="0" w:line="240" w:lineRule="auto"/>
        <w:jc w:val="center"/>
        <w:rPr>
          <w:rFonts w:ascii="Calibri" w:hAnsi="Calibri" w:cs="Calibri"/>
          <w:b/>
          <w:color w:val="000000"/>
          <w:sz w:val="28"/>
          <w:szCs w:val="28"/>
        </w:rPr>
      </w:pPr>
      <w:r w:rsidRPr="00C22576">
        <w:rPr>
          <w:rFonts w:ascii="Calibri" w:hAnsi="Calibri" w:cs="Calibri"/>
          <w:b/>
          <w:color w:val="000000"/>
          <w:sz w:val="28"/>
          <w:szCs w:val="28"/>
        </w:rPr>
        <w:t xml:space="preserve">Superintendência de Administração no Rio Grande do Sul </w:t>
      </w:r>
      <w:r w:rsidR="009C0C0C" w:rsidRPr="00C22576">
        <w:rPr>
          <w:rFonts w:ascii="Calibri" w:hAnsi="Calibri" w:cs="Calibri"/>
          <w:b/>
          <w:color w:val="000000"/>
          <w:sz w:val="28"/>
          <w:szCs w:val="28"/>
        </w:rPr>
        <w:t xml:space="preserve">- </w:t>
      </w:r>
      <w:r w:rsidRPr="00C22576">
        <w:rPr>
          <w:rFonts w:ascii="Calibri" w:hAnsi="Calibri" w:cs="Calibri"/>
          <w:b/>
          <w:color w:val="000000"/>
          <w:sz w:val="28"/>
          <w:szCs w:val="28"/>
        </w:rPr>
        <w:t>SAD/RS</w:t>
      </w:r>
    </w:p>
    <w:p w14:paraId="37476DB3" w14:textId="6F02C1B1" w:rsidR="00265E4C" w:rsidRDefault="00265E4C" w:rsidP="00EA64E0">
      <w:pPr>
        <w:autoSpaceDE w:val="0"/>
        <w:autoSpaceDN w:val="0"/>
        <w:adjustRightInd w:val="0"/>
        <w:spacing w:after="0" w:line="240" w:lineRule="auto"/>
        <w:jc w:val="center"/>
        <w:rPr>
          <w:rFonts w:ascii="Calibri" w:hAnsi="Calibri" w:cs="Calibri"/>
          <w:b/>
          <w:color w:val="000000"/>
          <w:sz w:val="28"/>
          <w:szCs w:val="28"/>
        </w:rPr>
      </w:pPr>
    </w:p>
    <w:p w14:paraId="57CD8A7A" w14:textId="77777777" w:rsidR="00F34230" w:rsidRPr="00C22576" w:rsidRDefault="00F34230" w:rsidP="00EA64E0">
      <w:pPr>
        <w:autoSpaceDE w:val="0"/>
        <w:autoSpaceDN w:val="0"/>
        <w:adjustRightInd w:val="0"/>
        <w:spacing w:after="0" w:line="240" w:lineRule="auto"/>
        <w:jc w:val="center"/>
        <w:rPr>
          <w:rFonts w:ascii="Calibri" w:hAnsi="Calibri" w:cs="Calibri"/>
          <w:b/>
          <w:color w:val="000000"/>
          <w:sz w:val="28"/>
          <w:szCs w:val="28"/>
        </w:rPr>
      </w:pPr>
    </w:p>
    <w:p w14:paraId="71D6AEAC" w14:textId="77777777" w:rsidR="00EA64E0" w:rsidRPr="00C22576" w:rsidRDefault="00EA64E0" w:rsidP="00EA64E0">
      <w:pPr>
        <w:autoSpaceDE w:val="0"/>
        <w:autoSpaceDN w:val="0"/>
        <w:adjustRightInd w:val="0"/>
        <w:spacing w:after="0" w:line="240" w:lineRule="auto"/>
        <w:jc w:val="center"/>
        <w:rPr>
          <w:rFonts w:ascii="Calibri" w:hAnsi="Calibri" w:cs="Calibri"/>
          <w:b/>
          <w:color w:val="000000"/>
          <w:sz w:val="28"/>
          <w:szCs w:val="28"/>
        </w:rPr>
      </w:pPr>
      <w:r w:rsidRPr="00C22576">
        <w:rPr>
          <w:rFonts w:ascii="Calibri" w:hAnsi="Calibri" w:cs="Calibri"/>
          <w:b/>
          <w:color w:val="000000"/>
          <w:sz w:val="28"/>
          <w:szCs w:val="28"/>
        </w:rPr>
        <w:t>Coordenação técnica:</w:t>
      </w:r>
    </w:p>
    <w:p w14:paraId="37D99F7A" w14:textId="470608B5" w:rsidR="00FE43BC" w:rsidRPr="00C22576" w:rsidRDefault="00FE43BC" w:rsidP="00FE43BC">
      <w:pPr>
        <w:autoSpaceDE w:val="0"/>
        <w:autoSpaceDN w:val="0"/>
        <w:adjustRightInd w:val="0"/>
        <w:spacing w:after="0" w:line="240" w:lineRule="auto"/>
        <w:jc w:val="center"/>
        <w:rPr>
          <w:rFonts w:ascii="Calibri" w:hAnsi="Calibri" w:cs="Calibri"/>
          <w:b/>
          <w:color w:val="000000"/>
          <w:sz w:val="28"/>
          <w:szCs w:val="28"/>
        </w:rPr>
      </w:pPr>
      <w:r w:rsidRPr="00C22576">
        <w:rPr>
          <w:rFonts w:ascii="Calibri" w:hAnsi="Calibri" w:cs="Calibri"/>
          <w:b/>
          <w:color w:val="000000"/>
          <w:sz w:val="28"/>
          <w:szCs w:val="28"/>
        </w:rPr>
        <w:t xml:space="preserve">Comissão </w:t>
      </w:r>
      <w:r w:rsidR="005D7F5E" w:rsidRPr="00C22576">
        <w:rPr>
          <w:rFonts w:ascii="Calibri" w:hAnsi="Calibri" w:cs="Calibri"/>
          <w:b/>
          <w:color w:val="000000"/>
          <w:sz w:val="28"/>
          <w:szCs w:val="28"/>
        </w:rPr>
        <w:t>Nac</w:t>
      </w:r>
      <w:r w:rsidRPr="00C22576">
        <w:rPr>
          <w:rFonts w:ascii="Calibri" w:hAnsi="Calibri" w:cs="Calibri"/>
          <w:b/>
          <w:color w:val="000000"/>
          <w:sz w:val="28"/>
          <w:szCs w:val="28"/>
        </w:rPr>
        <w:t>ional Gestora do PLS</w:t>
      </w:r>
    </w:p>
    <w:p w14:paraId="467955B3" w14:textId="119AD817" w:rsidR="00FE43BC" w:rsidRPr="00C22576" w:rsidRDefault="00FE43BC" w:rsidP="00FE43BC">
      <w:pPr>
        <w:spacing w:after="0" w:line="240" w:lineRule="auto"/>
        <w:jc w:val="center"/>
        <w:rPr>
          <w:b/>
          <w:sz w:val="28"/>
          <w:szCs w:val="28"/>
        </w:rPr>
      </w:pPr>
      <w:r w:rsidRPr="00C22576">
        <w:rPr>
          <w:rFonts w:ascii="Calibri" w:hAnsi="Calibri" w:cs="Calibri"/>
          <w:b/>
          <w:color w:val="000000"/>
          <w:sz w:val="28"/>
          <w:szCs w:val="28"/>
        </w:rPr>
        <w:t>Port. S</w:t>
      </w:r>
      <w:r w:rsidR="006B091D" w:rsidRPr="00C22576">
        <w:rPr>
          <w:rFonts w:ascii="Calibri" w:hAnsi="Calibri" w:cs="Calibri"/>
          <w:b/>
          <w:color w:val="000000"/>
          <w:sz w:val="28"/>
          <w:szCs w:val="28"/>
        </w:rPr>
        <w:t>G</w:t>
      </w:r>
      <w:r w:rsidRPr="00C22576">
        <w:rPr>
          <w:rFonts w:ascii="Calibri" w:hAnsi="Calibri" w:cs="Calibri"/>
          <w:b/>
          <w:color w:val="000000"/>
          <w:sz w:val="28"/>
          <w:szCs w:val="28"/>
        </w:rPr>
        <w:t xml:space="preserve">A nº </w:t>
      </w:r>
      <w:r w:rsidR="006B091D" w:rsidRPr="00C22576">
        <w:rPr>
          <w:rFonts w:ascii="Calibri" w:hAnsi="Calibri" w:cs="Calibri"/>
          <w:b/>
          <w:color w:val="000000"/>
          <w:sz w:val="28"/>
          <w:szCs w:val="28"/>
        </w:rPr>
        <w:t>158</w:t>
      </w:r>
      <w:r w:rsidRPr="00C22576">
        <w:rPr>
          <w:rFonts w:ascii="Calibri" w:hAnsi="Calibri" w:cs="Calibri"/>
          <w:b/>
          <w:color w:val="000000"/>
          <w:sz w:val="28"/>
          <w:szCs w:val="28"/>
        </w:rPr>
        <w:t>/20</w:t>
      </w:r>
      <w:r w:rsidR="006B091D" w:rsidRPr="00C22576">
        <w:rPr>
          <w:rFonts w:ascii="Calibri" w:hAnsi="Calibri" w:cs="Calibri"/>
          <w:b/>
          <w:color w:val="000000"/>
          <w:sz w:val="28"/>
          <w:szCs w:val="28"/>
        </w:rPr>
        <w:t>20</w:t>
      </w:r>
      <w:r w:rsidRPr="00C22576">
        <w:rPr>
          <w:rFonts w:ascii="Calibri" w:hAnsi="Calibri" w:cs="Calibri"/>
          <w:b/>
          <w:color w:val="000000"/>
          <w:sz w:val="28"/>
          <w:szCs w:val="28"/>
        </w:rPr>
        <w:t xml:space="preserve">, de </w:t>
      </w:r>
      <w:r w:rsidR="006B091D" w:rsidRPr="00C22576">
        <w:rPr>
          <w:rFonts w:ascii="Calibri" w:hAnsi="Calibri" w:cs="Calibri"/>
          <w:b/>
          <w:color w:val="000000"/>
          <w:sz w:val="28"/>
          <w:szCs w:val="28"/>
        </w:rPr>
        <w:t>04</w:t>
      </w:r>
      <w:r w:rsidRPr="00C22576">
        <w:rPr>
          <w:rFonts w:ascii="Calibri" w:hAnsi="Calibri" w:cs="Calibri"/>
          <w:b/>
          <w:color w:val="000000"/>
          <w:sz w:val="28"/>
          <w:szCs w:val="28"/>
        </w:rPr>
        <w:t>.</w:t>
      </w:r>
      <w:r w:rsidR="006B091D" w:rsidRPr="00C22576">
        <w:rPr>
          <w:rFonts w:ascii="Calibri" w:hAnsi="Calibri" w:cs="Calibri"/>
          <w:b/>
          <w:color w:val="000000"/>
          <w:sz w:val="28"/>
          <w:szCs w:val="28"/>
        </w:rPr>
        <w:t>03</w:t>
      </w:r>
      <w:r w:rsidRPr="00C22576">
        <w:rPr>
          <w:rFonts w:ascii="Calibri" w:hAnsi="Calibri" w:cs="Calibri"/>
          <w:b/>
          <w:color w:val="000000"/>
          <w:sz w:val="28"/>
          <w:szCs w:val="28"/>
        </w:rPr>
        <w:t>.20</w:t>
      </w:r>
      <w:r w:rsidR="006B091D" w:rsidRPr="00C22576">
        <w:rPr>
          <w:rFonts w:ascii="Calibri" w:hAnsi="Calibri" w:cs="Calibri"/>
          <w:b/>
          <w:color w:val="000000"/>
          <w:sz w:val="28"/>
          <w:szCs w:val="28"/>
        </w:rPr>
        <w:t>20</w:t>
      </w:r>
    </w:p>
    <w:p w14:paraId="7BA755AD" w14:textId="77777777" w:rsidR="00265E4C" w:rsidRPr="00C22576" w:rsidRDefault="00265E4C" w:rsidP="00EA64E0">
      <w:pPr>
        <w:spacing w:after="0" w:line="240" w:lineRule="auto"/>
        <w:jc w:val="center"/>
        <w:rPr>
          <w:rFonts w:eastAsia="Times New Roman" w:cstheme="minorHAnsi"/>
          <w:b/>
          <w:sz w:val="28"/>
          <w:szCs w:val="28"/>
          <w:lang w:eastAsia="pt-BR"/>
        </w:rPr>
      </w:pPr>
    </w:p>
    <w:p w14:paraId="32CAF7C3" w14:textId="0D40A596" w:rsidR="00621C4B" w:rsidRDefault="00621C4B" w:rsidP="00EA64E0">
      <w:pPr>
        <w:autoSpaceDE w:val="0"/>
        <w:autoSpaceDN w:val="0"/>
        <w:adjustRightInd w:val="0"/>
        <w:spacing w:after="0" w:line="240" w:lineRule="auto"/>
        <w:jc w:val="center"/>
        <w:rPr>
          <w:rFonts w:ascii="Calibri" w:hAnsi="Calibri" w:cs="Calibri"/>
          <w:b/>
          <w:color w:val="000000"/>
          <w:sz w:val="28"/>
          <w:szCs w:val="28"/>
        </w:rPr>
      </w:pPr>
    </w:p>
    <w:p w14:paraId="041D318E" w14:textId="77777777" w:rsidR="00F34230" w:rsidRPr="00C22576" w:rsidRDefault="00F34230" w:rsidP="00EA64E0">
      <w:pPr>
        <w:autoSpaceDE w:val="0"/>
        <w:autoSpaceDN w:val="0"/>
        <w:adjustRightInd w:val="0"/>
        <w:spacing w:after="0" w:line="240" w:lineRule="auto"/>
        <w:jc w:val="center"/>
        <w:rPr>
          <w:rFonts w:ascii="Calibri" w:hAnsi="Calibri" w:cs="Calibri"/>
          <w:b/>
          <w:color w:val="000000"/>
          <w:sz w:val="28"/>
          <w:szCs w:val="28"/>
        </w:rPr>
      </w:pPr>
    </w:p>
    <w:p w14:paraId="4BEDB342" w14:textId="15DE0785" w:rsidR="00621C4B" w:rsidRPr="00C22576" w:rsidRDefault="00594B8C" w:rsidP="00EA64E0">
      <w:pPr>
        <w:autoSpaceDE w:val="0"/>
        <w:autoSpaceDN w:val="0"/>
        <w:adjustRightInd w:val="0"/>
        <w:spacing w:after="0" w:line="240" w:lineRule="auto"/>
        <w:jc w:val="center"/>
        <w:rPr>
          <w:rFonts w:ascii="Calibri" w:hAnsi="Calibri" w:cs="Calibri"/>
          <w:b/>
          <w:color w:val="000000"/>
          <w:sz w:val="28"/>
          <w:szCs w:val="28"/>
        </w:rPr>
      </w:pPr>
      <w:r w:rsidRPr="00C22576">
        <w:rPr>
          <w:rFonts w:ascii="Calibri" w:hAnsi="Calibri" w:cs="Calibri"/>
          <w:b/>
          <w:color w:val="000000"/>
          <w:sz w:val="28"/>
          <w:szCs w:val="28"/>
        </w:rPr>
        <w:t>Execução</w:t>
      </w:r>
      <w:r w:rsidR="00BB0FF8" w:rsidRPr="00C22576">
        <w:rPr>
          <w:rFonts w:ascii="Calibri" w:hAnsi="Calibri" w:cs="Calibri"/>
          <w:b/>
          <w:color w:val="000000"/>
          <w:sz w:val="28"/>
          <w:szCs w:val="28"/>
        </w:rPr>
        <w:t>:</w:t>
      </w:r>
    </w:p>
    <w:p w14:paraId="4025D74A" w14:textId="6F272A95" w:rsidR="00EA64E0" w:rsidRPr="00C22576" w:rsidRDefault="00EA64E0" w:rsidP="00EA64E0">
      <w:pPr>
        <w:autoSpaceDE w:val="0"/>
        <w:autoSpaceDN w:val="0"/>
        <w:adjustRightInd w:val="0"/>
        <w:spacing w:after="0" w:line="240" w:lineRule="auto"/>
        <w:jc w:val="center"/>
        <w:rPr>
          <w:rFonts w:ascii="Calibri" w:hAnsi="Calibri" w:cs="Calibri"/>
          <w:b/>
          <w:color w:val="000000"/>
          <w:sz w:val="28"/>
          <w:szCs w:val="28"/>
        </w:rPr>
      </w:pPr>
      <w:r w:rsidRPr="00C22576">
        <w:rPr>
          <w:rFonts w:ascii="Calibri" w:hAnsi="Calibri" w:cs="Calibri"/>
          <w:b/>
          <w:color w:val="000000"/>
          <w:sz w:val="28"/>
          <w:szCs w:val="28"/>
        </w:rPr>
        <w:t xml:space="preserve">Comissão Regional Gestora </w:t>
      </w:r>
      <w:r w:rsidR="0064778C" w:rsidRPr="00C22576">
        <w:rPr>
          <w:rFonts w:ascii="Calibri" w:hAnsi="Calibri" w:cs="Calibri"/>
          <w:b/>
          <w:color w:val="000000"/>
          <w:sz w:val="28"/>
          <w:szCs w:val="28"/>
        </w:rPr>
        <w:t xml:space="preserve">do PLS </w:t>
      </w:r>
      <w:r w:rsidRPr="00C22576">
        <w:rPr>
          <w:rFonts w:ascii="Calibri" w:hAnsi="Calibri" w:cs="Calibri"/>
          <w:b/>
          <w:color w:val="000000"/>
          <w:sz w:val="28"/>
          <w:szCs w:val="28"/>
        </w:rPr>
        <w:t>no Rio Grande do Sul</w:t>
      </w:r>
    </w:p>
    <w:p w14:paraId="06C0FA6B" w14:textId="412E996F" w:rsidR="00EA64E0" w:rsidRPr="00C22576" w:rsidRDefault="00304144" w:rsidP="00EA64E0">
      <w:pPr>
        <w:autoSpaceDE w:val="0"/>
        <w:autoSpaceDN w:val="0"/>
        <w:adjustRightInd w:val="0"/>
        <w:spacing w:after="0" w:line="240" w:lineRule="auto"/>
        <w:jc w:val="center"/>
        <w:rPr>
          <w:rFonts w:ascii="Calibri" w:hAnsi="Calibri" w:cs="Calibri"/>
          <w:b/>
          <w:color w:val="000000"/>
          <w:sz w:val="28"/>
          <w:szCs w:val="28"/>
        </w:rPr>
      </w:pPr>
      <w:proofErr w:type="spellStart"/>
      <w:r w:rsidRPr="00304144">
        <w:rPr>
          <w:rFonts w:ascii="Calibri" w:hAnsi="Calibri" w:cs="Calibri"/>
          <w:b/>
          <w:color w:val="000000"/>
          <w:sz w:val="28"/>
          <w:szCs w:val="28"/>
        </w:rPr>
        <w:t>P</w:t>
      </w:r>
      <w:r>
        <w:rPr>
          <w:rFonts w:ascii="Calibri" w:hAnsi="Calibri" w:cs="Calibri"/>
          <w:b/>
          <w:color w:val="000000"/>
          <w:sz w:val="28"/>
          <w:szCs w:val="28"/>
        </w:rPr>
        <w:t>ort</w:t>
      </w:r>
      <w:proofErr w:type="spellEnd"/>
      <w:r w:rsidRPr="00304144">
        <w:rPr>
          <w:rFonts w:ascii="Calibri" w:hAnsi="Calibri" w:cs="Calibri"/>
          <w:b/>
          <w:color w:val="000000"/>
          <w:sz w:val="28"/>
          <w:szCs w:val="28"/>
        </w:rPr>
        <w:t xml:space="preserve"> n</w:t>
      </w:r>
      <w:r>
        <w:rPr>
          <w:rFonts w:ascii="Calibri" w:hAnsi="Calibri" w:cs="Calibri"/>
          <w:b/>
          <w:color w:val="000000"/>
          <w:sz w:val="28"/>
          <w:szCs w:val="28"/>
        </w:rPr>
        <w:t>º</w:t>
      </w:r>
      <w:r w:rsidRPr="00304144">
        <w:rPr>
          <w:rFonts w:ascii="Calibri" w:hAnsi="Calibri" w:cs="Calibri"/>
          <w:b/>
          <w:color w:val="000000"/>
          <w:sz w:val="28"/>
          <w:szCs w:val="28"/>
        </w:rPr>
        <w:t xml:space="preserve"> 00003/2021/PLAN/SADRS/SGA/AGU</w:t>
      </w:r>
      <w:r>
        <w:rPr>
          <w:rFonts w:ascii="Calibri" w:hAnsi="Calibri" w:cs="Calibri"/>
          <w:b/>
          <w:color w:val="000000"/>
          <w:sz w:val="28"/>
          <w:szCs w:val="28"/>
        </w:rPr>
        <w:t>,</w:t>
      </w:r>
      <w:r w:rsidRPr="00304144">
        <w:rPr>
          <w:rFonts w:ascii="Calibri" w:hAnsi="Calibri" w:cs="Calibri"/>
          <w:b/>
          <w:color w:val="000000"/>
          <w:sz w:val="28"/>
          <w:szCs w:val="28"/>
        </w:rPr>
        <w:t xml:space="preserve"> de 11</w:t>
      </w:r>
      <w:r>
        <w:rPr>
          <w:rFonts w:ascii="Calibri" w:hAnsi="Calibri" w:cs="Calibri"/>
          <w:b/>
          <w:color w:val="000000"/>
          <w:sz w:val="28"/>
          <w:szCs w:val="28"/>
        </w:rPr>
        <w:t>.06.</w:t>
      </w:r>
      <w:r w:rsidRPr="00304144">
        <w:rPr>
          <w:rFonts w:ascii="Calibri" w:hAnsi="Calibri" w:cs="Calibri"/>
          <w:b/>
          <w:color w:val="000000"/>
          <w:sz w:val="28"/>
          <w:szCs w:val="28"/>
        </w:rPr>
        <w:t>2021</w:t>
      </w:r>
    </w:p>
    <w:p w14:paraId="1319EB7E" w14:textId="6E0850EC" w:rsidR="00304144" w:rsidRPr="00304144" w:rsidRDefault="00304144" w:rsidP="00304144">
      <w:pPr>
        <w:autoSpaceDE w:val="0"/>
        <w:autoSpaceDN w:val="0"/>
        <w:adjustRightInd w:val="0"/>
        <w:spacing w:after="0" w:line="240" w:lineRule="auto"/>
        <w:jc w:val="center"/>
        <w:rPr>
          <w:rFonts w:ascii="Calibri" w:hAnsi="Calibri" w:cs="Calibri"/>
          <w:b/>
          <w:color w:val="000000"/>
          <w:sz w:val="28"/>
          <w:szCs w:val="28"/>
        </w:rPr>
      </w:pPr>
      <w:r w:rsidRPr="00304144">
        <w:rPr>
          <w:rFonts w:ascii="Calibri" w:hAnsi="Calibri" w:cs="Calibri"/>
          <w:b/>
          <w:color w:val="000000"/>
          <w:sz w:val="28"/>
          <w:szCs w:val="28"/>
        </w:rPr>
        <w:t>Alexandre Luiz Da Silva Veiga</w:t>
      </w:r>
    </w:p>
    <w:p w14:paraId="646BF2D3" w14:textId="60F3A443" w:rsidR="00304144" w:rsidRPr="00304144" w:rsidRDefault="00304144" w:rsidP="00304144">
      <w:pPr>
        <w:autoSpaceDE w:val="0"/>
        <w:autoSpaceDN w:val="0"/>
        <w:adjustRightInd w:val="0"/>
        <w:spacing w:after="0" w:line="240" w:lineRule="auto"/>
        <w:jc w:val="center"/>
        <w:rPr>
          <w:rFonts w:ascii="Calibri" w:hAnsi="Calibri" w:cs="Calibri"/>
          <w:b/>
          <w:color w:val="000000"/>
          <w:sz w:val="28"/>
          <w:szCs w:val="28"/>
        </w:rPr>
      </w:pPr>
      <w:r w:rsidRPr="00304144">
        <w:rPr>
          <w:rFonts w:ascii="Calibri" w:hAnsi="Calibri" w:cs="Calibri"/>
          <w:b/>
          <w:color w:val="000000"/>
          <w:sz w:val="28"/>
          <w:szCs w:val="28"/>
        </w:rPr>
        <w:t>Antonio Hamilton</w:t>
      </w:r>
    </w:p>
    <w:p w14:paraId="1C4F6F62" w14:textId="3434A788" w:rsidR="00304144" w:rsidRPr="00304144" w:rsidRDefault="00304144" w:rsidP="00304144">
      <w:pPr>
        <w:autoSpaceDE w:val="0"/>
        <w:autoSpaceDN w:val="0"/>
        <w:adjustRightInd w:val="0"/>
        <w:spacing w:after="0" w:line="240" w:lineRule="auto"/>
        <w:jc w:val="center"/>
        <w:rPr>
          <w:rFonts w:ascii="Calibri" w:hAnsi="Calibri" w:cs="Calibri"/>
          <w:b/>
          <w:color w:val="000000"/>
          <w:sz w:val="28"/>
          <w:szCs w:val="28"/>
        </w:rPr>
      </w:pPr>
      <w:r w:rsidRPr="00304144">
        <w:rPr>
          <w:rFonts w:ascii="Calibri" w:hAnsi="Calibri" w:cs="Calibri"/>
          <w:b/>
          <w:color w:val="000000"/>
          <w:sz w:val="28"/>
          <w:szCs w:val="28"/>
        </w:rPr>
        <w:t>Antonio Monteiro Guimarães Junior</w:t>
      </w:r>
    </w:p>
    <w:p w14:paraId="2E70B734" w14:textId="5681FF1D" w:rsidR="00304144" w:rsidRPr="00304144" w:rsidRDefault="00304144" w:rsidP="00304144">
      <w:pPr>
        <w:autoSpaceDE w:val="0"/>
        <w:autoSpaceDN w:val="0"/>
        <w:adjustRightInd w:val="0"/>
        <w:spacing w:after="0" w:line="240" w:lineRule="auto"/>
        <w:jc w:val="center"/>
        <w:rPr>
          <w:rFonts w:ascii="Calibri" w:hAnsi="Calibri" w:cs="Calibri"/>
          <w:b/>
          <w:color w:val="000000"/>
          <w:sz w:val="28"/>
          <w:szCs w:val="28"/>
        </w:rPr>
      </w:pPr>
      <w:r w:rsidRPr="00304144">
        <w:rPr>
          <w:rFonts w:ascii="Calibri" w:hAnsi="Calibri" w:cs="Calibri"/>
          <w:b/>
          <w:color w:val="000000"/>
          <w:sz w:val="28"/>
          <w:szCs w:val="28"/>
        </w:rPr>
        <w:t>Fábio Fischer De Oliveira</w:t>
      </w:r>
    </w:p>
    <w:p w14:paraId="35310D00" w14:textId="27E629D6" w:rsidR="00304144" w:rsidRPr="00304144" w:rsidRDefault="00304144" w:rsidP="00304144">
      <w:pPr>
        <w:autoSpaceDE w:val="0"/>
        <w:autoSpaceDN w:val="0"/>
        <w:adjustRightInd w:val="0"/>
        <w:spacing w:after="0" w:line="240" w:lineRule="auto"/>
        <w:jc w:val="center"/>
        <w:rPr>
          <w:rFonts w:ascii="Calibri" w:hAnsi="Calibri" w:cs="Calibri"/>
          <w:b/>
          <w:color w:val="000000"/>
          <w:sz w:val="28"/>
          <w:szCs w:val="28"/>
        </w:rPr>
      </w:pPr>
      <w:r w:rsidRPr="00304144">
        <w:rPr>
          <w:rFonts w:ascii="Calibri" w:hAnsi="Calibri" w:cs="Calibri"/>
          <w:b/>
          <w:color w:val="000000"/>
          <w:sz w:val="28"/>
          <w:szCs w:val="28"/>
        </w:rPr>
        <w:t>Gabriel Teixeira Espíndola</w:t>
      </w:r>
    </w:p>
    <w:p w14:paraId="35CC7AF0" w14:textId="7A7A4B02" w:rsidR="00304144" w:rsidRPr="00304144" w:rsidRDefault="00304144" w:rsidP="00304144">
      <w:pPr>
        <w:autoSpaceDE w:val="0"/>
        <w:autoSpaceDN w:val="0"/>
        <w:adjustRightInd w:val="0"/>
        <w:spacing w:after="0" w:line="240" w:lineRule="auto"/>
        <w:jc w:val="center"/>
        <w:rPr>
          <w:rFonts w:ascii="Calibri" w:hAnsi="Calibri" w:cs="Calibri"/>
          <w:b/>
          <w:color w:val="000000"/>
          <w:sz w:val="28"/>
          <w:szCs w:val="28"/>
        </w:rPr>
      </w:pPr>
      <w:r w:rsidRPr="00304144">
        <w:rPr>
          <w:rFonts w:ascii="Calibri" w:hAnsi="Calibri" w:cs="Calibri"/>
          <w:b/>
          <w:color w:val="000000"/>
          <w:sz w:val="28"/>
          <w:szCs w:val="28"/>
        </w:rPr>
        <w:t>Gabriela Scherer</w:t>
      </w:r>
    </w:p>
    <w:p w14:paraId="00951D09" w14:textId="4E6C5555" w:rsidR="00304144" w:rsidRPr="00304144" w:rsidRDefault="00304144" w:rsidP="00304144">
      <w:pPr>
        <w:autoSpaceDE w:val="0"/>
        <w:autoSpaceDN w:val="0"/>
        <w:adjustRightInd w:val="0"/>
        <w:spacing w:after="0" w:line="240" w:lineRule="auto"/>
        <w:jc w:val="center"/>
        <w:rPr>
          <w:rFonts w:ascii="Calibri" w:hAnsi="Calibri" w:cs="Calibri"/>
          <w:b/>
          <w:color w:val="000000"/>
          <w:sz w:val="28"/>
          <w:szCs w:val="28"/>
        </w:rPr>
      </w:pPr>
      <w:r w:rsidRPr="00304144">
        <w:rPr>
          <w:rFonts w:ascii="Calibri" w:hAnsi="Calibri" w:cs="Calibri"/>
          <w:b/>
          <w:color w:val="000000"/>
          <w:sz w:val="28"/>
          <w:szCs w:val="28"/>
        </w:rPr>
        <w:t>Helenice Pinto De Mello</w:t>
      </w:r>
    </w:p>
    <w:p w14:paraId="73879F8F" w14:textId="37C7082E" w:rsidR="00304144" w:rsidRPr="00304144" w:rsidRDefault="00304144" w:rsidP="00304144">
      <w:pPr>
        <w:autoSpaceDE w:val="0"/>
        <w:autoSpaceDN w:val="0"/>
        <w:adjustRightInd w:val="0"/>
        <w:spacing w:after="0" w:line="240" w:lineRule="auto"/>
        <w:jc w:val="center"/>
        <w:rPr>
          <w:rFonts w:ascii="Calibri" w:hAnsi="Calibri" w:cs="Calibri"/>
          <w:b/>
          <w:color w:val="000000"/>
          <w:sz w:val="28"/>
          <w:szCs w:val="28"/>
        </w:rPr>
      </w:pPr>
      <w:r w:rsidRPr="00304144">
        <w:rPr>
          <w:rFonts w:ascii="Calibri" w:hAnsi="Calibri" w:cs="Calibri"/>
          <w:b/>
          <w:color w:val="000000"/>
          <w:sz w:val="28"/>
          <w:szCs w:val="28"/>
        </w:rPr>
        <w:t>Jeferson Silva</w:t>
      </w:r>
    </w:p>
    <w:p w14:paraId="3501211E" w14:textId="14C0549D" w:rsidR="00304144" w:rsidRPr="00304144" w:rsidRDefault="00304144" w:rsidP="00304144">
      <w:pPr>
        <w:autoSpaceDE w:val="0"/>
        <w:autoSpaceDN w:val="0"/>
        <w:adjustRightInd w:val="0"/>
        <w:spacing w:after="0" w:line="240" w:lineRule="auto"/>
        <w:jc w:val="center"/>
        <w:rPr>
          <w:rFonts w:ascii="Calibri" w:hAnsi="Calibri" w:cs="Calibri"/>
          <w:b/>
          <w:color w:val="000000"/>
          <w:sz w:val="28"/>
          <w:szCs w:val="28"/>
        </w:rPr>
      </w:pPr>
      <w:r w:rsidRPr="00304144">
        <w:rPr>
          <w:rFonts w:ascii="Calibri" w:hAnsi="Calibri" w:cs="Calibri"/>
          <w:b/>
          <w:color w:val="000000"/>
          <w:sz w:val="28"/>
          <w:szCs w:val="28"/>
        </w:rPr>
        <w:t>Joseleide Ribeiro Alencar</w:t>
      </w:r>
    </w:p>
    <w:p w14:paraId="07605E22" w14:textId="6E4B85A6" w:rsidR="00304144" w:rsidRPr="00304144" w:rsidRDefault="00304144" w:rsidP="00304144">
      <w:pPr>
        <w:autoSpaceDE w:val="0"/>
        <w:autoSpaceDN w:val="0"/>
        <w:adjustRightInd w:val="0"/>
        <w:spacing w:after="0" w:line="240" w:lineRule="auto"/>
        <w:jc w:val="center"/>
        <w:rPr>
          <w:rFonts w:ascii="Calibri" w:hAnsi="Calibri" w:cs="Calibri"/>
          <w:b/>
          <w:color w:val="000000"/>
          <w:sz w:val="28"/>
          <w:szCs w:val="28"/>
        </w:rPr>
      </w:pPr>
      <w:r w:rsidRPr="00304144">
        <w:rPr>
          <w:rFonts w:ascii="Calibri" w:hAnsi="Calibri" w:cs="Calibri"/>
          <w:b/>
          <w:color w:val="000000"/>
          <w:sz w:val="28"/>
          <w:szCs w:val="28"/>
        </w:rPr>
        <w:t>Luiz Henrique </w:t>
      </w:r>
      <w:proofErr w:type="spellStart"/>
      <w:r w:rsidRPr="00304144">
        <w:rPr>
          <w:rFonts w:ascii="Calibri" w:hAnsi="Calibri" w:cs="Calibri"/>
          <w:b/>
          <w:color w:val="000000"/>
          <w:sz w:val="28"/>
          <w:szCs w:val="28"/>
        </w:rPr>
        <w:t>Kretzer</w:t>
      </w:r>
      <w:proofErr w:type="spellEnd"/>
    </w:p>
    <w:p w14:paraId="1707F6DA" w14:textId="5F46CD90" w:rsidR="00304144" w:rsidRPr="00304144" w:rsidRDefault="00304144" w:rsidP="00304144">
      <w:pPr>
        <w:autoSpaceDE w:val="0"/>
        <w:autoSpaceDN w:val="0"/>
        <w:adjustRightInd w:val="0"/>
        <w:spacing w:after="0" w:line="240" w:lineRule="auto"/>
        <w:jc w:val="center"/>
        <w:rPr>
          <w:rFonts w:ascii="Calibri" w:hAnsi="Calibri" w:cs="Calibri"/>
          <w:b/>
          <w:color w:val="000000"/>
          <w:sz w:val="28"/>
          <w:szCs w:val="28"/>
        </w:rPr>
      </w:pPr>
      <w:r w:rsidRPr="00304144">
        <w:rPr>
          <w:rFonts w:ascii="Calibri" w:hAnsi="Calibri" w:cs="Calibri"/>
          <w:b/>
          <w:color w:val="000000"/>
          <w:sz w:val="28"/>
          <w:szCs w:val="28"/>
        </w:rPr>
        <w:t>Marcelo Florentino Fraga</w:t>
      </w:r>
    </w:p>
    <w:p w14:paraId="2795BB06" w14:textId="7A8040AF" w:rsidR="00304144" w:rsidRPr="00304144" w:rsidRDefault="00304144" w:rsidP="00304144">
      <w:pPr>
        <w:autoSpaceDE w:val="0"/>
        <w:autoSpaceDN w:val="0"/>
        <w:adjustRightInd w:val="0"/>
        <w:spacing w:after="0" w:line="240" w:lineRule="auto"/>
        <w:jc w:val="center"/>
        <w:rPr>
          <w:rFonts w:ascii="Calibri" w:hAnsi="Calibri" w:cs="Calibri"/>
          <w:b/>
          <w:color w:val="000000"/>
          <w:sz w:val="28"/>
          <w:szCs w:val="28"/>
        </w:rPr>
      </w:pPr>
      <w:r w:rsidRPr="00304144">
        <w:rPr>
          <w:rFonts w:ascii="Calibri" w:hAnsi="Calibri" w:cs="Calibri"/>
          <w:b/>
          <w:color w:val="000000"/>
          <w:sz w:val="28"/>
          <w:szCs w:val="28"/>
        </w:rPr>
        <w:t>Marco Aurelio Luz Tussi</w:t>
      </w:r>
    </w:p>
    <w:p w14:paraId="3634A701" w14:textId="68BE79DE" w:rsidR="00304144" w:rsidRPr="00304144" w:rsidRDefault="00304144" w:rsidP="00304144">
      <w:pPr>
        <w:autoSpaceDE w:val="0"/>
        <w:autoSpaceDN w:val="0"/>
        <w:adjustRightInd w:val="0"/>
        <w:spacing w:after="0" w:line="240" w:lineRule="auto"/>
        <w:jc w:val="center"/>
        <w:rPr>
          <w:rFonts w:ascii="Calibri" w:hAnsi="Calibri" w:cs="Calibri"/>
          <w:b/>
          <w:color w:val="000000"/>
          <w:sz w:val="28"/>
          <w:szCs w:val="28"/>
        </w:rPr>
      </w:pPr>
      <w:r w:rsidRPr="00304144">
        <w:rPr>
          <w:rFonts w:ascii="Calibri" w:hAnsi="Calibri" w:cs="Calibri"/>
          <w:b/>
          <w:color w:val="000000"/>
          <w:sz w:val="28"/>
          <w:szCs w:val="28"/>
        </w:rPr>
        <w:t>Rodrigo Henrique Antunes</w:t>
      </w:r>
    </w:p>
    <w:p w14:paraId="512641AE" w14:textId="52977854" w:rsidR="00265E4C" w:rsidRDefault="00265E4C" w:rsidP="00C7429D">
      <w:pPr>
        <w:autoSpaceDE w:val="0"/>
        <w:autoSpaceDN w:val="0"/>
        <w:adjustRightInd w:val="0"/>
        <w:spacing w:after="0" w:line="240" w:lineRule="auto"/>
        <w:rPr>
          <w:rFonts w:ascii="Calibri" w:hAnsi="Calibri" w:cs="Calibri"/>
          <w:b/>
          <w:color w:val="000000"/>
          <w:sz w:val="24"/>
          <w:szCs w:val="24"/>
        </w:rPr>
      </w:pPr>
    </w:p>
    <w:p w14:paraId="17F00C67" w14:textId="0E4EF3EB" w:rsidR="00265E4C" w:rsidRDefault="00265E4C" w:rsidP="00EA64E0">
      <w:pPr>
        <w:autoSpaceDE w:val="0"/>
        <w:autoSpaceDN w:val="0"/>
        <w:adjustRightInd w:val="0"/>
        <w:spacing w:after="0" w:line="240" w:lineRule="auto"/>
        <w:jc w:val="center"/>
        <w:rPr>
          <w:rFonts w:ascii="Calibri" w:hAnsi="Calibri" w:cs="Calibri"/>
          <w:b/>
          <w:color w:val="000000"/>
          <w:sz w:val="24"/>
          <w:szCs w:val="24"/>
        </w:rPr>
      </w:pPr>
    </w:p>
    <w:p w14:paraId="00D8C532" w14:textId="1F06BCD2" w:rsidR="00265E4C" w:rsidRDefault="00265E4C" w:rsidP="00EA64E0">
      <w:pPr>
        <w:autoSpaceDE w:val="0"/>
        <w:autoSpaceDN w:val="0"/>
        <w:adjustRightInd w:val="0"/>
        <w:spacing w:after="0" w:line="240" w:lineRule="auto"/>
        <w:jc w:val="center"/>
        <w:rPr>
          <w:rFonts w:ascii="Calibri" w:hAnsi="Calibri" w:cs="Calibri"/>
          <w:b/>
          <w:color w:val="000000"/>
          <w:sz w:val="24"/>
          <w:szCs w:val="24"/>
        </w:rPr>
      </w:pPr>
    </w:p>
    <w:p w14:paraId="6F83CF31" w14:textId="77777777" w:rsidR="00EA64E0" w:rsidRPr="00876F10" w:rsidRDefault="00EA64E0" w:rsidP="00EA64E0">
      <w:pPr>
        <w:spacing w:before="100" w:beforeAutospacing="1" w:after="100" w:afterAutospacing="1" w:line="240" w:lineRule="auto"/>
        <w:rPr>
          <w:rFonts w:ascii="Calibri" w:hAnsi="Calibri" w:cs="Calibri"/>
          <w:color w:val="000000"/>
          <w:sz w:val="24"/>
          <w:szCs w:val="24"/>
        </w:rPr>
      </w:pPr>
      <w:r w:rsidRPr="00876F10">
        <w:rPr>
          <w:rFonts w:ascii="Calibri" w:hAnsi="Calibri" w:cs="Calibri"/>
          <w:color w:val="000000"/>
          <w:sz w:val="24"/>
          <w:szCs w:val="24"/>
        </w:rPr>
        <w:t>É permitida a reprodução total ou parcial desde que citada a fonte.</w:t>
      </w:r>
    </w:p>
    <w:tbl>
      <w:tblPr>
        <w:tblW w:w="0" w:type="auto"/>
        <w:tblBorders>
          <w:top w:val="single" w:sz="4" w:space="0" w:color="auto"/>
          <w:bottom w:val="single" w:sz="4" w:space="0" w:color="auto"/>
        </w:tblBorders>
        <w:tblLook w:val="04A0" w:firstRow="1" w:lastRow="0" w:firstColumn="1" w:lastColumn="0" w:noHBand="0" w:noVBand="1"/>
      </w:tblPr>
      <w:tblGrid>
        <w:gridCol w:w="8505"/>
      </w:tblGrid>
      <w:tr w:rsidR="00EA64E0" w:rsidRPr="00876F10" w14:paraId="5AA96B12" w14:textId="77777777" w:rsidTr="003139F0">
        <w:trPr>
          <w:trHeight w:val="1200"/>
        </w:trPr>
        <w:tc>
          <w:tcPr>
            <w:tcW w:w="8505" w:type="dxa"/>
          </w:tcPr>
          <w:p w14:paraId="2EB08B3B" w14:textId="77777777" w:rsidR="00EA64E0" w:rsidRPr="00876F10" w:rsidRDefault="00EA64E0" w:rsidP="003139F0">
            <w:pPr>
              <w:autoSpaceDE w:val="0"/>
              <w:autoSpaceDN w:val="0"/>
              <w:adjustRightInd w:val="0"/>
              <w:spacing w:before="120" w:after="120" w:line="240" w:lineRule="auto"/>
              <w:jc w:val="both"/>
              <w:rPr>
                <w:rFonts w:ascii="Calibri" w:hAnsi="Calibri" w:cs="Calibri"/>
                <w:color w:val="000000"/>
                <w:sz w:val="24"/>
                <w:szCs w:val="24"/>
              </w:rPr>
            </w:pPr>
            <w:r>
              <w:rPr>
                <w:rFonts w:ascii="Calibri" w:hAnsi="Calibri" w:cs="Calibri"/>
                <w:color w:val="000000"/>
                <w:sz w:val="24"/>
                <w:szCs w:val="24"/>
              </w:rPr>
              <w:t xml:space="preserve">1ª </w:t>
            </w:r>
            <w:r w:rsidRPr="00876F10">
              <w:rPr>
                <w:rFonts w:ascii="Calibri" w:hAnsi="Calibri" w:cs="Calibri"/>
                <w:color w:val="000000"/>
                <w:sz w:val="24"/>
                <w:szCs w:val="24"/>
              </w:rPr>
              <w:t xml:space="preserve">edição: </w:t>
            </w:r>
            <w:r>
              <w:rPr>
                <w:rFonts w:ascii="Calibri" w:hAnsi="Calibri" w:cs="Calibri"/>
                <w:color w:val="000000"/>
                <w:sz w:val="24"/>
                <w:szCs w:val="24"/>
              </w:rPr>
              <w:t>julho 2015</w:t>
            </w:r>
          </w:p>
          <w:p w14:paraId="45DA16CC" w14:textId="77777777" w:rsidR="00EA64E0" w:rsidRPr="00876F10" w:rsidRDefault="00EA64E0" w:rsidP="003139F0">
            <w:pPr>
              <w:autoSpaceDE w:val="0"/>
              <w:autoSpaceDN w:val="0"/>
              <w:adjustRightInd w:val="0"/>
              <w:spacing w:before="120" w:after="120" w:line="240" w:lineRule="auto"/>
              <w:jc w:val="both"/>
              <w:rPr>
                <w:rFonts w:ascii="Calibri" w:hAnsi="Calibri" w:cs="Calibri"/>
                <w:color w:val="000000"/>
                <w:sz w:val="24"/>
                <w:szCs w:val="24"/>
              </w:rPr>
            </w:pPr>
            <w:r w:rsidRPr="00876F10">
              <w:rPr>
                <w:rFonts w:ascii="Calibri" w:hAnsi="Calibri" w:cs="Calibri"/>
                <w:color w:val="000000"/>
                <w:sz w:val="24"/>
                <w:szCs w:val="24"/>
              </w:rPr>
              <w:t xml:space="preserve">Brasil. Advocacia-Geral da União. Secretaria Geral de Administração. Plano de Logística Sustentável da AGU. Caderno Resultados </w:t>
            </w:r>
            <w:r>
              <w:rPr>
                <w:rFonts w:ascii="Calibri" w:hAnsi="Calibri" w:cs="Calibri"/>
                <w:color w:val="000000"/>
                <w:sz w:val="24"/>
                <w:szCs w:val="24"/>
              </w:rPr>
              <w:t>do RS</w:t>
            </w:r>
            <w:r w:rsidRPr="00876F10">
              <w:rPr>
                <w:rFonts w:ascii="Calibri" w:hAnsi="Calibri" w:cs="Calibri"/>
                <w:color w:val="000000"/>
                <w:sz w:val="24"/>
                <w:szCs w:val="24"/>
              </w:rPr>
              <w:t xml:space="preserve">. </w:t>
            </w:r>
            <w:r>
              <w:rPr>
                <w:rFonts w:ascii="Calibri" w:hAnsi="Calibri" w:cs="Calibri"/>
                <w:color w:val="000000"/>
                <w:sz w:val="24"/>
                <w:szCs w:val="24"/>
              </w:rPr>
              <w:t>Rio Grande do Sul, 2015</w:t>
            </w:r>
            <w:r w:rsidRPr="00876F10">
              <w:rPr>
                <w:rFonts w:ascii="Calibri" w:hAnsi="Calibri" w:cs="Calibri"/>
                <w:color w:val="000000"/>
                <w:sz w:val="24"/>
                <w:szCs w:val="24"/>
              </w:rPr>
              <w:t xml:space="preserve">. </w:t>
            </w:r>
          </w:p>
        </w:tc>
      </w:tr>
    </w:tbl>
    <w:p w14:paraId="307D7F03" w14:textId="77777777" w:rsidR="00EA64E0" w:rsidRPr="00876F10" w:rsidRDefault="00EA64E0" w:rsidP="00EA64E0">
      <w:pPr>
        <w:spacing w:after="0" w:line="240" w:lineRule="auto"/>
        <w:ind w:right="-147"/>
        <w:jc w:val="center"/>
        <w:rPr>
          <w:rFonts w:eastAsia="Times New Roman" w:cstheme="minorHAnsi"/>
          <w:sz w:val="16"/>
          <w:szCs w:val="16"/>
          <w:lang w:eastAsia="pt-BR"/>
        </w:rPr>
      </w:pPr>
    </w:p>
    <w:p w14:paraId="5F03D863" w14:textId="77777777" w:rsidR="00EA64E0" w:rsidRPr="00876F10" w:rsidRDefault="00EA64E0" w:rsidP="00EA64E0">
      <w:pPr>
        <w:spacing w:after="0" w:line="240" w:lineRule="auto"/>
        <w:jc w:val="center"/>
        <w:rPr>
          <w:sz w:val="24"/>
          <w:szCs w:val="24"/>
        </w:rPr>
      </w:pPr>
    </w:p>
    <w:p w14:paraId="2A296A91" w14:textId="7E2C6891" w:rsidR="00EA64E0" w:rsidRDefault="00EA64E0" w:rsidP="00EA64E0">
      <w:pPr>
        <w:spacing w:after="0" w:line="240" w:lineRule="auto"/>
        <w:jc w:val="center"/>
      </w:pPr>
      <w:r w:rsidRPr="00876F10">
        <w:rPr>
          <w:sz w:val="24"/>
          <w:szCs w:val="24"/>
        </w:rPr>
        <w:t>Contato:</w:t>
      </w:r>
      <w:r w:rsidR="00275A2C">
        <w:rPr>
          <w:sz w:val="24"/>
          <w:szCs w:val="24"/>
        </w:rPr>
        <w:t xml:space="preserve"> </w:t>
      </w:r>
      <w:hyperlink r:id="rId16" w:history="1">
        <w:r w:rsidR="009F4FD1" w:rsidRPr="000F1798">
          <w:rPr>
            <w:rStyle w:val="Hyperlink"/>
          </w:rPr>
          <w:t>sga.clogsustentab@agu.gov.br</w:t>
        </w:r>
      </w:hyperlink>
    </w:p>
    <w:bookmarkStart w:id="0" w:name="_Toc46510929" w:displacedByCustomXml="next"/>
    <w:sdt>
      <w:sdtPr>
        <w:rPr>
          <w:rFonts w:eastAsiaTheme="minorHAnsi" w:cstheme="minorBidi"/>
          <w:b w:val="0"/>
          <w:sz w:val="22"/>
          <w:szCs w:val="22"/>
          <w:lang w:eastAsia="en-US"/>
        </w:rPr>
        <w:id w:val="913054967"/>
        <w:docPartObj>
          <w:docPartGallery w:val="Table of Contents"/>
          <w:docPartUnique/>
        </w:docPartObj>
      </w:sdtPr>
      <w:sdtEndPr>
        <w:rPr>
          <w:bCs/>
        </w:rPr>
      </w:sdtEndPr>
      <w:sdtContent>
        <w:p w14:paraId="564EB291" w14:textId="7E6CA010" w:rsidR="00DE44A7" w:rsidRDefault="00DE44A7">
          <w:pPr>
            <w:pStyle w:val="CabealhodoSumrio"/>
          </w:pPr>
          <w:r>
            <w:t>Sumário</w:t>
          </w:r>
        </w:p>
        <w:p w14:paraId="7BE3F372" w14:textId="10BFA451" w:rsidR="00AB52B3" w:rsidRDefault="00DE44A7">
          <w:pPr>
            <w:pStyle w:val="Sumrio1"/>
            <w:rPr>
              <w:rFonts w:eastAsiaTheme="minorEastAsia" w:cstheme="minorBidi"/>
              <w:b w:val="0"/>
              <w:bCs w:val="0"/>
              <w:caps w:val="0"/>
              <w:sz w:val="22"/>
              <w:szCs w:val="22"/>
              <w:lang w:eastAsia="pt-BR"/>
            </w:rPr>
          </w:pPr>
          <w:r>
            <w:fldChar w:fldCharType="begin"/>
          </w:r>
          <w:r>
            <w:instrText xml:space="preserve"> TOC \o "1-3" \h \z \u </w:instrText>
          </w:r>
          <w:r>
            <w:fldChar w:fldCharType="separate"/>
          </w:r>
          <w:hyperlink w:anchor="_Toc113971741" w:history="1">
            <w:r w:rsidR="00AB52B3" w:rsidRPr="002F23A4">
              <w:rPr>
                <w:rStyle w:val="Hyperlink"/>
              </w:rPr>
              <w:t>Fundamentação legal</w:t>
            </w:r>
            <w:r w:rsidR="00AB52B3">
              <w:rPr>
                <w:webHidden/>
              </w:rPr>
              <w:tab/>
            </w:r>
            <w:r w:rsidR="00AB52B3">
              <w:rPr>
                <w:webHidden/>
              </w:rPr>
              <w:fldChar w:fldCharType="begin"/>
            </w:r>
            <w:r w:rsidR="00AB52B3">
              <w:rPr>
                <w:webHidden/>
              </w:rPr>
              <w:instrText xml:space="preserve"> PAGEREF _Toc113971741 \h </w:instrText>
            </w:r>
            <w:r w:rsidR="00AB52B3">
              <w:rPr>
                <w:webHidden/>
              </w:rPr>
            </w:r>
            <w:r w:rsidR="00AB52B3">
              <w:rPr>
                <w:webHidden/>
              </w:rPr>
              <w:fldChar w:fldCharType="separate"/>
            </w:r>
            <w:r w:rsidR="00AB52B3">
              <w:rPr>
                <w:webHidden/>
              </w:rPr>
              <w:t>5</w:t>
            </w:r>
            <w:r w:rsidR="00AB52B3">
              <w:rPr>
                <w:webHidden/>
              </w:rPr>
              <w:fldChar w:fldCharType="end"/>
            </w:r>
          </w:hyperlink>
        </w:p>
        <w:p w14:paraId="72FF5F76" w14:textId="4EFC830A" w:rsidR="00AB52B3" w:rsidRDefault="003A7160">
          <w:pPr>
            <w:pStyle w:val="Sumrio1"/>
            <w:rPr>
              <w:rFonts w:eastAsiaTheme="minorEastAsia" w:cstheme="minorBidi"/>
              <w:b w:val="0"/>
              <w:bCs w:val="0"/>
              <w:caps w:val="0"/>
              <w:sz w:val="22"/>
              <w:szCs w:val="22"/>
              <w:lang w:eastAsia="pt-BR"/>
            </w:rPr>
          </w:pPr>
          <w:hyperlink w:anchor="_Toc113971742" w:history="1">
            <w:r w:rsidR="00AB52B3" w:rsidRPr="002F23A4">
              <w:rPr>
                <w:rStyle w:val="Hyperlink"/>
              </w:rPr>
              <w:t>O PLS no âmbito da AGU</w:t>
            </w:r>
            <w:r w:rsidR="00AB52B3">
              <w:rPr>
                <w:webHidden/>
              </w:rPr>
              <w:tab/>
            </w:r>
            <w:r w:rsidR="00AB52B3">
              <w:rPr>
                <w:webHidden/>
              </w:rPr>
              <w:fldChar w:fldCharType="begin"/>
            </w:r>
            <w:r w:rsidR="00AB52B3">
              <w:rPr>
                <w:webHidden/>
              </w:rPr>
              <w:instrText xml:space="preserve"> PAGEREF _Toc113971742 \h </w:instrText>
            </w:r>
            <w:r w:rsidR="00AB52B3">
              <w:rPr>
                <w:webHidden/>
              </w:rPr>
            </w:r>
            <w:r w:rsidR="00AB52B3">
              <w:rPr>
                <w:webHidden/>
              </w:rPr>
              <w:fldChar w:fldCharType="separate"/>
            </w:r>
            <w:r w:rsidR="00AB52B3">
              <w:rPr>
                <w:webHidden/>
              </w:rPr>
              <w:t>6</w:t>
            </w:r>
            <w:r w:rsidR="00AB52B3">
              <w:rPr>
                <w:webHidden/>
              </w:rPr>
              <w:fldChar w:fldCharType="end"/>
            </w:r>
          </w:hyperlink>
        </w:p>
        <w:p w14:paraId="49FE263B" w14:textId="4AE1D26E" w:rsidR="00AB52B3" w:rsidRDefault="003A7160">
          <w:pPr>
            <w:pStyle w:val="Sumrio2"/>
            <w:tabs>
              <w:tab w:val="right" w:leader="dot" w:pos="9062"/>
            </w:tabs>
            <w:rPr>
              <w:rFonts w:eastAsiaTheme="minorEastAsia"/>
              <w:smallCaps w:val="0"/>
              <w:noProof/>
              <w:sz w:val="22"/>
              <w:szCs w:val="22"/>
              <w:lang w:eastAsia="pt-BR"/>
            </w:rPr>
          </w:pPr>
          <w:hyperlink w:anchor="_Toc113971743" w:history="1">
            <w:r w:rsidR="00AB52B3" w:rsidRPr="002F23A4">
              <w:rPr>
                <w:rStyle w:val="Hyperlink"/>
                <w:noProof/>
              </w:rPr>
              <w:t>Objetivos Gerais</w:t>
            </w:r>
            <w:r w:rsidR="00AB52B3">
              <w:rPr>
                <w:noProof/>
                <w:webHidden/>
              </w:rPr>
              <w:tab/>
            </w:r>
            <w:r w:rsidR="00AB52B3">
              <w:rPr>
                <w:noProof/>
                <w:webHidden/>
              </w:rPr>
              <w:fldChar w:fldCharType="begin"/>
            </w:r>
            <w:r w:rsidR="00AB52B3">
              <w:rPr>
                <w:noProof/>
                <w:webHidden/>
              </w:rPr>
              <w:instrText xml:space="preserve"> PAGEREF _Toc113971743 \h </w:instrText>
            </w:r>
            <w:r w:rsidR="00AB52B3">
              <w:rPr>
                <w:noProof/>
                <w:webHidden/>
              </w:rPr>
            </w:r>
            <w:r w:rsidR="00AB52B3">
              <w:rPr>
                <w:noProof/>
                <w:webHidden/>
              </w:rPr>
              <w:fldChar w:fldCharType="separate"/>
            </w:r>
            <w:r w:rsidR="00AB52B3">
              <w:rPr>
                <w:noProof/>
                <w:webHidden/>
              </w:rPr>
              <w:t>6</w:t>
            </w:r>
            <w:r w:rsidR="00AB52B3">
              <w:rPr>
                <w:noProof/>
                <w:webHidden/>
              </w:rPr>
              <w:fldChar w:fldCharType="end"/>
            </w:r>
          </w:hyperlink>
        </w:p>
        <w:p w14:paraId="360D82B8" w14:textId="3BF3D26A" w:rsidR="00AB52B3" w:rsidRDefault="003A7160">
          <w:pPr>
            <w:pStyle w:val="Sumrio2"/>
            <w:tabs>
              <w:tab w:val="right" w:leader="dot" w:pos="9062"/>
            </w:tabs>
            <w:rPr>
              <w:rFonts w:eastAsiaTheme="minorEastAsia"/>
              <w:smallCaps w:val="0"/>
              <w:noProof/>
              <w:sz w:val="22"/>
              <w:szCs w:val="22"/>
              <w:lang w:eastAsia="pt-BR"/>
            </w:rPr>
          </w:pPr>
          <w:hyperlink w:anchor="_Toc113971744" w:history="1">
            <w:r w:rsidR="00AB52B3" w:rsidRPr="002F23A4">
              <w:rPr>
                <w:rStyle w:val="Hyperlink"/>
                <w:noProof/>
              </w:rPr>
              <w:t>Objetivos Específicos</w:t>
            </w:r>
            <w:r w:rsidR="00AB52B3">
              <w:rPr>
                <w:noProof/>
                <w:webHidden/>
              </w:rPr>
              <w:tab/>
            </w:r>
            <w:r w:rsidR="00AB52B3">
              <w:rPr>
                <w:noProof/>
                <w:webHidden/>
              </w:rPr>
              <w:fldChar w:fldCharType="begin"/>
            </w:r>
            <w:r w:rsidR="00AB52B3">
              <w:rPr>
                <w:noProof/>
                <w:webHidden/>
              </w:rPr>
              <w:instrText xml:space="preserve"> PAGEREF _Toc113971744 \h </w:instrText>
            </w:r>
            <w:r w:rsidR="00AB52B3">
              <w:rPr>
                <w:noProof/>
                <w:webHidden/>
              </w:rPr>
            </w:r>
            <w:r w:rsidR="00AB52B3">
              <w:rPr>
                <w:noProof/>
                <w:webHidden/>
              </w:rPr>
              <w:fldChar w:fldCharType="separate"/>
            </w:r>
            <w:r w:rsidR="00AB52B3">
              <w:rPr>
                <w:noProof/>
                <w:webHidden/>
              </w:rPr>
              <w:t>7</w:t>
            </w:r>
            <w:r w:rsidR="00AB52B3">
              <w:rPr>
                <w:noProof/>
                <w:webHidden/>
              </w:rPr>
              <w:fldChar w:fldCharType="end"/>
            </w:r>
          </w:hyperlink>
        </w:p>
        <w:p w14:paraId="3F5CAC27" w14:textId="0C4ECDC5" w:rsidR="00AB52B3" w:rsidRDefault="003A7160">
          <w:pPr>
            <w:pStyle w:val="Sumrio1"/>
            <w:rPr>
              <w:rFonts w:eastAsiaTheme="minorEastAsia" w:cstheme="minorBidi"/>
              <w:b w:val="0"/>
              <w:bCs w:val="0"/>
              <w:caps w:val="0"/>
              <w:sz w:val="22"/>
              <w:szCs w:val="22"/>
              <w:lang w:eastAsia="pt-BR"/>
            </w:rPr>
          </w:pPr>
          <w:hyperlink w:anchor="_Toc113971745" w:history="1">
            <w:r w:rsidR="00AB52B3" w:rsidRPr="002F23A4">
              <w:rPr>
                <w:rStyle w:val="Hyperlink"/>
              </w:rPr>
              <w:t>Considerações iniciais</w:t>
            </w:r>
            <w:r w:rsidR="00AB52B3">
              <w:rPr>
                <w:webHidden/>
              </w:rPr>
              <w:tab/>
            </w:r>
            <w:r w:rsidR="00AB52B3">
              <w:rPr>
                <w:webHidden/>
              </w:rPr>
              <w:fldChar w:fldCharType="begin"/>
            </w:r>
            <w:r w:rsidR="00AB52B3">
              <w:rPr>
                <w:webHidden/>
              </w:rPr>
              <w:instrText xml:space="preserve"> PAGEREF _Toc113971745 \h </w:instrText>
            </w:r>
            <w:r w:rsidR="00AB52B3">
              <w:rPr>
                <w:webHidden/>
              </w:rPr>
            </w:r>
            <w:r w:rsidR="00AB52B3">
              <w:rPr>
                <w:webHidden/>
              </w:rPr>
              <w:fldChar w:fldCharType="separate"/>
            </w:r>
            <w:r w:rsidR="00AB52B3">
              <w:rPr>
                <w:webHidden/>
              </w:rPr>
              <w:t>8</w:t>
            </w:r>
            <w:r w:rsidR="00AB52B3">
              <w:rPr>
                <w:webHidden/>
              </w:rPr>
              <w:fldChar w:fldCharType="end"/>
            </w:r>
          </w:hyperlink>
        </w:p>
        <w:p w14:paraId="61452FCE" w14:textId="7D2D8C94" w:rsidR="00AB52B3" w:rsidRDefault="003A7160">
          <w:pPr>
            <w:pStyle w:val="Sumrio1"/>
            <w:rPr>
              <w:rFonts w:eastAsiaTheme="minorEastAsia" w:cstheme="minorBidi"/>
              <w:b w:val="0"/>
              <w:bCs w:val="0"/>
              <w:caps w:val="0"/>
              <w:sz w:val="22"/>
              <w:szCs w:val="22"/>
              <w:lang w:eastAsia="pt-BR"/>
            </w:rPr>
          </w:pPr>
          <w:hyperlink w:anchor="_Toc113971746" w:history="1">
            <w:r w:rsidR="00AB52B3" w:rsidRPr="002F23A4">
              <w:rPr>
                <w:rStyle w:val="Hyperlink"/>
              </w:rPr>
              <w:t>Caracterização dos edifícios</w:t>
            </w:r>
            <w:r w:rsidR="00AB52B3">
              <w:rPr>
                <w:webHidden/>
              </w:rPr>
              <w:tab/>
            </w:r>
            <w:r w:rsidR="00AB52B3">
              <w:rPr>
                <w:webHidden/>
              </w:rPr>
              <w:fldChar w:fldCharType="begin"/>
            </w:r>
            <w:r w:rsidR="00AB52B3">
              <w:rPr>
                <w:webHidden/>
              </w:rPr>
              <w:instrText xml:space="preserve"> PAGEREF _Toc113971746 \h </w:instrText>
            </w:r>
            <w:r w:rsidR="00AB52B3">
              <w:rPr>
                <w:webHidden/>
              </w:rPr>
            </w:r>
            <w:r w:rsidR="00AB52B3">
              <w:rPr>
                <w:webHidden/>
              </w:rPr>
              <w:fldChar w:fldCharType="separate"/>
            </w:r>
            <w:r w:rsidR="00AB52B3">
              <w:rPr>
                <w:webHidden/>
              </w:rPr>
              <w:t>18</w:t>
            </w:r>
            <w:r w:rsidR="00AB52B3">
              <w:rPr>
                <w:webHidden/>
              </w:rPr>
              <w:fldChar w:fldCharType="end"/>
            </w:r>
          </w:hyperlink>
        </w:p>
        <w:p w14:paraId="3647D14C" w14:textId="0AE6BB3B" w:rsidR="00AB52B3" w:rsidRDefault="003A7160">
          <w:pPr>
            <w:pStyle w:val="Sumrio3"/>
            <w:tabs>
              <w:tab w:val="right" w:leader="dot" w:pos="9062"/>
            </w:tabs>
            <w:rPr>
              <w:rFonts w:eastAsiaTheme="minorEastAsia"/>
              <w:i w:val="0"/>
              <w:iCs w:val="0"/>
              <w:noProof/>
              <w:sz w:val="22"/>
              <w:szCs w:val="22"/>
              <w:lang w:eastAsia="pt-BR"/>
            </w:rPr>
          </w:pPr>
          <w:hyperlink w:anchor="_Toc113971747" w:history="1">
            <w:r w:rsidR="00AB52B3" w:rsidRPr="002F23A4">
              <w:rPr>
                <w:rStyle w:val="Hyperlink"/>
                <w:noProof/>
              </w:rPr>
              <w:t>Ed. Sede (SAD/RS – PRU4 – CJU/RS – EAGU/RS – ECGAGU4) – Porto Alegre, RS</w:t>
            </w:r>
            <w:r w:rsidR="00AB52B3">
              <w:rPr>
                <w:noProof/>
                <w:webHidden/>
              </w:rPr>
              <w:tab/>
            </w:r>
            <w:r w:rsidR="00AB52B3">
              <w:rPr>
                <w:noProof/>
                <w:webHidden/>
              </w:rPr>
              <w:fldChar w:fldCharType="begin"/>
            </w:r>
            <w:r w:rsidR="00AB52B3">
              <w:rPr>
                <w:noProof/>
                <w:webHidden/>
              </w:rPr>
              <w:instrText xml:space="preserve"> PAGEREF _Toc113971747 \h </w:instrText>
            </w:r>
            <w:r w:rsidR="00AB52B3">
              <w:rPr>
                <w:noProof/>
                <w:webHidden/>
              </w:rPr>
            </w:r>
            <w:r w:rsidR="00AB52B3">
              <w:rPr>
                <w:noProof/>
                <w:webHidden/>
              </w:rPr>
              <w:fldChar w:fldCharType="separate"/>
            </w:r>
            <w:r w:rsidR="00AB52B3">
              <w:rPr>
                <w:noProof/>
                <w:webHidden/>
              </w:rPr>
              <w:t>18</w:t>
            </w:r>
            <w:r w:rsidR="00AB52B3">
              <w:rPr>
                <w:noProof/>
                <w:webHidden/>
              </w:rPr>
              <w:fldChar w:fldCharType="end"/>
            </w:r>
          </w:hyperlink>
        </w:p>
        <w:p w14:paraId="7C3513D1" w14:textId="18ABCA43" w:rsidR="00AB52B3" w:rsidRDefault="003A7160">
          <w:pPr>
            <w:pStyle w:val="Sumrio3"/>
            <w:tabs>
              <w:tab w:val="right" w:leader="dot" w:pos="9062"/>
            </w:tabs>
            <w:rPr>
              <w:rFonts w:eastAsiaTheme="minorEastAsia"/>
              <w:i w:val="0"/>
              <w:iCs w:val="0"/>
              <w:noProof/>
              <w:sz w:val="22"/>
              <w:szCs w:val="22"/>
              <w:lang w:eastAsia="pt-BR"/>
            </w:rPr>
          </w:pPr>
          <w:hyperlink w:anchor="_Toc113971748" w:history="1">
            <w:r w:rsidR="00AB52B3" w:rsidRPr="002F23A4">
              <w:rPr>
                <w:rStyle w:val="Hyperlink"/>
                <w:noProof/>
              </w:rPr>
              <w:t>Ed. Eólis (PRF4) – Porto Alegre, RS</w:t>
            </w:r>
            <w:r w:rsidR="00AB52B3">
              <w:rPr>
                <w:noProof/>
                <w:webHidden/>
              </w:rPr>
              <w:tab/>
            </w:r>
            <w:r w:rsidR="00AB52B3">
              <w:rPr>
                <w:noProof/>
                <w:webHidden/>
              </w:rPr>
              <w:fldChar w:fldCharType="begin"/>
            </w:r>
            <w:r w:rsidR="00AB52B3">
              <w:rPr>
                <w:noProof/>
                <w:webHidden/>
              </w:rPr>
              <w:instrText xml:space="preserve"> PAGEREF _Toc113971748 \h </w:instrText>
            </w:r>
            <w:r w:rsidR="00AB52B3">
              <w:rPr>
                <w:noProof/>
                <w:webHidden/>
              </w:rPr>
            </w:r>
            <w:r w:rsidR="00AB52B3">
              <w:rPr>
                <w:noProof/>
                <w:webHidden/>
              </w:rPr>
              <w:fldChar w:fldCharType="separate"/>
            </w:r>
            <w:r w:rsidR="00AB52B3">
              <w:rPr>
                <w:noProof/>
                <w:webHidden/>
              </w:rPr>
              <w:t>18</w:t>
            </w:r>
            <w:r w:rsidR="00AB52B3">
              <w:rPr>
                <w:noProof/>
                <w:webHidden/>
              </w:rPr>
              <w:fldChar w:fldCharType="end"/>
            </w:r>
          </w:hyperlink>
        </w:p>
        <w:p w14:paraId="1B463682" w14:textId="177DD5E0" w:rsidR="00AB52B3" w:rsidRDefault="003A7160">
          <w:pPr>
            <w:pStyle w:val="Sumrio3"/>
            <w:tabs>
              <w:tab w:val="right" w:leader="dot" w:pos="9062"/>
            </w:tabs>
            <w:rPr>
              <w:rFonts w:eastAsiaTheme="minorEastAsia"/>
              <w:i w:val="0"/>
              <w:iCs w:val="0"/>
              <w:noProof/>
              <w:sz w:val="22"/>
              <w:szCs w:val="22"/>
              <w:lang w:eastAsia="pt-BR"/>
            </w:rPr>
          </w:pPr>
          <w:hyperlink w:anchor="_Toc113971749" w:history="1">
            <w:r w:rsidR="00AB52B3" w:rsidRPr="002F23A4">
              <w:rPr>
                <w:rStyle w:val="Hyperlink"/>
                <w:noProof/>
              </w:rPr>
              <w:t>Ed. Célia Daux (PU/SC - CJU/SC) – Florianópolis, SC</w:t>
            </w:r>
            <w:r w:rsidR="00AB52B3">
              <w:rPr>
                <w:noProof/>
                <w:webHidden/>
              </w:rPr>
              <w:tab/>
            </w:r>
            <w:r w:rsidR="00AB52B3">
              <w:rPr>
                <w:noProof/>
                <w:webHidden/>
              </w:rPr>
              <w:fldChar w:fldCharType="begin"/>
            </w:r>
            <w:r w:rsidR="00AB52B3">
              <w:rPr>
                <w:noProof/>
                <w:webHidden/>
              </w:rPr>
              <w:instrText xml:space="preserve"> PAGEREF _Toc113971749 \h </w:instrText>
            </w:r>
            <w:r w:rsidR="00AB52B3">
              <w:rPr>
                <w:noProof/>
                <w:webHidden/>
              </w:rPr>
            </w:r>
            <w:r w:rsidR="00AB52B3">
              <w:rPr>
                <w:noProof/>
                <w:webHidden/>
              </w:rPr>
              <w:fldChar w:fldCharType="separate"/>
            </w:r>
            <w:r w:rsidR="00AB52B3">
              <w:rPr>
                <w:noProof/>
                <w:webHidden/>
              </w:rPr>
              <w:t>19</w:t>
            </w:r>
            <w:r w:rsidR="00AB52B3">
              <w:rPr>
                <w:noProof/>
                <w:webHidden/>
              </w:rPr>
              <w:fldChar w:fldCharType="end"/>
            </w:r>
          </w:hyperlink>
        </w:p>
        <w:p w14:paraId="6FA5DD2F" w14:textId="0A93E70D" w:rsidR="00AB52B3" w:rsidRDefault="003A7160">
          <w:pPr>
            <w:pStyle w:val="Sumrio3"/>
            <w:tabs>
              <w:tab w:val="right" w:leader="dot" w:pos="9062"/>
            </w:tabs>
            <w:rPr>
              <w:rFonts w:eastAsiaTheme="minorEastAsia"/>
              <w:i w:val="0"/>
              <w:iCs w:val="0"/>
              <w:noProof/>
              <w:sz w:val="22"/>
              <w:szCs w:val="22"/>
              <w:lang w:eastAsia="pt-BR"/>
            </w:rPr>
          </w:pPr>
          <w:hyperlink w:anchor="_Toc113971750" w:history="1">
            <w:r w:rsidR="00AB52B3" w:rsidRPr="002F23A4">
              <w:rPr>
                <w:rStyle w:val="Hyperlink"/>
                <w:noProof/>
              </w:rPr>
              <w:t>Ed. Daros.com (PF/SC - EAGU/SC) - Florianópolis, SC</w:t>
            </w:r>
            <w:r w:rsidR="00AB52B3">
              <w:rPr>
                <w:noProof/>
                <w:webHidden/>
              </w:rPr>
              <w:tab/>
            </w:r>
            <w:r w:rsidR="00AB52B3">
              <w:rPr>
                <w:noProof/>
                <w:webHidden/>
              </w:rPr>
              <w:fldChar w:fldCharType="begin"/>
            </w:r>
            <w:r w:rsidR="00AB52B3">
              <w:rPr>
                <w:noProof/>
                <w:webHidden/>
              </w:rPr>
              <w:instrText xml:space="preserve"> PAGEREF _Toc113971750 \h </w:instrText>
            </w:r>
            <w:r w:rsidR="00AB52B3">
              <w:rPr>
                <w:noProof/>
                <w:webHidden/>
              </w:rPr>
            </w:r>
            <w:r w:rsidR="00AB52B3">
              <w:rPr>
                <w:noProof/>
                <w:webHidden/>
              </w:rPr>
              <w:fldChar w:fldCharType="separate"/>
            </w:r>
            <w:r w:rsidR="00AB52B3">
              <w:rPr>
                <w:noProof/>
                <w:webHidden/>
              </w:rPr>
              <w:t>20</w:t>
            </w:r>
            <w:r w:rsidR="00AB52B3">
              <w:rPr>
                <w:noProof/>
                <w:webHidden/>
              </w:rPr>
              <w:fldChar w:fldCharType="end"/>
            </w:r>
          </w:hyperlink>
        </w:p>
        <w:p w14:paraId="49234A9C" w14:textId="223C2646" w:rsidR="00AB52B3" w:rsidRDefault="003A7160">
          <w:pPr>
            <w:pStyle w:val="Sumrio3"/>
            <w:tabs>
              <w:tab w:val="right" w:leader="dot" w:pos="9062"/>
            </w:tabs>
            <w:rPr>
              <w:rFonts w:eastAsiaTheme="minorEastAsia"/>
              <w:i w:val="0"/>
              <w:iCs w:val="0"/>
              <w:noProof/>
              <w:sz w:val="22"/>
              <w:szCs w:val="22"/>
              <w:lang w:eastAsia="pt-BR"/>
            </w:rPr>
          </w:pPr>
          <w:hyperlink w:anchor="_Toc113971751" w:history="1">
            <w:r w:rsidR="00AB52B3" w:rsidRPr="002F23A4">
              <w:rPr>
                <w:rStyle w:val="Hyperlink"/>
                <w:noProof/>
              </w:rPr>
              <w:t>Ed. João Gualberto (PF/PR - EAGU/PR) – Curitiba, PR</w:t>
            </w:r>
            <w:r w:rsidR="00AB52B3">
              <w:rPr>
                <w:noProof/>
                <w:webHidden/>
              </w:rPr>
              <w:tab/>
            </w:r>
            <w:r w:rsidR="00AB52B3">
              <w:rPr>
                <w:noProof/>
                <w:webHidden/>
              </w:rPr>
              <w:fldChar w:fldCharType="begin"/>
            </w:r>
            <w:r w:rsidR="00AB52B3">
              <w:rPr>
                <w:noProof/>
                <w:webHidden/>
              </w:rPr>
              <w:instrText xml:space="preserve"> PAGEREF _Toc113971751 \h </w:instrText>
            </w:r>
            <w:r w:rsidR="00AB52B3">
              <w:rPr>
                <w:noProof/>
                <w:webHidden/>
              </w:rPr>
            </w:r>
            <w:r w:rsidR="00AB52B3">
              <w:rPr>
                <w:noProof/>
                <w:webHidden/>
              </w:rPr>
              <w:fldChar w:fldCharType="separate"/>
            </w:r>
            <w:r w:rsidR="00AB52B3">
              <w:rPr>
                <w:noProof/>
                <w:webHidden/>
              </w:rPr>
              <w:t>20</w:t>
            </w:r>
            <w:r w:rsidR="00AB52B3">
              <w:rPr>
                <w:noProof/>
                <w:webHidden/>
              </w:rPr>
              <w:fldChar w:fldCharType="end"/>
            </w:r>
          </w:hyperlink>
        </w:p>
        <w:p w14:paraId="69F22A4C" w14:textId="124950EF" w:rsidR="00AB52B3" w:rsidRDefault="003A7160">
          <w:pPr>
            <w:pStyle w:val="Sumrio3"/>
            <w:tabs>
              <w:tab w:val="right" w:leader="dot" w:pos="9062"/>
            </w:tabs>
            <w:rPr>
              <w:rFonts w:eastAsiaTheme="minorEastAsia"/>
              <w:i w:val="0"/>
              <w:iCs w:val="0"/>
              <w:noProof/>
              <w:sz w:val="22"/>
              <w:szCs w:val="22"/>
              <w:lang w:eastAsia="pt-BR"/>
            </w:rPr>
          </w:pPr>
          <w:hyperlink w:anchor="_Toc113971752" w:history="1">
            <w:r w:rsidR="00AB52B3" w:rsidRPr="002F23A4">
              <w:rPr>
                <w:rStyle w:val="Hyperlink"/>
                <w:noProof/>
              </w:rPr>
              <w:t>Imóvel da PU/PR - CJU/PR – Curitiba, PR</w:t>
            </w:r>
            <w:r w:rsidR="00AB52B3">
              <w:rPr>
                <w:noProof/>
                <w:webHidden/>
              </w:rPr>
              <w:tab/>
            </w:r>
            <w:r w:rsidR="00AB52B3">
              <w:rPr>
                <w:noProof/>
                <w:webHidden/>
              </w:rPr>
              <w:fldChar w:fldCharType="begin"/>
            </w:r>
            <w:r w:rsidR="00AB52B3">
              <w:rPr>
                <w:noProof/>
                <w:webHidden/>
              </w:rPr>
              <w:instrText xml:space="preserve"> PAGEREF _Toc113971752 \h </w:instrText>
            </w:r>
            <w:r w:rsidR="00AB52B3">
              <w:rPr>
                <w:noProof/>
                <w:webHidden/>
              </w:rPr>
            </w:r>
            <w:r w:rsidR="00AB52B3">
              <w:rPr>
                <w:noProof/>
                <w:webHidden/>
              </w:rPr>
              <w:fldChar w:fldCharType="separate"/>
            </w:r>
            <w:r w:rsidR="00AB52B3">
              <w:rPr>
                <w:noProof/>
                <w:webHidden/>
              </w:rPr>
              <w:t>21</w:t>
            </w:r>
            <w:r w:rsidR="00AB52B3">
              <w:rPr>
                <w:noProof/>
                <w:webHidden/>
              </w:rPr>
              <w:fldChar w:fldCharType="end"/>
            </w:r>
          </w:hyperlink>
        </w:p>
        <w:p w14:paraId="0A4D8778" w14:textId="62698D3E" w:rsidR="00AB52B3" w:rsidRDefault="003A7160">
          <w:pPr>
            <w:pStyle w:val="Sumrio1"/>
            <w:rPr>
              <w:rFonts w:eastAsiaTheme="minorEastAsia" w:cstheme="minorBidi"/>
              <w:b w:val="0"/>
              <w:bCs w:val="0"/>
              <w:caps w:val="0"/>
              <w:sz w:val="22"/>
              <w:szCs w:val="22"/>
              <w:lang w:eastAsia="pt-BR"/>
            </w:rPr>
          </w:pPr>
          <w:hyperlink w:anchor="_Toc113971753" w:history="1">
            <w:r w:rsidR="00AB52B3" w:rsidRPr="002F23A4">
              <w:rPr>
                <w:rStyle w:val="Hyperlink"/>
              </w:rPr>
              <w:t>Resultados</w:t>
            </w:r>
            <w:r w:rsidR="00AB52B3">
              <w:rPr>
                <w:webHidden/>
              </w:rPr>
              <w:tab/>
            </w:r>
            <w:r w:rsidR="00AB52B3">
              <w:rPr>
                <w:webHidden/>
              </w:rPr>
              <w:fldChar w:fldCharType="begin"/>
            </w:r>
            <w:r w:rsidR="00AB52B3">
              <w:rPr>
                <w:webHidden/>
              </w:rPr>
              <w:instrText xml:space="preserve"> PAGEREF _Toc113971753 \h </w:instrText>
            </w:r>
            <w:r w:rsidR="00AB52B3">
              <w:rPr>
                <w:webHidden/>
              </w:rPr>
            </w:r>
            <w:r w:rsidR="00AB52B3">
              <w:rPr>
                <w:webHidden/>
              </w:rPr>
              <w:fldChar w:fldCharType="separate"/>
            </w:r>
            <w:r w:rsidR="00AB52B3">
              <w:rPr>
                <w:webHidden/>
              </w:rPr>
              <w:t>22</w:t>
            </w:r>
            <w:r w:rsidR="00AB52B3">
              <w:rPr>
                <w:webHidden/>
              </w:rPr>
              <w:fldChar w:fldCharType="end"/>
            </w:r>
          </w:hyperlink>
        </w:p>
        <w:p w14:paraId="5B52C29C" w14:textId="3A5792A4" w:rsidR="00AB52B3" w:rsidRDefault="003A7160">
          <w:pPr>
            <w:pStyle w:val="Sumrio2"/>
            <w:tabs>
              <w:tab w:val="right" w:leader="dot" w:pos="9062"/>
            </w:tabs>
            <w:rPr>
              <w:rFonts w:eastAsiaTheme="minorEastAsia"/>
              <w:smallCaps w:val="0"/>
              <w:noProof/>
              <w:sz w:val="22"/>
              <w:szCs w:val="22"/>
              <w:lang w:eastAsia="pt-BR"/>
            </w:rPr>
          </w:pPr>
          <w:hyperlink w:anchor="_Toc113971754" w:history="1">
            <w:r w:rsidR="00AB52B3" w:rsidRPr="002F23A4">
              <w:rPr>
                <w:rStyle w:val="Hyperlink"/>
                <w:noProof/>
              </w:rPr>
              <w:t>Qualidade de Vida no Ambiente de Trabalho</w:t>
            </w:r>
            <w:r w:rsidR="00AB52B3">
              <w:rPr>
                <w:noProof/>
                <w:webHidden/>
              </w:rPr>
              <w:tab/>
            </w:r>
            <w:r w:rsidR="00AB52B3">
              <w:rPr>
                <w:noProof/>
                <w:webHidden/>
              </w:rPr>
              <w:fldChar w:fldCharType="begin"/>
            </w:r>
            <w:r w:rsidR="00AB52B3">
              <w:rPr>
                <w:noProof/>
                <w:webHidden/>
              </w:rPr>
              <w:instrText xml:space="preserve"> PAGEREF _Toc113971754 \h </w:instrText>
            </w:r>
            <w:r w:rsidR="00AB52B3">
              <w:rPr>
                <w:noProof/>
                <w:webHidden/>
              </w:rPr>
            </w:r>
            <w:r w:rsidR="00AB52B3">
              <w:rPr>
                <w:noProof/>
                <w:webHidden/>
              </w:rPr>
              <w:fldChar w:fldCharType="separate"/>
            </w:r>
            <w:r w:rsidR="00AB52B3">
              <w:rPr>
                <w:noProof/>
                <w:webHidden/>
              </w:rPr>
              <w:t>22</w:t>
            </w:r>
            <w:r w:rsidR="00AB52B3">
              <w:rPr>
                <w:noProof/>
                <w:webHidden/>
              </w:rPr>
              <w:fldChar w:fldCharType="end"/>
            </w:r>
          </w:hyperlink>
        </w:p>
        <w:p w14:paraId="1100C779" w14:textId="6AD309EC" w:rsidR="00AB52B3" w:rsidRDefault="003A7160">
          <w:pPr>
            <w:pStyle w:val="Sumrio3"/>
            <w:tabs>
              <w:tab w:val="right" w:leader="dot" w:pos="9062"/>
            </w:tabs>
            <w:rPr>
              <w:rFonts w:eastAsiaTheme="minorEastAsia"/>
              <w:i w:val="0"/>
              <w:iCs w:val="0"/>
              <w:noProof/>
              <w:sz w:val="22"/>
              <w:szCs w:val="22"/>
              <w:lang w:eastAsia="pt-BR"/>
            </w:rPr>
          </w:pPr>
          <w:hyperlink w:anchor="_Toc113971755" w:history="1">
            <w:r w:rsidR="00AB52B3" w:rsidRPr="002F23A4">
              <w:rPr>
                <w:rStyle w:val="Hyperlink"/>
                <w:noProof/>
              </w:rPr>
              <w:t>Caracterização</w:t>
            </w:r>
            <w:r w:rsidR="00AB52B3">
              <w:rPr>
                <w:noProof/>
                <w:webHidden/>
              </w:rPr>
              <w:tab/>
            </w:r>
            <w:r w:rsidR="00AB52B3">
              <w:rPr>
                <w:noProof/>
                <w:webHidden/>
              </w:rPr>
              <w:fldChar w:fldCharType="begin"/>
            </w:r>
            <w:r w:rsidR="00AB52B3">
              <w:rPr>
                <w:noProof/>
                <w:webHidden/>
              </w:rPr>
              <w:instrText xml:space="preserve"> PAGEREF _Toc113971755 \h </w:instrText>
            </w:r>
            <w:r w:rsidR="00AB52B3">
              <w:rPr>
                <w:noProof/>
                <w:webHidden/>
              </w:rPr>
            </w:r>
            <w:r w:rsidR="00AB52B3">
              <w:rPr>
                <w:noProof/>
                <w:webHidden/>
              </w:rPr>
              <w:fldChar w:fldCharType="separate"/>
            </w:r>
            <w:r w:rsidR="00AB52B3">
              <w:rPr>
                <w:noProof/>
                <w:webHidden/>
              </w:rPr>
              <w:t>22</w:t>
            </w:r>
            <w:r w:rsidR="00AB52B3">
              <w:rPr>
                <w:noProof/>
                <w:webHidden/>
              </w:rPr>
              <w:fldChar w:fldCharType="end"/>
            </w:r>
          </w:hyperlink>
        </w:p>
        <w:p w14:paraId="65F1168A" w14:textId="16E1371A" w:rsidR="00AB52B3" w:rsidRDefault="003A7160">
          <w:pPr>
            <w:pStyle w:val="Sumrio3"/>
            <w:tabs>
              <w:tab w:val="right" w:leader="dot" w:pos="9062"/>
            </w:tabs>
            <w:rPr>
              <w:rFonts w:eastAsiaTheme="minorEastAsia"/>
              <w:i w:val="0"/>
              <w:iCs w:val="0"/>
              <w:noProof/>
              <w:sz w:val="22"/>
              <w:szCs w:val="22"/>
              <w:lang w:eastAsia="pt-BR"/>
            </w:rPr>
          </w:pPr>
          <w:hyperlink w:anchor="_Toc113971756" w:history="1">
            <w:r w:rsidR="00AB52B3" w:rsidRPr="002F23A4">
              <w:rPr>
                <w:rStyle w:val="Hyperlink"/>
                <w:noProof/>
              </w:rPr>
              <w:t>Metas, dados coletados e avaliação</w:t>
            </w:r>
            <w:r w:rsidR="00AB52B3">
              <w:rPr>
                <w:noProof/>
                <w:webHidden/>
              </w:rPr>
              <w:tab/>
            </w:r>
            <w:r w:rsidR="00AB52B3">
              <w:rPr>
                <w:noProof/>
                <w:webHidden/>
              </w:rPr>
              <w:fldChar w:fldCharType="begin"/>
            </w:r>
            <w:r w:rsidR="00AB52B3">
              <w:rPr>
                <w:noProof/>
                <w:webHidden/>
              </w:rPr>
              <w:instrText xml:space="preserve"> PAGEREF _Toc113971756 \h </w:instrText>
            </w:r>
            <w:r w:rsidR="00AB52B3">
              <w:rPr>
                <w:noProof/>
                <w:webHidden/>
              </w:rPr>
            </w:r>
            <w:r w:rsidR="00AB52B3">
              <w:rPr>
                <w:noProof/>
                <w:webHidden/>
              </w:rPr>
              <w:fldChar w:fldCharType="separate"/>
            </w:r>
            <w:r w:rsidR="00AB52B3">
              <w:rPr>
                <w:noProof/>
                <w:webHidden/>
              </w:rPr>
              <w:t>22</w:t>
            </w:r>
            <w:r w:rsidR="00AB52B3">
              <w:rPr>
                <w:noProof/>
                <w:webHidden/>
              </w:rPr>
              <w:fldChar w:fldCharType="end"/>
            </w:r>
          </w:hyperlink>
        </w:p>
        <w:p w14:paraId="6CFAA511" w14:textId="3D55DEF9" w:rsidR="00AB52B3" w:rsidRDefault="003A7160">
          <w:pPr>
            <w:pStyle w:val="Sumrio2"/>
            <w:tabs>
              <w:tab w:val="right" w:leader="dot" w:pos="9062"/>
            </w:tabs>
            <w:rPr>
              <w:rFonts w:eastAsiaTheme="minorEastAsia"/>
              <w:smallCaps w:val="0"/>
              <w:noProof/>
              <w:sz w:val="22"/>
              <w:szCs w:val="22"/>
              <w:lang w:eastAsia="pt-BR"/>
            </w:rPr>
          </w:pPr>
          <w:hyperlink w:anchor="_Toc113971757" w:history="1">
            <w:r w:rsidR="00AB52B3" w:rsidRPr="002F23A4">
              <w:rPr>
                <w:rStyle w:val="Hyperlink"/>
                <w:noProof/>
              </w:rPr>
              <w:t>Transporte Terrestre</w:t>
            </w:r>
            <w:r w:rsidR="00AB52B3">
              <w:rPr>
                <w:noProof/>
                <w:webHidden/>
              </w:rPr>
              <w:tab/>
            </w:r>
            <w:r w:rsidR="00AB52B3">
              <w:rPr>
                <w:noProof/>
                <w:webHidden/>
              </w:rPr>
              <w:fldChar w:fldCharType="begin"/>
            </w:r>
            <w:r w:rsidR="00AB52B3">
              <w:rPr>
                <w:noProof/>
                <w:webHidden/>
              </w:rPr>
              <w:instrText xml:space="preserve"> PAGEREF _Toc113971757 \h </w:instrText>
            </w:r>
            <w:r w:rsidR="00AB52B3">
              <w:rPr>
                <w:noProof/>
                <w:webHidden/>
              </w:rPr>
            </w:r>
            <w:r w:rsidR="00AB52B3">
              <w:rPr>
                <w:noProof/>
                <w:webHidden/>
              </w:rPr>
              <w:fldChar w:fldCharType="separate"/>
            </w:r>
            <w:r w:rsidR="00AB52B3">
              <w:rPr>
                <w:noProof/>
                <w:webHidden/>
              </w:rPr>
              <w:t>25</w:t>
            </w:r>
            <w:r w:rsidR="00AB52B3">
              <w:rPr>
                <w:noProof/>
                <w:webHidden/>
              </w:rPr>
              <w:fldChar w:fldCharType="end"/>
            </w:r>
          </w:hyperlink>
        </w:p>
        <w:p w14:paraId="669B5D75" w14:textId="240E1524" w:rsidR="00AB52B3" w:rsidRDefault="003A7160">
          <w:pPr>
            <w:pStyle w:val="Sumrio3"/>
            <w:tabs>
              <w:tab w:val="right" w:leader="dot" w:pos="9062"/>
            </w:tabs>
            <w:rPr>
              <w:rFonts w:eastAsiaTheme="minorEastAsia"/>
              <w:i w:val="0"/>
              <w:iCs w:val="0"/>
              <w:noProof/>
              <w:sz w:val="22"/>
              <w:szCs w:val="22"/>
              <w:lang w:eastAsia="pt-BR"/>
            </w:rPr>
          </w:pPr>
          <w:hyperlink w:anchor="_Toc113971758" w:history="1">
            <w:r w:rsidR="00AB52B3" w:rsidRPr="002F23A4">
              <w:rPr>
                <w:rStyle w:val="Hyperlink"/>
                <w:noProof/>
              </w:rPr>
              <w:t>Caracterização</w:t>
            </w:r>
            <w:r w:rsidR="00AB52B3">
              <w:rPr>
                <w:noProof/>
                <w:webHidden/>
              </w:rPr>
              <w:tab/>
            </w:r>
            <w:r w:rsidR="00AB52B3">
              <w:rPr>
                <w:noProof/>
                <w:webHidden/>
              </w:rPr>
              <w:fldChar w:fldCharType="begin"/>
            </w:r>
            <w:r w:rsidR="00AB52B3">
              <w:rPr>
                <w:noProof/>
                <w:webHidden/>
              </w:rPr>
              <w:instrText xml:space="preserve"> PAGEREF _Toc113971758 \h </w:instrText>
            </w:r>
            <w:r w:rsidR="00AB52B3">
              <w:rPr>
                <w:noProof/>
                <w:webHidden/>
              </w:rPr>
            </w:r>
            <w:r w:rsidR="00AB52B3">
              <w:rPr>
                <w:noProof/>
                <w:webHidden/>
              </w:rPr>
              <w:fldChar w:fldCharType="separate"/>
            </w:r>
            <w:r w:rsidR="00AB52B3">
              <w:rPr>
                <w:noProof/>
                <w:webHidden/>
              </w:rPr>
              <w:t>25</w:t>
            </w:r>
            <w:r w:rsidR="00AB52B3">
              <w:rPr>
                <w:noProof/>
                <w:webHidden/>
              </w:rPr>
              <w:fldChar w:fldCharType="end"/>
            </w:r>
          </w:hyperlink>
        </w:p>
        <w:p w14:paraId="715D3B13" w14:textId="614D3864" w:rsidR="00AB52B3" w:rsidRDefault="003A7160">
          <w:pPr>
            <w:pStyle w:val="Sumrio3"/>
            <w:tabs>
              <w:tab w:val="right" w:leader="dot" w:pos="9062"/>
            </w:tabs>
            <w:rPr>
              <w:rFonts w:eastAsiaTheme="minorEastAsia"/>
              <w:i w:val="0"/>
              <w:iCs w:val="0"/>
              <w:noProof/>
              <w:sz w:val="22"/>
              <w:szCs w:val="22"/>
              <w:lang w:eastAsia="pt-BR"/>
            </w:rPr>
          </w:pPr>
          <w:hyperlink w:anchor="_Toc113971759" w:history="1">
            <w:r w:rsidR="00AB52B3" w:rsidRPr="002F23A4">
              <w:rPr>
                <w:rStyle w:val="Hyperlink"/>
                <w:noProof/>
              </w:rPr>
              <w:t>Metas, dados coletados e avaliação</w:t>
            </w:r>
            <w:r w:rsidR="00AB52B3">
              <w:rPr>
                <w:noProof/>
                <w:webHidden/>
              </w:rPr>
              <w:tab/>
            </w:r>
            <w:r w:rsidR="00AB52B3">
              <w:rPr>
                <w:noProof/>
                <w:webHidden/>
              </w:rPr>
              <w:fldChar w:fldCharType="begin"/>
            </w:r>
            <w:r w:rsidR="00AB52B3">
              <w:rPr>
                <w:noProof/>
                <w:webHidden/>
              </w:rPr>
              <w:instrText xml:space="preserve"> PAGEREF _Toc113971759 \h </w:instrText>
            </w:r>
            <w:r w:rsidR="00AB52B3">
              <w:rPr>
                <w:noProof/>
                <w:webHidden/>
              </w:rPr>
            </w:r>
            <w:r w:rsidR="00AB52B3">
              <w:rPr>
                <w:noProof/>
                <w:webHidden/>
              </w:rPr>
              <w:fldChar w:fldCharType="separate"/>
            </w:r>
            <w:r w:rsidR="00AB52B3">
              <w:rPr>
                <w:noProof/>
                <w:webHidden/>
              </w:rPr>
              <w:t>25</w:t>
            </w:r>
            <w:r w:rsidR="00AB52B3">
              <w:rPr>
                <w:noProof/>
                <w:webHidden/>
              </w:rPr>
              <w:fldChar w:fldCharType="end"/>
            </w:r>
          </w:hyperlink>
        </w:p>
        <w:p w14:paraId="20B0457C" w14:textId="5EEDC333" w:rsidR="00AB52B3" w:rsidRDefault="003A7160">
          <w:pPr>
            <w:pStyle w:val="Sumrio2"/>
            <w:tabs>
              <w:tab w:val="right" w:leader="dot" w:pos="9062"/>
            </w:tabs>
            <w:rPr>
              <w:rFonts w:eastAsiaTheme="minorEastAsia"/>
              <w:smallCaps w:val="0"/>
              <w:noProof/>
              <w:sz w:val="22"/>
              <w:szCs w:val="22"/>
              <w:lang w:eastAsia="pt-BR"/>
            </w:rPr>
          </w:pPr>
          <w:hyperlink w:anchor="_Toc113971760" w:history="1">
            <w:r w:rsidR="00AB52B3" w:rsidRPr="002F23A4">
              <w:rPr>
                <w:rStyle w:val="Hyperlink"/>
                <w:noProof/>
              </w:rPr>
              <w:t>Energia Elétrica</w:t>
            </w:r>
            <w:r w:rsidR="00AB52B3">
              <w:rPr>
                <w:noProof/>
                <w:webHidden/>
              </w:rPr>
              <w:tab/>
            </w:r>
            <w:r w:rsidR="00AB52B3">
              <w:rPr>
                <w:noProof/>
                <w:webHidden/>
              </w:rPr>
              <w:fldChar w:fldCharType="begin"/>
            </w:r>
            <w:r w:rsidR="00AB52B3">
              <w:rPr>
                <w:noProof/>
                <w:webHidden/>
              </w:rPr>
              <w:instrText xml:space="preserve"> PAGEREF _Toc113971760 \h </w:instrText>
            </w:r>
            <w:r w:rsidR="00AB52B3">
              <w:rPr>
                <w:noProof/>
                <w:webHidden/>
              </w:rPr>
            </w:r>
            <w:r w:rsidR="00AB52B3">
              <w:rPr>
                <w:noProof/>
                <w:webHidden/>
              </w:rPr>
              <w:fldChar w:fldCharType="separate"/>
            </w:r>
            <w:r w:rsidR="00AB52B3">
              <w:rPr>
                <w:noProof/>
                <w:webHidden/>
              </w:rPr>
              <w:t>42</w:t>
            </w:r>
            <w:r w:rsidR="00AB52B3">
              <w:rPr>
                <w:noProof/>
                <w:webHidden/>
              </w:rPr>
              <w:fldChar w:fldCharType="end"/>
            </w:r>
          </w:hyperlink>
        </w:p>
        <w:p w14:paraId="25666A02" w14:textId="3858AA8D" w:rsidR="00AB52B3" w:rsidRDefault="003A7160">
          <w:pPr>
            <w:pStyle w:val="Sumrio3"/>
            <w:tabs>
              <w:tab w:val="right" w:leader="dot" w:pos="9062"/>
            </w:tabs>
            <w:rPr>
              <w:rFonts w:eastAsiaTheme="minorEastAsia"/>
              <w:i w:val="0"/>
              <w:iCs w:val="0"/>
              <w:noProof/>
              <w:sz w:val="22"/>
              <w:szCs w:val="22"/>
              <w:lang w:eastAsia="pt-BR"/>
            </w:rPr>
          </w:pPr>
          <w:hyperlink w:anchor="_Toc113971761" w:history="1">
            <w:r w:rsidR="00AB52B3" w:rsidRPr="002F23A4">
              <w:rPr>
                <w:rStyle w:val="Hyperlink"/>
                <w:noProof/>
              </w:rPr>
              <w:t>Caracterização</w:t>
            </w:r>
            <w:r w:rsidR="00AB52B3">
              <w:rPr>
                <w:noProof/>
                <w:webHidden/>
              </w:rPr>
              <w:tab/>
            </w:r>
            <w:r w:rsidR="00AB52B3">
              <w:rPr>
                <w:noProof/>
                <w:webHidden/>
              </w:rPr>
              <w:fldChar w:fldCharType="begin"/>
            </w:r>
            <w:r w:rsidR="00AB52B3">
              <w:rPr>
                <w:noProof/>
                <w:webHidden/>
              </w:rPr>
              <w:instrText xml:space="preserve"> PAGEREF _Toc113971761 \h </w:instrText>
            </w:r>
            <w:r w:rsidR="00AB52B3">
              <w:rPr>
                <w:noProof/>
                <w:webHidden/>
              </w:rPr>
            </w:r>
            <w:r w:rsidR="00AB52B3">
              <w:rPr>
                <w:noProof/>
                <w:webHidden/>
              </w:rPr>
              <w:fldChar w:fldCharType="separate"/>
            </w:r>
            <w:r w:rsidR="00AB52B3">
              <w:rPr>
                <w:noProof/>
                <w:webHidden/>
              </w:rPr>
              <w:t>42</w:t>
            </w:r>
            <w:r w:rsidR="00AB52B3">
              <w:rPr>
                <w:noProof/>
                <w:webHidden/>
              </w:rPr>
              <w:fldChar w:fldCharType="end"/>
            </w:r>
          </w:hyperlink>
        </w:p>
        <w:p w14:paraId="64FD9EE6" w14:textId="40126D46" w:rsidR="00AB52B3" w:rsidRDefault="003A7160">
          <w:pPr>
            <w:pStyle w:val="Sumrio3"/>
            <w:tabs>
              <w:tab w:val="right" w:leader="dot" w:pos="9062"/>
            </w:tabs>
            <w:rPr>
              <w:rFonts w:eastAsiaTheme="minorEastAsia"/>
              <w:i w:val="0"/>
              <w:iCs w:val="0"/>
              <w:noProof/>
              <w:sz w:val="22"/>
              <w:szCs w:val="22"/>
              <w:lang w:eastAsia="pt-BR"/>
            </w:rPr>
          </w:pPr>
          <w:hyperlink w:anchor="_Toc113971762" w:history="1">
            <w:r w:rsidR="00AB52B3" w:rsidRPr="002F23A4">
              <w:rPr>
                <w:rStyle w:val="Hyperlink"/>
                <w:noProof/>
              </w:rPr>
              <w:t>Metas, dados coletados e avaliação</w:t>
            </w:r>
            <w:r w:rsidR="00AB52B3">
              <w:rPr>
                <w:noProof/>
                <w:webHidden/>
              </w:rPr>
              <w:tab/>
            </w:r>
            <w:r w:rsidR="00AB52B3">
              <w:rPr>
                <w:noProof/>
                <w:webHidden/>
              </w:rPr>
              <w:fldChar w:fldCharType="begin"/>
            </w:r>
            <w:r w:rsidR="00AB52B3">
              <w:rPr>
                <w:noProof/>
                <w:webHidden/>
              </w:rPr>
              <w:instrText xml:space="preserve"> PAGEREF _Toc113971762 \h </w:instrText>
            </w:r>
            <w:r w:rsidR="00AB52B3">
              <w:rPr>
                <w:noProof/>
                <w:webHidden/>
              </w:rPr>
            </w:r>
            <w:r w:rsidR="00AB52B3">
              <w:rPr>
                <w:noProof/>
                <w:webHidden/>
              </w:rPr>
              <w:fldChar w:fldCharType="separate"/>
            </w:r>
            <w:r w:rsidR="00AB52B3">
              <w:rPr>
                <w:noProof/>
                <w:webHidden/>
              </w:rPr>
              <w:t>42</w:t>
            </w:r>
            <w:r w:rsidR="00AB52B3">
              <w:rPr>
                <w:noProof/>
                <w:webHidden/>
              </w:rPr>
              <w:fldChar w:fldCharType="end"/>
            </w:r>
          </w:hyperlink>
        </w:p>
        <w:p w14:paraId="70C5C507" w14:textId="0BE569BB" w:rsidR="00AB52B3" w:rsidRDefault="003A7160">
          <w:pPr>
            <w:pStyle w:val="Sumrio2"/>
            <w:tabs>
              <w:tab w:val="right" w:leader="dot" w:pos="9062"/>
            </w:tabs>
            <w:rPr>
              <w:rFonts w:eastAsiaTheme="minorEastAsia"/>
              <w:smallCaps w:val="0"/>
              <w:noProof/>
              <w:sz w:val="22"/>
              <w:szCs w:val="22"/>
              <w:lang w:eastAsia="pt-BR"/>
            </w:rPr>
          </w:pPr>
          <w:hyperlink w:anchor="_Toc113971763" w:history="1">
            <w:r w:rsidR="00AB52B3" w:rsidRPr="002F23A4">
              <w:rPr>
                <w:rStyle w:val="Hyperlink"/>
                <w:noProof/>
              </w:rPr>
              <w:t>Água e Esgoto</w:t>
            </w:r>
            <w:r w:rsidR="00AB52B3">
              <w:rPr>
                <w:noProof/>
                <w:webHidden/>
              </w:rPr>
              <w:tab/>
            </w:r>
            <w:r w:rsidR="00AB52B3">
              <w:rPr>
                <w:noProof/>
                <w:webHidden/>
              </w:rPr>
              <w:fldChar w:fldCharType="begin"/>
            </w:r>
            <w:r w:rsidR="00AB52B3">
              <w:rPr>
                <w:noProof/>
                <w:webHidden/>
              </w:rPr>
              <w:instrText xml:space="preserve"> PAGEREF _Toc113971763 \h </w:instrText>
            </w:r>
            <w:r w:rsidR="00AB52B3">
              <w:rPr>
                <w:noProof/>
                <w:webHidden/>
              </w:rPr>
            </w:r>
            <w:r w:rsidR="00AB52B3">
              <w:rPr>
                <w:noProof/>
                <w:webHidden/>
              </w:rPr>
              <w:fldChar w:fldCharType="separate"/>
            </w:r>
            <w:r w:rsidR="00AB52B3">
              <w:rPr>
                <w:noProof/>
                <w:webHidden/>
              </w:rPr>
              <w:t>58</w:t>
            </w:r>
            <w:r w:rsidR="00AB52B3">
              <w:rPr>
                <w:noProof/>
                <w:webHidden/>
              </w:rPr>
              <w:fldChar w:fldCharType="end"/>
            </w:r>
          </w:hyperlink>
        </w:p>
        <w:p w14:paraId="6E2497D3" w14:textId="45E4DCD2" w:rsidR="00AB52B3" w:rsidRDefault="003A7160">
          <w:pPr>
            <w:pStyle w:val="Sumrio3"/>
            <w:tabs>
              <w:tab w:val="right" w:leader="dot" w:pos="9062"/>
            </w:tabs>
            <w:rPr>
              <w:rFonts w:eastAsiaTheme="minorEastAsia"/>
              <w:i w:val="0"/>
              <w:iCs w:val="0"/>
              <w:noProof/>
              <w:sz w:val="22"/>
              <w:szCs w:val="22"/>
              <w:lang w:eastAsia="pt-BR"/>
            </w:rPr>
          </w:pPr>
          <w:hyperlink w:anchor="_Toc113971764" w:history="1">
            <w:r w:rsidR="00AB52B3" w:rsidRPr="002F23A4">
              <w:rPr>
                <w:rStyle w:val="Hyperlink"/>
                <w:noProof/>
              </w:rPr>
              <w:t>Caracterização</w:t>
            </w:r>
            <w:r w:rsidR="00AB52B3">
              <w:rPr>
                <w:noProof/>
                <w:webHidden/>
              </w:rPr>
              <w:tab/>
            </w:r>
            <w:r w:rsidR="00AB52B3">
              <w:rPr>
                <w:noProof/>
                <w:webHidden/>
              </w:rPr>
              <w:fldChar w:fldCharType="begin"/>
            </w:r>
            <w:r w:rsidR="00AB52B3">
              <w:rPr>
                <w:noProof/>
                <w:webHidden/>
              </w:rPr>
              <w:instrText xml:space="preserve"> PAGEREF _Toc113971764 \h </w:instrText>
            </w:r>
            <w:r w:rsidR="00AB52B3">
              <w:rPr>
                <w:noProof/>
                <w:webHidden/>
              </w:rPr>
            </w:r>
            <w:r w:rsidR="00AB52B3">
              <w:rPr>
                <w:noProof/>
                <w:webHidden/>
              </w:rPr>
              <w:fldChar w:fldCharType="separate"/>
            </w:r>
            <w:r w:rsidR="00AB52B3">
              <w:rPr>
                <w:noProof/>
                <w:webHidden/>
              </w:rPr>
              <w:t>58</w:t>
            </w:r>
            <w:r w:rsidR="00AB52B3">
              <w:rPr>
                <w:noProof/>
                <w:webHidden/>
              </w:rPr>
              <w:fldChar w:fldCharType="end"/>
            </w:r>
          </w:hyperlink>
        </w:p>
        <w:p w14:paraId="0CE16447" w14:textId="46D315C2" w:rsidR="00AB52B3" w:rsidRDefault="003A7160">
          <w:pPr>
            <w:pStyle w:val="Sumrio3"/>
            <w:tabs>
              <w:tab w:val="right" w:leader="dot" w:pos="9062"/>
            </w:tabs>
            <w:rPr>
              <w:rFonts w:eastAsiaTheme="minorEastAsia"/>
              <w:i w:val="0"/>
              <w:iCs w:val="0"/>
              <w:noProof/>
              <w:sz w:val="22"/>
              <w:szCs w:val="22"/>
              <w:lang w:eastAsia="pt-BR"/>
            </w:rPr>
          </w:pPr>
          <w:hyperlink w:anchor="_Toc113971765" w:history="1">
            <w:r w:rsidR="00AB52B3" w:rsidRPr="002F23A4">
              <w:rPr>
                <w:rStyle w:val="Hyperlink"/>
                <w:noProof/>
              </w:rPr>
              <w:t>Metas, dados coletados e avaliação</w:t>
            </w:r>
            <w:r w:rsidR="00AB52B3">
              <w:rPr>
                <w:noProof/>
                <w:webHidden/>
              </w:rPr>
              <w:tab/>
            </w:r>
            <w:r w:rsidR="00AB52B3">
              <w:rPr>
                <w:noProof/>
                <w:webHidden/>
              </w:rPr>
              <w:fldChar w:fldCharType="begin"/>
            </w:r>
            <w:r w:rsidR="00AB52B3">
              <w:rPr>
                <w:noProof/>
                <w:webHidden/>
              </w:rPr>
              <w:instrText xml:space="preserve"> PAGEREF _Toc113971765 \h </w:instrText>
            </w:r>
            <w:r w:rsidR="00AB52B3">
              <w:rPr>
                <w:noProof/>
                <w:webHidden/>
              </w:rPr>
            </w:r>
            <w:r w:rsidR="00AB52B3">
              <w:rPr>
                <w:noProof/>
                <w:webHidden/>
              </w:rPr>
              <w:fldChar w:fldCharType="separate"/>
            </w:r>
            <w:r w:rsidR="00AB52B3">
              <w:rPr>
                <w:noProof/>
                <w:webHidden/>
              </w:rPr>
              <w:t>58</w:t>
            </w:r>
            <w:r w:rsidR="00AB52B3">
              <w:rPr>
                <w:noProof/>
                <w:webHidden/>
              </w:rPr>
              <w:fldChar w:fldCharType="end"/>
            </w:r>
          </w:hyperlink>
        </w:p>
        <w:p w14:paraId="3DD0BD8D" w14:textId="4BCACFAA" w:rsidR="00AB52B3" w:rsidRDefault="003A7160">
          <w:pPr>
            <w:pStyle w:val="Sumrio2"/>
            <w:tabs>
              <w:tab w:val="right" w:leader="dot" w:pos="9062"/>
            </w:tabs>
            <w:rPr>
              <w:rFonts w:eastAsiaTheme="minorEastAsia"/>
              <w:smallCaps w:val="0"/>
              <w:noProof/>
              <w:sz w:val="22"/>
              <w:szCs w:val="22"/>
              <w:lang w:eastAsia="pt-BR"/>
            </w:rPr>
          </w:pPr>
          <w:hyperlink w:anchor="_Toc113971766" w:history="1">
            <w:r w:rsidR="00AB52B3" w:rsidRPr="002F23A4">
              <w:rPr>
                <w:rStyle w:val="Hyperlink"/>
                <w:noProof/>
              </w:rPr>
              <w:t>Limpeza</w:t>
            </w:r>
            <w:r w:rsidR="00AB52B3">
              <w:rPr>
                <w:noProof/>
                <w:webHidden/>
              </w:rPr>
              <w:tab/>
            </w:r>
            <w:r w:rsidR="00AB52B3">
              <w:rPr>
                <w:noProof/>
                <w:webHidden/>
              </w:rPr>
              <w:fldChar w:fldCharType="begin"/>
            </w:r>
            <w:r w:rsidR="00AB52B3">
              <w:rPr>
                <w:noProof/>
                <w:webHidden/>
              </w:rPr>
              <w:instrText xml:space="preserve"> PAGEREF _Toc113971766 \h </w:instrText>
            </w:r>
            <w:r w:rsidR="00AB52B3">
              <w:rPr>
                <w:noProof/>
                <w:webHidden/>
              </w:rPr>
            </w:r>
            <w:r w:rsidR="00AB52B3">
              <w:rPr>
                <w:noProof/>
                <w:webHidden/>
              </w:rPr>
              <w:fldChar w:fldCharType="separate"/>
            </w:r>
            <w:r w:rsidR="00AB52B3">
              <w:rPr>
                <w:noProof/>
                <w:webHidden/>
              </w:rPr>
              <w:t>70</w:t>
            </w:r>
            <w:r w:rsidR="00AB52B3">
              <w:rPr>
                <w:noProof/>
                <w:webHidden/>
              </w:rPr>
              <w:fldChar w:fldCharType="end"/>
            </w:r>
          </w:hyperlink>
        </w:p>
        <w:p w14:paraId="0C04A830" w14:textId="602D9B79" w:rsidR="00AB52B3" w:rsidRDefault="003A7160">
          <w:pPr>
            <w:pStyle w:val="Sumrio3"/>
            <w:tabs>
              <w:tab w:val="right" w:leader="dot" w:pos="9062"/>
            </w:tabs>
            <w:rPr>
              <w:rFonts w:eastAsiaTheme="minorEastAsia"/>
              <w:i w:val="0"/>
              <w:iCs w:val="0"/>
              <w:noProof/>
              <w:sz w:val="22"/>
              <w:szCs w:val="22"/>
              <w:lang w:eastAsia="pt-BR"/>
            </w:rPr>
          </w:pPr>
          <w:hyperlink w:anchor="_Toc113971767" w:history="1">
            <w:r w:rsidR="00AB52B3" w:rsidRPr="002F23A4">
              <w:rPr>
                <w:rStyle w:val="Hyperlink"/>
                <w:noProof/>
              </w:rPr>
              <w:t>Caracterização</w:t>
            </w:r>
            <w:r w:rsidR="00AB52B3">
              <w:rPr>
                <w:noProof/>
                <w:webHidden/>
              </w:rPr>
              <w:tab/>
            </w:r>
            <w:r w:rsidR="00AB52B3">
              <w:rPr>
                <w:noProof/>
                <w:webHidden/>
              </w:rPr>
              <w:fldChar w:fldCharType="begin"/>
            </w:r>
            <w:r w:rsidR="00AB52B3">
              <w:rPr>
                <w:noProof/>
                <w:webHidden/>
              </w:rPr>
              <w:instrText xml:space="preserve"> PAGEREF _Toc113971767 \h </w:instrText>
            </w:r>
            <w:r w:rsidR="00AB52B3">
              <w:rPr>
                <w:noProof/>
                <w:webHidden/>
              </w:rPr>
            </w:r>
            <w:r w:rsidR="00AB52B3">
              <w:rPr>
                <w:noProof/>
                <w:webHidden/>
              </w:rPr>
              <w:fldChar w:fldCharType="separate"/>
            </w:r>
            <w:r w:rsidR="00AB52B3">
              <w:rPr>
                <w:noProof/>
                <w:webHidden/>
              </w:rPr>
              <w:t>70</w:t>
            </w:r>
            <w:r w:rsidR="00AB52B3">
              <w:rPr>
                <w:noProof/>
                <w:webHidden/>
              </w:rPr>
              <w:fldChar w:fldCharType="end"/>
            </w:r>
          </w:hyperlink>
        </w:p>
        <w:p w14:paraId="29B4E460" w14:textId="61D3E0EC" w:rsidR="00AB52B3" w:rsidRDefault="003A7160">
          <w:pPr>
            <w:pStyle w:val="Sumrio3"/>
            <w:tabs>
              <w:tab w:val="right" w:leader="dot" w:pos="9062"/>
            </w:tabs>
            <w:rPr>
              <w:rFonts w:eastAsiaTheme="minorEastAsia"/>
              <w:i w:val="0"/>
              <w:iCs w:val="0"/>
              <w:noProof/>
              <w:sz w:val="22"/>
              <w:szCs w:val="22"/>
              <w:lang w:eastAsia="pt-BR"/>
            </w:rPr>
          </w:pPr>
          <w:hyperlink w:anchor="_Toc113971768" w:history="1">
            <w:r w:rsidR="00AB52B3" w:rsidRPr="002F23A4">
              <w:rPr>
                <w:rStyle w:val="Hyperlink"/>
                <w:noProof/>
              </w:rPr>
              <w:t>Metas, dados coletados e avaliação</w:t>
            </w:r>
            <w:r w:rsidR="00AB52B3">
              <w:rPr>
                <w:noProof/>
                <w:webHidden/>
              </w:rPr>
              <w:tab/>
            </w:r>
            <w:r w:rsidR="00AB52B3">
              <w:rPr>
                <w:noProof/>
                <w:webHidden/>
              </w:rPr>
              <w:fldChar w:fldCharType="begin"/>
            </w:r>
            <w:r w:rsidR="00AB52B3">
              <w:rPr>
                <w:noProof/>
                <w:webHidden/>
              </w:rPr>
              <w:instrText xml:space="preserve"> PAGEREF _Toc113971768 \h </w:instrText>
            </w:r>
            <w:r w:rsidR="00AB52B3">
              <w:rPr>
                <w:noProof/>
                <w:webHidden/>
              </w:rPr>
            </w:r>
            <w:r w:rsidR="00AB52B3">
              <w:rPr>
                <w:noProof/>
                <w:webHidden/>
              </w:rPr>
              <w:fldChar w:fldCharType="separate"/>
            </w:r>
            <w:r w:rsidR="00AB52B3">
              <w:rPr>
                <w:noProof/>
                <w:webHidden/>
              </w:rPr>
              <w:t>70</w:t>
            </w:r>
            <w:r w:rsidR="00AB52B3">
              <w:rPr>
                <w:noProof/>
                <w:webHidden/>
              </w:rPr>
              <w:fldChar w:fldCharType="end"/>
            </w:r>
          </w:hyperlink>
        </w:p>
        <w:p w14:paraId="1BA9ED6D" w14:textId="6A9FE115" w:rsidR="00AB52B3" w:rsidRDefault="003A7160">
          <w:pPr>
            <w:pStyle w:val="Sumrio2"/>
            <w:tabs>
              <w:tab w:val="right" w:leader="dot" w:pos="9062"/>
            </w:tabs>
            <w:rPr>
              <w:rFonts w:eastAsiaTheme="minorEastAsia"/>
              <w:smallCaps w:val="0"/>
              <w:noProof/>
              <w:sz w:val="22"/>
              <w:szCs w:val="22"/>
              <w:lang w:eastAsia="pt-BR"/>
            </w:rPr>
          </w:pPr>
          <w:hyperlink w:anchor="_Toc113971769" w:history="1">
            <w:r w:rsidR="00AB52B3" w:rsidRPr="002F23A4">
              <w:rPr>
                <w:rStyle w:val="Hyperlink"/>
                <w:noProof/>
              </w:rPr>
              <w:t>Segurança</w:t>
            </w:r>
            <w:r w:rsidR="00AB52B3">
              <w:rPr>
                <w:noProof/>
                <w:webHidden/>
              </w:rPr>
              <w:tab/>
            </w:r>
            <w:r w:rsidR="00AB52B3">
              <w:rPr>
                <w:noProof/>
                <w:webHidden/>
              </w:rPr>
              <w:fldChar w:fldCharType="begin"/>
            </w:r>
            <w:r w:rsidR="00AB52B3">
              <w:rPr>
                <w:noProof/>
                <w:webHidden/>
              </w:rPr>
              <w:instrText xml:space="preserve"> PAGEREF _Toc113971769 \h </w:instrText>
            </w:r>
            <w:r w:rsidR="00AB52B3">
              <w:rPr>
                <w:noProof/>
                <w:webHidden/>
              </w:rPr>
            </w:r>
            <w:r w:rsidR="00AB52B3">
              <w:rPr>
                <w:noProof/>
                <w:webHidden/>
              </w:rPr>
              <w:fldChar w:fldCharType="separate"/>
            </w:r>
            <w:r w:rsidR="00AB52B3">
              <w:rPr>
                <w:noProof/>
                <w:webHidden/>
              </w:rPr>
              <w:t>83</w:t>
            </w:r>
            <w:r w:rsidR="00AB52B3">
              <w:rPr>
                <w:noProof/>
                <w:webHidden/>
              </w:rPr>
              <w:fldChar w:fldCharType="end"/>
            </w:r>
          </w:hyperlink>
        </w:p>
        <w:p w14:paraId="61062B10" w14:textId="273420EE" w:rsidR="00AB52B3" w:rsidRDefault="003A7160">
          <w:pPr>
            <w:pStyle w:val="Sumrio3"/>
            <w:tabs>
              <w:tab w:val="right" w:leader="dot" w:pos="9062"/>
            </w:tabs>
            <w:rPr>
              <w:rFonts w:eastAsiaTheme="minorEastAsia"/>
              <w:i w:val="0"/>
              <w:iCs w:val="0"/>
              <w:noProof/>
              <w:sz w:val="22"/>
              <w:szCs w:val="22"/>
              <w:lang w:eastAsia="pt-BR"/>
            </w:rPr>
          </w:pPr>
          <w:hyperlink w:anchor="_Toc113971770" w:history="1">
            <w:r w:rsidR="00AB52B3" w:rsidRPr="002F23A4">
              <w:rPr>
                <w:rStyle w:val="Hyperlink"/>
                <w:noProof/>
              </w:rPr>
              <w:t>Caracterização</w:t>
            </w:r>
            <w:r w:rsidR="00AB52B3">
              <w:rPr>
                <w:noProof/>
                <w:webHidden/>
              </w:rPr>
              <w:tab/>
            </w:r>
            <w:r w:rsidR="00AB52B3">
              <w:rPr>
                <w:noProof/>
                <w:webHidden/>
              </w:rPr>
              <w:fldChar w:fldCharType="begin"/>
            </w:r>
            <w:r w:rsidR="00AB52B3">
              <w:rPr>
                <w:noProof/>
                <w:webHidden/>
              </w:rPr>
              <w:instrText xml:space="preserve"> PAGEREF _Toc113971770 \h </w:instrText>
            </w:r>
            <w:r w:rsidR="00AB52B3">
              <w:rPr>
                <w:noProof/>
                <w:webHidden/>
              </w:rPr>
            </w:r>
            <w:r w:rsidR="00AB52B3">
              <w:rPr>
                <w:noProof/>
                <w:webHidden/>
              </w:rPr>
              <w:fldChar w:fldCharType="separate"/>
            </w:r>
            <w:r w:rsidR="00AB52B3">
              <w:rPr>
                <w:noProof/>
                <w:webHidden/>
              </w:rPr>
              <w:t>83</w:t>
            </w:r>
            <w:r w:rsidR="00AB52B3">
              <w:rPr>
                <w:noProof/>
                <w:webHidden/>
              </w:rPr>
              <w:fldChar w:fldCharType="end"/>
            </w:r>
          </w:hyperlink>
        </w:p>
        <w:p w14:paraId="44AEF50E" w14:textId="2E29F6CD" w:rsidR="00AB52B3" w:rsidRDefault="003A7160">
          <w:pPr>
            <w:pStyle w:val="Sumrio3"/>
            <w:tabs>
              <w:tab w:val="right" w:leader="dot" w:pos="9062"/>
            </w:tabs>
            <w:rPr>
              <w:rFonts w:eastAsiaTheme="minorEastAsia"/>
              <w:i w:val="0"/>
              <w:iCs w:val="0"/>
              <w:noProof/>
              <w:sz w:val="22"/>
              <w:szCs w:val="22"/>
              <w:lang w:eastAsia="pt-BR"/>
            </w:rPr>
          </w:pPr>
          <w:hyperlink w:anchor="_Toc113971771" w:history="1">
            <w:r w:rsidR="00AB52B3" w:rsidRPr="002F23A4">
              <w:rPr>
                <w:rStyle w:val="Hyperlink"/>
                <w:noProof/>
              </w:rPr>
              <w:t>Metas, dados coletados e avaliação</w:t>
            </w:r>
            <w:r w:rsidR="00AB52B3">
              <w:rPr>
                <w:noProof/>
                <w:webHidden/>
              </w:rPr>
              <w:tab/>
            </w:r>
            <w:r w:rsidR="00AB52B3">
              <w:rPr>
                <w:noProof/>
                <w:webHidden/>
              </w:rPr>
              <w:fldChar w:fldCharType="begin"/>
            </w:r>
            <w:r w:rsidR="00AB52B3">
              <w:rPr>
                <w:noProof/>
                <w:webHidden/>
              </w:rPr>
              <w:instrText xml:space="preserve"> PAGEREF _Toc113971771 \h </w:instrText>
            </w:r>
            <w:r w:rsidR="00AB52B3">
              <w:rPr>
                <w:noProof/>
                <w:webHidden/>
              </w:rPr>
            </w:r>
            <w:r w:rsidR="00AB52B3">
              <w:rPr>
                <w:noProof/>
                <w:webHidden/>
              </w:rPr>
              <w:fldChar w:fldCharType="separate"/>
            </w:r>
            <w:r w:rsidR="00AB52B3">
              <w:rPr>
                <w:noProof/>
                <w:webHidden/>
              </w:rPr>
              <w:t>83</w:t>
            </w:r>
            <w:r w:rsidR="00AB52B3">
              <w:rPr>
                <w:noProof/>
                <w:webHidden/>
              </w:rPr>
              <w:fldChar w:fldCharType="end"/>
            </w:r>
          </w:hyperlink>
        </w:p>
        <w:p w14:paraId="06FBF7AD" w14:textId="2539D8E4" w:rsidR="00AB52B3" w:rsidRDefault="003A7160">
          <w:pPr>
            <w:pStyle w:val="Sumrio2"/>
            <w:tabs>
              <w:tab w:val="right" w:leader="dot" w:pos="9062"/>
            </w:tabs>
            <w:rPr>
              <w:rFonts w:eastAsiaTheme="minorEastAsia"/>
              <w:smallCaps w:val="0"/>
              <w:noProof/>
              <w:sz w:val="22"/>
              <w:szCs w:val="22"/>
              <w:lang w:eastAsia="pt-BR"/>
            </w:rPr>
          </w:pPr>
          <w:hyperlink w:anchor="_Toc113971772" w:history="1">
            <w:r w:rsidR="00AB52B3" w:rsidRPr="002F23A4">
              <w:rPr>
                <w:rStyle w:val="Hyperlink"/>
                <w:noProof/>
              </w:rPr>
              <w:t>Gestão de Resíduos Sólidos</w:t>
            </w:r>
            <w:r w:rsidR="00AB52B3">
              <w:rPr>
                <w:noProof/>
                <w:webHidden/>
              </w:rPr>
              <w:tab/>
            </w:r>
            <w:r w:rsidR="00AB52B3">
              <w:rPr>
                <w:noProof/>
                <w:webHidden/>
              </w:rPr>
              <w:fldChar w:fldCharType="begin"/>
            </w:r>
            <w:r w:rsidR="00AB52B3">
              <w:rPr>
                <w:noProof/>
                <w:webHidden/>
              </w:rPr>
              <w:instrText xml:space="preserve"> PAGEREF _Toc113971772 \h </w:instrText>
            </w:r>
            <w:r w:rsidR="00AB52B3">
              <w:rPr>
                <w:noProof/>
                <w:webHidden/>
              </w:rPr>
            </w:r>
            <w:r w:rsidR="00AB52B3">
              <w:rPr>
                <w:noProof/>
                <w:webHidden/>
              </w:rPr>
              <w:fldChar w:fldCharType="separate"/>
            </w:r>
            <w:r w:rsidR="00AB52B3">
              <w:rPr>
                <w:noProof/>
                <w:webHidden/>
              </w:rPr>
              <w:t>83</w:t>
            </w:r>
            <w:r w:rsidR="00AB52B3">
              <w:rPr>
                <w:noProof/>
                <w:webHidden/>
              </w:rPr>
              <w:fldChar w:fldCharType="end"/>
            </w:r>
          </w:hyperlink>
        </w:p>
        <w:p w14:paraId="0B59564F" w14:textId="29A7B137" w:rsidR="00AB52B3" w:rsidRDefault="003A7160">
          <w:pPr>
            <w:pStyle w:val="Sumrio3"/>
            <w:tabs>
              <w:tab w:val="right" w:leader="dot" w:pos="9062"/>
            </w:tabs>
            <w:rPr>
              <w:rFonts w:eastAsiaTheme="minorEastAsia"/>
              <w:i w:val="0"/>
              <w:iCs w:val="0"/>
              <w:noProof/>
              <w:sz w:val="22"/>
              <w:szCs w:val="22"/>
              <w:lang w:eastAsia="pt-BR"/>
            </w:rPr>
          </w:pPr>
          <w:hyperlink w:anchor="_Toc113971773" w:history="1">
            <w:r w:rsidR="00AB52B3" w:rsidRPr="002F23A4">
              <w:rPr>
                <w:rStyle w:val="Hyperlink"/>
                <w:noProof/>
              </w:rPr>
              <w:t>Caracterização</w:t>
            </w:r>
            <w:r w:rsidR="00AB52B3">
              <w:rPr>
                <w:noProof/>
                <w:webHidden/>
              </w:rPr>
              <w:tab/>
            </w:r>
            <w:r w:rsidR="00AB52B3">
              <w:rPr>
                <w:noProof/>
                <w:webHidden/>
              </w:rPr>
              <w:fldChar w:fldCharType="begin"/>
            </w:r>
            <w:r w:rsidR="00AB52B3">
              <w:rPr>
                <w:noProof/>
                <w:webHidden/>
              </w:rPr>
              <w:instrText xml:space="preserve"> PAGEREF _Toc113971773 \h </w:instrText>
            </w:r>
            <w:r w:rsidR="00AB52B3">
              <w:rPr>
                <w:noProof/>
                <w:webHidden/>
              </w:rPr>
            </w:r>
            <w:r w:rsidR="00AB52B3">
              <w:rPr>
                <w:noProof/>
                <w:webHidden/>
              </w:rPr>
              <w:fldChar w:fldCharType="separate"/>
            </w:r>
            <w:r w:rsidR="00AB52B3">
              <w:rPr>
                <w:noProof/>
                <w:webHidden/>
              </w:rPr>
              <w:t>83</w:t>
            </w:r>
            <w:r w:rsidR="00AB52B3">
              <w:rPr>
                <w:noProof/>
                <w:webHidden/>
              </w:rPr>
              <w:fldChar w:fldCharType="end"/>
            </w:r>
          </w:hyperlink>
        </w:p>
        <w:p w14:paraId="7D50B97C" w14:textId="1623F703" w:rsidR="00AB52B3" w:rsidRDefault="003A7160">
          <w:pPr>
            <w:pStyle w:val="Sumrio3"/>
            <w:tabs>
              <w:tab w:val="right" w:leader="dot" w:pos="9062"/>
            </w:tabs>
            <w:rPr>
              <w:rFonts w:eastAsiaTheme="minorEastAsia"/>
              <w:i w:val="0"/>
              <w:iCs w:val="0"/>
              <w:noProof/>
              <w:sz w:val="22"/>
              <w:szCs w:val="22"/>
              <w:lang w:eastAsia="pt-BR"/>
            </w:rPr>
          </w:pPr>
          <w:hyperlink w:anchor="_Toc113971774" w:history="1">
            <w:r w:rsidR="00AB52B3" w:rsidRPr="002F23A4">
              <w:rPr>
                <w:rStyle w:val="Hyperlink"/>
                <w:noProof/>
              </w:rPr>
              <w:t>Metas, dados coletados e avaliação</w:t>
            </w:r>
            <w:r w:rsidR="00AB52B3">
              <w:rPr>
                <w:noProof/>
                <w:webHidden/>
              </w:rPr>
              <w:tab/>
            </w:r>
            <w:r w:rsidR="00AB52B3">
              <w:rPr>
                <w:noProof/>
                <w:webHidden/>
              </w:rPr>
              <w:fldChar w:fldCharType="begin"/>
            </w:r>
            <w:r w:rsidR="00AB52B3">
              <w:rPr>
                <w:noProof/>
                <w:webHidden/>
              </w:rPr>
              <w:instrText xml:space="preserve"> PAGEREF _Toc113971774 \h </w:instrText>
            </w:r>
            <w:r w:rsidR="00AB52B3">
              <w:rPr>
                <w:noProof/>
                <w:webHidden/>
              </w:rPr>
            </w:r>
            <w:r w:rsidR="00AB52B3">
              <w:rPr>
                <w:noProof/>
                <w:webHidden/>
              </w:rPr>
              <w:fldChar w:fldCharType="separate"/>
            </w:r>
            <w:r w:rsidR="00AB52B3">
              <w:rPr>
                <w:noProof/>
                <w:webHidden/>
              </w:rPr>
              <w:t>83</w:t>
            </w:r>
            <w:r w:rsidR="00AB52B3">
              <w:rPr>
                <w:noProof/>
                <w:webHidden/>
              </w:rPr>
              <w:fldChar w:fldCharType="end"/>
            </w:r>
          </w:hyperlink>
        </w:p>
        <w:p w14:paraId="1CE8D15F" w14:textId="3083A4A6" w:rsidR="00AB52B3" w:rsidRDefault="003A7160">
          <w:pPr>
            <w:pStyle w:val="Sumrio2"/>
            <w:tabs>
              <w:tab w:val="right" w:leader="dot" w:pos="9062"/>
            </w:tabs>
            <w:rPr>
              <w:rFonts w:eastAsiaTheme="minorEastAsia"/>
              <w:smallCaps w:val="0"/>
              <w:noProof/>
              <w:sz w:val="22"/>
              <w:szCs w:val="22"/>
              <w:lang w:eastAsia="pt-BR"/>
            </w:rPr>
          </w:pPr>
          <w:hyperlink w:anchor="_Toc113971775" w:history="1">
            <w:r w:rsidR="00AB52B3" w:rsidRPr="002F23A4">
              <w:rPr>
                <w:rStyle w:val="Hyperlink"/>
                <w:noProof/>
              </w:rPr>
              <w:t>Material de Consumo</w:t>
            </w:r>
            <w:r w:rsidR="00AB52B3">
              <w:rPr>
                <w:noProof/>
                <w:webHidden/>
              </w:rPr>
              <w:tab/>
            </w:r>
            <w:r w:rsidR="00AB52B3">
              <w:rPr>
                <w:noProof/>
                <w:webHidden/>
              </w:rPr>
              <w:fldChar w:fldCharType="begin"/>
            </w:r>
            <w:r w:rsidR="00AB52B3">
              <w:rPr>
                <w:noProof/>
                <w:webHidden/>
              </w:rPr>
              <w:instrText xml:space="preserve"> PAGEREF _Toc113971775 \h </w:instrText>
            </w:r>
            <w:r w:rsidR="00AB52B3">
              <w:rPr>
                <w:noProof/>
                <w:webHidden/>
              </w:rPr>
            </w:r>
            <w:r w:rsidR="00AB52B3">
              <w:rPr>
                <w:noProof/>
                <w:webHidden/>
              </w:rPr>
              <w:fldChar w:fldCharType="separate"/>
            </w:r>
            <w:r w:rsidR="00AB52B3">
              <w:rPr>
                <w:noProof/>
                <w:webHidden/>
              </w:rPr>
              <w:t>88</w:t>
            </w:r>
            <w:r w:rsidR="00AB52B3">
              <w:rPr>
                <w:noProof/>
                <w:webHidden/>
              </w:rPr>
              <w:fldChar w:fldCharType="end"/>
            </w:r>
          </w:hyperlink>
        </w:p>
        <w:p w14:paraId="2AB4DECA" w14:textId="78F60D31" w:rsidR="00AB52B3" w:rsidRDefault="003A7160">
          <w:pPr>
            <w:pStyle w:val="Sumrio3"/>
            <w:tabs>
              <w:tab w:val="right" w:leader="dot" w:pos="9062"/>
            </w:tabs>
            <w:rPr>
              <w:rFonts w:eastAsiaTheme="minorEastAsia"/>
              <w:i w:val="0"/>
              <w:iCs w:val="0"/>
              <w:noProof/>
              <w:sz w:val="22"/>
              <w:szCs w:val="22"/>
              <w:lang w:eastAsia="pt-BR"/>
            </w:rPr>
          </w:pPr>
          <w:hyperlink w:anchor="_Toc113971776" w:history="1">
            <w:r w:rsidR="00AB52B3" w:rsidRPr="002F23A4">
              <w:rPr>
                <w:rStyle w:val="Hyperlink"/>
                <w:noProof/>
              </w:rPr>
              <w:t>Caracterização</w:t>
            </w:r>
            <w:r w:rsidR="00AB52B3">
              <w:rPr>
                <w:noProof/>
                <w:webHidden/>
              </w:rPr>
              <w:tab/>
            </w:r>
            <w:r w:rsidR="00AB52B3">
              <w:rPr>
                <w:noProof/>
                <w:webHidden/>
              </w:rPr>
              <w:fldChar w:fldCharType="begin"/>
            </w:r>
            <w:r w:rsidR="00AB52B3">
              <w:rPr>
                <w:noProof/>
                <w:webHidden/>
              </w:rPr>
              <w:instrText xml:space="preserve"> PAGEREF _Toc113971776 \h </w:instrText>
            </w:r>
            <w:r w:rsidR="00AB52B3">
              <w:rPr>
                <w:noProof/>
                <w:webHidden/>
              </w:rPr>
            </w:r>
            <w:r w:rsidR="00AB52B3">
              <w:rPr>
                <w:noProof/>
                <w:webHidden/>
              </w:rPr>
              <w:fldChar w:fldCharType="separate"/>
            </w:r>
            <w:r w:rsidR="00AB52B3">
              <w:rPr>
                <w:noProof/>
                <w:webHidden/>
              </w:rPr>
              <w:t>88</w:t>
            </w:r>
            <w:r w:rsidR="00AB52B3">
              <w:rPr>
                <w:noProof/>
                <w:webHidden/>
              </w:rPr>
              <w:fldChar w:fldCharType="end"/>
            </w:r>
          </w:hyperlink>
        </w:p>
        <w:p w14:paraId="77D3A47A" w14:textId="1989AE13" w:rsidR="00AB52B3" w:rsidRDefault="003A7160">
          <w:pPr>
            <w:pStyle w:val="Sumrio3"/>
            <w:tabs>
              <w:tab w:val="right" w:leader="dot" w:pos="9062"/>
            </w:tabs>
            <w:rPr>
              <w:rFonts w:eastAsiaTheme="minorEastAsia"/>
              <w:i w:val="0"/>
              <w:iCs w:val="0"/>
              <w:noProof/>
              <w:sz w:val="22"/>
              <w:szCs w:val="22"/>
              <w:lang w:eastAsia="pt-BR"/>
            </w:rPr>
          </w:pPr>
          <w:hyperlink w:anchor="_Toc113971777" w:history="1">
            <w:r w:rsidR="00AB52B3" w:rsidRPr="002F23A4">
              <w:rPr>
                <w:rStyle w:val="Hyperlink"/>
                <w:noProof/>
              </w:rPr>
              <w:t>Metas, dados coletados e avaliação</w:t>
            </w:r>
            <w:r w:rsidR="00AB52B3">
              <w:rPr>
                <w:noProof/>
                <w:webHidden/>
              </w:rPr>
              <w:tab/>
            </w:r>
            <w:r w:rsidR="00AB52B3">
              <w:rPr>
                <w:noProof/>
                <w:webHidden/>
              </w:rPr>
              <w:fldChar w:fldCharType="begin"/>
            </w:r>
            <w:r w:rsidR="00AB52B3">
              <w:rPr>
                <w:noProof/>
                <w:webHidden/>
              </w:rPr>
              <w:instrText xml:space="preserve"> PAGEREF _Toc113971777 \h </w:instrText>
            </w:r>
            <w:r w:rsidR="00AB52B3">
              <w:rPr>
                <w:noProof/>
                <w:webHidden/>
              </w:rPr>
            </w:r>
            <w:r w:rsidR="00AB52B3">
              <w:rPr>
                <w:noProof/>
                <w:webHidden/>
              </w:rPr>
              <w:fldChar w:fldCharType="separate"/>
            </w:r>
            <w:r w:rsidR="00AB52B3">
              <w:rPr>
                <w:noProof/>
                <w:webHidden/>
              </w:rPr>
              <w:t>88</w:t>
            </w:r>
            <w:r w:rsidR="00AB52B3">
              <w:rPr>
                <w:noProof/>
                <w:webHidden/>
              </w:rPr>
              <w:fldChar w:fldCharType="end"/>
            </w:r>
          </w:hyperlink>
        </w:p>
        <w:p w14:paraId="0D59C5E6" w14:textId="21E91F52" w:rsidR="00AB52B3" w:rsidRDefault="003A7160">
          <w:pPr>
            <w:pStyle w:val="Sumrio2"/>
            <w:tabs>
              <w:tab w:val="right" w:leader="dot" w:pos="9062"/>
            </w:tabs>
            <w:rPr>
              <w:rFonts w:eastAsiaTheme="minorEastAsia"/>
              <w:smallCaps w:val="0"/>
              <w:noProof/>
              <w:sz w:val="22"/>
              <w:szCs w:val="22"/>
              <w:lang w:eastAsia="pt-BR"/>
            </w:rPr>
          </w:pPr>
          <w:hyperlink w:anchor="_Toc113971778" w:history="1">
            <w:r w:rsidR="00AB52B3" w:rsidRPr="002F23A4">
              <w:rPr>
                <w:rStyle w:val="Hyperlink"/>
                <w:noProof/>
              </w:rPr>
              <w:t>Manutenção Predial</w:t>
            </w:r>
            <w:r w:rsidR="00AB52B3">
              <w:rPr>
                <w:noProof/>
                <w:webHidden/>
              </w:rPr>
              <w:tab/>
            </w:r>
            <w:r w:rsidR="00AB52B3">
              <w:rPr>
                <w:noProof/>
                <w:webHidden/>
              </w:rPr>
              <w:fldChar w:fldCharType="begin"/>
            </w:r>
            <w:r w:rsidR="00AB52B3">
              <w:rPr>
                <w:noProof/>
                <w:webHidden/>
              </w:rPr>
              <w:instrText xml:space="preserve"> PAGEREF _Toc113971778 \h </w:instrText>
            </w:r>
            <w:r w:rsidR="00AB52B3">
              <w:rPr>
                <w:noProof/>
                <w:webHidden/>
              </w:rPr>
            </w:r>
            <w:r w:rsidR="00AB52B3">
              <w:rPr>
                <w:noProof/>
                <w:webHidden/>
              </w:rPr>
              <w:fldChar w:fldCharType="separate"/>
            </w:r>
            <w:r w:rsidR="00AB52B3">
              <w:rPr>
                <w:noProof/>
                <w:webHidden/>
              </w:rPr>
              <w:t>92</w:t>
            </w:r>
            <w:r w:rsidR="00AB52B3">
              <w:rPr>
                <w:noProof/>
                <w:webHidden/>
              </w:rPr>
              <w:fldChar w:fldCharType="end"/>
            </w:r>
          </w:hyperlink>
        </w:p>
        <w:p w14:paraId="4809B97C" w14:textId="31EA6BBF" w:rsidR="00AB52B3" w:rsidRDefault="003A7160">
          <w:pPr>
            <w:pStyle w:val="Sumrio3"/>
            <w:tabs>
              <w:tab w:val="right" w:leader="dot" w:pos="9062"/>
            </w:tabs>
            <w:rPr>
              <w:rFonts w:eastAsiaTheme="minorEastAsia"/>
              <w:i w:val="0"/>
              <w:iCs w:val="0"/>
              <w:noProof/>
              <w:sz w:val="22"/>
              <w:szCs w:val="22"/>
              <w:lang w:eastAsia="pt-BR"/>
            </w:rPr>
          </w:pPr>
          <w:hyperlink w:anchor="_Toc113971779" w:history="1">
            <w:r w:rsidR="00AB52B3" w:rsidRPr="002F23A4">
              <w:rPr>
                <w:rStyle w:val="Hyperlink"/>
                <w:noProof/>
              </w:rPr>
              <w:t>Caracterização</w:t>
            </w:r>
            <w:r w:rsidR="00AB52B3">
              <w:rPr>
                <w:noProof/>
                <w:webHidden/>
              </w:rPr>
              <w:tab/>
            </w:r>
            <w:r w:rsidR="00AB52B3">
              <w:rPr>
                <w:noProof/>
                <w:webHidden/>
              </w:rPr>
              <w:fldChar w:fldCharType="begin"/>
            </w:r>
            <w:r w:rsidR="00AB52B3">
              <w:rPr>
                <w:noProof/>
                <w:webHidden/>
              </w:rPr>
              <w:instrText xml:space="preserve"> PAGEREF _Toc113971779 \h </w:instrText>
            </w:r>
            <w:r w:rsidR="00AB52B3">
              <w:rPr>
                <w:noProof/>
                <w:webHidden/>
              </w:rPr>
            </w:r>
            <w:r w:rsidR="00AB52B3">
              <w:rPr>
                <w:noProof/>
                <w:webHidden/>
              </w:rPr>
              <w:fldChar w:fldCharType="separate"/>
            </w:r>
            <w:r w:rsidR="00AB52B3">
              <w:rPr>
                <w:noProof/>
                <w:webHidden/>
              </w:rPr>
              <w:t>92</w:t>
            </w:r>
            <w:r w:rsidR="00AB52B3">
              <w:rPr>
                <w:noProof/>
                <w:webHidden/>
              </w:rPr>
              <w:fldChar w:fldCharType="end"/>
            </w:r>
          </w:hyperlink>
        </w:p>
        <w:p w14:paraId="381D94FA" w14:textId="3CEAD7AF" w:rsidR="00AB52B3" w:rsidRDefault="003A7160">
          <w:pPr>
            <w:pStyle w:val="Sumrio3"/>
            <w:tabs>
              <w:tab w:val="right" w:leader="dot" w:pos="9062"/>
            </w:tabs>
            <w:rPr>
              <w:rFonts w:eastAsiaTheme="minorEastAsia"/>
              <w:i w:val="0"/>
              <w:iCs w:val="0"/>
              <w:noProof/>
              <w:sz w:val="22"/>
              <w:szCs w:val="22"/>
              <w:lang w:eastAsia="pt-BR"/>
            </w:rPr>
          </w:pPr>
          <w:hyperlink w:anchor="_Toc113971780" w:history="1">
            <w:r w:rsidR="00AB52B3" w:rsidRPr="002F23A4">
              <w:rPr>
                <w:rStyle w:val="Hyperlink"/>
                <w:noProof/>
              </w:rPr>
              <w:t>Metas, dados coletados e avaliação</w:t>
            </w:r>
            <w:r w:rsidR="00AB52B3">
              <w:rPr>
                <w:noProof/>
                <w:webHidden/>
              </w:rPr>
              <w:tab/>
            </w:r>
            <w:r w:rsidR="00AB52B3">
              <w:rPr>
                <w:noProof/>
                <w:webHidden/>
              </w:rPr>
              <w:fldChar w:fldCharType="begin"/>
            </w:r>
            <w:r w:rsidR="00AB52B3">
              <w:rPr>
                <w:noProof/>
                <w:webHidden/>
              </w:rPr>
              <w:instrText xml:space="preserve"> PAGEREF _Toc113971780 \h </w:instrText>
            </w:r>
            <w:r w:rsidR="00AB52B3">
              <w:rPr>
                <w:noProof/>
                <w:webHidden/>
              </w:rPr>
            </w:r>
            <w:r w:rsidR="00AB52B3">
              <w:rPr>
                <w:noProof/>
                <w:webHidden/>
              </w:rPr>
              <w:fldChar w:fldCharType="separate"/>
            </w:r>
            <w:r w:rsidR="00AB52B3">
              <w:rPr>
                <w:noProof/>
                <w:webHidden/>
              </w:rPr>
              <w:t>92</w:t>
            </w:r>
            <w:r w:rsidR="00AB52B3">
              <w:rPr>
                <w:noProof/>
                <w:webHidden/>
              </w:rPr>
              <w:fldChar w:fldCharType="end"/>
            </w:r>
          </w:hyperlink>
        </w:p>
        <w:p w14:paraId="21595129" w14:textId="61E906DF" w:rsidR="000B3C57" w:rsidRDefault="00DE44A7" w:rsidP="000B3C57">
          <w:pPr>
            <w:rPr>
              <w:bCs/>
            </w:rPr>
          </w:pPr>
          <w:r>
            <w:rPr>
              <w:b/>
              <w:bCs/>
            </w:rPr>
            <w:fldChar w:fldCharType="end"/>
          </w:r>
        </w:p>
      </w:sdtContent>
    </w:sdt>
    <w:bookmarkEnd w:id="0" w:displacedByCustomXml="prev"/>
    <w:p w14:paraId="1EA19FB2" w14:textId="05F75AEF" w:rsidR="00561563" w:rsidRDefault="00561563" w:rsidP="000B3C57">
      <w:pPr>
        <w:rPr>
          <w:bCs/>
        </w:rPr>
      </w:pPr>
    </w:p>
    <w:p w14:paraId="23315779" w14:textId="03C7C190" w:rsidR="0039724D" w:rsidRDefault="00A67057" w:rsidP="00C7429D">
      <w:pPr>
        <w:pStyle w:val="Ttulo1"/>
        <w:ind w:left="360"/>
      </w:pPr>
      <w:bookmarkStart w:id="1" w:name="_Toc113971741"/>
      <w:r>
        <w:lastRenderedPageBreak/>
        <w:t>F</w:t>
      </w:r>
      <w:r w:rsidR="00790751">
        <w:t>undamentação legal</w:t>
      </w:r>
      <w:bookmarkEnd w:id="1"/>
    </w:p>
    <w:p w14:paraId="58BFAAE8" w14:textId="77777777" w:rsidR="0039724D" w:rsidRDefault="0039724D" w:rsidP="00C7429D">
      <w:pPr>
        <w:pStyle w:val="paragraph"/>
        <w:spacing w:before="0" w:beforeAutospacing="0" w:after="200" w:afterAutospacing="0" w:line="360" w:lineRule="auto"/>
        <w:jc w:val="both"/>
        <w:textAlignment w:val="baseline"/>
        <w:rPr>
          <w:rStyle w:val="normaltextrun"/>
          <w:rFonts w:ascii="Calibri" w:hAnsi="Calibri" w:cs="Segoe UI"/>
          <w:color w:val="4A442A" w:themeColor="background2" w:themeShade="40"/>
          <w:sz w:val="22"/>
          <w:szCs w:val="22"/>
        </w:rPr>
      </w:pPr>
    </w:p>
    <w:p w14:paraId="77712224" w14:textId="503468AC" w:rsidR="0039724D" w:rsidRPr="001726E2" w:rsidRDefault="0039724D" w:rsidP="00C7429D">
      <w:pPr>
        <w:pStyle w:val="paragraph"/>
        <w:spacing w:before="0" w:beforeAutospacing="0" w:after="200" w:afterAutospacing="0" w:line="360" w:lineRule="auto"/>
        <w:jc w:val="both"/>
        <w:textAlignment w:val="baseline"/>
        <w:rPr>
          <w:rFonts w:ascii="Segoe UI" w:hAnsi="Segoe UI" w:cs="Segoe UI"/>
          <w:sz w:val="18"/>
          <w:szCs w:val="18"/>
        </w:rPr>
      </w:pPr>
      <w:r w:rsidRPr="001726E2">
        <w:rPr>
          <w:rStyle w:val="normaltextrun"/>
          <w:rFonts w:ascii="Calibri" w:hAnsi="Calibri" w:cs="Segoe UI"/>
          <w:sz w:val="22"/>
          <w:szCs w:val="22"/>
        </w:rPr>
        <w:t>O Plano de Logística Sustentável</w:t>
      </w:r>
      <w:r w:rsidR="000E576E" w:rsidRPr="001726E2">
        <w:rPr>
          <w:rStyle w:val="normaltextrun"/>
          <w:rFonts w:ascii="Calibri" w:hAnsi="Calibri" w:cs="Segoe UI"/>
          <w:sz w:val="22"/>
          <w:szCs w:val="22"/>
        </w:rPr>
        <w:t xml:space="preserve"> – P</w:t>
      </w:r>
      <w:r w:rsidRPr="001726E2">
        <w:rPr>
          <w:rStyle w:val="normaltextrun"/>
          <w:rFonts w:ascii="Calibri" w:hAnsi="Calibri" w:cs="Segoe UI"/>
          <w:sz w:val="22"/>
          <w:szCs w:val="22"/>
        </w:rPr>
        <w:t xml:space="preserve">LS foi instituído por meio do Decreto nº 7.746/2012 e regulamentado pela IN SLTI/MP nº 10/2012, do Ministério do Planejamento, Orçamento e Gestão – MPOG. </w:t>
      </w:r>
      <w:r w:rsidR="0064778C" w:rsidRPr="001726E2">
        <w:rPr>
          <w:rStyle w:val="normaltextrun"/>
          <w:rFonts w:ascii="Calibri" w:hAnsi="Calibri" w:cs="Segoe UI"/>
          <w:sz w:val="22"/>
          <w:szCs w:val="22"/>
        </w:rPr>
        <w:t>Em 2017,</w:t>
      </w:r>
      <w:r w:rsidRPr="001726E2">
        <w:rPr>
          <w:rStyle w:val="normaltextrun"/>
          <w:rFonts w:ascii="Calibri" w:hAnsi="Calibri" w:cs="Segoe UI"/>
          <w:sz w:val="22"/>
          <w:szCs w:val="22"/>
        </w:rPr>
        <w:t xml:space="preserve"> foi alterado pelo Decreto nº 9.178/2017, de 23/10/2017 – </w:t>
      </w:r>
      <w:r w:rsidRPr="001726E2">
        <w:rPr>
          <w:rStyle w:val="normaltextrun"/>
          <w:rFonts w:ascii="Calibri" w:hAnsi="Calibri" w:cs="Segoe UI"/>
          <w:i/>
          <w:iCs/>
          <w:sz w:val="22"/>
          <w:szCs w:val="22"/>
        </w:rPr>
        <w:t>Sustentabilidade nas Contratações Públicas</w:t>
      </w:r>
      <w:r w:rsidRPr="001726E2">
        <w:rPr>
          <w:rStyle w:val="normaltextrun"/>
          <w:rFonts w:ascii="Calibri" w:hAnsi="Calibri" w:cs="Segoe UI"/>
          <w:sz w:val="22"/>
          <w:szCs w:val="22"/>
        </w:rPr>
        <w:t>.</w:t>
      </w:r>
      <w:r w:rsidRPr="001726E2">
        <w:rPr>
          <w:rStyle w:val="eop"/>
          <w:rFonts w:ascii="Calibri" w:hAnsi="Calibri" w:cs="Segoe UI"/>
          <w:sz w:val="22"/>
          <w:szCs w:val="22"/>
        </w:rPr>
        <w:t> </w:t>
      </w:r>
    </w:p>
    <w:p w14:paraId="4A37A608" w14:textId="77777777" w:rsidR="0039724D" w:rsidRPr="001726E2" w:rsidRDefault="0039724D" w:rsidP="00C7429D">
      <w:pPr>
        <w:pStyle w:val="paragraph"/>
        <w:spacing w:before="0" w:beforeAutospacing="0" w:after="200" w:afterAutospacing="0" w:line="360" w:lineRule="auto"/>
        <w:jc w:val="both"/>
        <w:textAlignment w:val="baseline"/>
        <w:rPr>
          <w:rFonts w:ascii="Segoe UI" w:hAnsi="Segoe UI" w:cs="Segoe UI"/>
          <w:sz w:val="18"/>
          <w:szCs w:val="18"/>
        </w:rPr>
      </w:pPr>
      <w:r w:rsidRPr="001726E2">
        <w:rPr>
          <w:rStyle w:val="normaltextrun"/>
          <w:rFonts w:ascii="Calibri" w:hAnsi="Calibri" w:cs="Segoe UI"/>
          <w:sz w:val="22"/>
          <w:szCs w:val="22"/>
        </w:rPr>
        <w:t>No PLS estão inseridas as </w:t>
      </w:r>
      <w:r w:rsidRPr="001726E2">
        <w:rPr>
          <w:rStyle w:val="normaltextrun"/>
          <w:rFonts w:ascii="Calibri" w:hAnsi="Calibri" w:cs="Segoe UI"/>
          <w:b/>
          <w:bCs/>
          <w:sz w:val="22"/>
          <w:szCs w:val="22"/>
        </w:rPr>
        <w:t>diretrizes para cada instituição estabelecer</w:t>
      </w:r>
      <w:r w:rsidRPr="001726E2">
        <w:rPr>
          <w:rStyle w:val="normaltextrun"/>
          <w:rFonts w:ascii="Calibri" w:hAnsi="Calibri" w:cs="Segoe UI"/>
          <w:sz w:val="22"/>
          <w:szCs w:val="22"/>
        </w:rPr>
        <w:t> e </w:t>
      </w:r>
      <w:r w:rsidRPr="001726E2">
        <w:rPr>
          <w:rStyle w:val="normaltextrun"/>
          <w:rFonts w:ascii="Calibri" w:hAnsi="Calibri" w:cs="Segoe UI"/>
          <w:b/>
          <w:bCs/>
          <w:sz w:val="22"/>
          <w:szCs w:val="22"/>
        </w:rPr>
        <w:t>acompanhar</w:t>
      </w:r>
      <w:r w:rsidRPr="001726E2">
        <w:rPr>
          <w:rStyle w:val="normaltextrun"/>
          <w:rFonts w:ascii="Calibri" w:hAnsi="Calibri" w:cs="Segoe UI"/>
          <w:sz w:val="22"/>
          <w:szCs w:val="22"/>
        </w:rPr>
        <w:t> </w:t>
      </w:r>
      <w:r w:rsidRPr="001726E2">
        <w:rPr>
          <w:rStyle w:val="normaltextrun"/>
          <w:rFonts w:ascii="Calibri" w:hAnsi="Calibri" w:cs="Segoe UI"/>
          <w:b/>
          <w:bCs/>
          <w:sz w:val="22"/>
          <w:szCs w:val="22"/>
        </w:rPr>
        <w:t>as suas práticas de sustentabilidade e de racionalização dos gastos e dos processos</w:t>
      </w:r>
      <w:r w:rsidRPr="001726E2">
        <w:rPr>
          <w:rStyle w:val="normaltextrun"/>
          <w:rFonts w:ascii="Calibri" w:hAnsi="Calibri" w:cs="Segoe UI"/>
          <w:sz w:val="22"/>
          <w:szCs w:val="22"/>
        </w:rPr>
        <w:t>.</w:t>
      </w:r>
      <w:r w:rsidRPr="001726E2">
        <w:rPr>
          <w:rStyle w:val="eop"/>
          <w:rFonts w:ascii="Calibri" w:hAnsi="Calibri" w:cs="Segoe UI"/>
          <w:sz w:val="22"/>
          <w:szCs w:val="22"/>
        </w:rPr>
        <w:t> </w:t>
      </w:r>
    </w:p>
    <w:p w14:paraId="53E94A8F" w14:textId="12AE6E2C" w:rsidR="0039724D" w:rsidRPr="001726E2" w:rsidRDefault="0039724D" w:rsidP="00C7429D">
      <w:pPr>
        <w:pStyle w:val="paragraph"/>
        <w:spacing w:before="0" w:beforeAutospacing="0" w:after="200" w:afterAutospacing="0" w:line="360" w:lineRule="auto"/>
        <w:jc w:val="both"/>
        <w:textAlignment w:val="baseline"/>
        <w:rPr>
          <w:rFonts w:ascii="Segoe UI" w:hAnsi="Segoe UI" w:cs="Segoe UI"/>
          <w:sz w:val="18"/>
          <w:szCs w:val="18"/>
        </w:rPr>
      </w:pPr>
      <w:r w:rsidRPr="001726E2">
        <w:rPr>
          <w:rStyle w:val="normaltextrun"/>
          <w:rFonts w:ascii="Calibri" w:hAnsi="Calibri" w:cs="Segoe UI"/>
          <w:sz w:val="22"/>
          <w:szCs w:val="22"/>
        </w:rPr>
        <w:t>Conforme Acórdão 1056/2017 – TCU – Plenário (Processo TC 006.615/2016-3),</w:t>
      </w:r>
      <w:r w:rsidRPr="001726E2">
        <w:rPr>
          <w:rStyle w:val="normaltextrun"/>
          <w:rFonts w:ascii="Calibri" w:hAnsi="Calibri" w:cs="Segoe UI"/>
          <w:i/>
          <w:iCs/>
          <w:sz w:val="22"/>
          <w:szCs w:val="22"/>
        </w:rPr>
        <w:t> “...considerando a importância da aludida ferramenta, a equipe de auditoria apontou como </w:t>
      </w:r>
      <w:r w:rsidRPr="001726E2">
        <w:rPr>
          <w:rStyle w:val="normaltextrun"/>
          <w:rFonts w:ascii="Calibri" w:hAnsi="Calibri" w:cs="Segoe UI"/>
          <w:b/>
          <w:bCs/>
          <w:i/>
          <w:iCs/>
          <w:sz w:val="22"/>
          <w:szCs w:val="22"/>
        </w:rPr>
        <w:t>fundamental</w:t>
      </w:r>
      <w:r w:rsidRPr="001726E2">
        <w:rPr>
          <w:rStyle w:val="normaltextrun"/>
          <w:rFonts w:ascii="Calibri" w:hAnsi="Calibri" w:cs="Segoe UI"/>
          <w:i/>
          <w:iCs/>
          <w:sz w:val="22"/>
          <w:szCs w:val="22"/>
        </w:rPr>
        <w:t> que os órgãos e as entidades da Administração Pública Federal elaborem e implementem os seus </w:t>
      </w:r>
      <w:proofErr w:type="spellStart"/>
      <w:r w:rsidRPr="001726E2">
        <w:rPr>
          <w:rStyle w:val="spellingerror"/>
          <w:rFonts w:ascii="Calibri" w:hAnsi="Calibri" w:cs="Segoe UI"/>
          <w:i/>
          <w:iCs/>
          <w:sz w:val="22"/>
          <w:szCs w:val="22"/>
        </w:rPr>
        <w:t>PLSs</w:t>
      </w:r>
      <w:proofErr w:type="spellEnd"/>
      <w:r w:rsidRPr="001726E2">
        <w:rPr>
          <w:rStyle w:val="normaltextrun"/>
          <w:rFonts w:ascii="Calibri" w:hAnsi="Calibri" w:cs="Segoe UI"/>
          <w:i/>
          <w:iCs/>
          <w:sz w:val="22"/>
          <w:szCs w:val="22"/>
        </w:rPr>
        <w:t>, promovendo o </w:t>
      </w:r>
      <w:r w:rsidRPr="001726E2">
        <w:rPr>
          <w:rStyle w:val="normaltextrun"/>
          <w:rFonts w:ascii="Calibri" w:hAnsi="Calibri" w:cs="Segoe UI"/>
          <w:b/>
          <w:bCs/>
          <w:i/>
          <w:iCs/>
          <w:sz w:val="22"/>
          <w:szCs w:val="22"/>
        </w:rPr>
        <w:t>contínuo monitoramento dos resultados provenientes das ações porventura </w:t>
      </w:r>
      <w:r w:rsidR="001D29DF" w:rsidRPr="001726E2">
        <w:rPr>
          <w:rStyle w:val="normaltextrun"/>
          <w:rFonts w:ascii="Calibri" w:hAnsi="Calibri" w:cs="Segoe UI"/>
          <w:b/>
          <w:bCs/>
          <w:i/>
          <w:iCs/>
          <w:sz w:val="22"/>
          <w:szCs w:val="22"/>
        </w:rPr>
        <w:t>implementadas</w:t>
      </w:r>
      <w:r w:rsidR="001D29DF" w:rsidRPr="001726E2">
        <w:rPr>
          <w:rStyle w:val="normaltextrun"/>
          <w:rFonts w:ascii="Calibri" w:hAnsi="Calibri" w:cs="Segoe UI"/>
          <w:i/>
          <w:iCs/>
          <w:sz w:val="22"/>
          <w:szCs w:val="22"/>
        </w:rPr>
        <w:t>. ”</w:t>
      </w:r>
      <w:r w:rsidRPr="001726E2">
        <w:rPr>
          <w:rStyle w:val="eop"/>
          <w:rFonts w:ascii="Calibri" w:hAnsi="Calibri" w:cs="Segoe UI"/>
          <w:sz w:val="22"/>
          <w:szCs w:val="22"/>
        </w:rPr>
        <w:t> </w:t>
      </w:r>
    </w:p>
    <w:p w14:paraId="28CC9C93" w14:textId="4A99D6DF" w:rsidR="00487B61" w:rsidRPr="001726E2" w:rsidRDefault="00487B61" w:rsidP="00C7429D">
      <w:pPr>
        <w:pStyle w:val="paragraph"/>
        <w:spacing w:before="0" w:beforeAutospacing="0" w:after="200" w:afterAutospacing="0" w:line="360" w:lineRule="auto"/>
        <w:jc w:val="both"/>
        <w:textAlignment w:val="baseline"/>
        <w:rPr>
          <w:rStyle w:val="normaltextrun"/>
          <w:rFonts w:ascii="Calibri" w:hAnsi="Calibri" w:cs="Segoe UI"/>
          <w:sz w:val="22"/>
          <w:szCs w:val="22"/>
        </w:rPr>
      </w:pPr>
      <w:r w:rsidRPr="001726E2">
        <w:rPr>
          <w:rStyle w:val="normaltextrun"/>
          <w:rFonts w:ascii="Calibri" w:hAnsi="Calibri" w:cs="Segoe UI"/>
          <w:sz w:val="22"/>
          <w:szCs w:val="22"/>
        </w:rPr>
        <w:t>O PLS</w:t>
      </w:r>
      <w:r w:rsidR="005D42B3" w:rsidRPr="001726E2">
        <w:rPr>
          <w:rStyle w:val="normaltextrun"/>
          <w:rFonts w:ascii="Calibri" w:hAnsi="Calibri" w:cs="Segoe UI"/>
          <w:sz w:val="22"/>
          <w:szCs w:val="22"/>
        </w:rPr>
        <w:t xml:space="preserve"> é um </w:t>
      </w:r>
      <w:r w:rsidR="005D42B3" w:rsidRPr="001726E2">
        <w:rPr>
          <w:rStyle w:val="normaltextrun"/>
          <w:rFonts w:ascii="Calibri" w:hAnsi="Calibri" w:cs="Segoe UI"/>
          <w:b/>
          <w:bCs/>
          <w:sz w:val="22"/>
          <w:szCs w:val="22"/>
        </w:rPr>
        <w:t xml:space="preserve">instrumento de </w:t>
      </w:r>
      <w:r w:rsidR="00605931" w:rsidRPr="001726E2">
        <w:rPr>
          <w:rStyle w:val="normaltextrun"/>
          <w:rFonts w:ascii="Calibri" w:hAnsi="Calibri" w:cs="Segoe UI"/>
          <w:b/>
          <w:bCs/>
          <w:sz w:val="22"/>
          <w:szCs w:val="22"/>
        </w:rPr>
        <w:t>gestão</w:t>
      </w:r>
      <w:r w:rsidR="00605931" w:rsidRPr="001726E2">
        <w:rPr>
          <w:rStyle w:val="normaltextrun"/>
          <w:rFonts w:ascii="Calibri" w:hAnsi="Calibri" w:cs="Segoe UI"/>
          <w:sz w:val="22"/>
          <w:szCs w:val="22"/>
        </w:rPr>
        <w:t xml:space="preserve"> </w:t>
      </w:r>
      <w:r w:rsidR="005D42B3" w:rsidRPr="001726E2">
        <w:rPr>
          <w:rStyle w:val="normaltextrun"/>
          <w:rFonts w:ascii="Calibri" w:hAnsi="Calibri" w:cs="Segoe UI"/>
          <w:sz w:val="22"/>
          <w:szCs w:val="22"/>
        </w:rPr>
        <w:t>com objetivos e responsabilidades definidas, estabelecimento de ações, indicadores, metas, prazos de execução com formas de monitoramento e avaliação que</w:t>
      </w:r>
      <w:r w:rsidR="00D379F6" w:rsidRPr="001726E2">
        <w:rPr>
          <w:rStyle w:val="normaltextrun"/>
          <w:rFonts w:ascii="Calibri" w:hAnsi="Calibri" w:cs="Segoe UI"/>
          <w:sz w:val="22"/>
          <w:szCs w:val="22"/>
        </w:rPr>
        <w:t xml:space="preserve"> </w:t>
      </w:r>
      <w:r w:rsidR="005D42B3" w:rsidRPr="001726E2">
        <w:rPr>
          <w:rStyle w:val="normaltextrun"/>
          <w:rFonts w:ascii="Calibri" w:hAnsi="Calibri" w:cs="Segoe UI"/>
          <w:sz w:val="22"/>
          <w:szCs w:val="22"/>
        </w:rPr>
        <w:t xml:space="preserve">possibilitam </w:t>
      </w:r>
      <w:r w:rsidR="000A20E0" w:rsidRPr="001726E2">
        <w:rPr>
          <w:rStyle w:val="normaltextrun"/>
          <w:rFonts w:ascii="Calibri" w:hAnsi="Calibri" w:cs="Segoe UI"/>
          <w:sz w:val="22"/>
          <w:szCs w:val="22"/>
        </w:rPr>
        <w:t xml:space="preserve">à instituição estabelecer e acompanhar práticas de gestão e racionalização de gastos, </w:t>
      </w:r>
      <w:r w:rsidR="00D1376F">
        <w:rPr>
          <w:rStyle w:val="normaltextrun"/>
          <w:rFonts w:ascii="Calibri" w:hAnsi="Calibri" w:cs="Segoe UI"/>
          <w:sz w:val="22"/>
          <w:szCs w:val="22"/>
        </w:rPr>
        <w:t>em diversas</w:t>
      </w:r>
      <w:r w:rsidR="003348EB">
        <w:rPr>
          <w:rStyle w:val="normaltextrun"/>
          <w:rFonts w:ascii="Calibri" w:hAnsi="Calibri" w:cs="Segoe UI"/>
          <w:sz w:val="22"/>
          <w:szCs w:val="22"/>
        </w:rPr>
        <w:t xml:space="preserve"> áreas.</w:t>
      </w:r>
    </w:p>
    <w:p w14:paraId="76D58DBE" w14:textId="77777777" w:rsidR="00AB1BC1" w:rsidRPr="001726E2" w:rsidRDefault="00AB1BC1" w:rsidP="00AF296E">
      <w:pPr>
        <w:pStyle w:val="paragraph"/>
        <w:numPr>
          <w:ilvl w:val="0"/>
          <w:numId w:val="4"/>
        </w:numPr>
        <w:spacing w:before="0" w:beforeAutospacing="0" w:after="200" w:afterAutospacing="0" w:line="360" w:lineRule="auto"/>
        <w:jc w:val="both"/>
        <w:textAlignment w:val="baseline"/>
        <w:rPr>
          <w:rStyle w:val="normaltextrun"/>
          <w:rFonts w:ascii="Calibri" w:hAnsi="Calibri" w:cs="Segoe UI"/>
          <w:sz w:val="22"/>
          <w:szCs w:val="22"/>
        </w:rPr>
        <w:sectPr w:rsidR="00AB1BC1" w:rsidRPr="001726E2" w:rsidSect="00561563">
          <w:headerReference w:type="default" r:id="rId17"/>
          <w:pgSz w:w="11907" w:h="16840" w:code="9"/>
          <w:pgMar w:top="1418" w:right="1134" w:bottom="907" w:left="1701" w:header="709" w:footer="709" w:gutter="0"/>
          <w:cols w:space="708"/>
          <w:titlePg/>
          <w:docGrid w:linePitch="360"/>
        </w:sectPr>
      </w:pPr>
    </w:p>
    <w:p w14:paraId="37855EC8" w14:textId="38C849D9" w:rsidR="00790751" w:rsidRPr="001726E2" w:rsidRDefault="00790751" w:rsidP="00C7429D">
      <w:pPr>
        <w:pStyle w:val="Ttulo1"/>
      </w:pPr>
      <w:bookmarkStart w:id="2" w:name="_Toc113971742"/>
      <w:bookmarkStart w:id="3" w:name="_Toc46510930"/>
      <w:r w:rsidRPr="001726E2">
        <w:lastRenderedPageBreak/>
        <w:t>O PLS n</w:t>
      </w:r>
      <w:r w:rsidR="00F561F7" w:rsidRPr="001726E2">
        <w:t>o âmbito da</w:t>
      </w:r>
      <w:r w:rsidRPr="001726E2">
        <w:t xml:space="preserve"> AGU</w:t>
      </w:r>
      <w:bookmarkEnd w:id="2"/>
    </w:p>
    <w:p w14:paraId="34417588" w14:textId="77777777" w:rsidR="000447FC" w:rsidRPr="00304144" w:rsidRDefault="000447FC" w:rsidP="0039724D">
      <w:pPr>
        <w:jc w:val="both"/>
        <w:rPr>
          <w:color w:val="FF0000"/>
        </w:rPr>
      </w:pPr>
    </w:p>
    <w:p w14:paraId="2D72AE1E" w14:textId="007242D6" w:rsidR="00F130B6" w:rsidRPr="001726E2" w:rsidRDefault="00790751" w:rsidP="0039724D">
      <w:pPr>
        <w:jc w:val="both"/>
      </w:pPr>
      <w:r w:rsidRPr="001726E2">
        <w:t>O Plano de Logística Sustentável na Advocacia-Geral da União</w:t>
      </w:r>
      <w:r w:rsidR="00EA72B3" w:rsidRPr="001726E2">
        <w:t xml:space="preserve"> – AGU</w:t>
      </w:r>
      <w:r w:rsidR="00554E5C">
        <w:t xml:space="preserve"> instituído </w:t>
      </w:r>
      <w:r w:rsidR="009E6CBE">
        <w:t>desde 201</w:t>
      </w:r>
      <w:r w:rsidR="002B0478">
        <w:t>4</w:t>
      </w:r>
      <w:r w:rsidR="00EA72B3" w:rsidRPr="001726E2">
        <w:t xml:space="preserve"> </w:t>
      </w:r>
      <w:r w:rsidR="00525194" w:rsidRPr="001726E2">
        <w:t xml:space="preserve">possui abrangência nacional, </w:t>
      </w:r>
      <w:r w:rsidRPr="001726E2">
        <w:t>envolve</w:t>
      </w:r>
      <w:r w:rsidR="00525194" w:rsidRPr="001726E2">
        <w:t>ndo</w:t>
      </w:r>
      <w:r w:rsidRPr="001726E2">
        <w:t xml:space="preserve"> todas as</w:t>
      </w:r>
      <w:r w:rsidR="00A4483C" w:rsidRPr="001726E2">
        <w:t xml:space="preserve"> suas</w:t>
      </w:r>
      <w:r w:rsidRPr="001726E2">
        <w:t xml:space="preserve"> </w:t>
      </w:r>
      <w:r w:rsidR="00A4483C" w:rsidRPr="001726E2">
        <w:t>U</w:t>
      </w:r>
      <w:r w:rsidRPr="001726E2">
        <w:t>nidades, seus dirigentes, membros, servidores e colaboradores.</w:t>
      </w:r>
    </w:p>
    <w:p w14:paraId="1E3B50FC" w14:textId="77777777" w:rsidR="0064418F" w:rsidRPr="001726E2" w:rsidRDefault="00215306" w:rsidP="0039724D">
      <w:pPr>
        <w:jc w:val="both"/>
      </w:pPr>
      <w:r w:rsidRPr="001726E2">
        <w:t>A coordenação dos trabalhos de apoio às unidades e aos dirigentes, é feita pela Comissão Nacional Gestora do PLS (Portaria AGU nº 158 de 04/03/2020), juntamente com as Comissões Regionais Gestoras de cada região.</w:t>
      </w:r>
    </w:p>
    <w:p w14:paraId="17AB0E2C" w14:textId="3D45BB50" w:rsidR="00790751" w:rsidRDefault="00C12FFF" w:rsidP="0039724D">
      <w:pPr>
        <w:jc w:val="both"/>
      </w:pPr>
      <w:r w:rsidRPr="001726E2">
        <w:t>O PLS e</w:t>
      </w:r>
      <w:r w:rsidR="001C40BE" w:rsidRPr="001726E2">
        <w:t>ngloba</w:t>
      </w:r>
      <w:r w:rsidR="00790751" w:rsidRPr="001726E2">
        <w:t xml:space="preserve"> </w:t>
      </w:r>
      <w:r w:rsidR="00B57D40" w:rsidRPr="001726E2">
        <w:t>as</w:t>
      </w:r>
      <w:r w:rsidR="00790751" w:rsidRPr="001726E2">
        <w:t xml:space="preserve"> normas vinculadas ao sistema de gestão, à sustentabilidade, </w:t>
      </w:r>
      <w:r w:rsidR="001A6C3B" w:rsidRPr="001726E2">
        <w:t>à</w:t>
      </w:r>
      <w:r w:rsidR="00790751" w:rsidRPr="001726E2">
        <w:t xml:space="preserve"> transparência e acesso à informação, às campanhas de comunicação e sensibilização, </w:t>
      </w:r>
      <w:r w:rsidR="00E717D9" w:rsidRPr="001726E2">
        <w:t xml:space="preserve">criando </w:t>
      </w:r>
      <w:r w:rsidR="00BE61D4" w:rsidRPr="001726E2">
        <w:t xml:space="preserve">com isso </w:t>
      </w:r>
      <w:r w:rsidR="00E717D9" w:rsidRPr="001726E2">
        <w:t xml:space="preserve">uma nova </w:t>
      </w:r>
      <w:r w:rsidR="00790751" w:rsidRPr="001726E2">
        <w:t>postura da instituição.</w:t>
      </w:r>
    </w:p>
    <w:p w14:paraId="2B3B53A3" w14:textId="77777777" w:rsidR="00742215" w:rsidRDefault="00542CC4" w:rsidP="00081CA8">
      <w:pPr>
        <w:pStyle w:val="paragraph"/>
        <w:spacing w:before="0" w:beforeAutospacing="0" w:after="200" w:afterAutospacing="0" w:line="360" w:lineRule="auto"/>
        <w:jc w:val="both"/>
        <w:textAlignment w:val="baseline"/>
        <w:rPr>
          <w:rStyle w:val="normaltextrun"/>
          <w:rFonts w:ascii="Calibri" w:hAnsi="Calibri" w:cs="Segoe UI"/>
          <w:sz w:val="22"/>
          <w:szCs w:val="22"/>
        </w:rPr>
      </w:pPr>
      <w:r>
        <w:rPr>
          <w:rStyle w:val="normaltextrun"/>
          <w:rFonts w:ascii="Calibri" w:hAnsi="Calibri" w:cs="Segoe UI"/>
          <w:sz w:val="22"/>
          <w:szCs w:val="22"/>
        </w:rPr>
        <w:t>Atualmente</w:t>
      </w:r>
      <w:r w:rsidR="00D1376F">
        <w:rPr>
          <w:rStyle w:val="normaltextrun"/>
          <w:rFonts w:ascii="Calibri" w:hAnsi="Calibri" w:cs="Segoe UI"/>
          <w:sz w:val="22"/>
          <w:szCs w:val="22"/>
        </w:rPr>
        <w:t xml:space="preserve"> o monitoramento e avaliação abordam </w:t>
      </w:r>
      <w:r w:rsidR="00742215" w:rsidRPr="001726E2">
        <w:rPr>
          <w:rStyle w:val="normaltextrun"/>
          <w:rFonts w:ascii="Calibri" w:hAnsi="Calibri" w:cs="Segoe UI"/>
          <w:sz w:val="22"/>
          <w:szCs w:val="22"/>
        </w:rPr>
        <w:t>os seguintes temas:</w:t>
      </w:r>
    </w:p>
    <w:p w14:paraId="78827905" w14:textId="77777777" w:rsidR="00742215" w:rsidRPr="001726E2" w:rsidRDefault="00742215" w:rsidP="00060AE0">
      <w:pPr>
        <w:pStyle w:val="paragraph"/>
        <w:numPr>
          <w:ilvl w:val="0"/>
          <w:numId w:val="5"/>
        </w:numPr>
        <w:spacing w:before="0" w:beforeAutospacing="0" w:after="200" w:afterAutospacing="0" w:line="276" w:lineRule="auto"/>
        <w:ind w:left="720" w:hanging="357"/>
        <w:jc w:val="both"/>
        <w:textAlignment w:val="baseline"/>
        <w:rPr>
          <w:rStyle w:val="normaltextrun"/>
          <w:rFonts w:ascii="Calibri" w:hAnsi="Calibri" w:cs="Segoe UI"/>
          <w:sz w:val="22"/>
          <w:szCs w:val="22"/>
        </w:rPr>
      </w:pPr>
      <w:r w:rsidRPr="001726E2">
        <w:rPr>
          <w:rStyle w:val="normaltextrun"/>
          <w:rFonts w:ascii="Calibri" w:hAnsi="Calibri" w:cs="Segoe UI"/>
          <w:sz w:val="22"/>
          <w:szCs w:val="22"/>
        </w:rPr>
        <w:t>Qualidade de Vida,</w:t>
      </w:r>
    </w:p>
    <w:p w14:paraId="40699DF1" w14:textId="77777777" w:rsidR="00742215" w:rsidRPr="001726E2" w:rsidRDefault="00742215" w:rsidP="00060AE0">
      <w:pPr>
        <w:pStyle w:val="paragraph"/>
        <w:numPr>
          <w:ilvl w:val="0"/>
          <w:numId w:val="5"/>
        </w:numPr>
        <w:spacing w:before="0" w:beforeAutospacing="0" w:after="200" w:afterAutospacing="0" w:line="276" w:lineRule="auto"/>
        <w:ind w:left="720" w:hanging="357"/>
        <w:jc w:val="both"/>
        <w:textAlignment w:val="baseline"/>
        <w:rPr>
          <w:rStyle w:val="normaltextrun"/>
          <w:rFonts w:ascii="Calibri" w:hAnsi="Calibri" w:cs="Segoe UI"/>
          <w:sz w:val="22"/>
          <w:szCs w:val="22"/>
        </w:rPr>
      </w:pPr>
      <w:r w:rsidRPr="001726E2">
        <w:rPr>
          <w:rStyle w:val="normaltextrun"/>
          <w:rFonts w:ascii="Calibri" w:hAnsi="Calibri" w:cs="Segoe UI"/>
          <w:sz w:val="22"/>
          <w:szCs w:val="22"/>
        </w:rPr>
        <w:t>Transporte,</w:t>
      </w:r>
    </w:p>
    <w:p w14:paraId="2EDCFA66" w14:textId="77777777" w:rsidR="00742215" w:rsidRPr="001726E2" w:rsidRDefault="00742215" w:rsidP="00060AE0">
      <w:pPr>
        <w:pStyle w:val="paragraph"/>
        <w:numPr>
          <w:ilvl w:val="0"/>
          <w:numId w:val="5"/>
        </w:numPr>
        <w:spacing w:before="0" w:beforeAutospacing="0" w:after="200" w:afterAutospacing="0" w:line="276" w:lineRule="auto"/>
        <w:ind w:left="720" w:hanging="357"/>
        <w:jc w:val="both"/>
        <w:textAlignment w:val="baseline"/>
        <w:rPr>
          <w:rStyle w:val="normaltextrun"/>
          <w:rFonts w:ascii="Calibri" w:hAnsi="Calibri" w:cs="Segoe UI"/>
          <w:sz w:val="22"/>
          <w:szCs w:val="22"/>
        </w:rPr>
      </w:pPr>
      <w:r w:rsidRPr="001726E2">
        <w:rPr>
          <w:rStyle w:val="normaltextrun"/>
          <w:rFonts w:ascii="Calibri" w:hAnsi="Calibri" w:cs="Segoe UI"/>
          <w:sz w:val="22"/>
          <w:szCs w:val="22"/>
        </w:rPr>
        <w:t>Energia Elétrica,</w:t>
      </w:r>
    </w:p>
    <w:p w14:paraId="6E7ED858" w14:textId="77777777" w:rsidR="00742215" w:rsidRPr="001726E2" w:rsidRDefault="00742215" w:rsidP="00060AE0">
      <w:pPr>
        <w:pStyle w:val="paragraph"/>
        <w:numPr>
          <w:ilvl w:val="0"/>
          <w:numId w:val="5"/>
        </w:numPr>
        <w:spacing w:before="0" w:beforeAutospacing="0" w:after="200" w:afterAutospacing="0" w:line="276" w:lineRule="auto"/>
        <w:ind w:left="720" w:hanging="357"/>
        <w:jc w:val="both"/>
        <w:textAlignment w:val="baseline"/>
        <w:rPr>
          <w:rStyle w:val="normaltextrun"/>
          <w:rFonts w:ascii="Calibri" w:hAnsi="Calibri" w:cs="Segoe UI"/>
          <w:sz w:val="22"/>
          <w:szCs w:val="22"/>
        </w:rPr>
      </w:pPr>
      <w:r w:rsidRPr="001726E2">
        <w:rPr>
          <w:rStyle w:val="normaltextrun"/>
          <w:rFonts w:ascii="Calibri" w:hAnsi="Calibri" w:cs="Segoe UI"/>
          <w:sz w:val="22"/>
          <w:szCs w:val="22"/>
        </w:rPr>
        <w:t>Água e Esgoto,</w:t>
      </w:r>
    </w:p>
    <w:p w14:paraId="133E9824" w14:textId="77777777" w:rsidR="00742215" w:rsidRPr="001726E2" w:rsidRDefault="00742215" w:rsidP="00060AE0">
      <w:pPr>
        <w:pStyle w:val="paragraph"/>
        <w:numPr>
          <w:ilvl w:val="0"/>
          <w:numId w:val="5"/>
        </w:numPr>
        <w:spacing w:before="0" w:beforeAutospacing="0" w:after="200" w:afterAutospacing="0" w:line="276" w:lineRule="auto"/>
        <w:ind w:left="720" w:hanging="357"/>
        <w:jc w:val="both"/>
        <w:textAlignment w:val="baseline"/>
        <w:rPr>
          <w:rStyle w:val="normaltextrun"/>
          <w:rFonts w:ascii="Calibri" w:hAnsi="Calibri" w:cs="Segoe UI"/>
          <w:sz w:val="22"/>
          <w:szCs w:val="22"/>
        </w:rPr>
      </w:pPr>
      <w:r w:rsidRPr="001726E2">
        <w:rPr>
          <w:rStyle w:val="normaltextrun"/>
          <w:rFonts w:ascii="Calibri" w:hAnsi="Calibri" w:cs="Segoe UI"/>
          <w:sz w:val="22"/>
          <w:szCs w:val="22"/>
        </w:rPr>
        <w:t>Limpeza,</w:t>
      </w:r>
    </w:p>
    <w:p w14:paraId="635F4D68" w14:textId="77777777" w:rsidR="00742215" w:rsidRPr="001726E2" w:rsidRDefault="00742215" w:rsidP="00060AE0">
      <w:pPr>
        <w:pStyle w:val="paragraph"/>
        <w:numPr>
          <w:ilvl w:val="0"/>
          <w:numId w:val="5"/>
        </w:numPr>
        <w:spacing w:before="0" w:beforeAutospacing="0" w:after="200" w:afterAutospacing="0" w:line="276" w:lineRule="auto"/>
        <w:ind w:left="720" w:hanging="357"/>
        <w:jc w:val="both"/>
        <w:textAlignment w:val="baseline"/>
        <w:rPr>
          <w:rStyle w:val="normaltextrun"/>
          <w:rFonts w:ascii="Calibri" w:hAnsi="Calibri" w:cs="Segoe UI"/>
          <w:sz w:val="22"/>
          <w:szCs w:val="22"/>
        </w:rPr>
      </w:pPr>
      <w:r w:rsidRPr="001726E2">
        <w:rPr>
          <w:rStyle w:val="normaltextrun"/>
          <w:rFonts w:ascii="Calibri" w:hAnsi="Calibri" w:cs="Segoe UI"/>
          <w:sz w:val="22"/>
          <w:szCs w:val="22"/>
        </w:rPr>
        <w:t>Segurança,</w:t>
      </w:r>
    </w:p>
    <w:p w14:paraId="028842F6" w14:textId="77777777" w:rsidR="00742215" w:rsidRPr="001726E2" w:rsidRDefault="00742215" w:rsidP="00060AE0">
      <w:pPr>
        <w:pStyle w:val="paragraph"/>
        <w:numPr>
          <w:ilvl w:val="0"/>
          <w:numId w:val="5"/>
        </w:numPr>
        <w:spacing w:before="0" w:beforeAutospacing="0" w:after="200" w:afterAutospacing="0" w:line="276" w:lineRule="auto"/>
        <w:ind w:left="720" w:hanging="357"/>
        <w:jc w:val="both"/>
        <w:textAlignment w:val="baseline"/>
        <w:rPr>
          <w:rStyle w:val="normaltextrun"/>
          <w:rFonts w:ascii="Calibri" w:hAnsi="Calibri" w:cs="Segoe UI"/>
          <w:sz w:val="22"/>
          <w:szCs w:val="22"/>
        </w:rPr>
      </w:pPr>
      <w:r w:rsidRPr="001726E2">
        <w:rPr>
          <w:rStyle w:val="normaltextrun"/>
          <w:rFonts w:ascii="Calibri" w:hAnsi="Calibri" w:cs="Segoe UI"/>
          <w:sz w:val="22"/>
          <w:szCs w:val="22"/>
        </w:rPr>
        <w:t>Gestão de Resíduos,</w:t>
      </w:r>
    </w:p>
    <w:p w14:paraId="407D95DC" w14:textId="77777777" w:rsidR="00742215" w:rsidRPr="001726E2" w:rsidRDefault="00742215" w:rsidP="00060AE0">
      <w:pPr>
        <w:pStyle w:val="paragraph"/>
        <w:numPr>
          <w:ilvl w:val="0"/>
          <w:numId w:val="5"/>
        </w:numPr>
        <w:spacing w:before="0" w:beforeAutospacing="0" w:after="200" w:afterAutospacing="0" w:line="276" w:lineRule="auto"/>
        <w:ind w:left="720" w:hanging="357"/>
        <w:jc w:val="both"/>
        <w:textAlignment w:val="baseline"/>
        <w:rPr>
          <w:rStyle w:val="normaltextrun"/>
          <w:rFonts w:ascii="Calibri" w:hAnsi="Calibri" w:cs="Segoe UI"/>
          <w:sz w:val="22"/>
          <w:szCs w:val="22"/>
        </w:rPr>
      </w:pPr>
      <w:r w:rsidRPr="001726E2">
        <w:rPr>
          <w:rStyle w:val="normaltextrun"/>
          <w:rFonts w:ascii="Calibri" w:hAnsi="Calibri" w:cs="Segoe UI"/>
          <w:sz w:val="22"/>
          <w:szCs w:val="22"/>
        </w:rPr>
        <w:t>Apoio Administrativo,</w:t>
      </w:r>
    </w:p>
    <w:p w14:paraId="2CEADF22" w14:textId="77777777" w:rsidR="00742215" w:rsidRPr="001726E2" w:rsidRDefault="00742215" w:rsidP="00060AE0">
      <w:pPr>
        <w:pStyle w:val="paragraph"/>
        <w:numPr>
          <w:ilvl w:val="0"/>
          <w:numId w:val="5"/>
        </w:numPr>
        <w:spacing w:before="0" w:beforeAutospacing="0" w:after="200" w:afterAutospacing="0" w:line="276" w:lineRule="auto"/>
        <w:ind w:left="720" w:hanging="357"/>
        <w:jc w:val="both"/>
        <w:textAlignment w:val="baseline"/>
        <w:rPr>
          <w:rStyle w:val="normaltextrun"/>
          <w:rFonts w:ascii="Calibri" w:hAnsi="Calibri" w:cs="Segoe UI"/>
          <w:sz w:val="22"/>
          <w:szCs w:val="22"/>
        </w:rPr>
      </w:pPr>
      <w:r w:rsidRPr="001726E2">
        <w:rPr>
          <w:rStyle w:val="normaltextrun"/>
          <w:rFonts w:ascii="Calibri" w:hAnsi="Calibri" w:cs="Segoe UI"/>
          <w:sz w:val="22"/>
          <w:szCs w:val="22"/>
        </w:rPr>
        <w:t>Material de Consumo,</w:t>
      </w:r>
    </w:p>
    <w:p w14:paraId="497EED66" w14:textId="77777777" w:rsidR="00742215" w:rsidRPr="001726E2" w:rsidRDefault="00742215" w:rsidP="00060AE0">
      <w:pPr>
        <w:pStyle w:val="paragraph"/>
        <w:numPr>
          <w:ilvl w:val="0"/>
          <w:numId w:val="5"/>
        </w:numPr>
        <w:spacing w:before="0" w:beforeAutospacing="0" w:after="200" w:afterAutospacing="0" w:line="276" w:lineRule="auto"/>
        <w:ind w:left="720" w:hanging="357"/>
        <w:jc w:val="both"/>
        <w:textAlignment w:val="baseline"/>
        <w:rPr>
          <w:rStyle w:val="normaltextrun"/>
          <w:rFonts w:ascii="Calibri" w:hAnsi="Calibri" w:cs="Segoe UI"/>
          <w:sz w:val="22"/>
          <w:szCs w:val="22"/>
        </w:rPr>
      </w:pPr>
      <w:r w:rsidRPr="001726E2">
        <w:rPr>
          <w:rStyle w:val="normaltextrun"/>
          <w:rFonts w:ascii="Calibri" w:hAnsi="Calibri" w:cs="Segoe UI"/>
          <w:sz w:val="22"/>
          <w:szCs w:val="22"/>
        </w:rPr>
        <w:t>Material Permanente, e</w:t>
      </w:r>
    </w:p>
    <w:p w14:paraId="6F7E08FF" w14:textId="77777777" w:rsidR="00742215" w:rsidRDefault="00742215" w:rsidP="00060AE0">
      <w:pPr>
        <w:pStyle w:val="paragraph"/>
        <w:numPr>
          <w:ilvl w:val="0"/>
          <w:numId w:val="5"/>
        </w:numPr>
        <w:spacing w:before="0" w:beforeAutospacing="0" w:after="200" w:afterAutospacing="0" w:line="276" w:lineRule="auto"/>
        <w:ind w:left="720" w:hanging="357"/>
        <w:jc w:val="both"/>
        <w:textAlignment w:val="baseline"/>
        <w:rPr>
          <w:rStyle w:val="normaltextrun"/>
          <w:rFonts w:ascii="Calibri" w:hAnsi="Calibri" w:cs="Segoe UI"/>
          <w:sz w:val="22"/>
          <w:szCs w:val="22"/>
        </w:rPr>
      </w:pPr>
      <w:r w:rsidRPr="001726E2">
        <w:rPr>
          <w:rStyle w:val="normaltextrun"/>
          <w:rFonts w:ascii="Calibri" w:hAnsi="Calibri" w:cs="Segoe UI"/>
          <w:sz w:val="22"/>
          <w:szCs w:val="22"/>
        </w:rPr>
        <w:t>Manutenção Predial</w:t>
      </w:r>
    </w:p>
    <w:p w14:paraId="1821BEE2" w14:textId="59CB8994" w:rsidR="004A7317" w:rsidRPr="001726E2" w:rsidRDefault="004A7317" w:rsidP="00C7429D">
      <w:pPr>
        <w:pStyle w:val="Ttulo2"/>
      </w:pPr>
      <w:bookmarkStart w:id="4" w:name="_Toc113971743"/>
      <w:r w:rsidRPr="001726E2">
        <w:t>Objetivos Gerais</w:t>
      </w:r>
      <w:bookmarkEnd w:id="4"/>
    </w:p>
    <w:p w14:paraId="53AF6F35" w14:textId="77777777" w:rsidR="00790751" w:rsidRPr="001726E2" w:rsidRDefault="00790751" w:rsidP="0039724D">
      <w:pPr>
        <w:jc w:val="both"/>
      </w:pPr>
      <w:r w:rsidRPr="001726E2">
        <w:t>Os objetivos gerais do Plano de Logística Sustentável – PLS são:</w:t>
      </w:r>
    </w:p>
    <w:p w14:paraId="0F07AB5F" w14:textId="37758DCF" w:rsidR="00790751" w:rsidRPr="001726E2" w:rsidRDefault="00790751" w:rsidP="005C419C">
      <w:pPr>
        <w:pStyle w:val="PargrafodaLista"/>
        <w:numPr>
          <w:ilvl w:val="0"/>
          <w:numId w:val="1"/>
        </w:numPr>
        <w:spacing w:after="120" w:line="276" w:lineRule="auto"/>
        <w:ind w:left="714" w:hanging="357"/>
        <w:jc w:val="both"/>
      </w:pPr>
      <w:r w:rsidRPr="001726E2">
        <w:rPr>
          <w:rFonts w:asciiTheme="minorHAnsi" w:hAnsiTheme="minorHAnsi"/>
          <w:sz w:val="22"/>
          <w:szCs w:val="22"/>
        </w:rPr>
        <w:t xml:space="preserve">Consolidar, organizar, aprimorar e sistematizar as boas práticas de responsabilidade socioambiental já em andamento na Advocacia-Geral da União – AGU </w:t>
      </w:r>
      <w:r w:rsidR="00547674" w:rsidRPr="001726E2">
        <w:rPr>
          <w:rFonts w:asciiTheme="minorHAnsi" w:hAnsiTheme="minorHAnsi"/>
          <w:sz w:val="22"/>
          <w:szCs w:val="22"/>
        </w:rPr>
        <w:t>além d</w:t>
      </w:r>
      <w:r w:rsidRPr="001726E2">
        <w:rPr>
          <w:rFonts w:asciiTheme="minorHAnsi" w:hAnsiTheme="minorHAnsi"/>
          <w:sz w:val="22"/>
          <w:szCs w:val="22"/>
        </w:rPr>
        <w:t>e fornecer diretrizes para novas ações;</w:t>
      </w:r>
    </w:p>
    <w:p w14:paraId="00D01197" w14:textId="3B46AE6C" w:rsidR="00790751" w:rsidRPr="001726E2" w:rsidRDefault="00790751" w:rsidP="005C419C">
      <w:pPr>
        <w:pStyle w:val="PargrafodaLista"/>
        <w:numPr>
          <w:ilvl w:val="0"/>
          <w:numId w:val="1"/>
        </w:numPr>
        <w:spacing w:after="120" w:line="276" w:lineRule="auto"/>
        <w:jc w:val="both"/>
      </w:pPr>
      <w:r w:rsidRPr="001726E2">
        <w:rPr>
          <w:rFonts w:asciiTheme="minorHAnsi" w:hAnsiTheme="minorHAnsi"/>
          <w:sz w:val="22"/>
          <w:szCs w:val="22"/>
        </w:rPr>
        <w:lastRenderedPageBreak/>
        <w:t>Estabelecer um conjunto de ações para a inserção de atributos de sustentabilidade na gestão da logística da AGU;</w:t>
      </w:r>
    </w:p>
    <w:p w14:paraId="23ACE7D5" w14:textId="425661A8" w:rsidR="00790751" w:rsidRPr="001726E2" w:rsidRDefault="00790751" w:rsidP="005C419C">
      <w:pPr>
        <w:pStyle w:val="PargrafodaLista"/>
        <w:numPr>
          <w:ilvl w:val="0"/>
          <w:numId w:val="1"/>
        </w:numPr>
        <w:spacing w:after="120" w:line="276" w:lineRule="auto"/>
        <w:jc w:val="both"/>
      </w:pPr>
      <w:r w:rsidRPr="001726E2">
        <w:rPr>
          <w:rFonts w:asciiTheme="minorHAnsi" w:hAnsiTheme="minorHAnsi"/>
          <w:sz w:val="22"/>
          <w:szCs w:val="22"/>
        </w:rPr>
        <w:t>Promover a aprendizagem organizacional especialmente no que se refere à gestão por resultados;</w:t>
      </w:r>
    </w:p>
    <w:p w14:paraId="7010749B" w14:textId="7A5A59F2" w:rsidR="00790751" w:rsidRPr="001726E2" w:rsidRDefault="00790751" w:rsidP="005C419C">
      <w:pPr>
        <w:pStyle w:val="PargrafodaLista"/>
        <w:numPr>
          <w:ilvl w:val="0"/>
          <w:numId w:val="1"/>
        </w:numPr>
        <w:spacing w:after="120" w:line="276" w:lineRule="auto"/>
        <w:jc w:val="both"/>
      </w:pPr>
      <w:r w:rsidRPr="001726E2">
        <w:rPr>
          <w:rFonts w:asciiTheme="minorHAnsi" w:hAnsiTheme="minorHAnsi"/>
          <w:sz w:val="22"/>
          <w:szCs w:val="22"/>
        </w:rPr>
        <w:t>Promover a melhoria contínua dos processos de trabalho com a inserção de requisitos de sustentabilidade;</w:t>
      </w:r>
    </w:p>
    <w:p w14:paraId="4AE97C82" w14:textId="4949E461" w:rsidR="00790751" w:rsidRPr="001726E2" w:rsidRDefault="00790751" w:rsidP="005C419C">
      <w:pPr>
        <w:pStyle w:val="PargrafodaLista"/>
        <w:numPr>
          <w:ilvl w:val="0"/>
          <w:numId w:val="1"/>
        </w:numPr>
        <w:spacing w:after="120" w:line="276" w:lineRule="auto"/>
        <w:jc w:val="both"/>
      </w:pPr>
      <w:r w:rsidRPr="001726E2">
        <w:rPr>
          <w:rFonts w:asciiTheme="minorHAnsi" w:hAnsiTheme="minorHAnsi"/>
          <w:sz w:val="22"/>
          <w:szCs w:val="22"/>
        </w:rPr>
        <w:t xml:space="preserve">Difundir e promover a prática da </w:t>
      </w:r>
      <w:r w:rsidR="001D29DF">
        <w:rPr>
          <w:rFonts w:asciiTheme="minorHAnsi" w:hAnsiTheme="minorHAnsi"/>
          <w:sz w:val="22"/>
          <w:szCs w:val="22"/>
        </w:rPr>
        <w:t>eco</w:t>
      </w:r>
      <w:r w:rsidR="001D29DF" w:rsidRPr="001726E2">
        <w:rPr>
          <w:rFonts w:asciiTheme="minorHAnsi" w:hAnsiTheme="minorHAnsi"/>
          <w:sz w:val="22"/>
          <w:szCs w:val="22"/>
        </w:rPr>
        <w:t>eficiência</w:t>
      </w:r>
      <w:r w:rsidRPr="001726E2">
        <w:rPr>
          <w:rFonts w:asciiTheme="minorHAnsi" w:hAnsiTheme="minorHAnsi"/>
          <w:sz w:val="22"/>
          <w:szCs w:val="22"/>
        </w:rPr>
        <w:t>;</w:t>
      </w:r>
    </w:p>
    <w:p w14:paraId="52D995B2" w14:textId="7C89E3E8" w:rsidR="00790751" w:rsidRPr="001726E2" w:rsidRDefault="00790751" w:rsidP="005C419C">
      <w:pPr>
        <w:pStyle w:val="PargrafodaLista"/>
        <w:numPr>
          <w:ilvl w:val="0"/>
          <w:numId w:val="1"/>
        </w:numPr>
        <w:spacing w:after="120" w:line="276" w:lineRule="auto"/>
        <w:jc w:val="both"/>
      </w:pPr>
      <w:r w:rsidRPr="001726E2">
        <w:rPr>
          <w:rFonts w:asciiTheme="minorHAnsi" w:hAnsiTheme="minorHAnsi"/>
          <w:sz w:val="22"/>
          <w:szCs w:val="22"/>
        </w:rPr>
        <w:t>Promover o desenvolvimento de competências para a sustentabilidade e a capacitação continuada;</w:t>
      </w:r>
    </w:p>
    <w:p w14:paraId="0BA60E93" w14:textId="7A0A9B17" w:rsidR="00790751" w:rsidRPr="001726E2" w:rsidRDefault="00790751" w:rsidP="005C419C">
      <w:pPr>
        <w:pStyle w:val="PargrafodaLista"/>
        <w:numPr>
          <w:ilvl w:val="0"/>
          <w:numId w:val="1"/>
        </w:numPr>
        <w:spacing w:after="120" w:line="276" w:lineRule="auto"/>
        <w:jc w:val="both"/>
      </w:pPr>
      <w:r w:rsidRPr="001726E2">
        <w:rPr>
          <w:rFonts w:asciiTheme="minorHAnsi" w:hAnsiTheme="minorHAnsi"/>
          <w:sz w:val="22"/>
          <w:szCs w:val="22"/>
        </w:rPr>
        <w:t>Promover a sensibilização do corpo funcional para os impactos ambientais, sociais e econômicos decorrentes da atividade produtiva.</w:t>
      </w:r>
    </w:p>
    <w:p w14:paraId="23BF8C80" w14:textId="77777777" w:rsidR="005A606B" w:rsidRPr="001726E2" w:rsidRDefault="005A606B">
      <w:pPr>
        <w:jc w:val="both"/>
      </w:pPr>
    </w:p>
    <w:p w14:paraId="6C8E961C" w14:textId="738DA130" w:rsidR="004A7317" w:rsidRPr="001726E2" w:rsidRDefault="004A7317" w:rsidP="00C7429D">
      <w:pPr>
        <w:pStyle w:val="Ttulo2"/>
      </w:pPr>
      <w:bookmarkStart w:id="5" w:name="_Toc113971744"/>
      <w:r w:rsidRPr="001726E2">
        <w:t>Objetivos Específicos</w:t>
      </w:r>
      <w:bookmarkEnd w:id="5"/>
    </w:p>
    <w:p w14:paraId="03ECB4AD" w14:textId="6E29F272" w:rsidR="00790751" w:rsidRPr="001726E2" w:rsidRDefault="005A606B">
      <w:pPr>
        <w:jc w:val="both"/>
      </w:pPr>
      <w:r w:rsidRPr="001726E2">
        <w:t xml:space="preserve">Os objetivos específicos </w:t>
      </w:r>
      <w:r w:rsidR="000447FC" w:rsidRPr="001726E2">
        <w:t xml:space="preserve">do </w:t>
      </w:r>
      <w:r w:rsidR="00E078BA" w:rsidRPr="001726E2">
        <w:t xml:space="preserve">Plano de Logística Sustentável – </w:t>
      </w:r>
      <w:r w:rsidR="000447FC" w:rsidRPr="001726E2">
        <w:t xml:space="preserve">PLS </w:t>
      </w:r>
      <w:r w:rsidRPr="001726E2">
        <w:t>são:</w:t>
      </w:r>
    </w:p>
    <w:p w14:paraId="35FF9054" w14:textId="0AC272AE" w:rsidR="005A606B" w:rsidRPr="001726E2" w:rsidRDefault="005A606B" w:rsidP="005C419C">
      <w:pPr>
        <w:pStyle w:val="PargrafodaLista"/>
        <w:numPr>
          <w:ilvl w:val="0"/>
          <w:numId w:val="2"/>
        </w:numPr>
        <w:spacing w:after="120" w:line="276" w:lineRule="auto"/>
        <w:ind w:left="714" w:hanging="357"/>
        <w:jc w:val="both"/>
      </w:pPr>
      <w:r w:rsidRPr="001726E2">
        <w:rPr>
          <w:rFonts w:asciiTheme="minorHAnsi" w:hAnsiTheme="minorHAnsi"/>
          <w:sz w:val="22"/>
          <w:szCs w:val="22"/>
        </w:rPr>
        <w:t>Promover a boa gestão de recursos e eficiência do gasto público, considerando atributos de sustentabilidade, redução de custos e combate ao desperdício;</w:t>
      </w:r>
    </w:p>
    <w:p w14:paraId="7A3FD1AC" w14:textId="4D384229" w:rsidR="005A606B" w:rsidRPr="001726E2" w:rsidRDefault="005A606B" w:rsidP="005C419C">
      <w:pPr>
        <w:pStyle w:val="PargrafodaLista"/>
        <w:numPr>
          <w:ilvl w:val="0"/>
          <w:numId w:val="2"/>
        </w:numPr>
        <w:spacing w:after="120" w:line="276" w:lineRule="auto"/>
        <w:ind w:left="714" w:hanging="357"/>
        <w:jc w:val="both"/>
      </w:pPr>
      <w:r w:rsidRPr="001726E2">
        <w:rPr>
          <w:rFonts w:asciiTheme="minorHAnsi" w:hAnsiTheme="minorHAnsi"/>
          <w:sz w:val="22"/>
          <w:szCs w:val="22"/>
        </w:rPr>
        <w:t>Revisar e aprimorar os processos de compras e contratações, com vistas ao desenvolvimento de especificações para aquisição de bens, serviços e projetos pautados por critérios de sustentabilidade;</w:t>
      </w:r>
    </w:p>
    <w:p w14:paraId="30692835" w14:textId="35B7E829" w:rsidR="005A606B" w:rsidRPr="001726E2" w:rsidRDefault="005A606B" w:rsidP="005C419C">
      <w:pPr>
        <w:pStyle w:val="PargrafodaLista"/>
        <w:numPr>
          <w:ilvl w:val="0"/>
          <w:numId w:val="2"/>
        </w:numPr>
        <w:spacing w:after="120" w:line="276" w:lineRule="auto"/>
        <w:ind w:left="714" w:hanging="357"/>
        <w:jc w:val="both"/>
      </w:pPr>
      <w:r w:rsidRPr="001726E2">
        <w:rPr>
          <w:rFonts w:asciiTheme="minorHAnsi" w:hAnsiTheme="minorHAnsi"/>
          <w:sz w:val="22"/>
          <w:szCs w:val="22"/>
        </w:rPr>
        <w:t>Estruturar o sistema de licitações para consecução da melhor contratação (aquisição de bens e contratação de serviços) pa</w:t>
      </w:r>
      <w:r w:rsidR="00792940" w:rsidRPr="001726E2">
        <w:rPr>
          <w:rFonts w:asciiTheme="minorHAnsi" w:hAnsiTheme="minorHAnsi"/>
          <w:sz w:val="22"/>
          <w:szCs w:val="22"/>
        </w:rPr>
        <w:t>r</w:t>
      </w:r>
      <w:r w:rsidRPr="001726E2">
        <w:rPr>
          <w:rFonts w:asciiTheme="minorHAnsi" w:hAnsiTheme="minorHAnsi"/>
          <w:sz w:val="22"/>
          <w:szCs w:val="22"/>
        </w:rPr>
        <w:t>a o serviço público e para a saciedade, conforme o interesse pelo “desenvolvimento nacional sustentável” expresso na Lei das Licitações e Contratos da Administração Pública (Lei nº 8.666/1993, e no Decreto nº 7.746/2012;</w:t>
      </w:r>
    </w:p>
    <w:p w14:paraId="3291CA3C" w14:textId="7E0A4537" w:rsidR="005A606B" w:rsidRPr="001726E2" w:rsidRDefault="005A606B" w:rsidP="005C419C">
      <w:pPr>
        <w:pStyle w:val="PargrafodaLista"/>
        <w:numPr>
          <w:ilvl w:val="0"/>
          <w:numId w:val="2"/>
        </w:numPr>
        <w:spacing w:after="120" w:line="276" w:lineRule="auto"/>
        <w:ind w:left="714" w:hanging="357"/>
        <w:jc w:val="both"/>
      </w:pPr>
      <w:r w:rsidRPr="001726E2">
        <w:rPr>
          <w:rFonts w:asciiTheme="minorHAnsi" w:hAnsiTheme="minorHAnsi"/>
          <w:sz w:val="22"/>
          <w:szCs w:val="22"/>
        </w:rPr>
        <w:t>Qualificar as instalações e as edificações para melhor utilização e aproveitamento dos recursos naturais;</w:t>
      </w:r>
    </w:p>
    <w:p w14:paraId="6C150914" w14:textId="08A16EEA" w:rsidR="005A606B" w:rsidRPr="001726E2" w:rsidRDefault="005A606B" w:rsidP="005C419C">
      <w:pPr>
        <w:pStyle w:val="PargrafodaLista"/>
        <w:numPr>
          <w:ilvl w:val="0"/>
          <w:numId w:val="2"/>
        </w:numPr>
        <w:spacing w:after="120" w:line="276" w:lineRule="auto"/>
        <w:ind w:left="714" w:hanging="357"/>
        <w:jc w:val="both"/>
      </w:pPr>
      <w:r w:rsidRPr="001726E2">
        <w:rPr>
          <w:rFonts w:asciiTheme="minorHAnsi" w:hAnsiTheme="minorHAnsi"/>
          <w:sz w:val="22"/>
          <w:szCs w:val="22"/>
        </w:rPr>
        <w:t>Aprimorar estruturas e sistemas de serviços das edificações construídas, reformadas e utilizadas pela AGU;</w:t>
      </w:r>
    </w:p>
    <w:p w14:paraId="25F023FD" w14:textId="32A5D837" w:rsidR="005A606B" w:rsidRPr="001726E2" w:rsidRDefault="005A606B" w:rsidP="005C419C">
      <w:pPr>
        <w:pStyle w:val="PargrafodaLista"/>
        <w:numPr>
          <w:ilvl w:val="0"/>
          <w:numId w:val="2"/>
        </w:numPr>
        <w:spacing w:after="120" w:line="276" w:lineRule="auto"/>
        <w:ind w:left="714" w:hanging="357"/>
        <w:jc w:val="both"/>
      </w:pPr>
      <w:r w:rsidRPr="001726E2">
        <w:rPr>
          <w:rFonts w:asciiTheme="minorHAnsi" w:hAnsiTheme="minorHAnsi"/>
          <w:sz w:val="22"/>
          <w:szCs w:val="22"/>
        </w:rPr>
        <w:t>Implementar plano de gestão de resíduos, estabelecer parcerias, visando à reciclagem de resíduos ou à destinação ambientalmente correta, e</w:t>
      </w:r>
    </w:p>
    <w:p w14:paraId="3C685CF2" w14:textId="7EDEC286" w:rsidR="005A606B" w:rsidRPr="001726E2" w:rsidRDefault="005A606B" w:rsidP="005C419C">
      <w:pPr>
        <w:pStyle w:val="PargrafodaLista"/>
        <w:numPr>
          <w:ilvl w:val="0"/>
          <w:numId w:val="2"/>
        </w:numPr>
        <w:spacing w:after="120" w:line="276" w:lineRule="auto"/>
        <w:ind w:left="714" w:hanging="357"/>
        <w:jc w:val="both"/>
      </w:pPr>
      <w:r w:rsidRPr="001726E2">
        <w:rPr>
          <w:rFonts w:asciiTheme="minorHAnsi" w:hAnsiTheme="minorHAnsi"/>
          <w:sz w:val="22"/>
          <w:szCs w:val="22"/>
        </w:rPr>
        <w:t>Promover a qualidade de vida no ambiente do trabalho.</w:t>
      </w:r>
    </w:p>
    <w:p w14:paraId="656130EB" w14:textId="3F8DDED9" w:rsidR="0039724D" w:rsidRPr="00304144" w:rsidRDefault="00790751" w:rsidP="0039724D">
      <w:pPr>
        <w:jc w:val="both"/>
        <w:rPr>
          <w:color w:val="FF0000"/>
        </w:rPr>
      </w:pPr>
      <w:r w:rsidRPr="00304144">
        <w:rPr>
          <w:rFonts w:eastAsiaTheme="majorEastAsia" w:cstheme="majorBidi"/>
          <w:bCs/>
          <w:color w:val="FF0000"/>
        </w:rPr>
        <w:t xml:space="preserve"> </w:t>
      </w:r>
      <w:bookmarkEnd w:id="3"/>
    </w:p>
    <w:p w14:paraId="36E49005" w14:textId="3CD88DE9" w:rsidR="00287116" w:rsidRDefault="00287116" w:rsidP="0072444D">
      <w:pPr>
        <w:rPr>
          <w:rFonts w:eastAsiaTheme="majorEastAsia" w:cstheme="majorBidi"/>
          <w:bCs/>
          <w:sz w:val="72"/>
          <w:szCs w:val="28"/>
        </w:rPr>
      </w:pPr>
      <w:bookmarkStart w:id="6" w:name="_Toc46510932"/>
      <w:r>
        <w:br w:type="page"/>
      </w:r>
    </w:p>
    <w:p w14:paraId="332AD326" w14:textId="09E59B6D" w:rsidR="00D864E3" w:rsidRPr="001726E2" w:rsidRDefault="00C11224" w:rsidP="00C7429D">
      <w:pPr>
        <w:pStyle w:val="Ttulo1"/>
        <w:ind w:left="357"/>
      </w:pPr>
      <w:bookmarkStart w:id="7" w:name="_Toc113971745"/>
      <w:bookmarkEnd w:id="6"/>
      <w:r>
        <w:lastRenderedPageBreak/>
        <w:t>Considerações iniciais</w:t>
      </w:r>
      <w:bookmarkEnd w:id="7"/>
    </w:p>
    <w:p w14:paraId="5A17461D" w14:textId="77777777" w:rsidR="000447FC" w:rsidRPr="001726E2" w:rsidRDefault="000447FC" w:rsidP="00C7429D"/>
    <w:p w14:paraId="67937E17" w14:textId="67209647" w:rsidR="00D864E3" w:rsidRPr="001726E2" w:rsidRDefault="00AE189D" w:rsidP="00C7429D">
      <w:pPr>
        <w:jc w:val="both"/>
      </w:pPr>
      <w:r w:rsidRPr="001726E2">
        <w:t>O</w:t>
      </w:r>
      <w:r w:rsidRPr="001726E2">
        <w:rPr>
          <w:b/>
          <w:bCs/>
        </w:rPr>
        <w:t xml:space="preserve"> </w:t>
      </w:r>
      <w:r w:rsidRPr="001726E2">
        <w:t xml:space="preserve">Plano de Logística Sustentável da AGU – PLS, como ferramenta de gestão, proporciona </w:t>
      </w:r>
      <w:r w:rsidR="00844D5B" w:rsidRPr="001726E2">
        <w:t xml:space="preserve">o acompanhamento de </w:t>
      </w:r>
      <w:r w:rsidRPr="001726E2">
        <w:t xml:space="preserve">práticas de </w:t>
      </w:r>
      <w:r w:rsidRPr="001726E2">
        <w:rPr>
          <w:b/>
          <w:bCs/>
        </w:rPr>
        <w:t>sustentabilidade</w:t>
      </w:r>
      <w:r w:rsidRPr="001726E2">
        <w:t xml:space="preserve">, com </w:t>
      </w:r>
      <w:r w:rsidRPr="001726E2">
        <w:rPr>
          <w:b/>
          <w:bCs/>
        </w:rPr>
        <w:t>eficiência e</w:t>
      </w:r>
      <w:r w:rsidRPr="001726E2">
        <w:t xml:space="preserve"> </w:t>
      </w:r>
      <w:r w:rsidRPr="001726E2">
        <w:rPr>
          <w:b/>
          <w:bCs/>
        </w:rPr>
        <w:t>racionalização d</w:t>
      </w:r>
      <w:r w:rsidR="00844D5B" w:rsidRPr="001726E2">
        <w:rPr>
          <w:b/>
          <w:bCs/>
        </w:rPr>
        <w:t>os</w:t>
      </w:r>
      <w:r w:rsidRPr="001726E2">
        <w:rPr>
          <w:b/>
          <w:bCs/>
        </w:rPr>
        <w:t xml:space="preserve"> gastos</w:t>
      </w:r>
      <w:r w:rsidR="00844D5B" w:rsidRPr="001726E2">
        <w:rPr>
          <w:b/>
          <w:bCs/>
        </w:rPr>
        <w:t xml:space="preserve"> e dos processos</w:t>
      </w:r>
      <w:r w:rsidRPr="001726E2">
        <w:t>, visando mitigar impactos socioambientais negativos, estando em consonância com a legislação em vigor.</w:t>
      </w:r>
    </w:p>
    <w:p w14:paraId="459AB0D6" w14:textId="0394B4D2" w:rsidR="00D068DD" w:rsidRPr="001726E2" w:rsidRDefault="00844D5B" w:rsidP="000447FC">
      <w:pPr>
        <w:jc w:val="both"/>
      </w:pPr>
      <w:r w:rsidRPr="001726E2">
        <w:t xml:space="preserve">Algumas definições são apresentadas a seguir </w:t>
      </w:r>
      <w:r w:rsidR="00D068DD" w:rsidRPr="001726E2">
        <w:t>devido à importância da sua compreensão:</w:t>
      </w:r>
    </w:p>
    <w:p w14:paraId="4BD90D97" w14:textId="757A62C9" w:rsidR="00D068DD" w:rsidRPr="001726E2" w:rsidRDefault="006E1581" w:rsidP="00AF296E">
      <w:pPr>
        <w:pStyle w:val="PargrafodaLista"/>
        <w:numPr>
          <w:ilvl w:val="0"/>
          <w:numId w:val="3"/>
        </w:numPr>
        <w:spacing w:after="200" w:line="276" w:lineRule="auto"/>
        <w:ind w:left="714" w:hanging="357"/>
        <w:jc w:val="both"/>
      </w:pPr>
      <w:r w:rsidRPr="001726E2">
        <w:rPr>
          <w:rFonts w:asciiTheme="minorHAnsi" w:hAnsiTheme="minorHAnsi"/>
          <w:b/>
          <w:sz w:val="22"/>
          <w:szCs w:val="22"/>
        </w:rPr>
        <w:t>M</w:t>
      </w:r>
      <w:r w:rsidR="00250B11" w:rsidRPr="001726E2">
        <w:rPr>
          <w:rFonts w:asciiTheme="minorHAnsi" w:hAnsiTheme="minorHAnsi"/>
          <w:b/>
          <w:sz w:val="22"/>
          <w:szCs w:val="22"/>
        </w:rPr>
        <w:t>eta</w:t>
      </w:r>
      <w:r w:rsidR="00250B11" w:rsidRPr="001726E2">
        <w:rPr>
          <w:rFonts w:asciiTheme="minorHAnsi" w:hAnsiTheme="minorHAnsi"/>
          <w:sz w:val="22"/>
          <w:szCs w:val="22"/>
        </w:rPr>
        <w:t xml:space="preserve"> </w:t>
      </w:r>
      <w:r w:rsidRPr="001726E2">
        <w:rPr>
          <w:rFonts w:asciiTheme="minorHAnsi" w:hAnsiTheme="minorHAnsi"/>
          <w:sz w:val="22"/>
          <w:szCs w:val="22"/>
        </w:rPr>
        <w:t xml:space="preserve">é </w:t>
      </w:r>
      <w:r w:rsidR="00250B11" w:rsidRPr="001726E2">
        <w:rPr>
          <w:rFonts w:asciiTheme="minorHAnsi" w:hAnsiTheme="minorHAnsi"/>
          <w:sz w:val="22"/>
          <w:szCs w:val="22"/>
        </w:rPr>
        <w:t>o que se pretende alcançar dentro d</w:t>
      </w:r>
      <w:r w:rsidR="009C5E87" w:rsidRPr="001726E2">
        <w:rPr>
          <w:rFonts w:asciiTheme="minorHAnsi" w:hAnsiTheme="minorHAnsi"/>
          <w:sz w:val="22"/>
          <w:szCs w:val="22"/>
        </w:rPr>
        <w:t>e um</w:t>
      </w:r>
      <w:r w:rsidR="00250B11" w:rsidRPr="001726E2">
        <w:rPr>
          <w:rFonts w:asciiTheme="minorHAnsi" w:hAnsiTheme="minorHAnsi"/>
          <w:sz w:val="22"/>
          <w:szCs w:val="22"/>
        </w:rPr>
        <w:t xml:space="preserve"> período</w:t>
      </w:r>
      <w:r w:rsidR="009C5E87" w:rsidRPr="001726E2">
        <w:rPr>
          <w:rFonts w:asciiTheme="minorHAnsi" w:hAnsiTheme="minorHAnsi"/>
          <w:sz w:val="22"/>
          <w:szCs w:val="22"/>
        </w:rPr>
        <w:t>, no caso da AGU</w:t>
      </w:r>
      <w:r w:rsidR="00250B11" w:rsidRPr="001726E2">
        <w:rPr>
          <w:rFonts w:asciiTheme="minorHAnsi" w:hAnsiTheme="minorHAnsi"/>
          <w:sz w:val="22"/>
          <w:szCs w:val="22"/>
        </w:rPr>
        <w:t xml:space="preserve"> </w:t>
      </w:r>
      <w:r w:rsidRPr="001726E2">
        <w:rPr>
          <w:rFonts w:asciiTheme="minorHAnsi" w:hAnsiTheme="minorHAnsi"/>
          <w:sz w:val="22"/>
          <w:szCs w:val="22"/>
        </w:rPr>
        <w:t>de um ano.</w:t>
      </w:r>
    </w:p>
    <w:p w14:paraId="5BDAB873" w14:textId="77777777" w:rsidR="00D068DD" w:rsidRPr="001726E2" w:rsidRDefault="00D068DD" w:rsidP="00AF296E">
      <w:pPr>
        <w:pStyle w:val="PargrafodaLista"/>
        <w:numPr>
          <w:ilvl w:val="0"/>
          <w:numId w:val="3"/>
        </w:numPr>
        <w:spacing w:after="200" w:line="276" w:lineRule="auto"/>
        <w:ind w:left="714" w:hanging="357"/>
        <w:jc w:val="both"/>
      </w:pPr>
      <w:r w:rsidRPr="001726E2">
        <w:rPr>
          <w:rFonts w:asciiTheme="minorHAnsi" w:hAnsiTheme="minorHAnsi"/>
          <w:b/>
          <w:sz w:val="22"/>
          <w:szCs w:val="22"/>
        </w:rPr>
        <w:t>I</w:t>
      </w:r>
      <w:r w:rsidR="00250B11" w:rsidRPr="001726E2">
        <w:rPr>
          <w:rFonts w:asciiTheme="minorHAnsi" w:hAnsiTheme="minorHAnsi"/>
          <w:b/>
          <w:sz w:val="22"/>
          <w:szCs w:val="22"/>
        </w:rPr>
        <w:t>ndicadores</w:t>
      </w:r>
      <w:r w:rsidR="00250B11" w:rsidRPr="001726E2">
        <w:rPr>
          <w:rFonts w:asciiTheme="minorHAnsi" w:hAnsiTheme="minorHAnsi"/>
          <w:sz w:val="22"/>
          <w:szCs w:val="22"/>
        </w:rPr>
        <w:t xml:space="preserve"> verificam o cumprimento das metas anuais estabelecidas e auxiliam na realização de plano de ação com o registro das medidas planejadas e executadas para o atingimento das metas.</w:t>
      </w:r>
    </w:p>
    <w:p w14:paraId="13C37A8C" w14:textId="15CDEB26" w:rsidR="00250B11" w:rsidRPr="001726E2" w:rsidRDefault="00D068DD" w:rsidP="00AF296E">
      <w:pPr>
        <w:pStyle w:val="PargrafodaLista"/>
        <w:numPr>
          <w:ilvl w:val="0"/>
          <w:numId w:val="3"/>
        </w:numPr>
        <w:spacing w:after="200" w:line="276" w:lineRule="auto"/>
        <w:ind w:left="714" w:hanging="357"/>
        <w:jc w:val="both"/>
      </w:pPr>
      <w:r w:rsidRPr="001726E2">
        <w:rPr>
          <w:rFonts w:asciiTheme="minorHAnsi" w:hAnsiTheme="minorHAnsi"/>
          <w:sz w:val="22"/>
          <w:szCs w:val="22"/>
        </w:rPr>
        <w:t>M</w:t>
      </w:r>
      <w:r w:rsidR="00250B11" w:rsidRPr="001726E2">
        <w:rPr>
          <w:rFonts w:asciiTheme="minorHAnsi" w:hAnsiTheme="minorHAnsi"/>
          <w:b/>
          <w:sz w:val="22"/>
          <w:szCs w:val="22"/>
        </w:rPr>
        <w:t>étricas</w:t>
      </w:r>
      <w:r w:rsidR="00250B11" w:rsidRPr="001726E2">
        <w:rPr>
          <w:rFonts w:asciiTheme="minorHAnsi" w:hAnsiTheme="minorHAnsi"/>
          <w:sz w:val="22"/>
          <w:szCs w:val="22"/>
        </w:rPr>
        <w:t xml:space="preserve"> envolvem o monitoramento de determinada variável relevante para o tema, entretanto sem a definição de metas. Objetivam a formação de uma base de dados (série histórica) que complementa a análise e avaliação dos indicadores. Uma métrica poderá, em momento futuro, vir a se tornar um novo indicador.</w:t>
      </w:r>
    </w:p>
    <w:p w14:paraId="26051C1B" w14:textId="09408298" w:rsidR="00861396" w:rsidRPr="000817AB" w:rsidRDefault="6D471B36" w:rsidP="00C7429D">
      <w:pPr>
        <w:jc w:val="both"/>
      </w:pPr>
      <w:r w:rsidRPr="00097123">
        <w:t>Em 202</w:t>
      </w:r>
      <w:r w:rsidR="00AF3E01" w:rsidRPr="00097123">
        <w:t>1</w:t>
      </w:r>
      <w:r w:rsidRPr="00097123">
        <w:t xml:space="preserve"> o PLS estava instalado em </w:t>
      </w:r>
      <w:r w:rsidR="77EE9709" w:rsidRPr="00097123">
        <w:t>5</w:t>
      </w:r>
      <w:r w:rsidRPr="00097123">
        <w:t xml:space="preserve"> Unidades da </w:t>
      </w:r>
      <w:r w:rsidR="5362F417" w:rsidRPr="00097123">
        <w:t xml:space="preserve">4ª </w:t>
      </w:r>
      <w:r w:rsidRPr="00097123">
        <w:t>região, o que correspond</w:t>
      </w:r>
      <w:r w:rsidR="5362F417" w:rsidRPr="00097123">
        <w:t>ia</w:t>
      </w:r>
      <w:r w:rsidRPr="00097123">
        <w:t xml:space="preserve"> a aproximadamente </w:t>
      </w:r>
      <w:r w:rsidR="5362F417" w:rsidRPr="00097123">
        <w:t>13</w:t>
      </w:r>
      <w:r w:rsidRPr="00097123">
        <w:t xml:space="preserve">% do total das Unidades jurisdicionada à </w:t>
      </w:r>
      <w:r w:rsidR="233173D1" w:rsidRPr="00097123">
        <w:t>SAD/RS</w:t>
      </w:r>
      <w:r w:rsidRPr="00097123">
        <w:t xml:space="preserve">. </w:t>
      </w:r>
      <w:r w:rsidR="00097123" w:rsidRPr="00097123">
        <w:t>Em</w:t>
      </w:r>
      <w:r w:rsidRPr="00097123">
        <w:t xml:space="preserve"> 202</w:t>
      </w:r>
      <w:r w:rsidR="00097123" w:rsidRPr="00097123">
        <w:t>2</w:t>
      </w:r>
      <w:r w:rsidRPr="00097123">
        <w:t xml:space="preserve"> </w:t>
      </w:r>
      <w:r w:rsidR="00097123" w:rsidRPr="00097123">
        <w:t>foi</w:t>
      </w:r>
      <w:r w:rsidRPr="00097123">
        <w:t xml:space="preserve"> ampliado para </w:t>
      </w:r>
      <w:r w:rsidR="00097123" w:rsidRPr="00097123">
        <w:t>12</w:t>
      </w:r>
      <w:r w:rsidRPr="00097123">
        <w:t xml:space="preserve"> Unidades, contemplando </w:t>
      </w:r>
      <w:r w:rsidR="2BCC0F73" w:rsidRPr="00097123">
        <w:t xml:space="preserve">todas </w:t>
      </w:r>
      <w:r w:rsidRPr="00097123">
        <w:t>as</w:t>
      </w:r>
      <w:r w:rsidR="30A458B8" w:rsidRPr="00097123">
        <w:t xml:space="preserve"> Unidades das</w:t>
      </w:r>
      <w:r w:rsidRPr="00097123">
        <w:t xml:space="preserve"> capitais </w:t>
      </w:r>
      <w:r w:rsidR="30A458B8" w:rsidRPr="00097123">
        <w:t xml:space="preserve">dos </w:t>
      </w:r>
      <w:r w:rsidR="60946024" w:rsidRPr="00097123">
        <w:t>três estados que compreendem a 4ª região, quais sejam, Rio Grande do Sul</w:t>
      </w:r>
      <w:r w:rsidR="5E3AD657" w:rsidRPr="00097123">
        <w:t>, Santa Catarina e Paraná</w:t>
      </w:r>
      <w:r w:rsidRPr="00097123">
        <w:t xml:space="preserve">. </w:t>
      </w:r>
      <w:r w:rsidR="00097123" w:rsidRPr="00097123">
        <w:t>Assim temos</w:t>
      </w:r>
      <w:r w:rsidRPr="00097123">
        <w:t xml:space="preserve"> em 202</w:t>
      </w:r>
      <w:r w:rsidR="00097123" w:rsidRPr="00097123">
        <w:t>2</w:t>
      </w:r>
      <w:r w:rsidRPr="00097123">
        <w:t xml:space="preserve"> cerca de </w:t>
      </w:r>
      <w:r w:rsidR="5E3AD657" w:rsidRPr="00097123">
        <w:t>3</w:t>
      </w:r>
      <w:r w:rsidR="281505A4" w:rsidRPr="00097123">
        <w:t>4</w:t>
      </w:r>
      <w:r w:rsidRPr="00097123">
        <w:t>% de Unidades com o PLS instalado.</w:t>
      </w:r>
    </w:p>
    <w:p w14:paraId="11931A8C" w14:textId="444953C9" w:rsidR="00E97287" w:rsidRDefault="00431752" w:rsidP="00C7429D">
      <w:pPr>
        <w:jc w:val="both"/>
      </w:pPr>
      <w:r>
        <w:t>Durante a execução do PLS de 202</w:t>
      </w:r>
      <w:r w:rsidR="00AF3E01">
        <w:t>1</w:t>
      </w:r>
      <w:r>
        <w:t xml:space="preserve"> foi observado que alguns indicadores se mostraram ineficientes em relação aos seus objetivos, em função de novas circunstâncias que provocaram</w:t>
      </w:r>
      <w:r w:rsidR="00ED10A5">
        <w:t xml:space="preserve"> transformações nas Unidades</w:t>
      </w:r>
      <w:r w:rsidR="00905A70">
        <w:t>.</w:t>
      </w:r>
    </w:p>
    <w:p w14:paraId="303D6146" w14:textId="400CD370" w:rsidR="001A48FC" w:rsidRDefault="00905A70" w:rsidP="00C7429D">
      <w:pPr>
        <w:jc w:val="both"/>
      </w:pPr>
      <w:r w:rsidRPr="00097123">
        <w:t>A pandemia da COVID-19 exigiu a inclusão de ações voltadas para a mitigação</w:t>
      </w:r>
      <w:r w:rsidR="00953FAD" w:rsidRPr="00097123">
        <w:t xml:space="preserve"> dos impactos na saúde do servidor e evidenciou</w:t>
      </w:r>
      <w:r w:rsidR="002F5FA7" w:rsidRPr="00097123">
        <w:t xml:space="preserve"> a necessidade de adequação de alguns indicadores. Sendo assim, para o exercício de 202</w:t>
      </w:r>
      <w:r w:rsidR="00AF3E01" w:rsidRPr="00097123">
        <w:t>2</w:t>
      </w:r>
      <w:r w:rsidR="002F5FA7" w:rsidRPr="00097123">
        <w:t xml:space="preserve"> foram criad</w:t>
      </w:r>
      <w:r w:rsidR="008E21F3" w:rsidRPr="00097123">
        <w:t xml:space="preserve">as metas de acompanhamento para a promoção de eventos voltados </w:t>
      </w:r>
      <w:r w:rsidR="001A48FC" w:rsidRPr="00097123">
        <w:t>à saúde, entre outras.</w:t>
      </w:r>
      <w:r w:rsidR="008F0BF3" w:rsidRPr="00097123">
        <w:t xml:space="preserve"> </w:t>
      </w:r>
      <w:r w:rsidR="001A48FC" w:rsidRPr="00097123">
        <w:t>As metas em 202</w:t>
      </w:r>
      <w:r w:rsidR="00097123" w:rsidRPr="00097123">
        <w:t>2</w:t>
      </w:r>
      <w:r w:rsidR="001A48FC" w:rsidRPr="00097123">
        <w:t xml:space="preserve"> </w:t>
      </w:r>
      <w:r w:rsidR="008F0BF3" w:rsidRPr="00097123">
        <w:t>sofreram consider</w:t>
      </w:r>
      <w:r w:rsidR="0054608C" w:rsidRPr="00097123">
        <w:t>áveis</w:t>
      </w:r>
      <w:r w:rsidR="008F0BF3" w:rsidRPr="00097123">
        <w:t xml:space="preserve"> impactos</w:t>
      </w:r>
      <w:r w:rsidR="0054608C" w:rsidRPr="00097123">
        <w:t xml:space="preserve"> por conta da pandemia</w:t>
      </w:r>
      <w:r w:rsidR="001C1E5C" w:rsidRPr="00097123">
        <w:t xml:space="preserve">, uma vez que muitas Unidades passaram a operar em regime de trabalho remoto </w:t>
      </w:r>
      <w:r w:rsidR="00414622" w:rsidRPr="00097123">
        <w:t>ou plantão.</w:t>
      </w:r>
    </w:p>
    <w:p w14:paraId="10A5082C" w14:textId="66C977B8" w:rsidR="00D068DD" w:rsidRDefault="00D068DD" w:rsidP="00C7429D">
      <w:pPr>
        <w:jc w:val="both"/>
      </w:pPr>
      <w:r w:rsidRPr="001726E2">
        <w:t>Para o exercício de 202</w:t>
      </w:r>
      <w:r w:rsidR="00840CA2">
        <w:t>2</w:t>
      </w:r>
      <w:r w:rsidRPr="001726E2">
        <w:t>, a Comissão Nacional Gestora do Plano de Logística Sustentável, buscou uma atualização da configuração de indicadores e métricas de forma a manter a atenção a</w:t>
      </w:r>
      <w:r w:rsidR="00B6649F" w:rsidRPr="001726E2">
        <w:t>os</w:t>
      </w:r>
      <w:r w:rsidRPr="001726E2">
        <w:t xml:space="preserve"> atributos e critérios de sustentabilidade, e permitir uma melhor coordenação das atividades que tenham por princípio a </w:t>
      </w:r>
      <w:r w:rsidRPr="001726E2">
        <w:rPr>
          <w:b/>
          <w:bCs/>
        </w:rPr>
        <w:t xml:space="preserve">gestão ambiental, </w:t>
      </w:r>
      <w:r w:rsidRPr="001726E2">
        <w:t xml:space="preserve">a </w:t>
      </w:r>
      <w:r w:rsidRPr="001726E2">
        <w:rPr>
          <w:b/>
          <w:bCs/>
        </w:rPr>
        <w:t>logística sustentável</w:t>
      </w:r>
      <w:r w:rsidRPr="001726E2">
        <w:t xml:space="preserve"> e a </w:t>
      </w:r>
      <w:r w:rsidRPr="001726E2">
        <w:rPr>
          <w:b/>
        </w:rPr>
        <w:t>racionalização dos gastos e dos processos</w:t>
      </w:r>
      <w:r w:rsidRPr="001726E2">
        <w:t>.</w:t>
      </w:r>
      <w:r w:rsidR="00387526">
        <w:t xml:space="preserve"> Alguns indicadores tiveram suas fórmulas adaptadas e outros foram substituídos em função de alterações nas </w:t>
      </w:r>
      <w:r w:rsidR="00AE2F51">
        <w:t>diretrizes do Órgão. Citamos alguns desses casos</w:t>
      </w:r>
      <w:r w:rsidR="00F25E07">
        <w:t>:</w:t>
      </w:r>
    </w:p>
    <w:p w14:paraId="324AE6A7" w14:textId="1D7A0353" w:rsidR="00F25E07" w:rsidRDefault="001905CA" w:rsidP="00C7429D">
      <w:pPr>
        <w:jc w:val="both"/>
      </w:pPr>
      <w:r w:rsidRPr="001905CA">
        <w:rPr>
          <w:b/>
          <w:bCs/>
        </w:rPr>
        <w:t>Compartilhamento de veículos</w:t>
      </w:r>
      <w:r w:rsidRPr="001905CA">
        <w:t xml:space="preserve"> - com a adoção dos serviços de taxi de forma mais efetiva, o indicador perdeu seu objetivo, uma vez que não mais existe a necessidade de compartilhar veículos nas capitais.</w:t>
      </w:r>
      <w:r w:rsidR="00233E7E">
        <w:t xml:space="preserve"> </w:t>
      </w:r>
      <w:r w:rsidR="00233E7E">
        <w:lastRenderedPageBreak/>
        <w:t>Além disso, as orientações de distanciamento</w:t>
      </w:r>
      <w:r w:rsidR="000B2C97">
        <w:t xml:space="preserve"> face ao combate a pandemia, impediam o compartilhamento de veículos</w:t>
      </w:r>
      <w:r w:rsidR="000F73D1">
        <w:t>.</w:t>
      </w:r>
    </w:p>
    <w:p w14:paraId="6CDE56F3" w14:textId="418BEDEA" w:rsidR="003E4A2B" w:rsidRDefault="00302B0E" w:rsidP="00C7429D">
      <w:pPr>
        <w:jc w:val="both"/>
      </w:pPr>
      <w:r w:rsidRPr="00302B0E">
        <w:rPr>
          <w:b/>
          <w:bCs/>
        </w:rPr>
        <w:t>Índice de Capacitação-</w:t>
      </w:r>
      <w:r w:rsidRPr="00302B0E">
        <w:t xml:space="preserve"> transformado em métrica, uma vez que está previsto em contrato, sendo necessário apenas o seu cumprimento.</w:t>
      </w:r>
    </w:p>
    <w:p w14:paraId="3032EF05" w14:textId="6E72C9D8" w:rsidR="00302B0E" w:rsidRPr="005B1289" w:rsidRDefault="00B4756B" w:rsidP="00C7429D">
      <w:pPr>
        <w:jc w:val="both"/>
      </w:pPr>
      <w:r w:rsidRPr="005B1289">
        <w:rPr>
          <w:b/>
          <w:bCs/>
        </w:rPr>
        <w:t>Índice de redução de postos de vigilância-</w:t>
      </w:r>
      <w:r w:rsidRPr="005B1289">
        <w:t xml:space="preserve"> substituído pelo indicador </w:t>
      </w:r>
      <w:r w:rsidRPr="005B1289">
        <w:rPr>
          <w:b/>
          <w:bCs/>
        </w:rPr>
        <w:t xml:space="preserve">índice de ocorrências </w:t>
      </w:r>
      <w:r w:rsidR="00B42B5E" w:rsidRPr="005B1289">
        <w:rPr>
          <w:b/>
          <w:bCs/>
        </w:rPr>
        <w:t>contratuais</w:t>
      </w:r>
      <w:r w:rsidRPr="005B1289">
        <w:t>, uma vez que a situação de redução de postos foi superada.</w:t>
      </w:r>
    </w:p>
    <w:p w14:paraId="1787A5FE" w14:textId="04EA22D2" w:rsidR="000447FC" w:rsidRPr="005B1289" w:rsidRDefault="000447FC" w:rsidP="00C7429D">
      <w:pPr>
        <w:jc w:val="both"/>
      </w:pPr>
      <w:r w:rsidRPr="005B1289">
        <w:t xml:space="preserve">Seguindo essa configuração, a </w:t>
      </w:r>
      <w:r w:rsidRPr="005B1289">
        <w:rPr>
          <w:i/>
          <w:iCs/>
        </w:rPr>
        <w:t>Tab</w:t>
      </w:r>
      <w:r w:rsidR="0062747D" w:rsidRPr="005B1289">
        <w:rPr>
          <w:i/>
          <w:iCs/>
        </w:rPr>
        <w:t>ela</w:t>
      </w:r>
      <w:r w:rsidRPr="005B1289">
        <w:rPr>
          <w:i/>
          <w:iCs/>
        </w:rPr>
        <w:t xml:space="preserve"> 1</w:t>
      </w:r>
      <w:r w:rsidR="0062747D" w:rsidRPr="005B1289">
        <w:rPr>
          <w:i/>
          <w:iCs/>
        </w:rPr>
        <w:t xml:space="preserve"> - Indicadores e Metas para 202</w:t>
      </w:r>
      <w:r w:rsidR="00AF3E01" w:rsidRPr="005B1289">
        <w:rPr>
          <w:i/>
          <w:iCs/>
        </w:rPr>
        <w:t>2</w:t>
      </w:r>
      <w:r w:rsidR="008D7E25" w:rsidRPr="005B1289">
        <w:rPr>
          <w:i/>
          <w:iCs/>
        </w:rPr>
        <w:t xml:space="preserve"> – SAD/RS </w:t>
      </w:r>
      <w:r w:rsidR="006E1581" w:rsidRPr="005B1289">
        <w:t xml:space="preserve">apresenta </w:t>
      </w:r>
      <w:r w:rsidRPr="005B1289">
        <w:t>as metas pactuadas para o</w:t>
      </w:r>
      <w:r w:rsidR="001726E2" w:rsidRPr="005B1289">
        <w:t>s prédios monitorados n</w:t>
      </w:r>
      <w:r w:rsidR="005A4E21" w:rsidRPr="005B1289">
        <w:t>o ano de 202</w:t>
      </w:r>
      <w:r w:rsidR="00AF3E01" w:rsidRPr="005B1289">
        <w:t>2</w:t>
      </w:r>
      <w:r w:rsidR="005A4E21" w:rsidRPr="005B1289">
        <w:t>.</w:t>
      </w:r>
    </w:p>
    <w:p w14:paraId="4D5DDF8C" w14:textId="1B029ED9" w:rsidR="00B40DE0" w:rsidRPr="00AC64C0" w:rsidRDefault="00B40DE0" w:rsidP="00C7429D">
      <w:pPr>
        <w:jc w:val="both"/>
      </w:pPr>
      <w:r w:rsidRPr="005B1289">
        <w:t xml:space="preserve">Da mesma forma, a </w:t>
      </w:r>
      <w:r w:rsidRPr="005B1289">
        <w:rPr>
          <w:i/>
          <w:iCs/>
        </w:rPr>
        <w:t>Tabela 2 – Métricas para 202</w:t>
      </w:r>
      <w:r w:rsidR="00AF3E01" w:rsidRPr="005B1289">
        <w:rPr>
          <w:i/>
          <w:iCs/>
        </w:rPr>
        <w:t>2</w:t>
      </w:r>
      <w:r w:rsidR="000B6947" w:rsidRPr="005B1289">
        <w:rPr>
          <w:i/>
          <w:iCs/>
        </w:rPr>
        <w:t xml:space="preserve"> – SAD/RS</w:t>
      </w:r>
      <w:r w:rsidRPr="005B1289">
        <w:t xml:space="preserve">, </w:t>
      </w:r>
      <w:r w:rsidR="00AF0243" w:rsidRPr="005B1289">
        <w:t>a</w:t>
      </w:r>
      <w:r w:rsidR="009F563E" w:rsidRPr="005B1289">
        <w:t>presenta as métricas de acompanhamento para os prédios monitorados</w:t>
      </w:r>
      <w:r w:rsidR="00933614" w:rsidRPr="005B1289">
        <w:t>.</w:t>
      </w:r>
    </w:p>
    <w:p w14:paraId="14CC0DFB" w14:textId="5D310E44" w:rsidR="00C67C22" w:rsidRPr="00AE390E" w:rsidRDefault="00C67C22" w:rsidP="00AE390E">
      <w:pPr>
        <w:jc w:val="both"/>
      </w:pPr>
      <w:r w:rsidRPr="00AE390E">
        <w:br w:type="page"/>
      </w:r>
    </w:p>
    <w:p w14:paraId="51FA126C" w14:textId="77777777" w:rsidR="00C67C22" w:rsidRPr="00AE390E" w:rsidRDefault="00C67C22" w:rsidP="00C7429D">
      <w:pPr>
        <w:jc w:val="both"/>
        <w:sectPr w:rsidR="00C67C22" w:rsidRPr="00AE390E" w:rsidSect="00561563">
          <w:headerReference w:type="even" r:id="rId18"/>
          <w:headerReference w:type="default" r:id="rId19"/>
          <w:footerReference w:type="default" r:id="rId20"/>
          <w:headerReference w:type="first" r:id="rId21"/>
          <w:pgSz w:w="11907" w:h="16840" w:code="9"/>
          <w:pgMar w:top="1418" w:right="1134" w:bottom="907" w:left="1701" w:header="709" w:footer="709" w:gutter="0"/>
          <w:cols w:space="708"/>
          <w:docGrid w:linePitch="360"/>
        </w:sectPr>
      </w:pPr>
    </w:p>
    <w:p w14:paraId="22921942" w14:textId="3B91570F" w:rsidR="00C67C22" w:rsidRPr="0042176A" w:rsidRDefault="00095D3D">
      <w:pPr>
        <w:jc w:val="center"/>
        <w:rPr>
          <w:sz w:val="32"/>
          <w:szCs w:val="32"/>
        </w:rPr>
      </w:pPr>
      <w:r w:rsidRPr="00C22576">
        <w:rPr>
          <w:sz w:val="32"/>
          <w:szCs w:val="32"/>
        </w:rPr>
        <w:lastRenderedPageBreak/>
        <w:t xml:space="preserve">Tabela 1 - Indicadores e Metas </w:t>
      </w:r>
      <w:r w:rsidR="001726E2" w:rsidRPr="0042176A">
        <w:rPr>
          <w:sz w:val="32"/>
          <w:szCs w:val="32"/>
        </w:rPr>
        <w:t xml:space="preserve">por edifício </w:t>
      </w:r>
      <w:r w:rsidRPr="00C22576">
        <w:rPr>
          <w:sz w:val="32"/>
          <w:szCs w:val="32"/>
        </w:rPr>
        <w:t>para 202</w:t>
      </w:r>
      <w:r w:rsidR="00AF3E01">
        <w:rPr>
          <w:sz w:val="32"/>
          <w:szCs w:val="32"/>
        </w:rPr>
        <w:t>2</w:t>
      </w:r>
      <w:r w:rsidR="000842C6" w:rsidRPr="0042176A">
        <w:rPr>
          <w:sz w:val="32"/>
          <w:szCs w:val="32"/>
        </w:rPr>
        <w:t xml:space="preserve"> – </w:t>
      </w:r>
      <w:r w:rsidR="008214F6" w:rsidRPr="0042176A">
        <w:rPr>
          <w:sz w:val="32"/>
          <w:szCs w:val="32"/>
        </w:rPr>
        <w:t>SAD/RS</w:t>
      </w:r>
    </w:p>
    <w:tbl>
      <w:tblPr>
        <w:tblStyle w:val="TabeladeGradeClara"/>
        <w:tblW w:w="14229" w:type="dxa"/>
        <w:tblLook w:val="04A0" w:firstRow="1" w:lastRow="0" w:firstColumn="1" w:lastColumn="0" w:noHBand="0" w:noVBand="1"/>
      </w:tblPr>
      <w:tblGrid>
        <w:gridCol w:w="457"/>
        <w:gridCol w:w="1413"/>
        <w:gridCol w:w="540"/>
        <w:gridCol w:w="1959"/>
        <w:gridCol w:w="1940"/>
        <w:gridCol w:w="723"/>
        <w:gridCol w:w="1064"/>
        <w:gridCol w:w="1113"/>
        <w:gridCol w:w="1276"/>
        <w:gridCol w:w="1335"/>
        <w:gridCol w:w="1000"/>
        <w:gridCol w:w="1409"/>
      </w:tblGrid>
      <w:tr w:rsidR="001D3C09" w:rsidRPr="00AC4911" w14:paraId="37E62287" w14:textId="5E10397D" w:rsidTr="6FAF9AB8">
        <w:tc>
          <w:tcPr>
            <w:tcW w:w="1870" w:type="dxa"/>
            <w:gridSpan w:val="2"/>
            <w:shd w:val="clear" w:color="auto" w:fill="C2D69B" w:themeFill="accent3" w:themeFillTint="99"/>
          </w:tcPr>
          <w:p w14:paraId="4EE22A02" w14:textId="233F508D" w:rsidR="001D3C09" w:rsidRPr="00AC4911" w:rsidRDefault="001D3C09" w:rsidP="007940D7">
            <w:pPr>
              <w:jc w:val="center"/>
              <w:rPr>
                <w:b/>
                <w:bCs/>
              </w:rPr>
            </w:pPr>
            <w:r w:rsidRPr="00AC4911">
              <w:rPr>
                <w:b/>
                <w:bCs/>
              </w:rPr>
              <w:t>TEMA</w:t>
            </w:r>
          </w:p>
        </w:tc>
        <w:tc>
          <w:tcPr>
            <w:tcW w:w="4439" w:type="dxa"/>
            <w:gridSpan w:val="3"/>
            <w:shd w:val="clear" w:color="auto" w:fill="C2D69B" w:themeFill="accent3" w:themeFillTint="99"/>
          </w:tcPr>
          <w:p w14:paraId="11FBF740" w14:textId="7C49A3AA" w:rsidR="001D3C09" w:rsidRPr="00AC4911" w:rsidRDefault="001D3C09" w:rsidP="007940D7">
            <w:pPr>
              <w:jc w:val="center"/>
              <w:rPr>
                <w:b/>
                <w:bCs/>
              </w:rPr>
            </w:pPr>
            <w:r w:rsidRPr="00AC4911">
              <w:rPr>
                <w:b/>
                <w:bCs/>
              </w:rPr>
              <w:t>INDICADOR</w:t>
            </w:r>
          </w:p>
        </w:tc>
        <w:tc>
          <w:tcPr>
            <w:tcW w:w="723" w:type="dxa"/>
            <w:vMerge w:val="restart"/>
            <w:shd w:val="clear" w:color="auto" w:fill="C2D69B" w:themeFill="accent3" w:themeFillTint="99"/>
          </w:tcPr>
          <w:p w14:paraId="0A4911A5" w14:textId="20A68ECE" w:rsidR="001D3C09" w:rsidRPr="00AC4911" w:rsidRDefault="001D3C09" w:rsidP="007940D7">
            <w:pPr>
              <w:jc w:val="center"/>
              <w:rPr>
                <w:b/>
                <w:bCs/>
              </w:rPr>
            </w:pPr>
            <w:r w:rsidRPr="00AC4911">
              <w:rPr>
                <w:b/>
                <w:bCs/>
              </w:rPr>
              <w:t>Unid. Med.</w:t>
            </w:r>
          </w:p>
        </w:tc>
        <w:tc>
          <w:tcPr>
            <w:tcW w:w="7197" w:type="dxa"/>
            <w:gridSpan w:val="6"/>
            <w:shd w:val="clear" w:color="auto" w:fill="C2D69B" w:themeFill="accent3" w:themeFillTint="99"/>
          </w:tcPr>
          <w:p w14:paraId="2F7A5677" w14:textId="5874A740" w:rsidR="001D3C09" w:rsidRPr="00AC4911" w:rsidRDefault="001D3C09" w:rsidP="007940D7">
            <w:pPr>
              <w:jc w:val="center"/>
              <w:rPr>
                <w:b/>
                <w:bCs/>
              </w:rPr>
            </w:pPr>
            <w:r w:rsidRPr="00AC4911">
              <w:rPr>
                <w:b/>
                <w:bCs/>
              </w:rPr>
              <w:t>METAS</w:t>
            </w:r>
            <w:r>
              <w:rPr>
                <w:b/>
                <w:bCs/>
              </w:rPr>
              <w:t xml:space="preserve"> PACTUADAS</w:t>
            </w:r>
          </w:p>
        </w:tc>
      </w:tr>
      <w:tr w:rsidR="001D3C09" w:rsidRPr="00AC4911" w14:paraId="1A5A859B" w14:textId="0353D5D9" w:rsidTr="6FAF9AB8">
        <w:tc>
          <w:tcPr>
            <w:tcW w:w="457" w:type="dxa"/>
            <w:shd w:val="clear" w:color="auto" w:fill="C2D69B" w:themeFill="accent3" w:themeFillTint="99"/>
          </w:tcPr>
          <w:p w14:paraId="12C7787A" w14:textId="0B5E4620" w:rsidR="001D3C09" w:rsidRPr="00AC4911" w:rsidRDefault="001D3C09" w:rsidP="007940D7">
            <w:pPr>
              <w:jc w:val="center"/>
              <w:rPr>
                <w:b/>
                <w:bCs/>
              </w:rPr>
            </w:pPr>
            <w:r w:rsidRPr="00AC4911">
              <w:rPr>
                <w:b/>
                <w:bCs/>
              </w:rPr>
              <w:t>Nº</w:t>
            </w:r>
          </w:p>
        </w:tc>
        <w:tc>
          <w:tcPr>
            <w:tcW w:w="1413" w:type="dxa"/>
            <w:shd w:val="clear" w:color="auto" w:fill="C2D69B" w:themeFill="accent3" w:themeFillTint="99"/>
          </w:tcPr>
          <w:p w14:paraId="09659539" w14:textId="48974006" w:rsidR="001D3C09" w:rsidRPr="00AC4911" w:rsidRDefault="001D3C09" w:rsidP="007940D7">
            <w:pPr>
              <w:jc w:val="center"/>
              <w:rPr>
                <w:b/>
                <w:bCs/>
              </w:rPr>
            </w:pPr>
            <w:r w:rsidRPr="00AC4911">
              <w:rPr>
                <w:b/>
                <w:bCs/>
              </w:rPr>
              <w:t>DESCRIÇÃO</w:t>
            </w:r>
          </w:p>
        </w:tc>
        <w:tc>
          <w:tcPr>
            <w:tcW w:w="540" w:type="dxa"/>
            <w:shd w:val="clear" w:color="auto" w:fill="C2D69B" w:themeFill="accent3" w:themeFillTint="99"/>
          </w:tcPr>
          <w:p w14:paraId="191A6854" w14:textId="63B5A42A" w:rsidR="001D3C09" w:rsidRPr="00AC4911" w:rsidRDefault="001D3C09" w:rsidP="007940D7">
            <w:pPr>
              <w:jc w:val="center"/>
              <w:rPr>
                <w:b/>
                <w:bCs/>
              </w:rPr>
            </w:pPr>
            <w:r w:rsidRPr="00AC4911">
              <w:rPr>
                <w:b/>
                <w:bCs/>
              </w:rPr>
              <w:t>Nº</w:t>
            </w:r>
          </w:p>
        </w:tc>
        <w:tc>
          <w:tcPr>
            <w:tcW w:w="1959" w:type="dxa"/>
            <w:shd w:val="clear" w:color="auto" w:fill="C2D69B" w:themeFill="accent3" w:themeFillTint="99"/>
          </w:tcPr>
          <w:p w14:paraId="25210FF8" w14:textId="0D874875" w:rsidR="001D3C09" w:rsidRPr="00AC4911" w:rsidRDefault="001D3C09" w:rsidP="007940D7">
            <w:pPr>
              <w:jc w:val="center"/>
              <w:rPr>
                <w:b/>
                <w:bCs/>
              </w:rPr>
            </w:pPr>
            <w:r w:rsidRPr="00AC4911">
              <w:rPr>
                <w:b/>
                <w:bCs/>
              </w:rPr>
              <w:t>DESCRIÇÃO</w:t>
            </w:r>
          </w:p>
        </w:tc>
        <w:tc>
          <w:tcPr>
            <w:tcW w:w="1940" w:type="dxa"/>
            <w:shd w:val="clear" w:color="auto" w:fill="C2D69B" w:themeFill="accent3" w:themeFillTint="99"/>
          </w:tcPr>
          <w:p w14:paraId="006E7271" w14:textId="29B6E134" w:rsidR="001D3C09" w:rsidRPr="00AC4911" w:rsidRDefault="001D3C09" w:rsidP="007940D7">
            <w:pPr>
              <w:jc w:val="center"/>
              <w:rPr>
                <w:b/>
                <w:bCs/>
              </w:rPr>
            </w:pPr>
            <w:r w:rsidRPr="00AC4911">
              <w:rPr>
                <w:b/>
                <w:bCs/>
              </w:rPr>
              <w:t>FÓRMULA</w:t>
            </w:r>
          </w:p>
        </w:tc>
        <w:tc>
          <w:tcPr>
            <w:tcW w:w="723" w:type="dxa"/>
            <w:vMerge/>
          </w:tcPr>
          <w:p w14:paraId="28290842" w14:textId="77777777" w:rsidR="001D3C09" w:rsidRPr="00AC4911" w:rsidRDefault="001D3C09" w:rsidP="007940D7">
            <w:pPr>
              <w:jc w:val="center"/>
              <w:rPr>
                <w:b/>
                <w:bCs/>
              </w:rPr>
            </w:pPr>
          </w:p>
        </w:tc>
        <w:tc>
          <w:tcPr>
            <w:tcW w:w="1064" w:type="dxa"/>
            <w:shd w:val="clear" w:color="auto" w:fill="C2D69B" w:themeFill="accent3" w:themeFillTint="99"/>
          </w:tcPr>
          <w:p w14:paraId="492E9016" w14:textId="0A6FE610" w:rsidR="001D3C09" w:rsidRPr="00AC4911" w:rsidRDefault="001D3C09" w:rsidP="007940D7">
            <w:pPr>
              <w:jc w:val="center"/>
              <w:rPr>
                <w:b/>
                <w:bCs/>
              </w:rPr>
            </w:pPr>
            <w:r w:rsidRPr="001D3C09">
              <w:rPr>
                <w:b/>
                <w:bCs/>
              </w:rPr>
              <w:t>Ed. SEDE</w:t>
            </w:r>
            <w:r w:rsidRPr="00AC4911">
              <w:rPr>
                <w:b/>
                <w:bCs/>
              </w:rPr>
              <w:t xml:space="preserve"> </w:t>
            </w:r>
          </w:p>
        </w:tc>
        <w:tc>
          <w:tcPr>
            <w:tcW w:w="1113" w:type="dxa"/>
            <w:shd w:val="clear" w:color="auto" w:fill="C2D69B" w:themeFill="accent3" w:themeFillTint="99"/>
          </w:tcPr>
          <w:p w14:paraId="20989307" w14:textId="7BEF6416" w:rsidR="001D3C09" w:rsidRPr="00AC4911" w:rsidRDefault="001D3C09" w:rsidP="6FAF9AB8">
            <w:pPr>
              <w:jc w:val="center"/>
              <w:rPr>
                <w:b/>
                <w:bCs/>
              </w:rPr>
            </w:pPr>
            <w:r w:rsidRPr="001D3C09">
              <w:rPr>
                <w:b/>
                <w:bCs/>
              </w:rPr>
              <w:t xml:space="preserve">Ed.  </w:t>
            </w:r>
            <w:proofErr w:type="spellStart"/>
            <w:r w:rsidRPr="001D3C09">
              <w:rPr>
                <w:b/>
                <w:bCs/>
              </w:rPr>
              <w:t>Eólis</w:t>
            </w:r>
            <w:proofErr w:type="spellEnd"/>
          </w:p>
          <w:p w14:paraId="70F3347C" w14:textId="768C745C" w:rsidR="001D3C09" w:rsidRPr="00AC4911" w:rsidRDefault="738C77E1" w:rsidP="007940D7">
            <w:pPr>
              <w:jc w:val="center"/>
              <w:rPr>
                <w:b/>
                <w:bCs/>
              </w:rPr>
            </w:pPr>
            <w:r w:rsidRPr="6FAF9AB8">
              <w:rPr>
                <w:b/>
                <w:bCs/>
              </w:rPr>
              <w:t>(PRF-4)</w:t>
            </w:r>
          </w:p>
        </w:tc>
        <w:tc>
          <w:tcPr>
            <w:tcW w:w="1276" w:type="dxa"/>
            <w:shd w:val="clear" w:color="auto" w:fill="C2D69B" w:themeFill="accent3" w:themeFillTint="99"/>
          </w:tcPr>
          <w:p w14:paraId="45ECF7F3" w14:textId="53BC8325" w:rsidR="001D3C09" w:rsidRPr="001D3C09" w:rsidRDefault="001D3C09" w:rsidP="6FAF9AB8">
            <w:pPr>
              <w:jc w:val="center"/>
              <w:rPr>
                <w:b/>
                <w:bCs/>
              </w:rPr>
            </w:pPr>
            <w:r w:rsidRPr="001D3C09">
              <w:rPr>
                <w:b/>
                <w:bCs/>
              </w:rPr>
              <w:t xml:space="preserve">Ed. Com. Célia </w:t>
            </w:r>
            <w:proofErr w:type="spellStart"/>
            <w:r w:rsidRPr="001D3C09">
              <w:rPr>
                <w:b/>
                <w:bCs/>
              </w:rPr>
              <w:t>Daux</w:t>
            </w:r>
            <w:proofErr w:type="spellEnd"/>
          </w:p>
          <w:p w14:paraId="2BF87F1B" w14:textId="54C35C70" w:rsidR="001D3C09" w:rsidRPr="001D3C09" w:rsidRDefault="15C92B1A" w:rsidP="007940D7">
            <w:pPr>
              <w:jc w:val="center"/>
              <w:rPr>
                <w:b/>
                <w:bCs/>
              </w:rPr>
            </w:pPr>
            <w:r w:rsidRPr="6FAF9AB8">
              <w:rPr>
                <w:b/>
                <w:bCs/>
              </w:rPr>
              <w:t>(PU/SC)</w:t>
            </w:r>
          </w:p>
        </w:tc>
        <w:tc>
          <w:tcPr>
            <w:tcW w:w="1335" w:type="dxa"/>
            <w:shd w:val="clear" w:color="auto" w:fill="C2D69B" w:themeFill="accent3" w:themeFillTint="99"/>
          </w:tcPr>
          <w:p w14:paraId="29395DA9" w14:textId="588BA9A3" w:rsidR="001D3C09" w:rsidRPr="001D3C09" w:rsidRDefault="001D3C09" w:rsidP="6FAF9AB8">
            <w:pPr>
              <w:jc w:val="center"/>
              <w:rPr>
                <w:b/>
                <w:bCs/>
              </w:rPr>
            </w:pPr>
            <w:r w:rsidRPr="001D3C09">
              <w:rPr>
                <w:b/>
                <w:bCs/>
              </w:rPr>
              <w:t>Ed.  Daros.com</w:t>
            </w:r>
          </w:p>
          <w:p w14:paraId="79B56EF5" w14:textId="175C7A5D" w:rsidR="001D3C09" w:rsidRPr="001D3C09" w:rsidRDefault="092C38DD" w:rsidP="007940D7">
            <w:pPr>
              <w:jc w:val="center"/>
              <w:rPr>
                <w:b/>
                <w:bCs/>
              </w:rPr>
            </w:pPr>
            <w:r w:rsidRPr="6FAF9AB8">
              <w:rPr>
                <w:b/>
                <w:bCs/>
              </w:rPr>
              <w:t>(PF/SC)</w:t>
            </w:r>
          </w:p>
        </w:tc>
        <w:tc>
          <w:tcPr>
            <w:tcW w:w="1000" w:type="dxa"/>
            <w:shd w:val="clear" w:color="auto" w:fill="C2D69B" w:themeFill="accent3" w:themeFillTint="99"/>
          </w:tcPr>
          <w:p w14:paraId="32D9E381" w14:textId="0AC39075" w:rsidR="001D3C09" w:rsidRPr="001D3C09" w:rsidRDefault="2BA1345C" w:rsidP="007940D7">
            <w:pPr>
              <w:jc w:val="center"/>
              <w:rPr>
                <w:b/>
                <w:bCs/>
              </w:rPr>
            </w:pPr>
            <w:r w:rsidRPr="00DA447C">
              <w:rPr>
                <w:b/>
                <w:bCs/>
              </w:rPr>
              <w:t xml:space="preserve">Imóvel </w:t>
            </w:r>
            <w:r w:rsidR="000F4F35" w:rsidRPr="000F4F35">
              <w:rPr>
                <w:b/>
                <w:bCs/>
              </w:rPr>
              <w:t>PU/PR - CJU/PR</w:t>
            </w:r>
          </w:p>
        </w:tc>
        <w:tc>
          <w:tcPr>
            <w:tcW w:w="1409" w:type="dxa"/>
            <w:shd w:val="clear" w:color="auto" w:fill="C2D69B" w:themeFill="accent3" w:themeFillTint="99"/>
          </w:tcPr>
          <w:p w14:paraId="1D7BED2D" w14:textId="11E47016" w:rsidR="001D3C09" w:rsidRPr="001D3C09" w:rsidRDefault="000F4F35" w:rsidP="6FAF9AB8">
            <w:pPr>
              <w:jc w:val="center"/>
              <w:rPr>
                <w:b/>
                <w:bCs/>
              </w:rPr>
            </w:pPr>
            <w:r w:rsidRPr="000F4F35">
              <w:rPr>
                <w:b/>
                <w:bCs/>
              </w:rPr>
              <w:t>Ed. João Gualberto</w:t>
            </w:r>
          </w:p>
          <w:p w14:paraId="423F854D" w14:textId="060AEAB9" w:rsidR="001D3C09" w:rsidRPr="001D3C09" w:rsidRDefault="2C2FEA0A" w:rsidP="007940D7">
            <w:pPr>
              <w:jc w:val="center"/>
              <w:rPr>
                <w:b/>
                <w:bCs/>
              </w:rPr>
            </w:pPr>
            <w:r w:rsidRPr="6FAF9AB8">
              <w:rPr>
                <w:b/>
                <w:bCs/>
              </w:rPr>
              <w:t>(PF/PR)</w:t>
            </w:r>
          </w:p>
        </w:tc>
      </w:tr>
      <w:tr w:rsidR="001D3C09" w:rsidRPr="00304144" w14:paraId="3942B55D" w14:textId="19E9BFE8" w:rsidTr="6FAF9AB8">
        <w:tc>
          <w:tcPr>
            <w:tcW w:w="457" w:type="dxa"/>
            <w:vMerge w:val="restart"/>
          </w:tcPr>
          <w:p w14:paraId="1DC452CB" w14:textId="16FE6938" w:rsidR="001D3C09" w:rsidRPr="001D3C09" w:rsidRDefault="001D3C09" w:rsidP="002022D4">
            <w:pPr>
              <w:jc w:val="both"/>
              <w:rPr>
                <w:sz w:val="20"/>
                <w:szCs w:val="20"/>
              </w:rPr>
            </w:pPr>
            <w:r w:rsidRPr="001D3C09">
              <w:rPr>
                <w:sz w:val="20"/>
                <w:szCs w:val="20"/>
              </w:rPr>
              <w:t>1</w:t>
            </w:r>
          </w:p>
        </w:tc>
        <w:tc>
          <w:tcPr>
            <w:tcW w:w="1413" w:type="dxa"/>
            <w:vMerge w:val="restart"/>
          </w:tcPr>
          <w:p w14:paraId="0FA8F42A" w14:textId="6BB11008" w:rsidR="001D3C09" w:rsidRPr="001D3C09" w:rsidRDefault="001D3C09" w:rsidP="002022D4">
            <w:pPr>
              <w:jc w:val="center"/>
              <w:rPr>
                <w:sz w:val="20"/>
                <w:szCs w:val="20"/>
              </w:rPr>
            </w:pPr>
            <w:r w:rsidRPr="001D3C09">
              <w:rPr>
                <w:sz w:val="20"/>
                <w:szCs w:val="20"/>
              </w:rPr>
              <w:t>Qualidade de Vida</w:t>
            </w:r>
          </w:p>
        </w:tc>
        <w:tc>
          <w:tcPr>
            <w:tcW w:w="540" w:type="dxa"/>
          </w:tcPr>
          <w:p w14:paraId="5FABAE7F" w14:textId="6CD87F52" w:rsidR="001D3C09" w:rsidRPr="001D3C09" w:rsidRDefault="001D3C09" w:rsidP="00C22576">
            <w:pPr>
              <w:jc w:val="center"/>
              <w:rPr>
                <w:sz w:val="20"/>
                <w:szCs w:val="20"/>
              </w:rPr>
            </w:pPr>
            <w:r w:rsidRPr="001D3C09">
              <w:rPr>
                <w:sz w:val="20"/>
                <w:szCs w:val="20"/>
              </w:rPr>
              <w:t>1</w:t>
            </w:r>
          </w:p>
        </w:tc>
        <w:tc>
          <w:tcPr>
            <w:tcW w:w="1959" w:type="dxa"/>
          </w:tcPr>
          <w:p w14:paraId="585223AA" w14:textId="58FCD60B" w:rsidR="001D3C09" w:rsidRPr="00304144" w:rsidRDefault="001D3C09" w:rsidP="002022D4">
            <w:pPr>
              <w:rPr>
                <w:color w:val="FF0000"/>
                <w:sz w:val="20"/>
                <w:szCs w:val="20"/>
              </w:rPr>
            </w:pPr>
            <w:r w:rsidRPr="001D3C09">
              <w:rPr>
                <w:sz w:val="20"/>
                <w:szCs w:val="20"/>
              </w:rPr>
              <w:t>Índice de eventos voltados para saúde e prevenção</w:t>
            </w:r>
          </w:p>
        </w:tc>
        <w:tc>
          <w:tcPr>
            <w:tcW w:w="1940" w:type="dxa"/>
          </w:tcPr>
          <w:p w14:paraId="622F0F51" w14:textId="5BEA9389" w:rsidR="001D3C09" w:rsidRPr="001D3C09" w:rsidRDefault="001D3C09" w:rsidP="002022D4">
            <w:pPr>
              <w:rPr>
                <w:sz w:val="20"/>
                <w:szCs w:val="20"/>
              </w:rPr>
            </w:pPr>
            <w:r w:rsidRPr="001D3C09">
              <w:rPr>
                <w:sz w:val="20"/>
                <w:szCs w:val="20"/>
              </w:rPr>
              <w:t>Número de eventos voltados para saúde e prevenção / total de eventos e campanhas X 100</w:t>
            </w:r>
          </w:p>
        </w:tc>
        <w:tc>
          <w:tcPr>
            <w:tcW w:w="723" w:type="dxa"/>
          </w:tcPr>
          <w:p w14:paraId="426B791B" w14:textId="2DB074B1" w:rsidR="001D3C09" w:rsidRPr="001D3C09" w:rsidRDefault="001D3C09" w:rsidP="002022D4">
            <w:pPr>
              <w:jc w:val="center"/>
              <w:rPr>
                <w:sz w:val="20"/>
                <w:szCs w:val="20"/>
              </w:rPr>
            </w:pPr>
            <w:r w:rsidRPr="001D3C09">
              <w:rPr>
                <w:sz w:val="20"/>
                <w:szCs w:val="20"/>
              </w:rPr>
              <w:t>%</w:t>
            </w:r>
          </w:p>
        </w:tc>
        <w:tc>
          <w:tcPr>
            <w:tcW w:w="1064" w:type="dxa"/>
          </w:tcPr>
          <w:p w14:paraId="3011E31E" w14:textId="31934836" w:rsidR="001D3C09" w:rsidRPr="001D3C09" w:rsidRDefault="005B1289" w:rsidP="002022D4">
            <w:pPr>
              <w:jc w:val="center"/>
              <w:rPr>
                <w:b/>
                <w:bCs/>
                <w:sz w:val="20"/>
                <w:szCs w:val="20"/>
              </w:rPr>
            </w:pPr>
            <w:r>
              <w:rPr>
                <w:b/>
                <w:bCs/>
                <w:sz w:val="20"/>
                <w:szCs w:val="20"/>
              </w:rPr>
              <w:t>5</w:t>
            </w:r>
            <w:r w:rsidR="001D3C09" w:rsidRPr="001D3C09">
              <w:rPr>
                <w:b/>
                <w:bCs/>
                <w:sz w:val="20"/>
                <w:szCs w:val="20"/>
              </w:rPr>
              <w:t>%</w:t>
            </w:r>
          </w:p>
        </w:tc>
        <w:tc>
          <w:tcPr>
            <w:tcW w:w="1113" w:type="dxa"/>
            <w:shd w:val="clear" w:color="auto" w:fill="auto"/>
          </w:tcPr>
          <w:p w14:paraId="2F209596" w14:textId="02587CC5" w:rsidR="001D3C09" w:rsidRPr="00304144" w:rsidDel="00B02D1D" w:rsidRDefault="005B1289" w:rsidP="002022D4">
            <w:pPr>
              <w:jc w:val="center"/>
              <w:rPr>
                <w:b/>
                <w:bCs/>
                <w:color w:val="FF0000"/>
                <w:sz w:val="20"/>
                <w:szCs w:val="20"/>
              </w:rPr>
            </w:pPr>
            <w:r>
              <w:rPr>
                <w:b/>
                <w:bCs/>
                <w:sz w:val="20"/>
                <w:szCs w:val="20"/>
              </w:rPr>
              <w:t>5</w:t>
            </w:r>
            <w:r w:rsidRPr="001D3C09">
              <w:rPr>
                <w:b/>
                <w:bCs/>
                <w:sz w:val="20"/>
                <w:szCs w:val="20"/>
              </w:rPr>
              <w:t>%</w:t>
            </w:r>
          </w:p>
        </w:tc>
        <w:tc>
          <w:tcPr>
            <w:tcW w:w="1276" w:type="dxa"/>
          </w:tcPr>
          <w:p w14:paraId="2C1D7CE5" w14:textId="6F058FF7" w:rsidR="001D3C09" w:rsidRPr="00304144" w:rsidRDefault="005B1289" w:rsidP="002022D4">
            <w:pPr>
              <w:jc w:val="center"/>
              <w:rPr>
                <w:b/>
                <w:bCs/>
                <w:color w:val="FF0000"/>
                <w:sz w:val="20"/>
                <w:szCs w:val="20"/>
              </w:rPr>
            </w:pPr>
            <w:r>
              <w:rPr>
                <w:b/>
                <w:bCs/>
                <w:sz w:val="20"/>
                <w:szCs w:val="20"/>
              </w:rPr>
              <w:t>5</w:t>
            </w:r>
            <w:r w:rsidRPr="001D3C09">
              <w:rPr>
                <w:b/>
                <w:bCs/>
                <w:sz w:val="20"/>
                <w:szCs w:val="20"/>
              </w:rPr>
              <w:t>%</w:t>
            </w:r>
          </w:p>
        </w:tc>
        <w:tc>
          <w:tcPr>
            <w:tcW w:w="1335" w:type="dxa"/>
          </w:tcPr>
          <w:p w14:paraId="6DC740BA" w14:textId="190FA577" w:rsidR="001D3C09" w:rsidRPr="00304144" w:rsidRDefault="005B1289" w:rsidP="002022D4">
            <w:pPr>
              <w:jc w:val="center"/>
              <w:rPr>
                <w:b/>
                <w:bCs/>
                <w:color w:val="FF0000"/>
                <w:sz w:val="20"/>
                <w:szCs w:val="20"/>
              </w:rPr>
            </w:pPr>
            <w:r>
              <w:rPr>
                <w:b/>
                <w:bCs/>
                <w:sz w:val="20"/>
                <w:szCs w:val="20"/>
              </w:rPr>
              <w:t>5</w:t>
            </w:r>
            <w:r w:rsidRPr="001D3C09">
              <w:rPr>
                <w:b/>
                <w:bCs/>
                <w:sz w:val="20"/>
                <w:szCs w:val="20"/>
              </w:rPr>
              <w:t>%</w:t>
            </w:r>
          </w:p>
        </w:tc>
        <w:tc>
          <w:tcPr>
            <w:tcW w:w="1000" w:type="dxa"/>
          </w:tcPr>
          <w:p w14:paraId="64848E7B" w14:textId="5232AA4E" w:rsidR="001D3C09" w:rsidRPr="00304144" w:rsidRDefault="005B1289" w:rsidP="002022D4">
            <w:pPr>
              <w:jc w:val="center"/>
              <w:rPr>
                <w:b/>
                <w:bCs/>
                <w:color w:val="FF0000"/>
                <w:sz w:val="20"/>
                <w:szCs w:val="20"/>
              </w:rPr>
            </w:pPr>
            <w:r>
              <w:rPr>
                <w:b/>
                <w:bCs/>
                <w:sz w:val="20"/>
                <w:szCs w:val="20"/>
              </w:rPr>
              <w:t>5</w:t>
            </w:r>
            <w:r w:rsidRPr="001D3C09">
              <w:rPr>
                <w:b/>
                <w:bCs/>
                <w:sz w:val="20"/>
                <w:szCs w:val="20"/>
              </w:rPr>
              <w:t>%</w:t>
            </w:r>
          </w:p>
        </w:tc>
        <w:tc>
          <w:tcPr>
            <w:tcW w:w="1409" w:type="dxa"/>
          </w:tcPr>
          <w:p w14:paraId="3773E519" w14:textId="5FF99E0D" w:rsidR="001D3C09" w:rsidRPr="00304144" w:rsidRDefault="005B1289" w:rsidP="002022D4">
            <w:pPr>
              <w:jc w:val="center"/>
              <w:rPr>
                <w:b/>
                <w:bCs/>
                <w:color w:val="FF0000"/>
                <w:sz w:val="20"/>
                <w:szCs w:val="20"/>
              </w:rPr>
            </w:pPr>
            <w:r>
              <w:rPr>
                <w:b/>
                <w:bCs/>
                <w:sz w:val="20"/>
                <w:szCs w:val="20"/>
              </w:rPr>
              <w:t>5</w:t>
            </w:r>
            <w:r w:rsidRPr="001D3C09">
              <w:rPr>
                <w:b/>
                <w:bCs/>
                <w:sz w:val="20"/>
                <w:szCs w:val="20"/>
              </w:rPr>
              <w:t>%</w:t>
            </w:r>
          </w:p>
        </w:tc>
      </w:tr>
      <w:tr w:rsidR="001D3C09" w:rsidRPr="00304144" w14:paraId="6C4FE973" w14:textId="7428C44C" w:rsidTr="6FAF9AB8">
        <w:tc>
          <w:tcPr>
            <w:tcW w:w="457" w:type="dxa"/>
            <w:vMerge/>
          </w:tcPr>
          <w:p w14:paraId="4F3484DB" w14:textId="3EBE6D30" w:rsidR="001D3C09" w:rsidRPr="00304144" w:rsidRDefault="001D3C09" w:rsidP="00446C29">
            <w:pPr>
              <w:jc w:val="both"/>
              <w:rPr>
                <w:color w:val="FF0000"/>
                <w:sz w:val="20"/>
                <w:szCs w:val="20"/>
              </w:rPr>
            </w:pPr>
          </w:p>
        </w:tc>
        <w:tc>
          <w:tcPr>
            <w:tcW w:w="1413" w:type="dxa"/>
            <w:vMerge/>
          </w:tcPr>
          <w:p w14:paraId="2CD997C2" w14:textId="77777777" w:rsidR="001D3C09" w:rsidRPr="00304144" w:rsidRDefault="001D3C09" w:rsidP="00446C29">
            <w:pPr>
              <w:jc w:val="center"/>
              <w:rPr>
                <w:color w:val="FF0000"/>
                <w:sz w:val="20"/>
                <w:szCs w:val="20"/>
              </w:rPr>
            </w:pPr>
          </w:p>
        </w:tc>
        <w:tc>
          <w:tcPr>
            <w:tcW w:w="540" w:type="dxa"/>
          </w:tcPr>
          <w:p w14:paraId="329FAAEB" w14:textId="7071C1BB" w:rsidR="001D3C09" w:rsidRPr="001D3C09" w:rsidRDefault="001D3C09" w:rsidP="00C22576">
            <w:pPr>
              <w:jc w:val="center"/>
              <w:rPr>
                <w:sz w:val="20"/>
                <w:szCs w:val="20"/>
              </w:rPr>
            </w:pPr>
            <w:r w:rsidRPr="001D3C09">
              <w:rPr>
                <w:sz w:val="20"/>
                <w:szCs w:val="20"/>
              </w:rPr>
              <w:t>2</w:t>
            </w:r>
          </w:p>
        </w:tc>
        <w:tc>
          <w:tcPr>
            <w:tcW w:w="1959" w:type="dxa"/>
          </w:tcPr>
          <w:p w14:paraId="326CD11D" w14:textId="63483E53" w:rsidR="001D3C09" w:rsidRPr="001D3C09" w:rsidRDefault="001D3C09" w:rsidP="00446C29">
            <w:pPr>
              <w:rPr>
                <w:sz w:val="20"/>
                <w:szCs w:val="20"/>
              </w:rPr>
            </w:pPr>
            <w:r w:rsidRPr="001D3C09">
              <w:rPr>
                <w:sz w:val="20"/>
                <w:szCs w:val="20"/>
              </w:rPr>
              <w:t>Índice de participação nos eventos relacionados à qualidade de vida</w:t>
            </w:r>
          </w:p>
        </w:tc>
        <w:tc>
          <w:tcPr>
            <w:tcW w:w="1940" w:type="dxa"/>
          </w:tcPr>
          <w:p w14:paraId="139F13EA" w14:textId="39D4BC7E" w:rsidR="001D3C09" w:rsidRPr="00304144" w:rsidRDefault="001D3C09" w:rsidP="00446C29">
            <w:pPr>
              <w:rPr>
                <w:color w:val="FF0000"/>
                <w:sz w:val="20"/>
                <w:szCs w:val="20"/>
              </w:rPr>
            </w:pPr>
            <w:r w:rsidRPr="001D3C09">
              <w:rPr>
                <w:sz w:val="20"/>
                <w:szCs w:val="20"/>
              </w:rPr>
              <w:t>Somatório de participantes efetivos dos eventos virtuais ou presenciais (com registro de participação) / Somatório de convidados x 100</w:t>
            </w:r>
          </w:p>
        </w:tc>
        <w:tc>
          <w:tcPr>
            <w:tcW w:w="723" w:type="dxa"/>
          </w:tcPr>
          <w:p w14:paraId="58CBAB55" w14:textId="60E9F23B" w:rsidR="001D3C09" w:rsidRPr="001D3C09" w:rsidRDefault="001D3C09" w:rsidP="00446C29">
            <w:pPr>
              <w:jc w:val="center"/>
              <w:rPr>
                <w:sz w:val="20"/>
                <w:szCs w:val="20"/>
              </w:rPr>
            </w:pPr>
            <w:r w:rsidRPr="001D3C09">
              <w:rPr>
                <w:sz w:val="20"/>
                <w:szCs w:val="20"/>
              </w:rPr>
              <w:t>%</w:t>
            </w:r>
          </w:p>
        </w:tc>
        <w:tc>
          <w:tcPr>
            <w:tcW w:w="1064" w:type="dxa"/>
          </w:tcPr>
          <w:p w14:paraId="1878C5FB" w14:textId="2AAC761F" w:rsidR="001D3C09" w:rsidRPr="001D3C09" w:rsidRDefault="005B1289" w:rsidP="00446C29">
            <w:pPr>
              <w:jc w:val="center"/>
              <w:rPr>
                <w:b/>
                <w:bCs/>
                <w:sz w:val="20"/>
                <w:szCs w:val="20"/>
              </w:rPr>
            </w:pPr>
            <w:r>
              <w:rPr>
                <w:b/>
                <w:bCs/>
                <w:sz w:val="20"/>
                <w:szCs w:val="20"/>
              </w:rPr>
              <w:t>1</w:t>
            </w:r>
            <w:r w:rsidR="001D3C09" w:rsidRPr="001D3C09">
              <w:rPr>
                <w:b/>
                <w:bCs/>
                <w:sz w:val="20"/>
                <w:szCs w:val="20"/>
              </w:rPr>
              <w:t>%</w:t>
            </w:r>
          </w:p>
        </w:tc>
        <w:tc>
          <w:tcPr>
            <w:tcW w:w="1113" w:type="dxa"/>
            <w:shd w:val="clear" w:color="auto" w:fill="auto"/>
          </w:tcPr>
          <w:p w14:paraId="4BE21131" w14:textId="6B8384B2" w:rsidR="001D3C09" w:rsidRPr="00304144" w:rsidDel="00B1672C" w:rsidRDefault="00A75454" w:rsidP="00446C29">
            <w:pPr>
              <w:jc w:val="center"/>
              <w:rPr>
                <w:b/>
                <w:bCs/>
                <w:color w:val="FF0000"/>
                <w:sz w:val="20"/>
                <w:szCs w:val="20"/>
              </w:rPr>
            </w:pPr>
            <w:r>
              <w:rPr>
                <w:b/>
                <w:bCs/>
                <w:sz w:val="20"/>
                <w:szCs w:val="20"/>
              </w:rPr>
              <w:t xml:space="preserve">- </w:t>
            </w:r>
          </w:p>
        </w:tc>
        <w:tc>
          <w:tcPr>
            <w:tcW w:w="1276" w:type="dxa"/>
          </w:tcPr>
          <w:p w14:paraId="67398018" w14:textId="56558A54" w:rsidR="001D3C09" w:rsidRPr="00304144" w:rsidRDefault="00A75454" w:rsidP="00446C29">
            <w:pPr>
              <w:jc w:val="center"/>
              <w:rPr>
                <w:b/>
                <w:bCs/>
                <w:color w:val="FF0000"/>
                <w:sz w:val="20"/>
                <w:szCs w:val="20"/>
              </w:rPr>
            </w:pPr>
            <w:r>
              <w:rPr>
                <w:b/>
                <w:bCs/>
                <w:sz w:val="20"/>
                <w:szCs w:val="20"/>
              </w:rPr>
              <w:t>-</w:t>
            </w:r>
          </w:p>
        </w:tc>
        <w:tc>
          <w:tcPr>
            <w:tcW w:w="1335" w:type="dxa"/>
          </w:tcPr>
          <w:p w14:paraId="13F47618" w14:textId="22790269" w:rsidR="001D3C09" w:rsidRPr="00304144" w:rsidRDefault="00A75454" w:rsidP="00446C29">
            <w:pPr>
              <w:jc w:val="center"/>
              <w:rPr>
                <w:b/>
                <w:bCs/>
                <w:color w:val="FF0000"/>
                <w:sz w:val="20"/>
                <w:szCs w:val="20"/>
              </w:rPr>
            </w:pPr>
            <w:r>
              <w:rPr>
                <w:b/>
                <w:bCs/>
                <w:sz w:val="20"/>
                <w:szCs w:val="20"/>
              </w:rPr>
              <w:t>-</w:t>
            </w:r>
          </w:p>
        </w:tc>
        <w:tc>
          <w:tcPr>
            <w:tcW w:w="1000" w:type="dxa"/>
          </w:tcPr>
          <w:p w14:paraId="592DDD47" w14:textId="1518CBC9" w:rsidR="001D3C09" w:rsidRPr="00304144" w:rsidRDefault="00A75454" w:rsidP="00446C29">
            <w:pPr>
              <w:jc w:val="center"/>
              <w:rPr>
                <w:b/>
                <w:bCs/>
                <w:color w:val="FF0000"/>
                <w:sz w:val="20"/>
                <w:szCs w:val="20"/>
              </w:rPr>
            </w:pPr>
            <w:r>
              <w:rPr>
                <w:b/>
                <w:bCs/>
                <w:sz w:val="20"/>
                <w:szCs w:val="20"/>
              </w:rPr>
              <w:t>-</w:t>
            </w:r>
          </w:p>
        </w:tc>
        <w:tc>
          <w:tcPr>
            <w:tcW w:w="1409" w:type="dxa"/>
          </w:tcPr>
          <w:p w14:paraId="5AFF9E1B" w14:textId="2B3B83C3" w:rsidR="001D3C09" w:rsidRPr="00304144" w:rsidRDefault="00A75454" w:rsidP="00446C29">
            <w:pPr>
              <w:jc w:val="center"/>
              <w:rPr>
                <w:b/>
                <w:bCs/>
                <w:color w:val="FF0000"/>
                <w:sz w:val="20"/>
                <w:szCs w:val="20"/>
              </w:rPr>
            </w:pPr>
            <w:r>
              <w:rPr>
                <w:b/>
                <w:bCs/>
                <w:sz w:val="20"/>
                <w:szCs w:val="20"/>
              </w:rPr>
              <w:t>-</w:t>
            </w:r>
          </w:p>
        </w:tc>
      </w:tr>
      <w:tr w:rsidR="0078668D" w:rsidRPr="00304144" w14:paraId="395622FE" w14:textId="1B614D73" w:rsidTr="00E75B35">
        <w:tc>
          <w:tcPr>
            <w:tcW w:w="457" w:type="dxa"/>
            <w:vMerge w:val="restart"/>
          </w:tcPr>
          <w:p w14:paraId="50BBD49E" w14:textId="00D26CD2" w:rsidR="0078668D" w:rsidRPr="001D3C09" w:rsidRDefault="0078668D" w:rsidP="00C7429D">
            <w:pPr>
              <w:jc w:val="both"/>
              <w:rPr>
                <w:sz w:val="20"/>
                <w:szCs w:val="20"/>
              </w:rPr>
            </w:pPr>
            <w:r w:rsidRPr="001D3C09">
              <w:rPr>
                <w:sz w:val="20"/>
                <w:szCs w:val="20"/>
              </w:rPr>
              <w:t>2</w:t>
            </w:r>
          </w:p>
        </w:tc>
        <w:tc>
          <w:tcPr>
            <w:tcW w:w="1413" w:type="dxa"/>
            <w:vMerge w:val="restart"/>
          </w:tcPr>
          <w:p w14:paraId="50D88458" w14:textId="27439D05" w:rsidR="0078668D" w:rsidRPr="001D3C09" w:rsidRDefault="0078668D" w:rsidP="005549A1">
            <w:pPr>
              <w:jc w:val="center"/>
              <w:rPr>
                <w:sz w:val="20"/>
                <w:szCs w:val="20"/>
              </w:rPr>
            </w:pPr>
            <w:r w:rsidRPr="001D3C09">
              <w:rPr>
                <w:sz w:val="20"/>
                <w:szCs w:val="20"/>
              </w:rPr>
              <w:t>Transporte</w:t>
            </w:r>
          </w:p>
        </w:tc>
        <w:tc>
          <w:tcPr>
            <w:tcW w:w="540" w:type="dxa"/>
          </w:tcPr>
          <w:p w14:paraId="1D5A00BB" w14:textId="50D947D9" w:rsidR="0078668D" w:rsidRPr="0078668D" w:rsidRDefault="0078668D" w:rsidP="00C22576">
            <w:pPr>
              <w:jc w:val="center"/>
              <w:rPr>
                <w:sz w:val="20"/>
                <w:szCs w:val="20"/>
              </w:rPr>
            </w:pPr>
            <w:r w:rsidRPr="0078668D">
              <w:rPr>
                <w:sz w:val="20"/>
                <w:szCs w:val="20"/>
              </w:rPr>
              <w:t>3</w:t>
            </w:r>
          </w:p>
        </w:tc>
        <w:tc>
          <w:tcPr>
            <w:tcW w:w="1959" w:type="dxa"/>
          </w:tcPr>
          <w:p w14:paraId="20DADAD4" w14:textId="70207FF7" w:rsidR="0078668D" w:rsidRPr="00304144" w:rsidRDefault="0078668D" w:rsidP="005738FF">
            <w:pPr>
              <w:rPr>
                <w:color w:val="FF0000"/>
                <w:sz w:val="20"/>
                <w:szCs w:val="20"/>
              </w:rPr>
            </w:pPr>
            <w:r w:rsidRPr="001D3C09">
              <w:rPr>
                <w:sz w:val="20"/>
                <w:szCs w:val="20"/>
              </w:rPr>
              <w:t>Percentual de utilização de transporte</w:t>
            </w:r>
            <w:r w:rsidR="00817114">
              <w:rPr>
                <w:rStyle w:val="Refdenotaderodap"/>
                <w:sz w:val="20"/>
                <w:szCs w:val="20"/>
              </w:rPr>
              <w:footnoteReference w:id="2"/>
            </w:r>
          </w:p>
        </w:tc>
        <w:tc>
          <w:tcPr>
            <w:tcW w:w="1940" w:type="dxa"/>
          </w:tcPr>
          <w:p w14:paraId="0709C924" w14:textId="15FB7116" w:rsidR="0078668D" w:rsidRPr="00304144" w:rsidRDefault="0078668D" w:rsidP="005738FF">
            <w:pPr>
              <w:rPr>
                <w:color w:val="FF0000"/>
                <w:sz w:val="20"/>
                <w:szCs w:val="20"/>
              </w:rPr>
            </w:pPr>
            <w:r w:rsidRPr="001D3C09">
              <w:rPr>
                <w:sz w:val="20"/>
                <w:szCs w:val="20"/>
              </w:rPr>
              <w:t>Total de quilômetros rodados em 2021 – total de quilômetros rodados em 2020/Total de quilômetros rodados em 2020 x 100</w:t>
            </w:r>
          </w:p>
        </w:tc>
        <w:tc>
          <w:tcPr>
            <w:tcW w:w="723" w:type="dxa"/>
          </w:tcPr>
          <w:p w14:paraId="1D76208E" w14:textId="18DC2D3B" w:rsidR="0078668D" w:rsidRPr="001D3C09" w:rsidRDefault="0078668D" w:rsidP="002045F2">
            <w:pPr>
              <w:jc w:val="center"/>
              <w:rPr>
                <w:sz w:val="20"/>
                <w:szCs w:val="20"/>
              </w:rPr>
            </w:pPr>
            <w:r w:rsidRPr="001D3C09">
              <w:rPr>
                <w:sz w:val="20"/>
                <w:szCs w:val="20"/>
              </w:rPr>
              <w:t>%</w:t>
            </w:r>
          </w:p>
        </w:tc>
        <w:tc>
          <w:tcPr>
            <w:tcW w:w="1064" w:type="dxa"/>
            <w:shd w:val="clear" w:color="auto" w:fill="auto"/>
          </w:tcPr>
          <w:p w14:paraId="57CB9D15" w14:textId="5C25F33E" w:rsidR="0078668D" w:rsidRPr="00304144" w:rsidRDefault="00003CF1" w:rsidP="001D3C09">
            <w:pPr>
              <w:jc w:val="center"/>
              <w:rPr>
                <w:color w:val="FF0000"/>
                <w:sz w:val="20"/>
                <w:szCs w:val="20"/>
                <w:highlight w:val="lightGray"/>
              </w:rPr>
            </w:pPr>
            <w:r>
              <w:rPr>
                <w:b/>
                <w:bCs/>
                <w:sz w:val="20"/>
                <w:szCs w:val="20"/>
              </w:rPr>
              <w:t>&lt;</w:t>
            </w:r>
            <w:r w:rsidR="005B1289">
              <w:rPr>
                <w:b/>
                <w:bCs/>
                <w:sz w:val="20"/>
                <w:szCs w:val="20"/>
              </w:rPr>
              <w:t>3</w:t>
            </w:r>
            <w:r w:rsidR="0078668D">
              <w:rPr>
                <w:b/>
                <w:bCs/>
                <w:sz w:val="20"/>
                <w:szCs w:val="20"/>
              </w:rPr>
              <w:t>0</w:t>
            </w:r>
            <w:r w:rsidR="0078668D" w:rsidRPr="001D3C09">
              <w:rPr>
                <w:b/>
                <w:bCs/>
                <w:sz w:val="20"/>
                <w:szCs w:val="20"/>
              </w:rPr>
              <w:t>%</w:t>
            </w:r>
          </w:p>
        </w:tc>
        <w:tc>
          <w:tcPr>
            <w:tcW w:w="1113" w:type="dxa"/>
            <w:shd w:val="clear" w:color="auto" w:fill="auto"/>
          </w:tcPr>
          <w:p w14:paraId="34AE8A75" w14:textId="289097A5" w:rsidR="0078668D" w:rsidRDefault="00DD20E5" w:rsidP="00C2605E">
            <w:pPr>
              <w:jc w:val="center"/>
              <w:rPr>
                <w:b/>
                <w:bCs/>
                <w:sz w:val="20"/>
                <w:szCs w:val="20"/>
              </w:rPr>
            </w:pPr>
            <w:r>
              <w:rPr>
                <w:b/>
                <w:bCs/>
                <w:sz w:val="20"/>
                <w:szCs w:val="20"/>
              </w:rPr>
              <w:t>-</w:t>
            </w:r>
          </w:p>
          <w:p w14:paraId="5E786577" w14:textId="1EBC30F3" w:rsidR="00577F36" w:rsidRPr="00304144" w:rsidRDefault="00577F36" w:rsidP="00C2605E">
            <w:pPr>
              <w:jc w:val="center"/>
              <w:rPr>
                <w:b/>
                <w:bCs/>
                <w:color w:val="FF0000"/>
                <w:sz w:val="20"/>
                <w:szCs w:val="20"/>
                <w:highlight w:val="lightGray"/>
              </w:rPr>
            </w:pPr>
          </w:p>
        </w:tc>
        <w:tc>
          <w:tcPr>
            <w:tcW w:w="1276" w:type="dxa"/>
            <w:shd w:val="clear" w:color="auto" w:fill="auto"/>
          </w:tcPr>
          <w:p w14:paraId="631464F2" w14:textId="48F8F621" w:rsidR="0078668D" w:rsidRPr="00304144" w:rsidRDefault="00DD20E5" w:rsidP="00C2605E">
            <w:pPr>
              <w:jc w:val="center"/>
              <w:rPr>
                <w:color w:val="FF0000"/>
                <w:sz w:val="20"/>
                <w:szCs w:val="20"/>
              </w:rPr>
            </w:pPr>
            <w:r>
              <w:rPr>
                <w:b/>
                <w:bCs/>
                <w:sz w:val="20"/>
                <w:szCs w:val="20"/>
              </w:rPr>
              <w:t>-</w:t>
            </w:r>
          </w:p>
        </w:tc>
        <w:tc>
          <w:tcPr>
            <w:tcW w:w="1335" w:type="dxa"/>
            <w:shd w:val="clear" w:color="auto" w:fill="auto"/>
          </w:tcPr>
          <w:p w14:paraId="0BC6ACCC" w14:textId="35FF5128" w:rsidR="0078668D" w:rsidRPr="00304144" w:rsidRDefault="00DD20E5" w:rsidP="00C2605E">
            <w:pPr>
              <w:jc w:val="center"/>
              <w:rPr>
                <w:color w:val="FF0000"/>
                <w:sz w:val="20"/>
                <w:szCs w:val="20"/>
              </w:rPr>
            </w:pPr>
            <w:r>
              <w:rPr>
                <w:b/>
                <w:bCs/>
                <w:sz w:val="20"/>
                <w:szCs w:val="20"/>
              </w:rPr>
              <w:t>-</w:t>
            </w:r>
          </w:p>
        </w:tc>
        <w:tc>
          <w:tcPr>
            <w:tcW w:w="1000" w:type="dxa"/>
            <w:shd w:val="clear" w:color="auto" w:fill="auto"/>
          </w:tcPr>
          <w:p w14:paraId="32C04E07" w14:textId="0F3EAB16" w:rsidR="0078668D" w:rsidRPr="00304144" w:rsidRDefault="00DD20E5" w:rsidP="00C2605E">
            <w:pPr>
              <w:jc w:val="center"/>
              <w:rPr>
                <w:color w:val="FF0000"/>
                <w:sz w:val="20"/>
                <w:szCs w:val="20"/>
              </w:rPr>
            </w:pPr>
            <w:r>
              <w:rPr>
                <w:b/>
                <w:bCs/>
                <w:sz w:val="20"/>
                <w:szCs w:val="20"/>
              </w:rPr>
              <w:t>-</w:t>
            </w:r>
          </w:p>
        </w:tc>
        <w:tc>
          <w:tcPr>
            <w:tcW w:w="1409" w:type="dxa"/>
            <w:shd w:val="clear" w:color="auto" w:fill="auto"/>
          </w:tcPr>
          <w:p w14:paraId="7EE4EDDF" w14:textId="207DFBCE" w:rsidR="0078668D" w:rsidRPr="00304144" w:rsidRDefault="00DD20E5" w:rsidP="00C2605E">
            <w:pPr>
              <w:jc w:val="center"/>
              <w:rPr>
                <w:color w:val="FF0000"/>
                <w:sz w:val="20"/>
                <w:szCs w:val="20"/>
              </w:rPr>
            </w:pPr>
            <w:r>
              <w:rPr>
                <w:b/>
                <w:bCs/>
                <w:sz w:val="20"/>
                <w:szCs w:val="20"/>
              </w:rPr>
              <w:t>-</w:t>
            </w:r>
          </w:p>
        </w:tc>
      </w:tr>
      <w:tr w:rsidR="0078668D" w:rsidRPr="00304144" w14:paraId="3E7BFC32" w14:textId="2F866D96" w:rsidTr="6FAF9AB8">
        <w:tc>
          <w:tcPr>
            <w:tcW w:w="457" w:type="dxa"/>
            <w:vMerge/>
          </w:tcPr>
          <w:p w14:paraId="3889477C" w14:textId="56BB3B62" w:rsidR="0078668D" w:rsidRPr="00304144" w:rsidRDefault="0078668D" w:rsidP="00C7429D">
            <w:pPr>
              <w:jc w:val="both"/>
              <w:rPr>
                <w:color w:val="FF0000"/>
                <w:sz w:val="20"/>
                <w:szCs w:val="20"/>
              </w:rPr>
            </w:pPr>
          </w:p>
        </w:tc>
        <w:tc>
          <w:tcPr>
            <w:tcW w:w="1413" w:type="dxa"/>
            <w:vMerge/>
          </w:tcPr>
          <w:p w14:paraId="05883864" w14:textId="77777777" w:rsidR="0078668D" w:rsidRPr="00304144" w:rsidRDefault="0078668D" w:rsidP="005549A1">
            <w:pPr>
              <w:jc w:val="center"/>
              <w:rPr>
                <w:color w:val="FF0000"/>
                <w:sz w:val="20"/>
                <w:szCs w:val="20"/>
              </w:rPr>
            </w:pPr>
          </w:p>
        </w:tc>
        <w:tc>
          <w:tcPr>
            <w:tcW w:w="540" w:type="dxa"/>
          </w:tcPr>
          <w:p w14:paraId="55E80DB9" w14:textId="1351A064" w:rsidR="0078668D" w:rsidRPr="0078668D" w:rsidRDefault="0078668D" w:rsidP="00C22576">
            <w:pPr>
              <w:jc w:val="center"/>
              <w:rPr>
                <w:sz w:val="20"/>
                <w:szCs w:val="20"/>
              </w:rPr>
            </w:pPr>
            <w:r w:rsidRPr="0078668D">
              <w:rPr>
                <w:sz w:val="20"/>
                <w:szCs w:val="20"/>
              </w:rPr>
              <w:t>4</w:t>
            </w:r>
          </w:p>
        </w:tc>
        <w:tc>
          <w:tcPr>
            <w:tcW w:w="1959" w:type="dxa"/>
          </w:tcPr>
          <w:p w14:paraId="4263514B" w14:textId="338C6652" w:rsidR="0078668D" w:rsidRPr="00304144" w:rsidRDefault="0078668D" w:rsidP="005738FF">
            <w:pPr>
              <w:rPr>
                <w:color w:val="FF0000"/>
                <w:sz w:val="20"/>
                <w:szCs w:val="20"/>
              </w:rPr>
            </w:pPr>
            <w:r w:rsidRPr="0078668D">
              <w:rPr>
                <w:sz w:val="20"/>
                <w:szCs w:val="20"/>
              </w:rPr>
              <w:t>Percentual de utilização de táxi (aplicativo)</w:t>
            </w:r>
          </w:p>
        </w:tc>
        <w:tc>
          <w:tcPr>
            <w:tcW w:w="1940" w:type="dxa"/>
          </w:tcPr>
          <w:p w14:paraId="773270FA" w14:textId="77B999A4" w:rsidR="0078668D" w:rsidRPr="00304144" w:rsidRDefault="00EE2C39" w:rsidP="005738FF">
            <w:pPr>
              <w:rPr>
                <w:color w:val="FF0000"/>
                <w:sz w:val="20"/>
                <w:szCs w:val="20"/>
              </w:rPr>
            </w:pPr>
            <w:r w:rsidRPr="00EE2C39">
              <w:rPr>
                <w:sz w:val="20"/>
                <w:szCs w:val="20"/>
              </w:rPr>
              <w:t xml:space="preserve">Quantidade de saídas de táxi / quantidade total de saídas de táxi + quantidade total de </w:t>
            </w:r>
            <w:r w:rsidRPr="00EE2C39">
              <w:rPr>
                <w:sz w:val="20"/>
                <w:szCs w:val="20"/>
              </w:rPr>
              <w:lastRenderedPageBreak/>
              <w:t>saídas de veículos próprios ou locados (representação) para deslocamentos dentro do município x 100</w:t>
            </w:r>
          </w:p>
        </w:tc>
        <w:tc>
          <w:tcPr>
            <w:tcW w:w="723" w:type="dxa"/>
          </w:tcPr>
          <w:p w14:paraId="652512A4" w14:textId="4BDEB910" w:rsidR="0078668D" w:rsidRPr="00304144" w:rsidRDefault="0078668D" w:rsidP="002045F2">
            <w:pPr>
              <w:jc w:val="center"/>
              <w:rPr>
                <w:color w:val="FF0000"/>
                <w:sz w:val="20"/>
                <w:szCs w:val="20"/>
              </w:rPr>
            </w:pPr>
            <w:r w:rsidRPr="00EE2C39">
              <w:rPr>
                <w:sz w:val="20"/>
                <w:szCs w:val="20"/>
              </w:rPr>
              <w:lastRenderedPageBreak/>
              <w:t>%</w:t>
            </w:r>
          </w:p>
        </w:tc>
        <w:tc>
          <w:tcPr>
            <w:tcW w:w="1064" w:type="dxa"/>
          </w:tcPr>
          <w:p w14:paraId="5A49061A" w14:textId="78557A19" w:rsidR="0078668D" w:rsidRPr="00304144" w:rsidRDefault="00003CF1" w:rsidP="009A532C">
            <w:pPr>
              <w:jc w:val="center"/>
              <w:rPr>
                <w:b/>
                <w:bCs/>
                <w:color w:val="FF0000"/>
                <w:sz w:val="20"/>
                <w:szCs w:val="20"/>
              </w:rPr>
            </w:pPr>
            <w:r>
              <w:rPr>
                <w:b/>
                <w:bCs/>
                <w:sz w:val="20"/>
                <w:szCs w:val="20"/>
              </w:rPr>
              <w:t>&lt;</w:t>
            </w:r>
            <w:r w:rsidR="005B1289">
              <w:rPr>
                <w:b/>
                <w:bCs/>
                <w:sz w:val="20"/>
                <w:szCs w:val="20"/>
              </w:rPr>
              <w:t>5</w:t>
            </w:r>
            <w:r w:rsidR="0078668D" w:rsidRPr="00EE2C39">
              <w:rPr>
                <w:b/>
                <w:bCs/>
                <w:sz w:val="20"/>
                <w:szCs w:val="20"/>
              </w:rPr>
              <w:t>%</w:t>
            </w:r>
          </w:p>
        </w:tc>
        <w:tc>
          <w:tcPr>
            <w:tcW w:w="1113" w:type="dxa"/>
          </w:tcPr>
          <w:p w14:paraId="2320AA7B" w14:textId="05B391EE" w:rsidR="0078668D" w:rsidRPr="00304144" w:rsidDel="00B1672C" w:rsidRDefault="00003CF1" w:rsidP="009A532C">
            <w:pPr>
              <w:jc w:val="center"/>
              <w:rPr>
                <w:b/>
                <w:bCs/>
                <w:color w:val="FF0000"/>
                <w:sz w:val="20"/>
                <w:szCs w:val="20"/>
              </w:rPr>
            </w:pPr>
            <w:r>
              <w:rPr>
                <w:b/>
                <w:bCs/>
                <w:sz w:val="20"/>
                <w:szCs w:val="20"/>
              </w:rPr>
              <w:t>&lt;</w:t>
            </w:r>
            <w:r w:rsidR="000F4F35">
              <w:rPr>
                <w:b/>
                <w:bCs/>
                <w:sz w:val="20"/>
                <w:szCs w:val="20"/>
              </w:rPr>
              <w:t>5</w:t>
            </w:r>
            <w:r w:rsidR="000F4F35" w:rsidRPr="00EE2C39">
              <w:rPr>
                <w:b/>
                <w:bCs/>
                <w:sz w:val="20"/>
                <w:szCs w:val="20"/>
              </w:rPr>
              <w:t>%</w:t>
            </w:r>
          </w:p>
        </w:tc>
        <w:tc>
          <w:tcPr>
            <w:tcW w:w="1276" w:type="dxa"/>
          </w:tcPr>
          <w:p w14:paraId="3F89B838" w14:textId="645E2491" w:rsidR="0078668D" w:rsidRPr="00304144" w:rsidRDefault="00003CF1" w:rsidP="009A532C">
            <w:pPr>
              <w:jc w:val="center"/>
              <w:rPr>
                <w:b/>
                <w:bCs/>
                <w:color w:val="FF0000"/>
                <w:sz w:val="20"/>
                <w:szCs w:val="20"/>
              </w:rPr>
            </w:pPr>
            <w:r>
              <w:rPr>
                <w:b/>
                <w:bCs/>
                <w:sz w:val="20"/>
                <w:szCs w:val="20"/>
              </w:rPr>
              <w:t>&lt;</w:t>
            </w:r>
            <w:r w:rsidR="000F4F35">
              <w:rPr>
                <w:b/>
                <w:bCs/>
                <w:sz w:val="20"/>
                <w:szCs w:val="20"/>
              </w:rPr>
              <w:t>5</w:t>
            </w:r>
            <w:r w:rsidR="000F4F35" w:rsidRPr="00EE2C39">
              <w:rPr>
                <w:b/>
                <w:bCs/>
                <w:sz w:val="20"/>
                <w:szCs w:val="20"/>
              </w:rPr>
              <w:t>%</w:t>
            </w:r>
          </w:p>
        </w:tc>
        <w:tc>
          <w:tcPr>
            <w:tcW w:w="1335" w:type="dxa"/>
          </w:tcPr>
          <w:p w14:paraId="24EA567D" w14:textId="46A77946" w:rsidR="0078668D" w:rsidRPr="00304144" w:rsidRDefault="00003CF1" w:rsidP="009A532C">
            <w:pPr>
              <w:jc w:val="center"/>
              <w:rPr>
                <w:b/>
                <w:bCs/>
                <w:color w:val="FF0000"/>
                <w:sz w:val="20"/>
                <w:szCs w:val="20"/>
              </w:rPr>
            </w:pPr>
            <w:r>
              <w:rPr>
                <w:b/>
                <w:bCs/>
                <w:sz w:val="20"/>
                <w:szCs w:val="20"/>
              </w:rPr>
              <w:t>&lt;</w:t>
            </w:r>
            <w:r w:rsidR="000F4F35">
              <w:rPr>
                <w:b/>
                <w:bCs/>
                <w:sz w:val="20"/>
                <w:szCs w:val="20"/>
              </w:rPr>
              <w:t>5</w:t>
            </w:r>
            <w:r w:rsidR="000F4F35" w:rsidRPr="00EE2C39">
              <w:rPr>
                <w:b/>
                <w:bCs/>
                <w:sz w:val="20"/>
                <w:szCs w:val="20"/>
              </w:rPr>
              <w:t>%</w:t>
            </w:r>
          </w:p>
        </w:tc>
        <w:tc>
          <w:tcPr>
            <w:tcW w:w="1000" w:type="dxa"/>
          </w:tcPr>
          <w:p w14:paraId="7F618100" w14:textId="51066571" w:rsidR="0078668D" w:rsidRPr="00304144" w:rsidRDefault="00003CF1" w:rsidP="009A532C">
            <w:pPr>
              <w:jc w:val="center"/>
              <w:rPr>
                <w:b/>
                <w:bCs/>
                <w:color w:val="FF0000"/>
                <w:sz w:val="20"/>
                <w:szCs w:val="20"/>
              </w:rPr>
            </w:pPr>
            <w:r>
              <w:rPr>
                <w:b/>
                <w:bCs/>
                <w:sz w:val="20"/>
                <w:szCs w:val="20"/>
              </w:rPr>
              <w:t>&lt;</w:t>
            </w:r>
            <w:r w:rsidR="000F4F35">
              <w:rPr>
                <w:b/>
                <w:bCs/>
                <w:sz w:val="20"/>
                <w:szCs w:val="20"/>
              </w:rPr>
              <w:t>5</w:t>
            </w:r>
            <w:r w:rsidR="000F4F35" w:rsidRPr="00EE2C39">
              <w:rPr>
                <w:b/>
                <w:bCs/>
                <w:sz w:val="20"/>
                <w:szCs w:val="20"/>
              </w:rPr>
              <w:t>%</w:t>
            </w:r>
          </w:p>
        </w:tc>
        <w:tc>
          <w:tcPr>
            <w:tcW w:w="1409" w:type="dxa"/>
          </w:tcPr>
          <w:p w14:paraId="5326EAC8" w14:textId="123B7205" w:rsidR="0078668D" w:rsidRPr="00304144" w:rsidRDefault="00003CF1" w:rsidP="009A532C">
            <w:pPr>
              <w:jc w:val="center"/>
              <w:rPr>
                <w:b/>
                <w:bCs/>
                <w:color w:val="FF0000"/>
                <w:sz w:val="20"/>
                <w:szCs w:val="20"/>
              </w:rPr>
            </w:pPr>
            <w:r>
              <w:rPr>
                <w:b/>
                <w:bCs/>
                <w:sz w:val="20"/>
                <w:szCs w:val="20"/>
              </w:rPr>
              <w:t>&lt;</w:t>
            </w:r>
            <w:r w:rsidR="000F4F35">
              <w:rPr>
                <w:b/>
                <w:bCs/>
                <w:sz w:val="20"/>
                <w:szCs w:val="20"/>
              </w:rPr>
              <w:t>5</w:t>
            </w:r>
            <w:r w:rsidR="000F4F35" w:rsidRPr="00EE2C39">
              <w:rPr>
                <w:b/>
                <w:bCs/>
                <w:sz w:val="20"/>
                <w:szCs w:val="20"/>
              </w:rPr>
              <w:t>%</w:t>
            </w:r>
          </w:p>
        </w:tc>
      </w:tr>
      <w:tr w:rsidR="0078668D" w:rsidRPr="00304144" w14:paraId="37E49798" w14:textId="77777777" w:rsidTr="00E75B35">
        <w:tc>
          <w:tcPr>
            <w:tcW w:w="457" w:type="dxa"/>
            <w:vMerge/>
          </w:tcPr>
          <w:p w14:paraId="726BB13B" w14:textId="77777777" w:rsidR="0078668D" w:rsidRPr="00304144" w:rsidDel="007801FE" w:rsidRDefault="0078668D" w:rsidP="0078668D">
            <w:pPr>
              <w:jc w:val="both"/>
              <w:rPr>
                <w:color w:val="FF0000"/>
                <w:sz w:val="20"/>
                <w:szCs w:val="20"/>
              </w:rPr>
            </w:pPr>
          </w:p>
        </w:tc>
        <w:tc>
          <w:tcPr>
            <w:tcW w:w="1413" w:type="dxa"/>
            <w:vMerge/>
          </w:tcPr>
          <w:p w14:paraId="287B17FA" w14:textId="77777777" w:rsidR="0078668D" w:rsidRPr="00304144" w:rsidDel="00AC1F87" w:rsidRDefault="0078668D" w:rsidP="0078668D">
            <w:pPr>
              <w:jc w:val="center"/>
              <w:rPr>
                <w:color w:val="FF0000"/>
                <w:sz w:val="20"/>
                <w:szCs w:val="20"/>
              </w:rPr>
            </w:pPr>
          </w:p>
        </w:tc>
        <w:tc>
          <w:tcPr>
            <w:tcW w:w="540" w:type="dxa"/>
          </w:tcPr>
          <w:p w14:paraId="155388E5" w14:textId="4E40E74B" w:rsidR="0078668D" w:rsidRPr="000F4F35" w:rsidDel="00900500" w:rsidRDefault="000F4F35" w:rsidP="0078668D">
            <w:pPr>
              <w:jc w:val="center"/>
              <w:rPr>
                <w:sz w:val="20"/>
                <w:szCs w:val="20"/>
              </w:rPr>
            </w:pPr>
            <w:r>
              <w:rPr>
                <w:sz w:val="20"/>
                <w:szCs w:val="20"/>
              </w:rPr>
              <w:t>5</w:t>
            </w:r>
          </w:p>
        </w:tc>
        <w:tc>
          <w:tcPr>
            <w:tcW w:w="1959" w:type="dxa"/>
          </w:tcPr>
          <w:p w14:paraId="40B78013" w14:textId="2C8A756A" w:rsidR="00F942CF" w:rsidRPr="000F4F35" w:rsidDel="007801FE" w:rsidRDefault="0078668D" w:rsidP="00DD20E5">
            <w:pPr>
              <w:rPr>
                <w:sz w:val="20"/>
                <w:szCs w:val="20"/>
              </w:rPr>
            </w:pPr>
            <w:r w:rsidRPr="000F4F35">
              <w:rPr>
                <w:sz w:val="20"/>
                <w:szCs w:val="20"/>
              </w:rPr>
              <w:t>Emissão de CO</w:t>
            </w:r>
            <w:r w:rsidRPr="000F4F35">
              <w:rPr>
                <w:sz w:val="20"/>
                <w:szCs w:val="20"/>
                <w:vertAlign w:val="subscript"/>
              </w:rPr>
              <w:t>2</w:t>
            </w:r>
            <w:r w:rsidR="00DD20E5">
              <w:t xml:space="preserve"> </w:t>
            </w:r>
            <w:r w:rsidR="00F942CF">
              <w:rPr>
                <w:rStyle w:val="Refdenotaderodap"/>
                <w:sz w:val="20"/>
                <w:szCs w:val="20"/>
              </w:rPr>
              <w:footnoteReference w:id="3"/>
            </w:r>
          </w:p>
        </w:tc>
        <w:tc>
          <w:tcPr>
            <w:tcW w:w="1940" w:type="dxa"/>
          </w:tcPr>
          <w:p w14:paraId="5AB92C4C" w14:textId="2E8A71E7" w:rsidR="0078668D" w:rsidRPr="001B6611" w:rsidRDefault="0078668D" w:rsidP="0078668D">
            <w:pPr>
              <w:rPr>
                <w:sz w:val="20"/>
                <w:szCs w:val="20"/>
              </w:rPr>
            </w:pPr>
            <w:r w:rsidRPr="000F4F35">
              <w:rPr>
                <w:sz w:val="20"/>
                <w:szCs w:val="20"/>
              </w:rPr>
              <w:t>Total de CO</w:t>
            </w:r>
            <w:r w:rsidRPr="000F4F35">
              <w:rPr>
                <w:sz w:val="20"/>
                <w:szCs w:val="20"/>
                <w:vertAlign w:val="subscript"/>
              </w:rPr>
              <w:t>2</w:t>
            </w:r>
            <w:r w:rsidRPr="000F4F35">
              <w:rPr>
                <w:sz w:val="20"/>
                <w:szCs w:val="20"/>
              </w:rPr>
              <w:t xml:space="preserve"> em 202</w:t>
            </w:r>
            <w:r w:rsidR="000F4F35" w:rsidRPr="000F4F35">
              <w:rPr>
                <w:sz w:val="20"/>
                <w:szCs w:val="20"/>
              </w:rPr>
              <w:t>1</w:t>
            </w:r>
            <w:r w:rsidRPr="000F4F35">
              <w:rPr>
                <w:sz w:val="20"/>
                <w:szCs w:val="20"/>
              </w:rPr>
              <w:t xml:space="preserve"> – total de CO</w:t>
            </w:r>
            <w:r w:rsidRPr="000F4F35">
              <w:rPr>
                <w:sz w:val="20"/>
                <w:szCs w:val="20"/>
                <w:vertAlign w:val="subscript"/>
              </w:rPr>
              <w:t>2</w:t>
            </w:r>
            <w:r w:rsidRPr="000F4F35">
              <w:rPr>
                <w:sz w:val="20"/>
                <w:szCs w:val="20"/>
              </w:rPr>
              <w:t xml:space="preserve"> em 20</w:t>
            </w:r>
            <w:r w:rsidR="000F4F35" w:rsidRPr="000F4F35">
              <w:rPr>
                <w:sz w:val="20"/>
                <w:szCs w:val="20"/>
              </w:rPr>
              <w:t>20</w:t>
            </w:r>
            <w:r w:rsidRPr="000F4F35">
              <w:rPr>
                <w:sz w:val="20"/>
                <w:szCs w:val="20"/>
              </w:rPr>
              <w:t>) / total de CO</w:t>
            </w:r>
            <w:r w:rsidRPr="000F4F35">
              <w:rPr>
                <w:sz w:val="20"/>
                <w:szCs w:val="20"/>
                <w:vertAlign w:val="subscript"/>
              </w:rPr>
              <w:t>2</w:t>
            </w:r>
            <w:r w:rsidRPr="000F4F35">
              <w:rPr>
                <w:sz w:val="20"/>
                <w:szCs w:val="20"/>
              </w:rPr>
              <w:t xml:space="preserve"> 20</w:t>
            </w:r>
            <w:r w:rsidR="000F4F35" w:rsidRPr="000F4F35">
              <w:rPr>
                <w:sz w:val="20"/>
                <w:szCs w:val="20"/>
              </w:rPr>
              <w:t>20</w:t>
            </w:r>
            <w:r w:rsidRPr="000F4F35">
              <w:rPr>
                <w:sz w:val="20"/>
                <w:szCs w:val="20"/>
              </w:rPr>
              <w:t xml:space="preserve"> X 100</w:t>
            </w:r>
          </w:p>
        </w:tc>
        <w:tc>
          <w:tcPr>
            <w:tcW w:w="723" w:type="dxa"/>
          </w:tcPr>
          <w:p w14:paraId="0CE53FD2" w14:textId="685C97ED" w:rsidR="0078668D" w:rsidRPr="000F4F35" w:rsidDel="00B02D1D" w:rsidRDefault="0078668D" w:rsidP="0078668D">
            <w:pPr>
              <w:jc w:val="center"/>
              <w:rPr>
                <w:sz w:val="20"/>
                <w:szCs w:val="20"/>
              </w:rPr>
            </w:pPr>
            <w:r w:rsidRPr="000F4F35">
              <w:rPr>
                <w:sz w:val="20"/>
                <w:szCs w:val="20"/>
              </w:rPr>
              <w:t>%</w:t>
            </w:r>
          </w:p>
        </w:tc>
        <w:tc>
          <w:tcPr>
            <w:tcW w:w="1064" w:type="dxa"/>
          </w:tcPr>
          <w:p w14:paraId="51CE1775" w14:textId="32503BFC" w:rsidR="0078668D" w:rsidRPr="000F4F35" w:rsidDel="00B1672C" w:rsidRDefault="00003CF1" w:rsidP="0078668D">
            <w:pPr>
              <w:jc w:val="center"/>
              <w:rPr>
                <w:b/>
                <w:bCs/>
                <w:sz w:val="20"/>
                <w:szCs w:val="20"/>
              </w:rPr>
            </w:pPr>
            <w:r>
              <w:rPr>
                <w:b/>
                <w:bCs/>
                <w:sz w:val="20"/>
                <w:szCs w:val="20"/>
              </w:rPr>
              <w:t>&lt;</w:t>
            </w:r>
            <w:r w:rsidR="005B1289">
              <w:rPr>
                <w:b/>
                <w:bCs/>
                <w:sz w:val="20"/>
                <w:szCs w:val="20"/>
              </w:rPr>
              <w:t>3</w:t>
            </w:r>
            <w:r w:rsidR="000F4F35">
              <w:rPr>
                <w:b/>
                <w:bCs/>
                <w:sz w:val="20"/>
                <w:szCs w:val="20"/>
              </w:rPr>
              <w:t>0</w:t>
            </w:r>
            <w:r w:rsidR="0078668D" w:rsidRPr="000F4F35">
              <w:rPr>
                <w:b/>
                <w:bCs/>
                <w:sz w:val="20"/>
                <w:szCs w:val="20"/>
              </w:rPr>
              <w:t>%</w:t>
            </w:r>
          </w:p>
        </w:tc>
        <w:tc>
          <w:tcPr>
            <w:tcW w:w="1113" w:type="dxa"/>
            <w:shd w:val="clear" w:color="auto" w:fill="auto"/>
          </w:tcPr>
          <w:p w14:paraId="6A66B7DF" w14:textId="0215A265" w:rsidR="0078668D" w:rsidRPr="00304144" w:rsidRDefault="00DD20E5" w:rsidP="0078668D">
            <w:pPr>
              <w:jc w:val="center"/>
              <w:rPr>
                <w:b/>
                <w:bCs/>
                <w:color w:val="FF0000"/>
                <w:sz w:val="20"/>
                <w:szCs w:val="20"/>
              </w:rPr>
            </w:pPr>
            <w:r>
              <w:rPr>
                <w:b/>
                <w:bCs/>
                <w:sz w:val="20"/>
                <w:szCs w:val="20"/>
              </w:rPr>
              <w:t>-</w:t>
            </w:r>
          </w:p>
        </w:tc>
        <w:tc>
          <w:tcPr>
            <w:tcW w:w="1276" w:type="dxa"/>
            <w:shd w:val="clear" w:color="auto" w:fill="auto"/>
          </w:tcPr>
          <w:p w14:paraId="01A8D416" w14:textId="110E41D7" w:rsidR="0078668D" w:rsidRPr="00304144" w:rsidRDefault="00DD20E5" w:rsidP="0078668D">
            <w:pPr>
              <w:jc w:val="center"/>
              <w:rPr>
                <w:b/>
                <w:bCs/>
                <w:color w:val="FF0000"/>
                <w:sz w:val="20"/>
                <w:szCs w:val="20"/>
              </w:rPr>
            </w:pPr>
            <w:r>
              <w:rPr>
                <w:b/>
                <w:bCs/>
                <w:sz w:val="20"/>
                <w:szCs w:val="20"/>
              </w:rPr>
              <w:t>-</w:t>
            </w:r>
          </w:p>
        </w:tc>
        <w:tc>
          <w:tcPr>
            <w:tcW w:w="1335" w:type="dxa"/>
            <w:shd w:val="clear" w:color="auto" w:fill="auto"/>
          </w:tcPr>
          <w:p w14:paraId="44DCFCF3" w14:textId="0F03081D" w:rsidR="0078668D" w:rsidRPr="00304144" w:rsidRDefault="00DD20E5" w:rsidP="0078668D">
            <w:pPr>
              <w:jc w:val="center"/>
              <w:rPr>
                <w:b/>
                <w:bCs/>
                <w:color w:val="FF0000"/>
                <w:sz w:val="20"/>
                <w:szCs w:val="20"/>
              </w:rPr>
            </w:pPr>
            <w:r>
              <w:rPr>
                <w:b/>
                <w:bCs/>
                <w:sz w:val="20"/>
                <w:szCs w:val="20"/>
              </w:rPr>
              <w:t>-</w:t>
            </w:r>
          </w:p>
        </w:tc>
        <w:tc>
          <w:tcPr>
            <w:tcW w:w="1000" w:type="dxa"/>
            <w:shd w:val="clear" w:color="auto" w:fill="auto"/>
          </w:tcPr>
          <w:p w14:paraId="6CE0CF84" w14:textId="77D6D72C" w:rsidR="0078668D" w:rsidRPr="00304144" w:rsidRDefault="00DD20E5" w:rsidP="0078668D">
            <w:pPr>
              <w:jc w:val="center"/>
              <w:rPr>
                <w:b/>
                <w:bCs/>
                <w:color w:val="FF0000"/>
                <w:sz w:val="20"/>
                <w:szCs w:val="20"/>
              </w:rPr>
            </w:pPr>
            <w:r>
              <w:rPr>
                <w:b/>
                <w:bCs/>
                <w:sz w:val="20"/>
                <w:szCs w:val="20"/>
              </w:rPr>
              <w:t>-</w:t>
            </w:r>
          </w:p>
        </w:tc>
        <w:tc>
          <w:tcPr>
            <w:tcW w:w="1409" w:type="dxa"/>
            <w:shd w:val="clear" w:color="auto" w:fill="auto"/>
          </w:tcPr>
          <w:p w14:paraId="0785ED13" w14:textId="739A0A3C" w:rsidR="0078668D" w:rsidRPr="00304144" w:rsidRDefault="00DD20E5" w:rsidP="0078668D">
            <w:pPr>
              <w:jc w:val="center"/>
              <w:rPr>
                <w:b/>
                <w:bCs/>
                <w:color w:val="FF0000"/>
                <w:sz w:val="20"/>
                <w:szCs w:val="20"/>
              </w:rPr>
            </w:pPr>
            <w:r>
              <w:rPr>
                <w:b/>
                <w:bCs/>
                <w:sz w:val="20"/>
                <w:szCs w:val="20"/>
              </w:rPr>
              <w:t>-</w:t>
            </w:r>
          </w:p>
        </w:tc>
      </w:tr>
      <w:tr w:rsidR="001D3C09" w:rsidRPr="00304144" w14:paraId="1660D983" w14:textId="1709EBF3" w:rsidTr="6FAF9AB8">
        <w:tc>
          <w:tcPr>
            <w:tcW w:w="457" w:type="dxa"/>
          </w:tcPr>
          <w:p w14:paraId="3586E175" w14:textId="33C617DF" w:rsidR="001D3C09" w:rsidRPr="000F4F35" w:rsidRDefault="001D3C09" w:rsidP="009A532C">
            <w:pPr>
              <w:jc w:val="both"/>
              <w:rPr>
                <w:sz w:val="20"/>
                <w:szCs w:val="20"/>
              </w:rPr>
            </w:pPr>
            <w:r w:rsidRPr="000F4F35">
              <w:rPr>
                <w:sz w:val="20"/>
                <w:szCs w:val="20"/>
              </w:rPr>
              <w:t>3</w:t>
            </w:r>
          </w:p>
        </w:tc>
        <w:tc>
          <w:tcPr>
            <w:tcW w:w="1413" w:type="dxa"/>
          </w:tcPr>
          <w:p w14:paraId="1284106F" w14:textId="11CCF07A" w:rsidR="001D3C09" w:rsidRPr="000F4F35" w:rsidRDefault="001D3C09" w:rsidP="005549A1">
            <w:pPr>
              <w:jc w:val="center"/>
              <w:rPr>
                <w:sz w:val="20"/>
                <w:szCs w:val="20"/>
              </w:rPr>
            </w:pPr>
            <w:r w:rsidRPr="000F4F35">
              <w:rPr>
                <w:sz w:val="20"/>
                <w:szCs w:val="20"/>
              </w:rPr>
              <w:t>Energia Elétrica</w:t>
            </w:r>
          </w:p>
        </w:tc>
        <w:tc>
          <w:tcPr>
            <w:tcW w:w="540" w:type="dxa"/>
          </w:tcPr>
          <w:p w14:paraId="6F773E60" w14:textId="23F36B24" w:rsidR="001D3C09" w:rsidRPr="000F4F35" w:rsidRDefault="000F4F35" w:rsidP="00C22576">
            <w:pPr>
              <w:jc w:val="center"/>
              <w:rPr>
                <w:sz w:val="20"/>
                <w:szCs w:val="20"/>
              </w:rPr>
            </w:pPr>
            <w:r w:rsidRPr="000F4F35">
              <w:rPr>
                <w:sz w:val="20"/>
                <w:szCs w:val="20"/>
              </w:rPr>
              <w:t>6</w:t>
            </w:r>
          </w:p>
        </w:tc>
        <w:tc>
          <w:tcPr>
            <w:tcW w:w="1959" w:type="dxa"/>
          </w:tcPr>
          <w:p w14:paraId="4CA0D0BA" w14:textId="1C01F45D" w:rsidR="00F942CF" w:rsidRPr="000F4F35" w:rsidRDefault="001D3C09" w:rsidP="00F942CF">
            <w:pPr>
              <w:rPr>
                <w:sz w:val="20"/>
                <w:szCs w:val="20"/>
              </w:rPr>
            </w:pPr>
            <w:r w:rsidRPr="000F4F35">
              <w:rPr>
                <w:sz w:val="20"/>
                <w:szCs w:val="20"/>
              </w:rPr>
              <w:t>Consumo de Energia</w:t>
            </w:r>
            <w:r w:rsidR="00F942CF">
              <w:rPr>
                <w:rStyle w:val="Refdenotaderodap"/>
                <w:sz w:val="20"/>
                <w:szCs w:val="20"/>
              </w:rPr>
              <w:footnoteReference w:id="4"/>
            </w:r>
          </w:p>
        </w:tc>
        <w:tc>
          <w:tcPr>
            <w:tcW w:w="1940" w:type="dxa"/>
          </w:tcPr>
          <w:p w14:paraId="5074401E" w14:textId="071A988E" w:rsidR="001D3C09" w:rsidRPr="000F4F35" w:rsidRDefault="000F4F35" w:rsidP="009A532C">
            <w:pPr>
              <w:rPr>
                <w:sz w:val="20"/>
                <w:szCs w:val="20"/>
              </w:rPr>
            </w:pPr>
            <w:r w:rsidRPr="000F4F35">
              <w:rPr>
                <w:sz w:val="20"/>
                <w:szCs w:val="20"/>
              </w:rPr>
              <w:t>Consumo 2021 - consumo 2020 / consumo 2020 x 100</w:t>
            </w:r>
          </w:p>
        </w:tc>
        <w:tc>
          <w:tcPr>
            <w:tcW w:w="723" w:type="dxa"/>
          </w:tcPr>
          <w:p w14:paraId="16CCA2DB" w14:textId="71D61DB7" w:rsidR="001D3C09" w:rsidRPr="000F4F35" w:rsidRDefault="001D3C09" w:rsidP="002045F2">
            <w:pPr>
              <w:jc w:val="center"/>
              <w:rPr>
                <w:sz w:val="20"/>
                <w:szCs w:val="20"/>
              </w:rPr>
            </w:pPr>
            <w:r w:rsidRPr="000F4F35">
              <w:rPr>
                <w:sz w:val="20"/>
                <w:szCs w:val="20"/>
              </w:rPr>
              <w:t>%</w:t>
            </w:r>
          </w:p>
        </w:tc>
        <w:tc>
          <w:tcPr>
            <w:tcW w:w="1064" w:type="dxa"/>
          </w:tcPr>
          <w:p w14:paraId="43906AE0" w14:textId="162B5B3B" w:rsidR="001D3C09" w:rsidRPr="000F4F35" w:rsidRDefault="00003CF1" w:rsidP="00C22576">
            <w:pPr>
              <w:jc w:val="center"/>
              <w:rPr>
                <w:sz w:val="20"/>
                <w:szCs w:val="20"/>
              </w:rPr>
            </w:pPr>
            <w:r>
              <w:rPr>
                <w:b/>
                <w:bCs/>
                <w:sz w:val="20"/>
                <w:szCs w:val="20"/>
              </w:rPr>
              <w:t>&lt;30</w:t>
            </w:r>
            <w:r w:rsidRPr="000F4F35">
              <w:rPr>
                <w:b/>
                <w:bCs/>
                <w:sz w:val="20"/>
                <w:szCs w:val="20"/>
              </w:rPr>
              <w:t>%</w:t>
            </w:r>
          </w:p>
        </w:tc>
        <w:tc>
          <w:tcPr>
            <w:tcW w:w="1113" w:type="dxa"/>
          </w:tcPr>
          <w:p w14:paraId="67E78091" w14:textId="77EB60F2" w:rsidR="001D3C09" w:rsidRPr="00304144" w:rsidDel="00B1672C" w:rsidRDefault="00003CF1" w:rsidP="00D761D1">
            <w:pPr>
              <w:jc w:val="center"/>
              <w:rPr>
                <w:b/>
                <w:bCs/>
                <w:color w:val="FF0000"/>
                <w:sz w:val="20"/>
                <w:szCs w:val="20"/>
              </w:rPr>
            </w:pPr>
            <w:r>
              <w:rPr>
                <w:b/>
                <w:bCs/>
                <w:sz w:val="20"/>
                <w:szCs w:val="20"/>
              </w:rPr>
              <w:t>&lt;30</w:t>
            </w:r>
            <w:r w:rsidRPr="000F4F35">
              <w:rPr>
                <w:b/>
                <w:bCs/>
                <w:sz w:val="20"/>
                <w:szCs w:val="20"/>
              </w:rPr>
              <w:t>%</w:t>
            </w:r>
          </w:p>
        </w:tc>
        <w:tc>
          <w:tcPr>
            <w:tcW w:w="1276" w:type="dxa"/>
          </w:tcPr>
          <w:p w14:paraId="70E4BBA6" w14:textId="58A9710F" w:rsidR="001D3C09" w:rsidRPr="00304144" w:rsidRDefault="00003CF1" w:rsidP="00D761D1">
            <w:pPr>
              <w:jc w:val="center"/>
              <w:rPr>
                <w:b/>
                <w:bCs/>
                <w:color w:val="FF0000"/>
                <w:sz w:val="20"/>
                <w:szCs w:val="20"/>
              </w:rPr>
            </w:pPr>
            <w:r>
              <w:rPr>
                <w:b/>
                <w:bCs/>
                <w:sz w:val="20"/>
                <w:szCs w:val="20"/>
              </w:rPr>
              <w:t>&lt;30</w:t>
            </w:r>
            <w:r w:rsidRPr="000F4F35">
              <w:rPr>
                <w:b/>
                <w:bCs/>
                <w:sz w:val="20"/>
                <w:szCs w:val="20"/>
              </w:rPr>
              <w:t>%</w:t>
            </w:r>
          </w:p>
        </w:tc>
        <w:tc>
          <w:tcPr>
            <w:tcW w:w="1335" w:type="dxa"/>
          </w:tcPr>
          <w:p w14:paraId="47B6EEA5" w14:textId="3486B69D" w:rsidR="001D3C09" w:rsidRPr="00304144" w:rsidRDefault="00003CF1" w:rsidP="00D761D1">
            <w:pPr>
              <w:jc w:val="center"/>
              <w:rPr>
                <w:b/>
                <w:bCs/>
                <w:color w:val="FF0000"/>
                <w:sz w:val="20"/>
                <w:szCs w:val="20"/>
              </w:rPr>
            </w:pPr>
            <w:r>
              <w:rPr>
                <w:b/>
                <w:bCs/>
                <w:sz w:val="20"/>
                <w:szCs w:val="20"/>
              </w:rPr>
              <w:t>&lt;30</w:t>
            </w:r>
            <w:r w:rsidRPr="000F4F35">
              <w:rPr>
                <w:b/>
                <w:bCs/>
                <w:sz w:val="20"/>
                <w:szCs w:val="20"/>
              </w:rPr>
              <w:t>%</w:t>
            </w:r>
          </w:p>
        </w:tc>
        <w:tc>
          <w:tcPr>
            <w:tcW w:w="1000" w:type="dxa"/>
          </w:tcPr>
          <w:p w14:paraId="1B59A87C" w14:textId="56A90D00" w:rsidR="001D3C09" w:rsidRPr="00003CF1" w:rsidRDefault="00003CF1" w:rsidP="00D761D1">
            <w:pPr>
              <w:jc w:val="center"/>
            </w:pPr>
            <w:r>
              <w:rPr>
                <w:b/>
                <w:bCs/>
                <w:sz w:val="20"/>
                <w:szCs w:val="20"/>
              </w:rPr>
              <w:t>&lt;30</w:t>
            </w:r>
            <w:r w:rsidRPr="000F4F35">
              <w:rPr>
                <w:b/>
                <w:bCs/>
                <w:sz w:val="20"/>
                <w:szCs w:val="20"/>
              </w:rPr>
              <w:t>%</w:t>
            </w:r>
          </w:p>
        </w:tc>
        <w:tc>
          <w:tcPr>
            <w:tcW w:w="1409" w:type="dxa"/>
          </w:tcPr>
          <w:p w14:paraId="72AD9554" w14:textId="3C135A95" w:rsidR="001D3C09" w:rsidRPr="00304144" w:rsidRDefault="00003CF1" w:rsidP="00D761D1">
            <w:pPr>
              <w:jc w:val="center"/>
              <w:rPr>
                <w:b/>
                <w:bCs/>
                <w:color w:val="FF0000"/>
                <w:sz w:val="20"/>
                <w:szCs w:val="20"/>
              </w:rPr>
            </w:pPr>
            <w:r>
              <w:rPr>
                <w:b/>
                <w:bCs/>
                <w:sz w:val="20"/>
                <w:szCs w:val="20"/>
              </w:rPr>
              <w:t>&lt;30</w:t>
            </w:r>
            <w:r w:rsidRPr="000F4F35">
              <w:rPr>
                <w:b/>
                <w:bCs/>
                <w:sz w:val="20"/>
                <w:szCs w:val="20"/>
              </w:rPr>
              <w:t>%</w:t>
            </w:r>
          </w:p>
        </w:tc>
      </w:tr>
      <w:tr w:rsidR="001D3C09" w:rsidRPr="00304144" w14:paraId="64E12798" w14:textId="08469F5F" w:rsidTr="6FAF9AB8">
        <w:tc>
          <w:tcPr>
            <w:tcW w:w="457" w:type="dxa"/>
          </w:tcPr>
          <w:p w14:paraId="1C852AAB" w14:textId="016032D5" w:rsidR="001D3C09" w:rsidRPr="000F4F35" w:rsidRDefault="001D3C09" w:rsidP="009A532C">
            <w:pPr>
              <w:jc w:val="both"/>
              <w:rPr>
                <w:sz w:val="20"/>
                <w:szCs w:val="20"/>
              </w:rPr>
            </w:pPr>
            <w:r w:rsidRPr="000F4F35">
              <w:rPr>
                <w:sz w:val="20"/>
                <w:szCs w:val="20"/>
              </w:rPr>
              <w:t>4</w:t>
            </w:r>
          </w:p>
        </w:tc>
        <w:tc>
          <w:tcPr>
            <w:tcW w:w="1413" w:type="dxa"/>
          </w:tcPr>
          <w:p w14:paraId="3BC29ED0" w14:textId="7FA1BE3D" w:rsidR="001D3C09" w:rsidRPr="000F4F35" w:rsidRDefault="001D3C09" w:rsidP="005549A1">
            <w:pPr>
              <w:jc w:val="center"/>
              <w:rPr>
                <w:sz w:val="20"/>
                <w:szCs w:val="20"/>
              </w:rPr>
            </w:pPr>
            <w:r w:rsidRPr="000F4F35">
              <w:rPr>
                <w:sz w:val="20"/>
                <w:szCs w:val="20"/>
              </w:rPr>
              <w:t>Água e Esgoto</w:t>
            </w:r>
          </w:p>
        </w:tc>
        <w:tc>
          <w:tcPr>
            <w:tcW w:w="540" w:type="dxa"/>
          </w:tcPr>
          <w:p w14:paraId="34537059" w14:textId="2A39D28F" w:rsidR="001D3C09" w:rsidRPr="000F4F35" w:rsidRDefault="000F4F35" w:rsidP="00C22576">
            <w:pPr>
              <w:jc w:val="center"/>
              <w:rPr>
                <w:sz w:val="20"/>
                <w:szCs w:val="20"/>
              </w:rPr>
            </w:pPr>
            <w:r w:rsidRPr="000F4F35">
              <w:rPr>
                <w:sz w:val="20"/>
                <w:szCs w:val="20"/>
              </w:rPr>
              <w:t>7</w:t>
            </w:r>
          </w:p>
        </w:tc>
        <w:tc>
          <w:tcPr>
            <w:tcW w:w="1959" w:type="dxa"/>
          </w:tcPr>
          <w:p w14:paraId="0009D78F" w14:textId="25E8B344" w:rsidR="001D3C09" w:rsidRPr="000F4F35" w:rsidRDefault="001D3C09" w:rsidP="009A532C">
            <w:pPr>
              <w:rPr>
                <w:sz w:val="20"/>
                <w:szCs w:val="20"/>
              </w:rPr>
            </w:pPr>
            <w:r w:rsidRPr="000F4F35">
              <w:rPr>
                <w:sz w:val="20"/>
                <w:szCs w:val="20"/>
              </w:rPr>
              <w:t>Consumo de Água</w:t>
            </w:r>
            <w:r w:rsidR="00F942CF">
              <w:rPr>
                <w:rStyle w:val="Refdenotaderodap"/>
                <w:sz w:val="20"/>
                <w:szCs w:val="20"/>
              </w:rPr>
              <w:footnoteReference w:id="5"/>
            </w:r>
          </w:p>
        </w:tc>
        <w:tc>
          <w:tcPr>
            <w:tcW w:w="1940" w:type="dxa"/>
          </w:tcPr>
          <w:p w14:paraId="149F3888" w14:textId="0EB19B8F" w:rsidR="001D3C09" w:rsidRPr="000F4F35" w:rsidRDefault="000F4F35" w:rsidP="009A532C">
            <w:pPr>
              <w:rPr>
                <w:sz w:val="20"/>
                <w:szCs w:val="20"/>
              </w:rPr>
            </w:pPr>
            <w:r w:rsidRPr="000F4F35">
              <w:rPr>
                <w:sz w:val="20"/>
                <w:szCs w:val="20"/>
              </w:rPr>
              <w:t>Consumo 2021 - consumo 2020 / consumo 2020 x 100</w:t>
            </w:r>
          </w:p>
        </w:tc>
        <w:tc>
          <w:tcPr>
            <w:tcW w:w="723" w:type="dxa"/>
          </w:tcPr>
          <w:p w14:paraId="3B4879FF" w14:textId="10F0E5EA" w:rsidR="001D3C09" w:rsidRPr="000F4F35" w:rsidRDefault="001D3C09" w:rsidP="002045F2">
            <w:pPr>
              <w:jc w:val="center"/>
              <w:rPr>
                <w:sz w:val="20"/>
                <w:szCs w:val="20"/>
              </w:rPr>
            </w:pPr>
            <w:r w:rsidRPr="000F4F35">
              <w:rPr>
                <w:sz w:val="20"/>
                <w:szCs w:val="20"/>
              </w:rPr>
              <w:t>%</w:t>
            </w:r>
          </w:p>
        </w:tc>
        <w:tc>
          <w:tcPr>
            <w:tcW w:w="1064" w:type="dxa"/>
          </w:tcPr>
          <w:p w14:paraId="667D02CC" w14:textId="613ECB2F" w:rsidR="001D3C09" w:rsidRPr="000F4F35" w:rsidRDefault="00003CF1" w:rsidP="00C22576">
            <w:pPr>
              <w:jc w:val="center"/>
              <w:rPr>
                <w:sz w:val="20"/>
                <w:szCs w:val="20"/>
              </w:rPr>
            </w:pPr>
            <w:r>
              <w:rPr>
                <w:b/>
                <w:bCs/>
                <w:sz w:val="20"/>
                <w:szCs w:val="20"/>
              </w:rPr>
              <w:t>&lt;</w:t>
            </w:r>
            <w:r w:rsidR="000F4F35">
              <w:rPr>
                <w:b/>
                <w:bCs/>
                <w:sz w:val="20"/>
                <w:szCs w:val="20"/>
              </w:rPr>
              <w:t>10</w:t>
            </w:r>
            <w:r w:rsidR="001D3C09" w:rsidRPr="000F4F35">
              <w:rPr>
                <w:b/>
                <w:bCs/>
                <w:sz w:val="20"/>
                <w:szCs w:val="20"/>
              </w:rPr>
              <w:t>%</w:t>
            </w:r>
          </w:p>
        </w:tc>
        <w:tc>
          <w:tcPr>
            <w:tcW w:w="1113" w:type="dxa"/>
          </w:tcPr>
          <w:p w14:paraId="4D79A778" w14:textId="408B510D" w:rsidR="001D3C09" w:rsidRPr="00304144" w:rsidDel="00B1672C" w:rsidRDefault="00003CF1" w:rsidP="00D761D1">
            <w:pPr>
              <w:jc w:val="center"/>
              <w:rPr>
                <w:b/>
                <w:bCs/>
                <w:color w:val="FF0000"/>
                <w:sz w:val="20"/>
                <w:szCs w:val="20"/>
              </w:rPr>
            </w:pPr>
            <w:r>
              <w:rPr>
                <w:b/>
                <w:bCs/>
                <w:sz w:val="20"/>
                <w:szCs w:val="20"/>
              </w:rPr>
              <w:t>&lt;10</w:t>
            </w:r>
            <w:r w:rsidRPr="000F4F35">
              <w:rPr>
                <w:b/>
                <w:bCs/>
                <w:sz w:val="20"/>
                <w:szCs w:val="20"/>
              </w:rPr>
              <w:t>%</w:t>
            </w:r>
          </w:p>
        </w:tc>
        <w:tc>
          <w:tcPr>
            <w:tcW w:w="1276" w:type="dxa"/>
          </w:tcPr>
          <w:p w14:paraId="1C4A3140" w14:textId="1944D7A0" w:rsidR="001D3C09" w:rsidRPr="00304144" w:rsidRDefault="00003CF1" w:rsidP="00D761D1">
            <w:pPr>
              <w:jc w:val="center"/>
              <w:rPr>
                <w:b/>
                <w:bCs/>
                <w:color w:val="FF0000"/>
                <w:sz w:val="20"/>
                <w:szCs w:val="20"/>
              </w:rPr>
            </w:pPr>
            <w:r>
              <w:rPr>
                <w:b/>
                <w:bCs/>
                <w:sz w:val="20"/>
                <w:szCs w:val="20"/>
              </w:rPr>
              <w:t>&lt;10</w:t>
            </w:r>
            <w:r w:rsidRPr="000F4F35">
              <w:rPr>
                <w:b/>
                <w:bCs/>
                <w:sz w:val="20"/>
                <w:szCs w:val="20"/>
              </w:rPr>
              <w:t>%</w:t>
            </w:r>
          </w:p>
        </w:tc>
        <w:tc>
          <w:tcPr>
            <w:tcW w:w="1335" w:type="dxa"/>
          </w:tcPr>
          <w:p w14:paraId="7A7B6981" w14:textId="7D0C00AE" w:rsidR="001D3C09" w:rsidRPr="00304144" w:rsidRDefault="00003CF1" w:rsidP="00D761D1">
            <w:pPr>
              <w:jc w:val="center"/>
              <w:rPr>
                <w:b/>
                <w:bCs/>
                <w:color w:val="FF0000"/>
                <w:sz w:val="20"/>
                <w:szCs w:val="20"/>
              </w:rPr>
            </w:pPr>
            <w:r>
              <w:rPr>
                <w:b/>
                <w:bCs/>
                <w:sz w:val="20"/>
                <w:szCs w:val="20"/>
              </w:rPr>
              <w:t>&lt;10</w:t>
            </w:r>
            <w:r w:rsidRPr="000F4F35">
              <w:rPr>
                <w:b/>
                <w:bCs/>
                <w:sz w:val="20"/>
                <w:szCs w:val="20"/>
              </w:rPr>
              <w:t>%</w:t>
            </w:r>
          </w:p>
        </w:tc>
        <w:tc>
          <w:tcPr>
            <w:tcW w:w="1000" w:type="dxa"/>
          </w:tcPr>
          <w:p w14:paraId="1FABB30C" w14:textId="50F6D67F" w:rsidR="001D3C09" w:rsidRPr="00304144" w:rsidRDefault="00003CF1" w:rsidP="00D761D1">
            <w:pPr>
              <w:jc w:val="center"/>
              <w:rPr>
                <w:b/>
                <w:bCs/>
                <w:color w:val="FF0000"/>
                <w:sz w:val="20"/>
                <w:szCs w:val="20"/>
              </w:rPr>
            </w:pPr>
            <w:r>
              <w:rPr>
                <w:b/>
                <w:bCs/>
                <w:sz w:val="20"/>
                <w:szCs w:val="20"/>
              </w:rPr>
              <w:t>&lt;10</w:t>
            </w:r>
            <w:r w:rsidRPr="000F4F35">
              <w:rPr>
                <w:b/>
                <w:bCs/>
                <w:sz w:val="20"/>
                <w:szCs w:val="20"/>
              </w:rPr>
              <w:t>%</w:t>
            </w:r>
          </w:p>
        </w:tc>
        <w:tc>
          <w:tcPr>
            <w:tcW w:w="1409" w:type="dxa"/>
          </w:tcPr>
          <w:p w14:paraId="185CA9B3" w14:textId="2C770346" w:rsidR="001D3C09" w:rsidRPr="00304144" w:rsidRDefault="00003CF1" w:rsidP="00D761D1">
            <w:pPr>
              <w:jc w:val="center"/>
              <w:rPr>
                <w:b/>
                <w:bCs/>
                <w:color w:val="FF0000"/>
                <w:sz w:val="20"/>
                <w:szCs w:val="20"/>
              </w:rPr>
            </w:pPr>
            <w:r>
              <w:rPr>
                <w:b/>
                <w:bCs/>
                <w:sz w:val="20"/>
                <w:szCs w:val="20"/>
              </w:rPr>
              <w:t>&lt;10</w:t>
            </w:r>
            <w:r w:rsidRPr="000F4F35">
              <w:rPr>
                <w:b/>
                <w:bCs/>
                <w:sz w:val="20"/>
                <w:szCs w:val="20"/>
              </w:rPr>
              <w:t>%</w:t>
            </w:r>
          </w:p>
        </w:tc>
      </w:tr>
      <w:tr w:rsidR="001D3C09" w:rsidRPr="00304144" w14:paraId="0E1F69CE" w14:textId="35E6F59F" w:rsidTr="6FAF9AB8">
        <w:tc>
          <w:tcPr>
            <w:tcW w:w="457" w:type="dxa"/>
          </w:tcPr>
          <w:p w14:paraId="2CB8EA1B" w14:textId="4D5A9931" w:rsidR="001D3C09" w:rsidRPr="000F4F35" w:rsidRDefault="001D3C09" w:rsidP="009A532C">
            <w:pPr>
              <w:jc w:val="both"/>
              <w:rPr>
                <w:sz w:val="20"/>
                <w:szCs w:val="20"/>
              </w:rPr>
            </w:pPr>
            <w:r w:rsidRPr="000F4F35">
              <w:rPr>
                <w:sz w:val="20"/>
                <w:szCs w:val="20"/>
              </w:rPr>
              <w:t>5</w:t>
            </w:r>
          </w:p>
        </w:tc>
        <w:tc>
          <w:tcPr>
            <w:tcW w:w="1413" w:type="dxa"/>
          </w:tcPr>
          <w:p w14:paraId="4CF9D943" w14:textId="62DFDEE2" w:rsidR="001D3C09" w:rsidRPr="000F4F35" w:rsidRDefault="001D3C09" w:rsidP="005549A1">
            <w:pPr>
              <w:jc w:val="center"/>
              <w:rPr>
                <w:sz w:val="20"/>
                <w:szCs w:val="20"/>
              </w:rPr>
            </w:pPr>
            <w:r w:rsidRPr="000F4F35">
              <w:rPr>
                <w:sz w:val="20"/>
                <w:szCs w:val="20"/>
              </w:rPr>
              <w:t>Limpeza</w:t>
            </w:r>
          </w:p>
        </w:tc>
        <w:tc>
          <w:tcPr>
            <w:tcW w:w="540" w:type="dxa"/>
          </w:tcPr>
          <w:p w14:paraId="2810B5CF" w14:textId="50CCF83E" w:rsidR="001D3C09" w:rsidRPr="000F4F35" w:rsidRDefault="000F4F35" w:rsidP="00C22576">
            <w:pPr>
              <w:jc w:val="center"/>
              <w:rPr>
                <w:sz w:val="20"/>
                <w:szCs w:val="20"/>
              </w:rPr>
            </w:pPr>
            <w:r w:rsidRPr="000F4F35">
              <w:rPr>
                <w:sz w:val="20"/>
                <w:szCs w:val="20"/>
              </w:rPr>
              <w:t>8</w:t>
            </w:r>
          </w:p>
        </w:tc>
        <w:tc>
          <w:tcPr>
            <w:tcW w:w="1959" w:type="dxa"/>
          </w:tcPr>
          <w:p w14:paraId="241B9134" w14:textId="3DA476A8" w:rsidR="001D3C09" w:rsidRPr="000F4F35" w:rsidRDefault="001D3C09" w:rsidP="009A532C">
            <w:pPr>
              <w:rPr>
                <w:sz w:val="20"/>
                <w:szCs w:val="20"/>
              </w:rPr>
            </w:pPr>
            <w:r w:rsidRPr="000F4F35">
              <w:rPr>
                <w:sz w:val="20"/>
                <w:szCs w:val="20"/>
              </w:rPr>
              <w:t>Índice de material de limpeza</w:t>
            </w:r>
          </w:p>
        </w:tc>
        <w:tc>
          <w:tcPr>
            <w:tcW w:w="1940" w:type="dxa"/>
          </w:tcPr>
          <w:p w14:paraId="509E4AE9" w14:textId="7CAF0138" w:rsidR="001D3C09" w:rsidRPr="00304144" w:rsidRDefault="000F4F35" w:rsidP="009A532C">
            <w:pPr>
              <w:rPr>
                <w:color w:val="FF0000"/>
                <w:sz w:val="20"/>
                <w:szCs w:val="20"/>
              </w:rPr>
            </w:pPr>
            <w:r w:rsidRPr="000F4F35">
              <w:rPr>
                <w:sz w:val="20"/>
                <w:szCs w:val="20"/>
              </w:rPr>
              <w:t>Valor de materiais solicitados durante o contrato / valor de materiais estimados no contrato x 100</w:t>
            </w:r>
          </w:p>
        </w:tc>
        <w:tc>
          <w:tcPr>
            <w:tcW w:w="723" w:type="dxa"/>
          </w:tcPr>
          <w:p w14:paraId="63ACB05F" w14:textId="123119F5" w:rsidR="001D3C09" w:rsidRPr="00304144" w:rsidRDefault="001D3C09" w:rsidP="002045F2">
            <w:pPr>
              <w:jc w:val="center"/>
              <w:rPr>
                <w:color w:val="FF0000"/>
                <w:sz w:val="20"/>
                <w:szCs w:val="20"/>
              </w:rPr>
            </w:pPr>
            <w:r w:rsidRPr="000F4F35">
              <w:rPr>
                <w:sz w:val="20"/>
                <w:szCs w:val="20"/>
              </w:rPr>
              <w:t>%</w:t>
            </w:r>
          </w:p>
        </w:tc>
        <w:tc>
          <w:tcPr>
            <w:tcW w:w="1064" w:type="dxa"/>
            <w:shd w:val="clear" w:color="auto" w:fill="auto"/>
          </w:tcPr>
          <w:p w14:paraId="72F723A5" w14:textId="6ABA1A8B" w:rsidR="001D3C09" w:rsidRPr="005B1289" w:rsidRDefault="00003CF1" w:rsidP="000F4F35">
            <w:pPr>
              <w:jc w:val="center"/>
              <w:rPr>
                <w:b/>
                <w:bCs/>
                <w:color w:val="FF0000"/>
                <w:sz w:val="20"/>
                <w:szCs w:val="20"/>
              </w:rPr>
            </w:pPr>
            <w:r>
              <w:rPr>
                <w:b/>
                <w:bCs/>
                <w:sz w:val="20"/>
                <w:szCs w:val="20"/>
              </w:rPr>
              <w:t>&lt;</w:t>
            </w:r>
            <w:r w:rsidR="005B1289" w:rsidRPr="005B1289">
              <w:rPr>
                <w:b/>
                <w:bCs/>
                <w:sz w:val="20"/>
                <w:szCs w:val="20"/>
              </w:rPr>
              <w:t>20%</w:t>
            </w:r>
          </w:p>
        </w:tc>
        <w:tc>
          <w:tcPr>
            <w:tcW w:w="1113" w:type="dxa"/>
            <w:shd w:val="clear" w:color="auto" w:fill="auto"/>
          </w:tcPr>
          <w:p w14:paraId="1BA0852A" w14:textId="3A6DE1B4" w:rsidR="001D3C09" w:rsidRPr="005B1289" w:rsidRDefault="00003CF1" w:rsidP="0037184C">
            <w:pPr>
              <w:jc w:val="center"/>
              <w:rPr>
                <w:b/>
                <w:bCs/>
                <w:color w:val="FF0000"/>
                <w:sz w:val="20"/>
                <w:szCs w:val="20"/>
              </w:rPr>
            </w:pPr>
            <w:r>
              <w:rPr>
                <w:b/>
                <w:bCs/>
                <w:sz w:val="20"/>
                <w:szCs w:val="20"/>
              </w:rPr>
              <w:t>&lt;</w:t>
            </w:r>
            <w:r w:rsidRPr="005B1289">
              <w:rPr>
                <w:b/>
                <w:bCs/>
                <w:sz w:val="20"/>
                <w:szCs w:val="20"/>
              </w:rPr>
              <w:t>20%</w:t>
            </w:r>
          </w:p>
        </w:tc>
        <w:tc>
          <w:tcPr>
            <w:tcW w:w="1276" w:type="dxa"/>
          </w:tcPr>
          <w:p w14:paraId="505701F4" w14:textId="401E0AC3" w:rsidR="001D3C09" w:rsidRPr="005B1289" w:rsidRDefault="00003CF1" w:rsidP="0037184C">
            <w:pPr>
              <w:jc w:val="center"/>
              <w:rPr>
                <w:b/>
                <w:bCs/>
                <w:color w:val="FF0000"/>
                <w:sz w:val="20"/>
                <w:szCs w:val="20"/>
              </w:rPr>
            </w:pPr>
            <w:r>
              <w:rPr>
                <w:b/>
                <w:bCs/>
                <w:sz w:val="20"/>
                <w:szCs w:val="20"/>
              </w:rPr>
              <w:t>&lt;</w:t>
            </w:r>
            <w:r w:rsidRPr="005B1289">
              <w:rPr>
                <w:b/>
                <w:bCs/>
                <w:sz w:val="20"/>
                <w:szCs w:val="20"/>
              </w:rPr>
              <w:t>20%</w:t>
            </w:r>
          </w:p>
        </w:tc>
        <w:tc>
          <w:tcPr>
            <w:tcW w:w="1335" w:type="dxa"/>
          </w:tcPr>
          <w:p w14:paraId="61B9C5C7" w14:textId="2FC06F2A" w:rsidR="001D3C09" w:rsidRPr="005B1289" w:rsidRDefault="00003CF1" w:rsidP="0037184C">
            <w:pPr>
              <w:jc w:val="center"/>
              <w:rPr>
                <w:b/>
                <w:bCs/>
                <w:color w:val="FF0000"/>
                <w:sz w:val="20"/>
                <w:szCs w:val="20"/>
              </w:rPr>
            </w:pPr>
            <w:r>
              <w:rPr>
                <w:b/>
                <w:bCs/>
                <w:sz w:val="20"/>
                <w:szCs w:val="20"/>
              </w:rPr>
              <w:t>&lt;</w:t>
            </w:r>
            <w:r w:rsidRPr="005B1289">
              <w:rPr>
                <w:b/>
                <w:bCs/>
                <w:sz w:val="20"/>
                <w:szCs w:val="20"/>
              </w:rPr>
              <w:t>20%</w:t>
            </w:r>
          </w:p>
        </w:tc>
        <w:tc>
          <w:tcPr>
            <w:tcW w:w="1000" w:type="dxa"/>
          </w:tcPr>
          <w:p w14:paraId="48100593" w14:textId="2850F6FB" w:rsidR="001D3C09" w:rsidRPr="005B1289" w:rsidRDefault="00003CF1" w:rsidP="0037184C">
            <w:pPr>
              <w:jc w:val="center"/>
              <w:rPr>
                <w:b/>
                <w:bCs/>
                <w:color w:val="FF0000"/>
                <w:sz w:val="20"/>
                <w:szCs w:val="20"/>
              </w:rPr>
            </w:pPr>
            <w:r>
              <w:rPr>
                <w:b/>
                <w:bCs/>
                <w:sz w:val="20"/>
                <w:szCs w:val="20"/>
              </w:rPr>
              <w:t>&lt;</w:t>
            </w:r>
            <w:r w:rsidRPr="005B1289">
              <w:rPr>
                <w:b/>
                <w:bCs/>
                <w:sz w:val="20"/>
                <w:szCs w:val="20"/>
              </w:rPr>
              <w:t>20%</w:t>
            </w:r>
          </w:p>
        </w:tc>
        <w:tc>
          <w:tcPr>
            <w:tcW w:w="1409" w:type="dxa"/>
          </w:tcPr>
          <w:p w14:paraId="78699413" w14:textId="701CA5C8" w:rsidR="001D3C09" w:rsidRPr="005B1289" w:rsidRDefault="00003CF1" w:rsidP="0037184C">
            <w:pPr>
              <w:jc w:val="center"/>
              <w:rPr>
                <w:b/>
                <w:bCs/>
                <w:color w:val="FF0000"/>
                <w:sz w:val="20"/>
                <w:szCs w:val="20"/>
              </w:rPr>
            </w:pPr>
            <w:r>
              <w:rPr>
                <w:b/>
                <w:bCs/>
                <w:sz w:val="20"/>
                <w:szCs w:val="20"/>
              </w:rPr>
              <w:t>&lt;</w:t>
            </w:r>
            <w:r w:rsidRPr="005B1289">
              <w:rPr>
                <w:b/>
                <w:bCs/>
                <w:sz w:val="20"/>
                <w:szCs w:val="20"/>
              </w:rPr>
              <w:t>20%</w:t>
            </w:r>
          </w:p>
        </w:tc>
      </w:tr>
      <w:tr w:rsidR="009B4615" w:rsidRPr="00304144" w14:paraId="537952FF" w14:textId="520D0CD4" w:rsidTr="6FAF9AB8">
        <w:tc>
          <w:tcPr>
            <w:tcW w:w="457" w:type="dxa"/>
            <w:vMerge w:val="restart"/>
          </w:tcPr>
          <w:p w14:paraId="15827B3B" w14:textId="5A6149FA" w:rsidR="009B4615" w:rsidRPr="009B4615" w:rsidRDefault="009B4615" w:rsidP="009A532C">
            <w:pPr>
              <w:jc w:val="both"/>
              <w:rPr>
                <w:sz w:val="20"/>
                <w:szCs w:val="20"/>
              </w:rPr>
            </w:pPr>
            <w:r w:rsidRPr="009B4615">
              <w:rPr>
                <w:sz w:val="20"/>
                <w:szCs w:val="20"/>
              </w:rPr>
              <w:t>6</w:t>
            </w:r>
          </w:p>
        </w:tc>
        <w:tc>
          <w:tcPr>
            <w:tcW w:w="1413" w:type="dxa"/>
            <w:vMerge w:val="restart"/>
          </w:tcPr>
          <w:p w14:paraId="49BE4320" w14:textId="3401ECAA" w:rsidR="009B4615" w:rsidRPr="009B4615" w:rsidRDefault="009B4615" w:rsidP="005549A1">
            <w:pPr>
              <w:jc w:val="center"/>
              <w:rPr>
                <w:sz w:val="20"/>
                <w:szCs w:val="20"/>
              </w:rPr>
            </w:pPr>
            <w:r w:rsidRPr="009B4615">
              <w:rPr>
                <w:sz w:val="20"/>
                <w:szCs w:val="20"/>
              </w:rPr>
              <w:t>Segurança</w:t>
            </w:r>
          </w:p>
        </w:tc>
        <w:tc>
          <w:tcPr>
            <w:tcW w:w="540" w:type="dxa"/>
          </w:tcPr>
          <w:p w14:paraId="23220169" w14:textId="7A0F758E" w:rsidR="009B4615" w:rsidRPr="00304144" w:rsidRDefault="009B4615" w:rsidP="00C22576">
            <w:pPr>
              <w:jc w:val="center"/>
              <w:rPr>
                <w:color w:val="FF0000"/>
                <w:sz w:val="20"/>
                <w:szCs w:val="20"/>
              </w:rPr>
            </w:pPr>
            <w:r w:rsidRPr="009B4615">
              <w:rPr>
                <w:sz w:val="20"/>
                <w:szCs w:val="20"/>
              </w:rPr>
              <w:t>9</w:t>
            </w:r>
          </w:p>
        </w:tc>
        <w:tc>
          <w:tcPr>
            <w:tcW w:w="1959" w:type="dxa"/>
          </w:tcPr>
          <w:p w14:paraId="6A9CEA5D" w14:textId="585754C8" w:rsidR="009B4615" w:rsidRPr="009B4615" w:rsidRDefault="009B4615" w:rsidP="009A532C">
            <w:pPr>
              <w:rPr>
                <w:sz w:val="20"/>
                <w:szCs w:val="20"/>
              </w:rPr>
            </w:pPr>
            <w:r w:rsidRPr="009B4615">
              <w:rPr>
                <w:sz w:val="20"/>
                <w:szCs w:val="20"/>
              </w:rPr>
              <w:t>Índice de ocorrências em contratos de vigilância orgânica ou eletrônica</w:t>
            </w:r>
          </w:p>
        </w:tc>
        <w:tc>
          <w:tcPr>
            <w:tcW w:w="1940" w:type="dxa"/>
          </w:tcPr>
          <w:p w14:paraId="20D7EE18" w14:textId="4FCA3F0F" w:rsidR="009B4615" w:rsidRPr="0042176A" w:rsidRDefault="0042176A" w:rsidP="009A532C">
            <w:pPr>
              <w:rPr>
                <w:sz w:val="20"/>
                <w:szCs w:val="20"/>
              </w:rPr>
            </w:pPr>
            <w:r w:rsidRPr="0042176A">
              <w:rPr>
                <w:sz w:val="20"/>
                <w:szCs w:val="20"/>
              </w:rPr>
              <w:t>Quantidade de ocorrências registradas mensalmente no Comprasnet/ Quantidade de ocorrências suportadas pela Administração no IMR x 100</w:t>
            </w:r>
          </w:p>
        </w:tc>
        <w:tc>
          <w:tcPr>
            <w:tcW w:w="723" w:type="dxa"/>
          </w:tcPr>
          <w:p w14:paraId="16D5CF4F" w14:textId="1F6B7A7F" w:rsidR="009B4615" w:rsidRPr="00304144" w:rsidRDefault="009B4615" w:rsidP="002045F2">
            <w:pPr>
              <w:jc w:val="center"/>
              <w:rPr>
                <w:color w:val="FF0000"/>
                <w:sz w:val="20"/>
                <w:szCs w:val="20"/>
              </w:rPr>
            </w:pPr>
            <w:r w:rsidRPr="009B4615">
              <w:rPr>
                <w:sz w:val="20"/>
                <w:szCs w:val="20"/>
              </w:rPr>
              <w:t>%</w:t>
            </w:r>
          </w:p>
        </w:tc>
        <w:tc>
          <w:tcPr>
            <w:tcW w:w="1064" w:type="dxa"/>
            <w:shd w:val="clear" w:color="auto" w:fill="auto"/>
          </w:tcPr>
          <w:p w14:paraId="62C69EE4" w14:textId="205BC085" w:rsidR="009B4615" w:rsidRPr="00A75454" w:rsidRDefault="00003CF1" w:rsidP="009B4615">
            <w:pPr>
              <w:jc w:val="center"/>
              <w:rPr>
                <w:b/>
                <w:bCs/>
                <w:color w:val="FF0000"/>
                <w:sz w:val="20"/>
                <w:szCs w:val="20"/>
              </w:rPr>
            </w:pPr>
            <w:r>
              <w:rPr>
                <w:b/>
                <w:bCs/>
                <w:sz w:val="20"/>
                <w:szCs w:val="20"/>
              </w:rPr>
              <w:t>&lt;</w:t>
            </w:r>
            <w:r w:rsidR="00A75454" w:rsidRPr="00A75454">
              <w:rPr>
                <w:b/>
                <w:bCs/>
                <w:sz w:val="20"/>
                <w:szCs w:val="20"/>
              </w:rPr>
              <w:t>5%</w:t>
            </w:r>
          </w:p>
          <w:p w14:paraId="237ED335" w14:textId="6149AEE0" w:rsidR="00A75454" w:rsidRPr="00304144" w:rsidRDefault="00A75454" w:rsidP="009B4615">
            <w:pPr>
              <w:jc w:val="center"/>
              <w:rPr>
                <w:color w:val="FF0000"/>
                <w:sz w:val="20"/>
                <w:szCs w:val="20"/>
              </w:rPr>
            </w:pPr>
          </w:p>
        </w:tc>
        <w:tc>
          <w:tcPr>
            <w:tcW w:w="1113" w:type="dxa"/>
            <w:shd w:val="clear" w:color="auto" w:fill="auto"/>
          </w:tcPr>
          <w:p w14:paraId="2C52F6AA" w14:textId="77777777" w:rsidR="00003CF1" w:rsidRPr="00A75454" w:rsidRDefault="00003CF1" w:rsidP="00003CF1">
            <w:pPr>
              <w:jc w:val="center"/>
              <w:rPr>
                <w:b/>
                <w:bCs/>
                <w:color w:val="FF0000"/>
                <w:sz w:val="20"/>
                <w:szCs w:val="20"/>
              </w:rPr>
            </w:pPr>
            <w:r>
              <w:rPr>
                <w:b/>
                <w:bCs/>
                <w:sz w:val="20"/>
                <w:szCs w:val="20"/>
              </w:rPr>
              <w:t>&lt;</w:t>
            </w:r>
            <w:r w:rsidRPr="00A75454">
              <w:rPr>
                <w:b/>
                <w:bCs/>
                <w:sz w:val="20"/>
                <w:szCs w:val="20"/>
              </w:rPr>
              <w:t>5%</w:t>
            </w:r>
          </w:p>
          <w:p w14:paraId="76CC3F58" w14:textId="0018A38B" w:rsidR="009B4615" w:rsidRPr="00304144" w:rsidRDefault="009B4615" w:rsidP="0037184C">
            <w:pPr>
              <w:jc w:val="center"/>
              <w:rPr>
                <w:b/>
                <w:bCs/>
                <w:color w:val="FF0000"/>
                <w:sz w:val="20"/>
                <w:szCs w:val="20"/>
              </w:rPr>
            </w:pPr>
          </w:p>
        </w:tc>
        <w:tc>
          <w:tcPr>
            <w:tcW w:w="1276" w:type="dxa"/>
          </w:tcPr>
          <w:p w14:paraId="05CDABD5" w14:textId="77777777" w:rsidR="00003CF1" w:rsidRPr="00A75454" w:rsidRDefault="00003CF1" w:rsidP="00003CF1">
            <w:pPr>
              <w:jc w:val="center"/>
              <w:rPr>
                <w:b/>
                <w:bCs/>
                <w:color w:val="FF0000"/>
                <w:sz w:val="20"/>
                <w:szCs w:val="20"/>
              </w:rPr>
            </w:pPr>
            <w:r>
              <w:rPr>
                <w:b/>
                <w:bCs/>
                <w:sz w:val="20"/>
                <w:szCs w:val="20"/>
              </w:rPr>
              <w:t>&lt;</w:t>
            </w:r>
            <w:r w:rsidRPr="00A75454">
              <w:rPr>
                <w:b/>
                <w:bCs/>
                <w:sz w:val="20"/>
                <w:szCs w:val="20"/>
              </w:rPr>
              <w:t>5%</w:t>
            </w:r>
          </w:p>
          <w:p w14:paraId="4EF9FA9B" w14:textId="5030529B" w:rsidR="009B4615" w:rsidRPr="00304144" w:rsidRDefault="009B4615" w:rsidP="0037184C">
            <w:pPr>
              <w:jc w:val="center"/>
              <w:rPr>
                <w:b/>
                <w:bCs/>
                <w:color w:val="FF0000"/>
                <w:sz w:val="20"/>
                <w:szCs w:val="20"/>
              </w:rPr>
            </w:pPr>
          </w:p>
        </w:tc>
        <w:tc>
          <w:tcPr>
            <w:tcW w:w="1335" w:type="dxa"/>
          </w:tcPr>
          <w:p w14:paraId="3E45B636" w14:textId="77777777" w:rsidR="00003CF1" w:rsidRPr="00A75454" w:rsidRDefault="00003CF1" w:rsidP="00003CF1">
            <w:pPr>
              <w:jc w:val="center"/>
              <w:rPr>
                <w:b/>
                <w:bCs/>
                <w:color w:val="FF0000"/>
                <w:sz w:val="20"/>
                <w:szCs w:val="20"/>
              </w:rPr>
            </w:pPr>
            <w:r>
              <w:rPr>
                <w:b/>
                <w:bCs/>
                <w:sz w:val="20"/>
                <w:szCs w:val="20"/>
              </w:rPr>
              <w:t>&lt;</w:t>
            </w:r>
            <w:r w:rsidRPr="00A75454">
              <w:rPr>
                <w:b/>
                <w:bCs/>
                <w:sz w:val="20"/>
                <w:szCs w:val="20"/>
              </w:rPr>
              <w:t>5%</w:t>
            </w:r>
          </w:p>
          <w:p w14:paraId="0BCB174C" w14:textId="22E24681" w:rsidR="009B4615" w:rsidRPr="00304144" w:rsidRDefault="009B4615" w:rsidP="0037184C">
            <w:pPr>
              <w:jc w:val="center"/>
              <w:rPr>
                <w:b/>
                <w:bCs/>
                <w:color w:val="FF0000"/>
                <w:sz w:val="20"/>
                <w:szCs w:val="20"/>
              </w:rPr>
            </w:pPr>
          </w:p>
        </w:tc>
        <w:tc>
          <w:tcPr>
            <w:tcW w:w="1000" w:type="dxa"/>
          </w:tcPr>
          <w:p w14:paraId="136C196D" w14:textId="77777777" w:rsidR="00003CF1" w:rsidRPr="00A75454" w:rsidRDefault="00003CF1" w:rsidP="00003CF1">
            <w:pPr>
              <w:jc w:val="center"/>
              <w:rPr>
                <w:b/>
                <w:bCs/>
                <w:color w:val="FF0000"/>
                <w:sz w:val="20"/>
                <w:szCs w:val="20"/>
              </w:rPr>
            </w:pPr>
            <w:r>
              <w:rPr>
                <w:b/>
                <w:bCs/>
                <w:sz w:val="20"/>
                <w:szCs w:val="20"/>
              </w:rPr>
              <w:t>&lt;</w:t>
            </w:r>
            <w:r w:rsidRPr="00A75454">
              <w:rPr>
                <w:b/>
                <w:bCs/>
                <w:sz w:val="20"/>
                <w:szCs w:val="20"/>
              </w:rPr>
              <w:t>5%</w:t>
            </w:r>
          </w:p>
          <w:p w14:paraId="40BC8A68" w14:textId="653D7701" w:rsidR="009B4615" w:rsidRPr="00304144" w:rsidRDefault="009B4615" w:rsidP="0037184C">
            <w:pPr>
              <w:jc w:val="center"/>
              <w:rPr>
                <w:b/>
                <w:bCs/>
                <w:color w:val="FF0000"/>
                <w:sz w:val="20"/>
                <w:szCs w:val="20"/>
              </w:rPr>
            </w:pPr>
          </w:p>
        </w:tc>
        <w:tc>
          <w:tcPr>
            <w:tcW w:w="1409" w:type="dxa"/>
          </w:tcPr>
          <w:p w14:paraId="35181BFA" w14:textId="77777777" w:rsidR="00003CF1" w:rsidRPr="00A75454" w:rsidRDefault="00003CF1" w:rsidP="00003CF1">
            <w:pPr>
              <w:jc w:val="center"/>
              <w:rPr>
                <w:b/>
                <w:bCs/>
                <w:color w:val="FF0000"/>
                <w:sz w:val="20"/>
                <w:szCs w:val="20"/>
              </w:rPr>
            </w:pPr>
            <w:r>
              <w:rPr>
                <w:b/>
                <w:bCs/>
                <w:sz w:val="20"/>
                <w:szCs w:val="20"/>
              </w:rPr>
              <w:t>&lt;</w:t>
            </w:r>
            <w:r w:rsidRPr="00A75454">
              <w:rPr>
                <w:b/>
                <w:bCs/>
                <w:sz w:val="20"/>
                <w:szCs w:val="20"/>
              </w:rPr>
              <w:t>5%</w:t>
            </w:r>
          </w:p>
          <w:p w14:paraId="59B1FFCC" w14:textId="06EA8909" w:rsidR="009B4615" w:rsidRPr="00304144" w:rsidRDefault="009B4615" w:rsidP="0037184C">
            <w:pPr>
              <w:jc w:val="center"/>
              <w:rPr>
                <w:b/>
                <w:bCs/>
                <w:color w:val="FF0000"/>
                <w:sz w:val="20"/>
                <w:szCs w:val="20"/>
              </w:rPr>
            </w:pPr>
          </w:p>
        </w:tc>
      </w:tr>
      <w:tr w:rsidR="00A75454" w:rsidRPr="00304144" w14:paraId="3F8F6231" w14:textId="77777777" w:rsidTr="6FAF9AB8">
        <w:tc>
          <w:tcPr>
            <w:tcW w:w="457" w:type="dxa"/>
            <w:vMerge/>
          </w:tcPr>
          <w:p w14:paraId="31A4905F" w14:textId="77777777" w:rsidR="00A75454" w:rsidRPr="00304144" w:rsidDel="007801FE" w:rsidRDefault="00A75454" w:rsidP="00A75454">
            <w:pPr>
              <w:jc w:val="both"/>
              <w:rPr>
                <w:color w:val="FF0000"/>
                <w:sz w:val="20"/>
                <w:szCs w:val="20"/>
              </w:rPr>
            </w:pPr>
          </w:p>
        </w:tc>
        <w:tc>
          <w:tcPr>
            <w:tcW w:w="1413" w:type="dxa"/>
            <w:vMerge/>
          </w:tcPr>
          <w:p w14:paraId="11435C04" w14:textId="77777777" w:rsidR="00A75454" w:rsidRPr="00304144" w:rsidDel="00AC1F87" w:rsidRDefault="00A75454" w:rsidP="00A75454">
            <w:pPr>
              <w:jc w:val="center"/>
              <w:rPr>
                <w:color w:val="FF0000"/>
                <w:sz w:val="20"/>
                <w:szCs w:val="20"/>
              </w:rPr>
            </w:pPr>
          </w:p>
        </w:tc>
        <w:tc>
          <w:tcPr>
            <w:tcW w:w="540" w:type="dxa"/>
          </w:tcPr>
          <w:p w14:paraId="602DAE36" w14:textId="3B654740" w:rsidR="00A75454" w:rsidRPr="00304144" w:rsidDel="00900500" w:rsidRDefault="00A75454" w:rsidP="00A75454">
            <w:pPr>
              <w:jc w:val="center"/>
              <w:rPr>
                <w:color w:val="FF0000"/>
                <w:sz w:val="20"/>
                <w:szCs w:val="20"/>
              </w:rPr>
            </w:pPr>
            <w:r w:rsidRPr="009B4615">
              <w:rPr>
                <w:sz w:val="20"/>
                <w:szCs w:val="20"/>
              </w:rPr>
              <w:t>10</w:t>
            </w:r>
          </w:p>
        </w:tc>
        <w:tc>
          <w:tcPr>
            <w:tcW w:w="1959" w:type="dxa"/>
          </w:tcPr>
          <w:p w14:paraId="538146A0" w14:textId="32CD8F2F" w:rsidR="00A75454" w:rsidRPr="00304144" w:rsidDel="007801FE" w:rsidRDefault="00A75454" w:rsidP="00A75454">
            <w:pPr>
              <w:rPr>
                <w:color w:val="FF0000"/>
                <w:sz w:val="20"/>
                <w:szCs w:val="20"/>
              </w:rPr>
            </w:pPr>
            <w:r w:rsidRPr="009B4615">
              <w:rPr>
                <w:sz w:val="20"/>
                <w:szCs w:val="20"/>
              </w:rPr>
              <w:t>Índice de ocorrências em contratos de portaria/recepção</w:t>
            </w:r>
          </w:p>
        </w:tc>
        <w:tc>
          <w:tcPr>
            <w:tcW w:w="1940" w:type="dxa"/>
          </w:tcPr>
          <w:p w14:paraId="217F4F61" w14:textId="621CF377" w:rsidR="00A75454" w:rsidRPr="00304144" w:rsidRDefault="00A75454" w:rsidP="00A75454">
            <w:pPr>
              <w:rPr>
                <w:color w:val="FF0000"/>
                <w:sz w:val="20"/>
                <w:szCs w:val="20"/>
              </w:rPr>
            </w:pPr>
            <w:r w:rsidRPr="0042176A">
              <w:rPr>
                <w:sz w:val="20"/>
                <w:szCs w:val="20"/>
              </w:rPr>
              <w:t>Quantidade de ocorrências registradas mensalmente no Comprasnet/ Quantidade de ocorrências suportadas pela Administração no IMR x 100</w:t>
            </w:r>
          </w:p>
        </w:tc>
        <w:tc>
          <w:tcPr>
            <w:tcW w:w="723" w:type="dxa"/>
          </w:tcPr>
          <w:p w14:paraId="2C14FB41" w14:textId="43CCBC3F" w:rsidR="00A75454" w:rsidRPr="00304144" w:rsidDel="00B02D1D" w:rsidRDefault="00A75454" w:rsidP="00A75454">
            <w:pPr>
              <w:jc w:val="center"/>
              <w:rPr>
                <w:color w:val="FF0000"/>
                <w:sz w:val="20"/>
                <w:szCs w:val="20"/>
              </w:rPr>
            </w:pPr>
            <w:r w:rsidRPr="009B4615">
              <w:rPr>
                <w:sz w:val="20"/>
                <w:szCs w:val="20"/>
              </w:rPr>
              <w:t>%</w:t>
            </w:r>
          </w:p>
        </w:tc>
        <w:tc>
          <w:tcPr>
            <w:tcW w:w="1064" w:type="dxa"/>
            <w:shd w:val="clear" w:color="auto" w:fill="auto"/>
          </w:tcPr>
          <w:p w14:paraId="78F61431" w14:textId="77777777" w:rsidR="00003CF1" w:rsidRPr="00A75454" w:rsidRDefault="00003CF1" w:rsidP="00003CF1">
            <w:pPr>
              <w:jc w:val="center"/>
              <w:rPr>
                <w:b/>
                <w:bCs/>
                <w:color w:val="FF0000"/>
                <w:sz w:val="20"/>
                <w:szCs w:val="20"/>
              </w:rPr>
            </w:pPr>
            <w:r>
              <w:rPr>
                <w:b/>
                <w:bCs/>
                <w:sz w:val="20"/>
                <w:szCs w:val="20"/>
              </w:rPr>
              <w:t>&lt;</w:t>
            </w:r>
            <w:r w:rsidRPr="00A75454">
              <w:rPr>
                <w:b/>
                <w:bCs/>
                <w:sz w:val="20"/>
                <w:szCs w:val="20"/>
              </w:rPr>
              <w:t>5%</w:t>
            </w:r>
          </w:p>
          <w:p w14:paraId="3BF7BD3D" w14:textId="5319C0BF" w:rsidR="00A75454" w:rsidRPr="00304144" w:rsidRDefault="00A75454" w:rsidP="00A75454">
            <w:pPr>
              <w:jc w:val="center"/>
              <w:rPr>
                <w:color w:val="FF0000"/>
                <w:sz w:val="20"/>
                <w:szCs w:val="20"/>
              </w:rPr>
            </w:pPr>
          </w:p>
        </w:tc>
        <w:tc>
          <w:tcPr>
            <w:tcW w:w="1113" w:type="dxa"/>
            <w:shd w:val="clear" w:color="auto" w:fill="auto"/>
          </w:tcPr>
          <w:p w14:paraId="13719BDB" w14:textId="77777777" w:rsidR="00003CF1" w:rsidRPr="00A75454" w:rsidRDefault="00003CF1" w:rsidP="00003CF1">
            <w:pPr>
              <w:jc w:val="center"/>
              <w:rPr>
                <w:b/>
                <w:bCs/>
                <w:color w:val="FF0000"/>
                <w:sz w:val="20"/>
                <w:szCs w:val="20"/>
              </w:rPr>
            </w:pPr>
            <w:r>
              <w:rPr>
                <w:b/>
                <w:bCs/>
                <w:sz w:val="20"/>
                <w:szCs w:val="20"/>
              </w:rPr>
              <w:t>&lt;</w:t>
            </w:r>
            <w:r w:rsidRPr="00A75454">
              <w:rPr>
                <w:b/>
                <w:bCs/>
                <w:sz w:val="20"/>
                <w:szCs w:val="20"/>
              </w:rPr>
              <w:t>5%</w:t>
            </w:r>
          </w:p>
          <w:p w14:paraId="2A2391B9" w14:textId="25E89727" w:rsidR="00A75454" w:rsidRPr="00304144" w:rsidRDefault="00A75454" w:rsidP="00A75454">
            <w:pPr>
              <w:jc w:val="center"/>
              <w:rPr>
                <w:b/>
                <w:bCs/>
                <w:color w:val="FF0000"/>
                <w:sz w:val="20"/>
                <w:szCs w:val="20"/>
              </w:rPr>
            </w:pPr>
          </w:p>
        </w:tc>
        <w:tc>
          <w:tcPr>
            <w:tcW w:w="1276" w:type="dxa"/>
          </w:tcPr>
          <w:p w14:paraId="0769D2C1" w14:textId="77777777" w:rsidR="00003CF1" w:rsidRPr="00A75454" w:rsidRDefault="00003CF1" w:rsidP="00003CF1">
            <w:pPr>
              <w:jc w:val="center"/>
              <w:rPr>
                <w:b/>
                <w:bCs/>
                <w:color w:val="FF0000"/>
                <w:sz w:val="20"/>
                <w:szCs w:val="20"/>
              </w:rPr>
            </w:pPr>
            <w:r>
              <w:rPr>
                <w:b/>
                <w:bCs/>
                <w:sz w:val="20"/>
                <w:szCs w:val="20"/>
              </w:rPr>
              <w:t>&lt;</w:t>
            </w:r>
            <w:r w:rsidRPr="00A75454">
              <w:rPr>
                <w:b/>
                <w:bCs/>
                <w:sz w:val="20"/>
                <w:szCs w:val="20"/>
              </w:rPr>
              <w:t>5%</w:t>
            </w:r>
          </w:p>
          <w:p w14:paraId="319A2167" w14:textId="0874E45F" w:rsidR="00A75454" w:rsidRPr="00304144" w:rsidRDefault="00A75454" w:rsidP="00A75454">
            <w:pPr>
              <w:jc w:val="center"/>
              <w:rPr>
                <w:b/>
                <w:bCs/>
                <w:color w:val="FF0000"/>
                <w:sz w:val="20"/>
                <w:szCs w:val="20"/>
              </w:rPr>
            </w:pPr>
          </w:p>
        </w:tc>
        <w:tc>
          <w:tcPr>
            <w:tcW w:w="1335" w:type="dxa"/>
          </w:tcPr>
          <w:p w14:paraId="4483B3FB" w14:textId="77777777" w:rsidR="00003CF1" w:rsidRPr="00A75454" w:rsidRDefault="00003CF1" w:rsidP="00003CF1">
            <w:pPr>
              <w:jc w:val="center"/>
              <w:rPr>
                <w:b/>
                <w:bCs/>
                <w:color w:val="FF0000"/>
                <w:sz w:val="20"/>
                <w:szCs w:val="20"/>
              </w:rPr>
            </w:pPr>
            <w:r>
              <w:rPr>
                <w:b/>
                <w:bCs/>
                <w:sz w:val="20"/>
                <w:szCs w:val="20"/>
              </w:rPr>
              <w:t>&lt;</w:t>
            </w:r>
            <w:r w:rsidRPr="00A75454">
              <w:rPr>
                <w:b/>
                <w:bCs/>
                <w:sz w:val="20"/>
                <w:szCs w:val="20"/>
              </w:rPr>
              <w:t>5%</w:t>
            </w:r>
          </w:p>
          <w:p w14:paraId="010032EE" w14:textId="01C6D91C" w:rsidR="00A75454" w:rsidRPr="00304144" w:rsidRDefault="00A75454" w:rsidP="00A75454">
            <w:pPr>
              <w:jc w:val="center"/>
              <w:rPr>
                <w:b/>
                <w:bCs/>
                <w:color w:val="FF0000"/>
                <w:sz w:val="20"/>
                <w:szCs w:val="20"/>
              </w:rPr>
            </w:pPr>
          </w:p>
        </w:tc>
        <w:tc>
          <w:tcPr>
            <w:tcW w:w="1000" w:type="dxa"/>
          </w:tcPr>
          <w:p w14:paraId="0B9C6F7E" w14:textId="77777777" w:rsidR="00003CF1" w:rsidRPr="00A75454" w:rsidRDefault="00003CF1" w:rsidP="00003CF1">
            <w:pPr>
              <w:jc w:val="center"/>
              <w:rPr>
                <w:b/>
                <w:bCs/>
                <w:color w:val="FF0000"/>
                <w:sz w:val="20"/>
                <w:szCs w:val="20"/>
              </w:rPr>
            </w:pPr>
            <w:r>
              <w:rPr>
                <w:b/>
                <w:bCs/>
                <w:sz w:val="20"/>
                <w:szCs w:val="20"/>
              </w:rPr>
              <w:t>&lt;</w:t>
            </w:r>
            <w:r w:rsidRPr="00A75454">
              <w:rPr>
                <w:b/>
                <w:bCs/>
                <w:sz w:val="20"/>
                <w:szCs w:val="20"/>
              </w:rPr>
              <w:t>5%</w:t>
            </w:r>
          </w:p>
          <w:p w14:paraId="7FAE8503" w14:textId="1B137AD3" w:rsidR="00A75454" w:rsidRPr="00304144" w:rsidRDefault="00A75454" w:rsidP="00A75454">
            <w:pPr>
              <w:jc w:val="center"/>
              <w:rPr>
                <w:b/>
                <w:bCs/>
                <w:color w:val="FF0000"/>
                <w:sz w:val="20"/>
                <w:szCs w:val="20"/>
              </w:rPr>
            </w:pPr>
          </w:p>
        </w:tc>
        <w:tc>
          <w:tcPr>
            <w:tcW w:w="1409" w:type="dxa"/>
          </w:tcPr>
          <w:p w14:paraId="0B6DEDF2" w14:textId="77777777" w:rsidR="00003CF1" w:rsidRPr="00A75454" w:rsidRDefault="00003CF1" w:rsidP="00003CF1">
            <w:pPr>
              <w:jc w:val="center"/>
              <w:rPr>
                <w:b/>
                <w:bCs/>
                <w:color w:val="FF0000"/>
                <w:sz w:val="20"/>
                <w:szCs w:val="20"/>
              </w:rPr>
            </w:pPr>
            <w:r>
              <w:rPr>
                <w:b/>
                <w:bCs/>
                <w:sz w:val="20"/>
                <w:szCs w:val="20"/>
              </w:rPr>
              <w:t>&lt;</w:t>
            </w:r>
            <w:r w:rsidRPr="00A75454">
              <w:rPr>
                <w:b/>
                <w:bCs/>
                <w:sz w:val="20"/>
                <w:szCs w:val="20"/>
              </w:rPr>
              <w:t>5%</w:t>
            </w:r>
          </w:p>
          <w:p w14:paraId="6531B8E7" w14:textId="3BCD8875" w:rsidR="00A75454" w:rsidRPr="00304144" w:rsidRDefault="00A75454" w:rsidP="00A75454">
            <w:pPr>
              <w:jc w:val="center"/>
              <w:rPr>
                <w:b/>
                <w:bCs/>
                <w:color w:val="FF0000"/>
                <w:sz w:val="20"/>
                <w:szCs w:val="20"/>
              </w:rPr>
            </w:pPr>
          </w:p>
        </w:tc>
      </w:tr>
      <w:tr w:rsidR="00A75454" w:rsidRPr="00304144" w14:paraId="78850EFD" w14:textId="61914594" w:rsidTr="6FAF9AB8">
        <w:tc>
          <w:tcPr>
            <w:tcW w:w="457" w:type="dxa"/>
            <w:vMerge w:val="restart"/>
          </w:tcPr>
          <w:p w14:paraId="7071EA0F" w14:textId="3C8B5328" w:rsidR="00A75454" w:rsidRPr="009B4615" w:rsidRDefault="00A75454" w:rsidP="00A75454">
            <w:pPr>
              <w:jc w:val="both"/>
              <w:rPr>
                <w:sz w:val="20"/>
                <w:szCs w:val="20"/>
              </w:rPr>
            </w:pPr>
            <w:r w:rsidRPr="009B4615">
              <w:rPr>
                <w:sz w:val="20"/>
                <w:szCs w:val="20"/>
              </w:rPr>
              <w:t>7</w:t>
            </w:r>
          </w:p>
        </w:tc>
        <w:tc>
          <w:tcPr>
            <w:tcW w:w="1413" w:type="dxa"/>
            <w:vMerge w:val="restart"/>
          </w:tcPr>
          <w:p w14:paraId="5D2D3117" w14:textId="0F7AF384" w:rsidR="00A75454" w:rsidRPr="009B4615" w:rsidRDefault="00A75454" w:rsidP="00A75454">
            <w:pPr>
              <w:jc w:val="center"/>
              <w:rPr>
                <w:sz w:val="20"/>
                <w:szCs w:val="20"/>
              </w:rPr>
            </w:pPr>
            <w:r w:rsidRPr="009B4615">
              <w:rPr>
                <w:sz w:val="20"/>
                <w:szCs w:val="20"/>
              </w:rPr>
              <w:t>Gestão de Resíduos</w:t>
            </w:r>
          </w:p>
        </w:tc>
        <w:tc>
          <w:tcPr>
            <w:tcW w:w="540" w:type="dxa"/>
          </w:tcPr>
          <w:p w14:paraId="29C13213" w14:textId="4B2073D0" w:rsidR="00A75454" w:rsidRPr="009B4615" w:rsidRDefault="00A75454" w:rsidP="00A75454">
            <w:pPr>
              <w:jc w:val="center"/>
              <w:rPr>
                <w:sz w:val="20"/>
                <w:szCs w:val="20"/>
              </w:rPr>
            </w:pPr>
            <w:r w:rsidRPr="009B4615">
              <w:rPr>
                <w:sz w:val="20"/>
                <w:szCs w:val="20"/>
              </w:rPr>
              <w:t>1</w:t>
            </w:r>
            <w:r>
              <w:rPr>
                <w:sz w:val="20"/>
                <w:szCs w:val="20"/>
              </w:rPr>
              <w:t>1</w:t>
            </w:r>
          </w:p>
        </w:tc>
        <w:tc>
          <w:tcPr>
            <w:tcW w:w="1959" w:type="dxa"/>
          </w:tcPr>
          <w:p w14:paraId="73AAB9E6" w14:textId="3C0F81AD" w:rsidR="00A75454" w:rsidRPr="00304144" w:rsidRDefault="00A75454" w:rsidP="00A75454">
            <w:pPr>
              <w:rPr>
                <w:color w:val="FF0000"/>
                <w:sz w:val="20"/>
                <w:szCs w:val="20"/>
              </w:rPr>
            </w:pPr>
            <w:r w:rsidRPr="009B4615">
              <w:rPr>
                <w:sz w:val="20"/>
                <w:szCs w:val="20"/>
              </w:rPr>
              <w:t>Índice de descarte de papel destinado às Cooperativas de reciclagem X papel A4 requisitado</w:t>
            </w:r>
          </w:p>
        </w:tc>
        <w:tc>
          <w:tcPr>
            <w:tcW w:w="1940" w:type="dxa"/>
          </w:tcPr>
          <w:p w14:paraId="77AA92D4" w14:textId="7FC193D3" w:rsidR="00A75454" w:rsidRPr="001B6611" w:rsidRDefault="00A75454" w:rsidP="00A75454">
            <w:pPr>
              <w:rPr>
                <w:sz w:val="20"/>
                <w:szCs w:val="20"/>
              </w:rPr>
            </w:pPr>
            <w:r w:rsidRPr="009B4615">
              <w:rPr>
                <w:sz w:val="20"/>
                <w:szCs w:val="20"/>
              </w:rPr>
              <w:t xml:space="preserve">Somatório do papel descartado para a CSS / </w:t>
            </w:r>
            <w:proofErr w:type="spellStart"/>
            <w:r w:rsidRPr="009B4615">
              <w:rPr>
                <w:sz w:val="20"/>
                <w:szCs w:val="20"/>
              </w:rPr>
              <w:t>Qtd</w:t>
            </w:r>
            <w:proofErr w:type="spellEnd"/>
            <w:r w:rsidRPr="009B4615">
              <w:rPr>
                <w:sz w:val="20"/>
                <w:szCs w:val="20"/>
              </w:rPr>
              <w:t xml:space="preserve"> de papel requisitado no período x 100</w:t>
            </w:r>
          </w:p>
        </w:tc>
        <w:tc>
          <w:tcPr>
            <w:tcW w:w="723" w:type="dxa"/>
          </w:tcPr>
          <w:p w14:paraId="65CFCCF8" w14:textId="1CB65095" w:rsidR="00A75454" w:rsidRPr="009B4615" w:rsidRDefault="00A75454" w:rsidP="00A75454">
            <w:pPr>
              <w:jc w:val="center"/>
              <w:rPr>
                <w:sz w:val="20"/>
                <w:szCs w:val="20"/>
              </w:rPr>
            </w:pPr>
            <w:r w:rsidRPr="009B4615">
              <w:rPr>
                <w:sz w:val="20"/>
                <w:szCs w:val="20"/>
              </w:rPr>
              <w:t>%</w:t>
            </w:r>
          </w:p>
        </w:tc>
        <w:tc>
          <w:tcPr>
            <w:tcW w:w="1064" w:type="dxa"/>
          </w:tcPr>
          <w:p w14:paraId="134E2719" w14:textId="77777777" w:rsidR="00003CF1" w:rsidRPr="00A75454" w:rsidRDefault="00003CF1" w:rsidP="00003CF1">
            <w:pPr>
              <w:jc w:val="center"/>
              <w:rPr>
                <w:b/>
                <w:bCs/>
                <w:color w:val="FF0000"/>
                <w:sz w:val="20"/>
                <w:szCs w:val="20"/>
              </w:rPr>
            </w:pPr>
            <w:r>
              <w:rPr>
                <w:b/>
                <w:bCs/>
                <w:sz w:val="20"/>
                <w:szCs w:val="20"/>
              </w:rPr>
              <w:t>&lt;</w:t>
            </w:r>
            <w:r w:rsidRPr="00A75454">
              <w:rPr>
                <w:b/>
                <w:bCs/>
                <w:sz w:val="20"/>
                <w:szCs w:val="20"/>
              </w:rPr>
              <w:t>5%</w:t>
            </w:r>
          </w:p>
          <w:p w14:paraId="6FF72CF8" w14:textId="20329242" w:rsidR="00A75454" w:rsidRPr="009B4615" w:rsidRDefault="00A75454" w:rsidP="00A75454">
            <w:pPr>
              <w:jc w:val="center"/>
              <w:rPr>
                <w:b/>
                <w:bCs/>
                <w:sz w:val="20"/>
                <w:szCs w:val="20"/>
              </w:rPr>
            </w:pPr>
          </w:p>
        </w:tc>
        <w:tc>
          <w:tcPr>
            <w:tcW w:w="1113" w:type="dxa"/>
          </w:tcPr>
          <w:p w14:paraId="542C9442" w14:textId="77777777" w:rsidR="00003CF1" w:rsidRPr="00A75454" w:rsidRDefault="00003CF1" w:rsidP="00003CF1">
            <w:pPr>
              <w:jc w:val="center"/>
              <w:rPr>
                <w:b/>
                <w:bCs/>
                <w:color w:val="FF0000"/>
                <w:sz w:val="20"/>
                <w:szCs w:val="20"/>
              </w:rPr>
            </w:pPr>
            <w:r>
              <w:rPr>
                <w:b/>
                <w:bCs/>
                <w:sz w:val="20"/>
                <w:szCs w:val="20"/>
              </w:rPr>
              <w:t>&lt;</w:t>
            </w:r>
            <w:r w:rsidRPr="00A75454">
              <w:rPr>
                <w:b/>
                <w:bCs/>
                <w:sz w:val="20"/>
                <w:szCs w:val="20"/>
              </w:rPr>
              <w:t>5%</w:t>
            </w:r>
          </w:p>
          <w:p w14:paraId="04DBD7D9" w14:textId="383E96D1" w:rsidR="00A75454" w:rsidRPr="00A75454" w:rsidRDefault="00A75454" w:rsidP="00A75454">
            <w:pPr>
              <w:jc w:val="center"/>
              <w:rPr>
                <w:b/>
                <w:bCs/>
                <w:color w:val="FF0000"/>
                <w:sz w:val="20"/>
                <w:szCs w:val="20"/>
              </w:rPr>
            </w:pPr>
          </w:p>
          <w:p w14:paraId="1E6715FB" w14:textId="58F68868" w:rsidR="00A75454" w:rsidRPr="00304144" w:rsidDel="00B1672C" w:rsidRDefault="00A75454" w:rsidP="00A75454">
            <w:pPr>
              <w:jc w:val="center"/>
              <w:rPr>
                <w:b/>
                <w:bCs/>
                <w:color w:val="FF0000"/>
                <w:sz w:val="20"/>
                <w:szCs w:val="20"/>
              </w:rPr>
            </w:pPr>
          </w:p>
        </w:tc>
        <w:tc>
          <w:tcPr>
            <w:tcW w:w="1276" w:type="dxa"/>
          </w:tcPr>
          <w:p w14:paraId="4D409AFE" w14:textId="77777777" w:rsidR="00003CF1" w:rsidRPr="00A75454" w:rsidRDefault="00003CF1" w:rsidP="00003CF1">
            <w:pPr>
              <w:jc w:val="center"/>
              <w:rPr>
                <w:b/>
                <w:bCs/>
                <w:color w:val="FF0000"/>
                <w:sz w:val="20"/>
                <w:szCs w:val="20"/>
              </w:rPr>
            </w:pPr>
            <w:r>
              <w:rPr>
                <w:b/>
                <w:bCs/>
                <w:sz w:val="20"/>
                <w:szCs w:val="20"/>
              </w:rPr>
              <w:t>&lt;</w:t>
            </w:r>
            <w:r w:rsidRPr="00A75454">
              <w:rPr>
                <w:b/>
                <w:bCs/>
                <w:sz w:val="20"/>
                <w:szCs w:val="20"/>
              </w:rPr>
              <w:t>5%</w:t>
            </w:r>
          </w:p>
          <w:p w14:paraId="4EAE0DFB" w14:textId="00F4600D" w:rsidR="00A75454" w:rsidRPr="00304144" w:rsidRDefault="00A75454" w:rsidP="00A75454">
            <w:pPr>
              <w:jc w:val="center"/>
              <w:rPr>
                <w:b/>
                <w:bCs/>
                <w:color w:val="FF0000"/>
                <w:sz w:val="20"/>
                <w:szCs w:val="20"/>
              </w:rPr>
            </w:pPr>
          </w:p>
        </w:tc>
        <w:tc>
          <w:tcPr>
            <w:tcW w:w="1335" w:type="dxa"/>
          </w:tcPr>
          <w:p w14:paraId="49ABC23C" w14:textId="77777777" w:rsidR="00003CF1" w:rsidRPr="00A75454" w:rsidRDefault="00003CF1" w:rsidP="00003CF1">
            <w:pPr>
              <w:jc w:val="center"/>
              <w:rPr>
                <w:b/>
                <w:bCs/>
                <w:color w:val="FF0000"/>
                <w:sz w:val="20"/>
                <w:szCs w:val="20"/>
              </w:rPr>
            </w:pPr>
            <w:r>
              <w:rPr>
                <w:b/>
                <w:bCs/>
                <w:sz w:val="20"/>
                <w:szCs w:val="20"/>
              </w:rPr>
              <w:t>&lt;</w:t>
            </w:r>
            <w:r w:rsidRPr="00A75454">
              <w:rPr>
                <w:b/>
                <w:bCs/>
                <w:sz w:val="20"/>
                <w:szCs w:val="20"/>
              </w:rPr>
              <w:t>5%</w:t>
            </w:r>
          </w:p>
          <w:p w14:paraId="6D86015B" w14:textId="4286D525" w:rsidR="00A75454" w:rsidRPr="00304144" w:rsidRDefault="00A75454" w:rsidP="00A75454">
            <w:pPr>
              <w:jc w:val="center"/>
              <w:rPr>
                <w:b/>
                <w:bCs/>
                <w:color w:val="FF0000"/>
                <w:sz w:val="20"/>
                <w:szCs w:val="20"/>
              </w:rPr>
            </w:pPr>
          </w:p>
        </w:tc>
        <w:tc>
          <w:tcPr>
            <w:tcW w:w="1000" w:type="dxa"/>
          </w:tcPr>
          <w:p w14:paraId="296AB98E" w14:textId="77777777" w:rsidR="00003CF1" w:rsidRPr="00A75454" w:rsidRDefault="00003CF1" w:rsidP="00003CF1">
            <w:pPr>
              <w:jc w:val="center"/>
              <w:rPr>
                <w:b/>
                <w:bCs/>
                <w:color w:val="FF0000"/>
                <w:sz w:val="20"/>
                <w:szCs w:val="20"/>
              </w:rPr>
            </w:pPr>
            <w:r>
              <w:rPr>
                <w:b/>
                <w:bCs/>
                <w:sz w:val="20"/>
                <w:szCs w:val="20"/>
              </w:rPr>
              <w:t>&lt;</w:t>
            </w:r>
            <w:r w:rsidRPr="00A75454">
              <w:rPr>
                <w:b/>
                <w:bCs/>
                <w:sz w:val="20"/>
                <w:szCs w:val="20"/>
              </w:rPr>
              <w:t>5%</w:t>
            </w:r>
          </w:p>
          <w:p w14:paraId="1C5640D6" w14:textId="14AF700F" w:rsidR="00A75454" w:rsidRPr="00304144" w:rsidRDefault="00A75454" w:rsidP="00A75454">
            <w:pPr>
              <w:jc w:val="center"/>
              <w:rPr>
                <w:b/>
                <w:bCs/>
                <w:color w:val="FF0000"/>
                <w:sz w:val="20"/>
                <w:szCs w:val="20"/>
              </w:rPr>
            </w:pPr>
          </w:p>
        </w:tc>
        <w:tc>
          <w:tcPr>
            <w:tcW w:w="1409" w:type="dxa"/>
          </w:tcPr>
          <w:p w14:paraId="7E5D48B6" w14:textId="77777777" w:rsidR="00003CF1" w:rsidRPr="00A75454" w:rsidRDefault="00003CF1" w:rsidP="00003CF1">
            <w:pPr>
              <w:jc w:val="center"/>
              <w:rPr>
                <w:b/>
                <w:bCs/>
                <w:color w:val="FF0000"/>
                <w:sz w:val="20"/>
                <w:szCs w:val="20"/>
              </w:rPr>
            </w:pPr>
            <w:r>
              <w:rPr>
                <w:b/>
                <w:bCs/>
                <w:sz w:val="20"/>
                <w:szCs w:val="20"/>
              </w:rPr>
              <w:t>&lt;</w:t>
            </w:r>
            <w:r w:rsidRPr="00A75454">
              <w:rPr>
                <w:b/>
                <w:bCs/>
                <w:sz w:val="20"/>
                <w:szCs w:val="20"/>
              </w:rPr>
              <w:t>5%</w:t>
            </w:r>
          </w:p>
          <w:p w14:paraId="1D2718E8" w14:textId="5F2B7FCF" w:rsidR="00A75454" w:rsidRPr="00304144" w:rsidRDefault="00A75454" w:rsidP="00A75454">
            <w:pPr>
              <w:jc w:val="center"/>
              <w:rPr>
                <w:b/>
                <w:bCs/>
                <w:color w:val="FF0000"/>
                <w:sz w:val="20"/>
                <w:szCs w:val="20"/>
              </w:rPr>
            </w:pPr>
          </w:p>
        </w:tc>
      </w:tr>
      <w:tr w:rsidR="001D3C09" w:rsidRPr="00304144" w14:paraId="78BD8F3F" w14:textId="7FF34376" w:rsidTr="00E75B35">
        <w:tc>
          <w:tcPr>
            <w:tcW w:w="457" w:type="dxa"/>
            <w:vMerge/>
          </w:tcPr>
          <w:p w14:paraId="239D0B81" w14:textId="77777777" w:rsidR="001D3C09" w:rsidRPr="00304144" w:rsidRDefault="001D3C09" w:rsidP="009A532C">
            <w:pPr>
              <w:jc w:val="both"/>
              <w:rPr>
                <w:color w:val="FF0000"/>
                <w:sz w:val="20"/>
                <w:szCs w:val="20"/>
              </w:rPr>
            </w:pPr>
          </w:p>
        </w:tc>
        <w:tc>
          <w:tcPr>
            <w:tcW w:w="1413" w:type="dxa"/>
            <w:vMerge/>
          </w:tcPr>
          <w:p w14:paraId="5ACF16A0" w14:textId="77777777" w:rsidR="001D3C09" w:rsidRPr="00304144" w:rsidRDefault="001D3C09" w:rsidP="007A0D84">
            <w:pPr>
              <w:rPr>
                <w:color w:val="FF0000"/>
                <w:sz w:val="20"/>
                <w:szCs w:val="20"/>
              </w:rPr>
            </w:pPr>
          </w:p>
        </w:tc>
        <w:tc>
          <w:tcPr>
            <w:tcW w:w="540" w:type="dxa"/>
          </w:tcPr>
          <w:p w14:paraId="55A3CBE5" w14:textId="5D707165" w:rsidR="001D3C09" w:rsidRPr="009B4615" w:rsidRDefault="001D3C09" w:rsidP="00C22576">
            <w:pPr>
              <w:jc w:val="center"/>
              <w:rPr>
                <w:sz w:val="20"/>
                <w:szCs w:val="20"/>
              </w:rPr>
            </w:pPr>
            <w:r w:rsidRPr="009B4615">
              <w:rPr>
                <w:sz w:val="20"/>
                <w:szCs w:val="20"/>
              </w:rPr>
              <w:t>1</w:t>
            </w:r>
            <w:r w:rsidR="009B4615">
              <w:rPr>
                <w:sz w:val="20"/>
                <w:szCs w:val="20"/>
              </w:rPr>
              <w:t>2</w:t>
            </w:r>
          </w:p>
        </w:tc>
        <w:tc>
          <w:tcPr>
            <w:tcW w:w="1959" w:type="dxa"/>
          </w:tcPr>
          <w:p w14:paraId="07D1ECE2" w14:textId="4AA29762" w:rsidR="001D3C09" w:rsidRPr="00304144" w:rsidRDefault="00B937EA" w:rsidP="009A532C">
            <w:pPr>
              <w:rPr>
                <w:color w:val="FF0000"/>
                <w:sz w:val="20"/>
                <w:szCs w:val="20"/>
              </w:rPr>
            </w:pPr>
            <w:r w:rsidRPr="00B937EA">
              <w:rPr>
                <w:sz w:val="20"/>
                <w:szCs w:val="20"/>
              </w:rPr>
              <w:t>Material reciclável destinado às cooperativas</w:t>
            </w:r>
            <w:r w:rsidR="00EF3775">
              <w:rPr>
                <w:rStyle w:val="Refdenotaderodap"/>
                <w:sz w:val="20"/>
                <w:szCs w:val="20"/>
              </w:rPr>
              <w:footnoteReference w:id="6"/>
            </w:r>
          </w:p>
        </w:tc>
        <w:tc>
          <w:tcPr>
            <w:tcW w:w="1940" w:type="dxa"/>
          </w:tcPr>
          <w:p w14:paraId="1B7941AB" w14:textId="1720C29B" w:rsidR="001D3C09" w:rsidRPr="00304144" w:rsidRDefault="00B937EA" w:rsidP="00E7021A">
            <w:pPr>
              <w:rPr>
                <w:color w:val="FF0000"/>
                <w:sz w:val="20"/>
                <w:szCs w:val="20"/>
              </w:rPr>
            </w:pPr>
            <w:r w:rsidRPr="00B937EA">
              <w:rPr>
                <w:sz w:val="20"/>
                <w:szCs w:val="20"/>
              </w:rPr>
              <w:t>Kg de papel + kg de papelão + kg de plástico, vidro, metal, destinado às cooperativas de 2021 - Kg de papel+ kg de papelão + kg de plástico, vidro, metal, destinados às cooperativas em 2020 /                                             Total de kg destinados às cooperativas em 2020 x 100</w:t>
            </w:r>
          </w:p>
        </w:tc>
        <w:tc>
          <w:tcPr>
            <w:tcW w:w="723" w:type="dxa"/>
          </w:tcPr>
          <w:p w14:paraId="15D8ED01" w14:textId="6DE90EB2" w:rsidR="001D3C09" w:rsidRPr="00B937EA" w:rsidRDefault="001D3C09" w:rsidP="002045F2">
            <w:pPr>
              <w:jc w:val="center"/>
              <w:rPr>
                <w:sz w:val="20"/>
                <w:szCs w:val="20"/>
              </w:rPr>
            </w:pPr>
            <w:r w:rsidRPr="00B937EA">
              <w:rPr>
                <w:sz w:val="20"/>
                <w:szCs w:val="20"/>
              </w:rPr>
              <w:t>%</w:t>
            </w:r>
          </w:p>
        </w:tc>
        <w:tc>
          <w:tcPr>
            <w:tcW w:w="1064" w:type="dxa"/>
          </w:tcPr>
          <w:p w14:paraId="5BBB5CEF" w14:textId="77777777" w:rsidR="00003CF1" w:rsidRPr="00A75454" w:rsidRDefault="00003CF1" w:rsidP="00003CF1">
            <w:pPr>
              <w:jc w:val="center"/>
              <w:rPr>
                <w:b/>
                <w:bCs/>
                <w:color w:val="FF0000"/>
                <w:sz w:val="20"/>
                <w:szCs w:val="20"/>
              </w:rPr>
            </w:pPr>
            <w:r>
              <w:rPr>
                <w:b/>
                <w:bCs/>
                <w:sz w:val="20"/>
                <w:szCs w:val="20"/>
              </w:rPr>
              <w:t>&lt;</w:t>
            </w:r>
            <w:r w:rsidRPr="00A75454">
              <w:rPr>
                <w:b/>
                <w:bCs/>
                <w:sz w:val="20"/>
                <w:szCs w:val="20"/>
              </w:rPr>
              <w:t>5%</w:t>
            </w:r>
          </w:p>
          <w:p w14:paraId="3E08F576" w14:textId="1785C2D4" w:rsidR="001D3C09" w:rsidRPr="00B937EA" w:rsidRDefault="001D3C09" w:rsidP="009E1124">
            <w:pPr>
              <w:jc w:val="center"/>
              <w:rPr>
                <w:b/>
                <w:bCs/>
                <w:sz w:val="20"/>
                <w:szCs w:val="20"/>
              </w:rPr>
            </w:pPr>
          </w:p>
        </w:tc>
        <w:tc>
          <w:tcPr>
            <w:tcW w:w="1113" w:type="dxa"/>
            <w:shd w:val="clear" w:color="auto" w:fill="auto"/>
          </w:tcPr>
          <w:p w14:paraId="42AC57BC" w14:textId="180758A2" w:rsidR="001D3C09" w:rsidRPr="00304144" w:rsidDel="00B1672C" w:rsidRDefault="00EF3775" w:rsidP="00B937EA">
            <w:pPr>
              <w:jc w:val="center"/>
              <w:rPr>
                <w:b/>
                <w:bCs/>
                <w:color w:val="FF0000"/>
                <w:sz w:val="20"/>
                <w:szCs w:val="20"/>
              </w:rPr>
            </w:pPr>
            <w:r>
              <w:rPr>
                <w:b/>
                <w:bCs/>
                <w:sz w:val="20"/>
                <w:szCs w:val="20"/>
              </w:rPr>
              <w:t>-</w:t>
            </w:r>
          </w:p>
        </w:tc>
        <w:tc>
          <w:tcPr>
            <w:tcW w:w="1276" w:type="dxa"/>
            <w:shd w:val="clear" w:color="auto" w:fill="auto"/>
          </w:tcPr>
          <w:p w14:paraId="72FACB99" w14:textId="6A29069A" w:rsidR="001D3C09" w:rsidRPr="00304144" w:rsidRDefault="00EF3775" w:rsidP="00B937EA">
            <w:pPr>
              <w:jc w:val="center"/>
              <w:rPr>
                <w:b/>
                <w:bCs/>
                <w:color w:val="FF0000"/>
                <w:sz w:val="20"/>
                <w:szCs w:val="20"/>
              </w:rPr>
            </w:pPr>
            <w:r>
              <w:rPr>
                <w:b/>
                <w:bCs/>
                <w:sz w:val="20"/>
                <w:szCs w:val="20"/>
              </w:rPr>
              <w:t>-</w:t>
            </w:r>
          </w:p>
        </w:tc>
        <w:tc>
          <w:tcPr>
            <w:tcW w:w="1335" w:type="dxa"/>
            <w:shd w:val="clear" w:color="auto" w:fill="auto"/>
          </w:tcPr>
          <w:p w14:paraId="1445D7F4" w14:textId="6E930B71" w:rsidR="001D3C09" w:rsidRPr="00304144" w:rsidRDefault="00EF3775" w:rsidP="00B937EA">
            <w:pPr>
              <w:jc w:val="center"/>
              <w:rPr>
                <w:b/>
                <w:bCs/>
                <w:color w:val="FF0000"/>
                <w:sz w:val="20"/>
                <w:szCs w:val="20"/>
              </w:rPr>
            </w:pPr>
            <w:r>
              <w:rPr>
                <w:b/>
                <w:bCs/>
                <w:sz w:val="20"/>
                <w:szCs w:val="20"/>
              </w:rPr>
              <w:t>-</w:t>
            </w:r>
          </w:p>
        </w:tc>
        <w:tc>
          <w:tcPr>
            <w:tcW w:w="1000" w:type="dxa"/>
            <w:shd w:val="clear" w:color="auto" w:fill="auto"/>
          </w:tcPr>
          <w:p w14:paraId="4FF5FFD4" w14:textId="79A76084" w:rsidR="001D3C09" w:rsidRPr="00304144" w:rsidRDefault="00EF3775" w:rsidP="00B937EA">
            <w:pPr>
              <w:jc w:val="center"/>
              <w:rPr>
                <w:b/>
                <w:bCs/>
                <w:color w:val="FF0000"/>
                <w:sz w:val="20"/>
                <w:szCs w:val="20"/>
              </w:rPr>
            </w:pPr>
            <w:r>
              <w:rPr>
                <w:b/>
                <w:bCs/>
                <w:sz w:val="20"/>
                <w:szCs w:val="20"/>
              </w:rPr>
              <w:t>-</w:t>
            </w:r>
          </w:p>
        </w:tc>
        <w:tc>
          <w:tcPr>
            <w:tcW w:w="1409" w:type="dxa"/>
            <w:shd w:val="clear" w:color="auto" w:fill="auto"/>
          </w:tcPr>
          <w:p w14:paraId="326FF523" w14:textId="08664A2F" w:rsidR="001D3C09" w:rsidRPr="00304144" w:rsidRDefault="00EF3775" w:rsidP="00B937EA">
            <w:pPr>
              <w:jc w:val="center"/>
              <w:rPr>
                <w:b/>
                <w:bCs/>
                <w:color w:val="FF0000"/>
                <w:sz w:val="20"/>
                <w:szCs w:val="20"/>
              </w:rPr>
            </w:pPr>
            <w:r>
              <w:rPr>
                <w:b/>
                <w:bCs/>
                <w:sz w:val="20"/>
                <w:szCs w:val="20"/>
              </w:rPr>
              <w:t>-</w:t>
            </w:r>
          </w:p>
        </w:tc>
      </w:tr>
      <w:tr w:rsidR="001D3C09" w:rsidRPr="00304144" w14:paraId="1F36844C" w14:textId="0C1C0F84" w:rsidTr="6FAF9AB8">
        <w:tc>
          <w:tcPr>
            <w:tcW w:w="457" w:type="dxa"/>
          </w:tcPr>
          <w:p w14:paraId="1B2D6CDC" w14:textId="1B55DD9C" w:rsidR="001D3C09" w:rsidRPr="00B937EA" w:rsidRDefault="001D3C09" w:rsidP="009A532C">
            <w:pPr>
              <w:jc w:val="both"/>
              <w:rPr>
                <w:sz w:val="20"/>
                <w:szCs w:val="20"/>
              </w:rPr>
            </w:pPr>
            <w:r w:rsidRPr="00B937EA">
              <w:rPr>
                <w:sz w:val="20"/>
                <w:szCs w:val="20"/>
              </w:rPr>
              <w:t>8</w:t>
            </w:r>
          </w:p>
        </w:tc>
        <w:tc>
          <w:tcPr>
            <w:tcW w:w="1413" w:type="dxa"/>
          </w:tcPr>
          <w:p w14:paraId="38B5E8E6" w14:textId="12CFC8EA" w:rsidR="001D3C09" w:rsidRPr="00B937EA" w:rsidRDefault="001D3C09" w:rsidP="005549A1">
            <w:pPr>
              <w:jc w:val="center"/>
              <w:rPr>
                <w:sz w:val="20"/>
                <w:szCs w:val="20"/>
              </w:rPr>
            </w:pPr>
            <w:r w:rsidRPr="00B937EA">
              <w:rPr>
                <w:sz w:val="20"/>
                <w:szCs w:val="20"/>
              </w:rPr>
              <w:t>Apoio Administrativo</w:t>
            </w:r>
          </w:p>
        </w:tc>
        <w:tc>
          <w:tcPr>
            <w:tcW w:w="540" w:type="dxa"/>
            <w:shd w:val="clear" w:color="auto" w:fill="auto"/>
          </w:tcPr>
          <w:p w14:paraId="35B48324" w14:textId="543304EF" w:rsidR="001D3C09" w:rsidRPr="00B937EA" w:rsidRDefault="001D3C09" w:rsidP="00C22576">
            <w:pPr>
              <w:jc w:val="center"/>
              <w:rPr>
                <w:sz w:val="20"/>
                <w:szCs w:val="20"/>
              </w:rPr>
            </w:pPr>
            <w:r w:rsidRPr="00B937EA">
              <w:rPr>
                <w:sz w:val="20"/>
                <w:szCs w:val="20"/>
              </w:rPr>
              <w:t>1</w:t>
            </w:r>
            <w:r w:rsidR="00B937EA">
              <w:rPr>
                <w:sz w:val="20"/>
                <w:szCs w:val="20"/>
              </w:rPr>
              <w:t>3</w:t>
            </w:r>
          </w:p>
        </w:tc>
        <w:tc>
          <w:tcPr>
            <w:tcW w:w="1959" w:type="dxa"/>
            <w:shd w:val="clear" w:color="auto" w:fill="auto"/>
          </w:tcPr>
          <w:p w14:paraId="6917CFC5" w14:textId="392B4D30" w:rsidR="001D3C09" w:rsidRPr="00B937EA" w:rsidRDefault="001D3C09" w:rsidP="009A532C">
            <w:pPr>
              <w:rPr>
                <w:sz w:val="20"/>
                <w:szCs w:val="20"/>
              </w:rPr>
            </w:pPr>
            <w:r w:rsidRPr="00B937EA">
              <w:rPr>
                <w:sz w:val="20"/>
                <w:szCs w:val="20"/>
              </w:rPr>
              <w:t>Índice de material nos contratos de copeiragem</w:t>
            </w:r>
            <w:r w:rsidRPr="00B937EA">
              <w:rPr>
                <w:rStyle w:val="Refdenotaderodap"/>
                <w:sz w:val="20"/>
                <w:szCs w:val="20"/>
              </w:rPr>
              <w:footnoteReference w:id="7"/>
            </w:r>
          </w:p>
        </w:tc>
        <w:tc>
          <w:tcPr>
            <w:tcW w:w="1940" w:type="dxa"/>
            <w:shd w:val="clear" w:color="auto" w:fill="auto"/>
          </w:tcPr>
          <w:p w14:paraId="269C58A1" w14:textId="77777777" w:rsidR="001D3C09" w:rsidRPr="00B937EA" w:rsidRDefault="001D3C09" w:rsidP="009A532C">
            <w:pPr>
              <w:rPr>
                <w:sz w:val="20"/>
                <w:szCs w:val="20"/>
              </w:rPr>
            </w:pPr>
            <w:r w:rsidRPr="00B937EA">
              <w:rPr>
                <w:sz w:val="20"/>
                <w:szCs w:val="20"/>
              </w:rPr>
              <w:t xml:space="preserve">Valor gasto com materiais solicitados durante o contrato / </w:t>
            </w:r>
            <w:r w:rsidRPr="00B937EA">
              <w:rPr>
                <w:sz w:val="20"/>
                <w:szCs w:val="20"/>
              </w:rPr>
              <w:lastRenderedPageBreak/>
              <w:t xml:space="preserve">valor de materiais estimados no </w:t>
            </w:r>
          </w:p>
          <w:p w14:paraId="518AB4A6" w14:textId="373B8D00" w:rsidR="001D3C09" w:rsidRPr="00B937EA" w:rsidRDefault="001D3C09" w:rsidP="009A532C">
            <w:pPr>
              <w:rPr>
                <w:sz w:val="20"/>
                <w:szCs w:val="20"/>
              </w:rPr>
            </w:pPr>
            <w:r w:rsidRPr="00B937EA">
              <w:rPr>
                <w:sz w:val="20"/>
                <w:szCs w:val="20"/>
              </w:rPr>
              <w:t>contrato X 100</w:t>
            </w:r>
          </w:p>
        </w:tc>
        <w:tc>
          <w:tcPr>
            <w:tcW w:w="723" w:type="dxa"/>
            <w:shd w:val="clear" w:color="auto" w:fill="auto"/>
          </w:tcPr>
          <w:p w14:paraId="5141165A" w14:textId="01417C69" w:rsidR="001D3C09" w:rsidRPr="00304144" w:rsidRDefault="001D3C09" w:rsidP="002045F2">
            <w:pPr>
              <w:jc w:val="center"/>
              <w:rPr>
                <w:color w:val="FF0000"/>
                <w:sz w:val="20"/>
                <w:szCs w:val="20"/>
              </w:rPr>
            </w:pPr>
            <w:r w:rsidRPr="00B937EA">
              <w:rPr>
                <w:sz w:val="20"/>
                <w:szCs w:val="20"/>
              </w:rPr>
              <w:lastRenderedPageBreak/>
              <w:t>%</w:t>
            </w:r>
          </w:p>
        </w:tc>
        <w:tc>
          <w:tcPr>
            <w:tcW w:w="1064" w:type="dxa"/>
            <w:shd w:val="clear" w:color="auto" w:fill="auto"/>
          </w:tcPr>
          <w:p w14:paraId="49035090" w14:textId="68046D45" w:rsidR="001D3C09" w:rsidRPr="00304144" w:rsidRDefault="00B937EA" w:rsidP="00B937EA">
            <w:pPr>
              <w:jc w:val="center"/>
              <w:rPr>
                <w:color w:val="FF0000"/>
                <w:sz w:val="20"/>
                <w:szCs w:val="20"/>
              </w:rPr>
            </w:pPr>
            <w:r>
              <w:rPr>
                <w:sz w:val="20"/>
                <w:szCs w:val="20"/>
              </w:rPr>
              <w:t>N/A</w:t>
            </w:r>
          </w:p>
        </w:tc>
        <w:tc>
          <w:tcPr>
            <w:tcW w:w="1113" w:type="dxa"/>
            <w:shd w:val="clear" w:color="auto" w:fill="auto"/>
          </w:tcPr>
          <w:p w14:paraId="747E107A" w14:textId="0F6F59B1" w:rsidR="001D3C09" w:rsidRPr="00304144" w:rsidRDefault="00B937EA" w:rsidP="00B937EA">
            <w:pPr>
              <w:jc w:val="center"/>
              <w:rPr>
                <w:color w:val="FF0000"/>
                <w:sz w:val="20"/>
                <w:szCs w:val="20"/>
              </w:rPr>
            </w:pPr>
            <w:r>
              <w:rPr>
                <w:sz w:val="20"/>
                <w:szCs w:val="20"/>
              </w:rPr>
              <w:t>N/A</w:t>
            </w:r>
          </w:p>
        </w:tc>
        <w:tc>
          <w:tcPr>
            <w:tcW w:w="1276" w:type="dxa"/>
            <w:shd w:val="clear" w:color="auto" w:fill="auto"/>
          </w:tcPr>
          <w:p w14:paraId="30C6C5D7" w14:textId="3DD098E4" w:rsidR="001D3C09" w:rsidRPr="00304144" w:rsidRDefault="00B937EA" w:rsidP="00B937EA">
            <w:pPr>
              <w:jc w:val="center"/>
              <w:rPr>
                <w:color w:val="FF0000"/>
                <w:sz w:val="20"/>
                <w:szCs w:val="20"/>
              </w:rPr>
            </w:pPr>
            <w:r>
              <w:rPr>
                <w:sz w:val="20"/>
                <w:szCs w:val="20"/>
              </w:rPr>
              <w:t>N/A</w:t>
            </w:r>
          </w:p>
        </w:tc>
        <w:tc>
          <w:tcPr>
            <w:tcW w:w="1335" w:type="dxa"/>
            <w:shd w:val="clear" w:color="auto" w:fill="auto"/>
          </w:tcPr>
          <w:p w14:paraId="2E16054A" w14:textId="06864882" w:rsidR="001D3C09" w:rsidRPr="00304144" w:rsidRDefault="00B937EA" w:rsidP="00B937EA">
            <w:pPr>
              <w:jc w:val="center"/>
              <w:rPr>
                <w:color w:val="FF0000"/>
                <w:sz w:val="20"/>
                <w:szCs w:val="20"/>
              </w:rPr>
            </w:pPr>
            <w:r>
              <w:rPr>
                <w:sz w:val="20"/>
                <w:szCs w:val="20"/>
              </w:rPr>
              <w:t>N/A</w:t>
            </w:r>
          </w:p>
        </w:tc>
        <w:tc>
          <w:tcPr>
            <w:tcW w:w="1000" w:type="dxa"/>
            <w:shd w:val="clear" w:color="auto" w:fill="auto"/>
          </w:tcPr>
          <w:p w14:paraId="42C60322" w14:textId="6898695B" w:rsidR="001D3C09" w:rsidRPr="00304144" w:rsidRDefault="00B937EA" w:rsidP="00B937EA">
            <w:pPr>
              <w:jc w:val="center"/>
              <w:rPr>
                <w:color w:val="FF0000"/>
                <w:sz w:val="20"/>
                <w:szCs w:val="20"/>
              </w:rPr>
            </w:pPr>
            <w:r>
              <w:rPr>
                <w:sz w:val="20"/>
                <w:szCs w:val="20"/>
              </w:rPr>
              <w:t>N/A</w:t>
            </w:r>
          </w:p>
        </w:tc>
        <w:tc>
          <w:tcPr>
            <w:tcW w:w="1409" w:type="dxa"/>
            <w:shd w:val="clear" w:color="auto" w:fill="auto"/>
          </w:tcPr>
          <w:p w14:paraId="2B8BFF97" w14:textId="3A0EC8DC" w:rsidR="001D3C09" w:rsidRPr="00304144" w:rsidRDefault="00B937EA" w:rsidP="00B937EA">
            <w:pPr>
              <w:jc w:val="center"/>
              <w:rPr>
                <w:color w:val="FF0000"/>
                <w:sz w:val="20"/>
                <w:szCs w:val="20"/>
              </w:rPr>
            </w:pPr>
            <w:r>
              <w:rPr>
                <w:sz w:val="20"/>
                <w:szCs w:val="20"/>
              </w:rPr>
              <w:t>N/A</w:t>
            </w:r>
          </w:p>
        </w:tc>
      </w:tr>
      <w:tr w:rsidR="00A75454" w:rsidRPr="00304144" w14:paraId="4A065B98" w14:textId="221C922F" w:rsidTr="6FAF9AB8">
        <w:tc>
          <w:tcPr>
            <w:tcW w:w="457" w:type="dxa"/>
            <w:vMerge w:val="restart"/>
          </w:tcPr>
          <w:p w14:paraId="7AF594B3" w14:textId="48E156A9" w:rsidR="00A75454" w:rsidRPr="00304144" w:rsidRDefault="00A75454" w:rsidP="00A75454">
            <w:pPr>
              <w:jc w:val="both"/>
              <w:rPr>
                <w:color w:val="FF0000"/>
                <w:sz w:val="20"/>
                <w:szCs w:val="20"/>
              </w:rPr>
            </w:pPr>
            <w:r w:rsidRPr="00B937EA">
              <w:rPr>
                <w:sz w:val="20"/>
                <w:szCs w:val="20"/>
              </w:rPr>
              <w:t>9</w:t>
            </w:r>
          </w:p>
        </w:tc>
        <w:tc>
          <w:tcPr>
            <w:tcW w:w="1413" w:type="dxa"/>
            <w:vMerge w:val="restart"/>
          </w:tcPr>
          <w:p w14:paraId="3A569056" w14:textId="7FD99A74" w:rsidR="00A75454" w:rsidRPr="00B937EA" w:rsidRDefault="00A75454" w:rsidP="00A75454">
            <w:pPr>
              <w:jc w:val="center"/>
              <w:rPr>
                <w:sz w:val="20"/>
                <w:szCs w:val="20"/>
              </w:rPr>
            </w:pPr>
            <w:r w:rsidRPr="00B937EA">
              <w:rPr>
                <w:sz w:val="20"/>
                <w:szCs w:val="20"/>
              </w:rPr>
              <w:t>Material de Consumo</w:t>
            </w:r>
          </w:p>
        </w:tc>
        <w:tc>
          <w:tcPr>
            <w:tcW w:w="540" w:type="dxa"/>
          </w:tcPr>
          <w:p w14:paraId="25EC1015" w14:textId="2DB531AD" w:rsidR="00A75454" w:rsidRPr="00B937EA" w:rsidRDefault="00A75454" w:rsidP="00A75454">
            <w:pPr>
              <w:jc w:val="center"/>
              <w:rPr>
                <w:sz w:val="20"/>
                <w:szCs w:val="20"/>
              </w:rPr>
            </w:pPr>
            <w:r w:rsidRPr="00B937EA">
              <w:rPr>
                <w:sz w:val="20"/>
                <w:szCs w:val="20"/>
              </w:rPr>
              <w:t>14</w:t>
            </w:r>
          </w:p>
        </w:tc>
        <w:tc>
          <w:tcPr>
            <w:tcW w:w="1959" w:type="dxa"/>
          </w:tcPr>
          <w:p w14:paraId="6C31AB20" w14:textId="69AE0D67" w:rsidR="00A75454" w:rsidRPr="00304144" w:rsidRDefault="00A75454" w:rsidP="00A75454">
            <w:pPr>
              <w:rPr>
                <w:color w:val="FF0000"/>
                <w:sz w:val="20"/>
                <w:szCs w:val="20"/>
              </w:rPr>
            </w:pPr>
            <w:r w:rsidRPr="00DC46D1">
              <w:rPr>
                <w:sz w:val="20"/>
                <w:szCs w:val="20"/>
              </w:rPr>
              <w:t>Índice de itens adquiridos pelo almoxarifado virtual</w:t>
            </w:r>
          </w:p>
        </w:tc>
        <w:tc>
          <w:tcPr>
            <w:tcW w:w="1940" w:type="dxa"/>
          </w:tcPr>
          <w:p w14:paraId="487EDEFD" w14:textId="44BE6F44" w:rsidR="00A75454" w:rsidRPr="00304144" w:rsidRDefault="00A75454" w:rsidP="00A75454">
            <w:pPr>
              <w:rPr>
                <w:color w:val="FF0000"/>
                <w:sz w:val="20"/>
                <w:szCs w:val="20"/>
              </w:rPr>
            </w:pPr>
            <w:r w:rsidRPr="00DC46D1">
              <w:rPr>
                <w:sz w:val="20"/>
                <w:szCs w:val="20"/>
              </w:rPr>
              <w:t xml:space="preserve">Quantidade de itens adquiridos através do almoxarifado virtual / quantidade de itens adquiridos através do almoxarifado virtual + quantidade de itens adquiridos   por dispensa de licitação ou suprimentos de fundos por não estarem dentro da cesta do almoxarifado virtual x 100 </w:t>
            </w:r>
          </w:p>
        </w:tc>
        <w:tc>
          <w:tcPr>
            <w:tcW w:w="723" w:type="dxa"/>
          </w:tcPr>
          <w:p w14:paraId="463D6D32" w14:textId="20A1F8FC" w:rsidR="00A75454" w:rsidRPr="00304144" w:rsidRDefault="00A75454" w:rsidP="00A75454">
            <w:pPr>
              <w:jc w:val="center"/>
              <w:rPr>
                <w:color w:val="FF0000"/>
                <w:sz w:val="20"/>
                <w:szCs w:val="20"/>
              </w:rPr>
            </w:pPr>
            <w:r w:rsidRPr="00DC46D1">
              <w:rPr>
                <w:sz w:val="20"/>
                <w:szCs w:val="20"/>
              </w:rPr>
              <w:t>%</w:t>
            </w:r>
          </w:p>
        </w:tc>
        <w:tc>
          <w:tcPr>
            <w:tcW w:w="1064" w:type="dxa"/>
            <w:shd w:val="clear" w:color="auto" w:fill="auto"/>
          </w:tcPr>
          <w:p w14:paraId="3D92F679" w14:textId="0208097C" w:rsidR="00A75454" w:rsidRPr="00304144" w:rsidRDefault="00A75454" w:rsidP="00A75454">
            <w:pPr>
              <w:jc w:val="center"/>
              <w:rPr>
                <w:color w:val="FF0000"/>
              </w:rPr>
            </w:pPr>
            <w:r>
              <w:rPr>
                <w:b/>
                <w:bCs/>
                <w:sz w:val="20"/>
                <w:szCs w:val="20"/>
              </w:rPr>
              <w:t>5%</w:t>
            </w:r>
          </w:p>
        </w:tc>
        <w:tc>
          <w:tcPr>
            <w:tcW w:w="1113" w:type="dxa"/>
            <w:shd w:val="clear" w:color="auto" w:fill="auto"/>
          </w:tcPr>
          <w:p w14:paraId="2CFDE03F" w14:textId="04EBD680" w:rsidR="00A75454" w:rsidRPr="00304144" w:rsidRDefault="00A75454" w:rsidP="00A75454">
            <w:pPr>
              <w:jc w:val="center"/>
              <w:rPr>
                <w:b/>
                <w:bCs/>
                <w:color w:val="FF0000"/>
                <w:sz w:val="20"/>
                <w:szCs w:val="20"/>
              </w:rPr>
            </w:pPr>
            <w:r>
              <w:rPr>
                <w:b/>
                <w:bCs/>
                <w:sz w:val="20"/>
                <w:szCs w:val="20"/>
              </w:rPr>
              <w:t>5%</w:t>
            </w:r>
          </w:p>
        </w:tc>
        <w:tc>
          <w:tcPr>
            <w:tcW w:w="1276" w:type="dxa"/>
          </w:tcPr>
          <w:p w14:paraId="7B766120" w14:textId="06960129" w:rsidR="00A75454" w:rsidRPr="00304144" w:rsidRDefault="00A75454" w:rsidP="00A75454">
            <w:pPr>
              <w:jc w:val="center"/>
              <w:rPr>
                <w:b/>
                <w:bCs/>
                <w:color w:val="FF0000"/>
                <w:sz w:val="20"/>
                <w:szCs w:val="20"/>
              </w:rPr>
            </w:pPr>
            <w:r w:rsidRPr="00EA342A">
              <w:rPr>
                <w:b/>
                <w:bCs/>
                <w:sz w:val="20"/>
                <w:szCs w:val="20"/>
              </w:rPr>
              <w:t>5%</w:t>
            </w:r>
          </w:p>
        </w:tc>
        <w:tc>
          <w:tcPr>
            <w:tcW w:w="1335" w:type="dxa"/>
          </w:tcPr>
          <w:p w14:paraId="502A3D98" w14:textId="08E91D62" w:rsidR="00A75454" w:rsidRPr="00304144" w:rsidRDefault="00A75454" w:rsidP="00A75454">
            <w:pPr>
              <w:jc w:val="center"/>
              <w:rPr>
                <w:b/>
                <w:bCs/>
                <w:color w:val="FF0000"/>
                <w:sz w:val="20"/>
                <w:szCs w:val="20"/>
              </w:rPr>
            </w:pPr>
            <w:r w:rsidRPr="007C6312">
              <w:rPr>
                <w:b/>
                <w:bCs/>
                <w:sz w:val="20"/>
                <w:szCs w:val="20"/>
              </w:rPr>
              <w:t>5%</w:t>
            </w:r>
          </w:p>
        </w:tc>
        <w:tc>
          <w:tcPr>
            <w:tcW w:w="1000" w:type="dxa"/>
          </w:tcPr>
          <w:p w14:paraId="29448EB4" w14:textId="4413CB2F" w:rsidR="00A75454" w:rsidRPr="00304144" w:rsidRDefault="00A75454" w:rsidP="00A75454">
            <w:pPr>
              <w:jc w:val="center"/>
              <w:rPr>
                <w:b/>
                <w:bCs/>
                <w:color w:val="FF0000"/>
                <w:sz w:val="20"/>
                <w:szCs w:val="20"/>
              </w:rPr>
            </w:pPr>
            <w:r w:rsidRPr="007C6312">
              <w:rPr>
                <w:b/>
                <w:bCs/>
                <w:sz w:val="20"/>
                <w:szCs w:val="20"/>
              </w:rPr>
              <w:t>5%</w:t>
            </w:r>
          </w:p>
        </w:tc>
        <w:tc>
          <w:tcPr>
            <w:tcW w:w="1409" w:type="dxa"/>
          </w:tcPr>
          <w:p w14:paraId="3D20E001" w14:textId="6A661CC8" w:rsidR="00A75454" w:rsidRPr="00304144" w:rsidRDefault="00A75454" w:rsidP="00A75454">
            <w:pPr>
              <w:jc w:val="center"/>
              <w:rPr>
                <w:b/>
                <w:bCs/>
                <w:color w:val="FF0000"/>
                <w:sz w:val="20"/>
                <w:szCs w:val="20"/>
              </w:rPr>
            </w:pPr>
            <w:r>
              <w:rPr>
                <w:b/>
                <w:bCs/>
                <w:sz w:val="20"/>
                <w:szCs w:val="20"/>
              </w:rPr>
              <w:t>5%</w:t>
            </w:r>
          </w:p>
        </w:tc>
      </w:tr>
      <w:tr w:rsidR="001D3C09" w:rsidRPr="00304144" w14:paraId="5B760325" w14:textId="313E526B" w:rsidTr="00E75B35">
        <w:tc>
          <w:tcPr>
            <w:tcW w:w="457" w:type="dxa"/>
            <w:vMerge/>
          </w:tcPr>
          <w:p w14:paraId="70F4B5AD" w14:textId="77777777" w:rsidR="001D3C09" w:rsidRPr="00304144" w:rsidRDefault="001D3C09" w:rsidP="00DF0B7E">
            <w:pPr>
              <w:jc w:val="both"/>
              <w:rPr>
                <w:color w:val="FF0000"/>
                <w:sz w:val="20"/>
                <w:szCs w:val="20"/>
              </w:rPr>
            </w:pPr>
          </w:p>
        </w:tc>
        <w:tc>
          <w:tcPr>
            <w:tcW w:w="1413" w:type="dxa"/>
            <w:vMerge/>
          </w:tcPr>
          <w:p w14:paraId="76EA976B" w14:textId="77777777" w:rsidR="001D3C09" w:rsidRPr="00304144" w:rsidRDefault="001D3C09" w:rsidP="005549A1">
            <w:pPr>
              <w:jc w:val="center"/>
              <w:rPr>
                <w:color w:val="FF0000"/>
                <w:sz w:val="20"/>
                <w:szCs w:val="20"/>
              </w:rPr>
            </w:pPr>
          </w:p>
        </w:tc>
        <w:tc>
          <w:tcPr>
            <w:tcW w:w="540" w:type="dxa"/>
          </w:tcPr>
          <w:p w14:paraId="20BFE187" w14:textId="3E7AD546" w:rsidR="001D3C09" w:rsidRPr="00DC46D1" w:rsidRDefault="001D3C09" w:rsidP="00C22576">
            <w:pPr>
              <w:jc w:val="center"/>
              <w:rPr>
                <w:sz w:val="20"/>
                <w:szCs w:val="20"/>
              </w:rPr>
            </w:pPr>
            <w:r w:rsidRPr="00DC46D1">
              <w:rPr>
                <w:sz w:val="20"/>
                <w:szCs w:val="20"/>
              </w:rPr>
              <w:t>15</w:t>
            </w:r>
          </w:p>
        </w:tc>
        <w:tc>
          <w:tcPr>
            <w:tcW w:w="1959" w:type="dxa"/>
          </w:tcPr>
          <w:p w14:paraId="7C3BC30B" w14:textId="57389D7A" w:rsidR="001D3C09" w:rsidRPr="00DC46D1" w:rsidRDefault="001D3C09" w:rsidP="00DF0B7E">
            <w:pPr>
              <w:rPr>
                <w:sz w:val="20"/>
                <w:szCs w:val="20"/>
              </w:rPr>
            </w:pPr>
            <w:r w:rsidRPr="00DC46D1">
              <w:rPr>
                <w:sz w:val="20"/>
                <w:szCs w:val="20"/>
              </w:rPr>
              <w:t>Índice de impressão</w:t>
            </w:r>
            <w:r w:rsidR="00EF3775">
              <w:rPr>
                <w:rStyle w:val="Refdenotaderodap"/>
                <w:sz w:val="20"/>
                <w:szCs w:val="20"/>
              </w:rPr>
              <w:footnoteReference w:id="8"/>
            </w:r>
          </w:p>
        </w:tc>
        <w:tc>
          <w:tcPr>
            <w:tcW w:w="1940" w:type="dxa"/>
          </w:tcPr>
          <w:p w14:paraId="1BB67662" w14:textId="5BD21C23" w:rsidR="001D3C09" w:rsidRPr="00304144" w:rsidRDefault="00DC46D1" w:rsidP="00DF0B7E">
            <w:pPr>
              <w:rPr>
                <w:color w:val="FF0000"/>
                <w:sz w:val="20"/>
                <w:szCs w:val="20"/>
              </w:rPr>
            </w:pPr>
            <w:r w:rsidRPr="00DC46D1">
              <w:rPr>
                <w:sz w:val="20"/>
                <w:szCs w:val="20"/>
              </w:rPr>
              <w:t>(Quantidade de impressões 2021 - quantidade de impressões 2020) / Quantidade de impressões 2020 x 100</w:t>
            </w:r>
          </w:p>
        </w:tc>
        <w:tc>
          <w:tcPr>
            <w:tcW w:w="723" w:type="dxa"/>
          </w:tcPr>
          <w:p w14:paraId="41E84AF8" w14:textId="394D1CF1" w:rsidR="001D3C09" w:rsidRPr="00304144" w:rsidRDefault="001D3C09" w:rsidP="002045F2">
            <w:pPr>
              <w:jc w:val="center"/>
              <w:rPr>
                <w:color w:val="FF0000"/>
                <w:sz w:val="20"/>
                <w:szCs w:val="20"/>
              </w:rPr>
            </w:pPr>
            <w:r w:rsidRPr="00DC46D1">
              <w:rPr>
                <w:sz w:val="20"/>
                <w:szCs w:val="20"/>
              </w:rPr>
              <w:t>%</w:t>
            </w:r>
          </w:p>
        </w:tc>
        <w:tc>
          <w:tcPr>
            <w:tcW w:w="1064" w:type="dxa"/>
            <w:shd w:val="clear" w:color="auto" w:fill="auto"/>
          </w:tcPr>
          <w:p w14:paraId="38D7090E" w14:textId="77777777" w:rsidR="00471AFB" w:rsidRPr="00A75454" w:rsidRDefault="00471AFB" w:rsidP="00471AFB">
            <w:pPr>
              <w:jc w:val="center"/>
              <w:rPr>
                <w:b/>
                <w:bCs/>
                <w:color w:val="FF0000"/>
                <w:sz w:val="20"/>
                <w:szCs w:val="20"/>
              </w:rPr>
            </w:pPr>
            <w:r>
              <w:rPr>
                <w:b/>
                <w:bCs/>
                <w:sz w:val="20"/>
                <w:szCs w:val="20"/>
              </w:rPr>
              <w:t>&lt;</w:t>
            </w:r>
            <w:r w:rsidRPr="00A75454">
              <w:rPr>
                <w:b/>
                <w:bCs/>
                <w:sz w:val="20"/>
                <w:szCs w:val="20"/>
              </w:rPr>
              <w:t>5%</w:t>
            </w:r>
          </w:p>
          <w:p w14:paraId="0790DCDF" w14:textId="7B16E834" w:rsidR="001D3C09" w:rsidRPr="00304144" w:rsidRDefault="001D3C09" w:rsidP="00DC46D1">
            <w:pPr>
              <w:jc w:val="center"/>
              <w:rPr>
                <w:color w:val="FF0000"/>
                <w:sz w:val="20"/>
                <w:szCs w:val="20"/>
              </w:rPr>
            </w:pPr>
          </w:p>
        </w:tc>
        <w:tc>
          <w:tcPr>
            <w:tcW w:w="1113" w:type="dxa"/>
            <w:shd w:val="clear" w:color="auto" w:fill="auto"/>
          </w:tcPr>
          <w:p w14:paraId="1EA36BC3" w14:textId="4374BBD5" w:rsidR="001D3C09" w:rsidRPr="00304144" w:rsidRDefault="00EF3775" w:rsidP="001B42C7">
            <w:pPr>
              <w:jc w:val="center"/>
              <w:rPr>
                <w:color w:val="FF0000"/>
                <w:sz w:val="20"/>
                <w:szCs w:val="20"/>
              </w:rPr>
            </w:pPr>
            <w:r>
              <w:rPr>
                <w:b/>
                <w:bCs/>
                <w:sz w:val="20"/>
                <w:szCs w:val="20"/>
              </w:rPr>
              <w:t>-</w:t>
            </w:r>
          </w:p>
        </w:tc>
        <w:tc>
          <w:tcPr>
            <w:tcW w:w="1276" w:type="dxa"/>
            <w:shd w:val="clear" w:color="auto" w:fill="auto"/>
          </w:tcPr>
          <w:p w14:paraId="48042DF8" w14:textId="4784FE8D" w:rsidR="001D3C09" w:rsidRPr="00304144" w:rsidRDefault="00EF3775" w:rsidP="001B42C7">
            <w:pPr>
              <w:jc w:val="center"/>
              <w:rPr>
                <w:b/>
                <w:bCs/>
                <w:color w:val="FF0000"/>
                <w:sz w:val="20"/>
                <w:szCs w:val="20"/>
              </w:rPr>
            </w:pPr>
            <w:r>
              <w:rPr>
                <w:b/>
                <w:bCs/>
                <w:sz w:val="20"/>
                <w:szCs w:val="20"/>
              </w:rPr>
              <w:t>-</w:t>
            </w:r>
          </w:p>
        </w:tc>
        <w:tc>
          <w:tcPr>
            <w:tcW w:w="1335" w:type="dxa"/>
            <w:shd w:val="clear" w:color="auto" w:fill="auto"/>
          </w:tcPr>
          <w:p w14:paraId="66F0B266" w14:textId="5B3BCD3E" w:rsidR="001D3C09" w:rsidRPr="00304144" w:rsidRDefault="00EF3775" w:rsidP="001B42C7">
            <w:pPr>
              <w:jc w:val="center"/>
              <w:rPr>
                <w:b/>
                <w:bCs/>
                <w:color w:val="FF0000"/>
                <w:sz w:val="20"/>
                <w:szCs w:val="20"/>
              </w:rPr>
            </w:pPr>
            <w:r>
              <w:rPr>
                <w:b/>
                <w:bCs/>
                <w:sz w:val="20"/>
                <w:szCs w:val="20"/>
              </w:rPr>
              <w:t>-</w:t>
            </w:r>
          </w:p>
        </w:tc>
        <w:tc>
          <w:tcPr>
            <w:tcW w:w="1000" w:type="dxa"/>
            <w:shd w:val="clear" w:color="auto" w:fill="auto"/>
          </w:tcPr>
          <w:p w14:paraId="52C32511" w14:textId="76A28C44" w:rsidR="001D3C09" w:rsidRPr="00304144" w:rsidRDefault="00EF3775" w:rsidP="001B42C7">
            <w:pPr>
              <w:jc w:val="center"/>
              <w:rPr>
                <w:b/>
                <w:bCs/>
                <w:color w:val="FF0000"/>
                <w:sz w:val="20"/>
                <w:szCs w:val="20"/>
              </w:rPr>
            </w:pPr>
            <w:r>
              <w:rPr>
                <w:b/>
                <w:bCs/>
                <w:sz w:val="20"/>
                <w:szCs w:val="20"/>
              </w:rPr>
              <w:t>-</w:t>
            </w:r>
          </w:p>
        </w:tc>
        <w:tc>
          <w:tcPr>
            <w:tcW w:w="1409" w:type="dxa"/>
            <w:shd w:val="clear" w:color="auto" w:fill="auto"/>
          </w:tcPr>
          <w:p w14:paraId="3EEC945C" w14:textId="7BCC93A6" w:rsidR="001D3C09" w:rsidRPr="00304144" w:rsidRDefault="00EF3775" w:rsidP="001B42C7">
            <w:pPr>
              <w:jc w:val="center"/>
              <w:rPr>
                <w:b/>
                <w:bCs/>
                <w:color w:val="FF0000"/>
                <w:sz w:val="20"/>
                <w:szCs w:val="20"/>
              </w:rPr>
            </w:pPr>
            <w:r>
              <w:rPr>
                <w:b/>
                <w:bCs/>
                <w:sz w:val="20"/>
                <w:szCs w:val="20"/>
              </w:rPr>
              <w:t>-</w:t>
            </w:r>
          </w:p>
        </w:tc>
      </w:tr>
      <w:tr w:rsidR="001D3C09" w:rsidRPr="00304144" w14:paraId="0105DD01" w14:textId="1D2E90E8" w:rsidTr="6FAF9AB8">
        <w:tc>
          <w:tcPr>
            <w:tcW w:w="457" w:type="dxa"/>
            <w:vMerge w:val="restart"/>
          </w:tcPr>
          <w:p w14:paraId="59637BC1" w14:textId="5ADCCFC9" w:rsidR="001D3C09" w:rsidRPr="00DC46D1" w:rsidRDefault="001D3C09" w:rsidP="00F51890">
            <w:pPr>
              <w:jc w:val="both"/>
              <w:rPr>
                <w:sz w:val="20"/>
                <w:szCs w:val="20"/>
              </w:rPr>
            </w:pPr>
            <w:r w:rsidRPr="00DC46D1">
              <w:rPr>
                <w:sz w:val="20"/>
                <w:szCs w:val="20"/>
              </w:rPr>
              <w:t>10</w:t>
            </w:r>
          </w:p>
        </w:tc>
        <w:tc>
          <w:tcPr>
            <w:tcW w:w="1413" w:type="dxa"/>
            <w:vMerge w:val="restart"/>
          </w:tcPr>
          <w:p w14:paraId="588F88BB" w14:textId="78EFE51A" w:rsidR="001D3C09" w:rsidRPr="00DC46D1" w:rsidRDefault="001D3C09" w:rsidP="00F51890">
            <w:pPr>
              <w:jc w:val="center"/>
              <w:rPr>
                <w:sz w:val="20"/>
                <w:szCs w:val="20"/>
              </w:rPr>
            </w:pPr>
            <w:r w:rsidRPr="00DC46D1">
              <w:rPr>
                <w:sz w:val="20"/>
                <w:szCs w:val="20"/>
              </w:rPr>
              <w:t>Material Permanente</w:t>
            </w:r>
          </w:p>
        </w:tc>
        <w:tc>
          <w:tcPr>
            <w:tcW w:w="540" w:type="dxa"/>
          </w:tcPr>
          <w:p w14:paraId="157D642C" w14:textId="58425D5A" w:rsidR="001D3C09" w:rsidRPr="00DC46D1" w:rsidRDefault="001D3C09" w:rsidP="00C22576">
            <w:pPr>
              <w:jc w:val="center"/>
              <w:rPr>
                <w:sz w:val="20"/>
                <w:szCs w:val="20"/>
              </w:rPr>
            </w:pPr>
            <w:r w:rsidRPr="00DC46D1">
              <w:rPr>
                <w:sz w:val="20"/>
                <w:szCs w:val="20"/>
              </w:rPr>
              <w:t>16</w:t>
            </w:r>
          </w:p>
        </w:tc>
        <w:tc>
          <w:tcPr>
            <w:tcW w:w="1959" w:type="dxa"/>
          </w:tcPr>
          <w:p w14:paraId="0678B797" w14:textId="42881CCB" w:rsidR="001D3C09" w:rsidRPr="00304144" w:rsidRDefault="00DC46D1" w:rsidP="00F51890">
            <w:pPr>
              <w:rPr>
                <w:color w:val="FF0000"/>
                <w:sz w:val="20"/>
                <w:szCs w:val="20"/>
              </w:rPr>
            </w:pPr>
            <w:r w:rsidRPr="00DC46D1">
              <w:rPr>
                <w:sz w:val="20"/>
                <w:szCs w:val="20"/>
              </w:rPr>
              <w:t>Índice de desfazimento total de itens inservíveis (ocioso, recuperável, antieconômico e irrecuperável)</w:t>
            </w:r>
          </w:p>
        </w:tc>
        <w:tc>
          <w:tcPr>
            <w:tcW w:w="1940" w:type="dxa"/>
          </w:tcPr>
          <w:p w14:paraId="6027D9E5" w14:textId="69C805CF" w:rsidR="001D3C09" w:rsidRPr="00304144" w:rsidRDefault="00DC46D1" w:rsidP="00F51890">
            <w:pPr>
              <w:rPr>
                <w:color w:val="FF0000"/>
                <w:sz w:val="20"/>
                <w:szCs w:val="20"/>
              </w:rPr>
            </w:pPr>
            <w:r w:rsidRPr="00CC2ECD">
              <w:rPr>
                <w:sz w:val="20"/>
                <w:szCs w:val="20"/>
              </w:rPr>
              <w:t>Quantidade de itens baixados / Quantidade total de itens x 100</w:t>
            </w:r>
          </w:p>
        </w:tc>
        <w:tc>
          <w:tcPr>
            <w:tcW w:w="723" w:type="dxa"/>
          </w:tcPr>
          <w:p w14:paraId="73DF0F50" w14:textId="7B0A3750" w:rsidR="001D3C09" w:rsidRPr="00304144" w:rsidRDefault="001D3C09" w:rsidP="00F51890">
            <w:pPr>
              <w:jc w:val="center"/>
              <w:rPr>
                <w:color w:val="FF0000"/>
                <w:sz w:val="20"/>
                <w:szCs w:val="20"/>
              </w:rPr>
            </w:pPr>
            <w:r w:rsidRPr="00CC2ECD">
              <w:rPr>
                <w:sz w:val="20"/>
                <w:szCs w:val="20"/>
              </w:rPr>
              <w:t>%</w:t>
            </w:r>
          </w:p>
        </w:tc>
        <w:tc>
          <w:tcPr>
            <w:tcW w:w="1064" w:type="dxa"/>
            <w:shd w:val="clear" w:color="auto" w:fill="auto"/>
          </w:tcPr>
          <w:p w14:paraId="669CC0B5" w14:textId="77777777" w:rsidR="00471AFB" w:rsidRPr="00A75454" w:rsidRDefault="00471AFB" w:rsidP="00471AFB">
            <w:pPr>
              <w:jc w:val="center"/>
              <w:rPr>
                <w:b/>
                <w:bCs/>
                <w:color w:val="FF0000"/>
                <w:sz w:val="20"/>
                <w:szCs w:val="20"/>
              </w:rPr>
            </w:pPr>
            <w:r>
              <w:rPr>
                <w:b/>
                <w:bCs/>
                <w:sz w:val="20"/>
                <w:szCs w:val="20"/>
              </w:rPr>
              <w:t>&lt;</w:t>
            </w:r>
            <w:r w:rsidRPr="00A75454">
              <w:rPr>
                <w:b/>
                <w:bCs/>
                <w:sz w:val="20"/>
                <w:szCs w:val="20"/>
              </w:rPr>
              <w:t>5%</w:t>
            </w:r>
          </w:p>
          <w:p w14:paraId="4F5B6A32" w14:textId="3F66D240" w:rsidR="001D3C09" w:rsidRPr="00304144" w:rsidRDefault="001D3C09" w:rsidP="00CC2ECD">
            <w:pPr>
              <w:jc w:val="center"/>
              <w:rPr>
                <w:color w:val="FF0000"/>
                <w:sz w:val="20"/>
                <w:szCs w:val="20"/>
              </w:rPr>
            </w:pPr>
          </w:p>
        </w:tc>
        <w:tc>
          <w:tcPr>
            <w:tcW w:w="1113" w:type="dxa"/>
            <w:shd w:val="clear" w:color="auto" w:fill="auto"/>
          </w:tcPr>
          <w:p w14:paraId="74CD72BB" w14:textId="77777777" w:rsidR="00471AFB" w:rsidRPr="00A75454" w:rsidRDefault="00471AFB" w:rsidP="00471AFB">
            <w:pPr>
              <w:jc w:val="center"/>
              <w:rPr>
                <w:b/>
                <w:bCs/>
                <w:color w:val="FF0000"/>
                <w:sz w:val="20"/>
                <w:szCs w:val="20"/>
              </w:rPr>
            </w:pPr>
            <w:r>
              <w:rPr>
                <w:b/>
                <w:bCs/>
                <w:sz w:val="20"/>
                <w:szCs w:val="20"/>
              </w:rPr>
              <w:t>&lt;</w:t>
            </w:r>
            <w:r w:rsidRPr="00A75454">
              <w:rPr>
                <w:b/>
                <w:bCs/>
                <w:sz w:val="20"/>
                <w:szCs w:val="20"/>
              </w:rPr>
              <w:t>5%</w:t>
            </w:r>
          </w:p>
          <w:p w14:paraId="10D9379D" w14:textId="2699C954" w:rsidR="001D3C09" w:rsidRPr="00304144" w:rsidRDefault="001D3C09" w:rsidP="00BC6071">
            <w:pPr>
              <w:jc w:val="center"/>
              <w:rPr>
                <w:b/>
                <w:bCs/>
                <w:color w:val="FF0000"/>
                <w:sz w:val="20"/>
                <w:szCs w:val="20"/>
              </w:rPr>
            </w:pPr>
          </w:p>
        </w:tc>
        <w:tc>
          <w:tcPr>
            <w:tcW w:w="1276" w:type="dxa"/>
          </w:tcPr>
          <w:p w14:paraId="7D0E6639" w14:textId="77777777" w:rsidR="00471AFB" w:rsidRPr="00A75454" w:rsidRDefault="00471AFB" w:rsidP="00471AFB">
            <w:pPr>
              <w:jc w:val="center"/>
              <w:rPr>
                <w:b/>
                <w:bCs/>
                <w:color w:val="FF0000"/>
                <w:sz w:val="20"/>
                <w:szCs w:val="20"/>
              </w:rPr>
            </w:pPr>
            <w:r>
              <w:rPr>
                <w:b/>
                <w:bCs/>
                <w:sz w:val="20"/>
                <w:szCs w:val="20"/>
              </w:rPr>
              <w:t>&lt;</w:t>
            </w:r>
            <w:r w:rsidRPr="00A75454">
              <w:rPr>
                <w:b/>
                <w:bCs/>
                <w:sz w:val="20"/>
                <w:szCs w:val="20"/>
              </w:rPr>
              <w:t>5%</w:t>
            </w:r>
          </w:p>
          <w:p w14:paraId="5696CB40" w14:textId="08B75A43" w:rsidR="001D3C09" w:rsidRPr="00304144" w:rsidRDefault="001D3C09" w:rsidP="00BC6071">
            <w:pPr>
              <w:jc w:val="center"/>
              <w:rPr>
                <w:b/>
                <w:bCs/>
                <w:color w:val="FF0000"/>
                <w:sz w:val="20"/>
                <w:szCs w:val="20"/>
              </w:rPr>
            </w:pPr>
          </w:p>
        </w:tc>
        <w:tc>
          <w:tcPr>
            <w:tcW w:w="1335" w:type="dxa"/>
          </w:tcPr>
          <w:p w14:paraId="0D71B31F" w14:textId="77777777" w:rsidR="00471AFB" w:rsidRPr="00A75454" w:rsidRDefault="00471AFB" w:rsidP="00471AFB">
            <w:pPr>
              <w:jc w:val="center"/>
              <w:rPr>
                <w:b/>
                <w:bCs/>
                <w:color w:val="FF0000"/>
                <w:sz w:val="20"/>
                <w:szCs w:val="20"/>
              </w:rPr>
            </w:pPr>
            <w:r>
              <w:rPr>
                <w:b/>
                <w:bCs/>
                <w:sz w:val="20"/>
                <w:szCs w:val="20"/>
              </w:rPr>
              <w:t>&lt;</w:t>
            </w:r>
            <w:r w:rsidRPr="00A75454">
              <w:rPr>
                <w:b/>
                <w:bCs/>
                <w:sz w:val="20"/>
                <w:szCs w:val="20"/>
              </w:rPr>
              <w:t>5%</w:t>
            </w:r>
          </w:p>
          <w:p w14:paraId="2942F3FB" w14:textId="2C748727" w:rsidR="001D3C09" w:rsidRPr="00304144" w:rsidRDefault="001D3C09" w:rsidP="00BC6071">
            <w:pPr>
              <w:jc w:val="center"/>
              <w:rPr>
                <w:b/>
                <w:bCs/>
                <w:color w:val="FF0000"/>
                <w:sz w:val="20"/>
                <w:szCs w:val="20"/>
              </w:rPr>
            </w:pPr>
          </w:p>
        </w:tc>
        <w:tc>
          <w:tcPr>
            <w:tcW w:w="1000" w:type="dxa"/>
          </w:tcPr>
          <w:p w14:paraId="0EDBD3E1" w14:textId="77777777" w:rsidR="00471AFB" w:rsidRPr="00A75454" w:rsidRDefault="00471AFB" w:rsidP="00471AFB">
            <w:pPr>
              <w:jc w:val="center"/>
              <w:rPr>
                <w:b/>
                <w:bCs/>
                <w:color w:val="FF0000"/>
                <w:sz w:val="20"/>
                <w:szCs w:val="20"/>
              </w:rPr>
            </w:pPr>
            <w:r>
              <w:rPr>
                <w:b/>
                <w:bCs/>
                <w:sz w:val="20"/>
                <w:szCs w:val="20"/>
              </w:rPr>
              <w:t>&lt;</w:t>
            </w:r>
            <w:r w:rsidRPr="00A75454">
              <w:rPr>
                <w:b/>
                <w:bCs/>
                <w:sz w:val="20"/>
                <w:szCs w:val="20"/>
              </w:rPr>
              <w:t>5%</w:t>
            </w:r>
          </w:p>
          <w:p w14:paraId="7BCDCFCB" w14:textId="5DF15878" w:rsidR="001D3C09" w:rsidRPr="00304144" w:rsidRDefault="001D3C09" w:rsidP="00BC6071">
            <w:pPr>
              <w:jc w:val="center"/>
              <w:rPr>
                <w:b/>
                <w:bCs/>
                <w:color w:val="FF0000"/>
                <w:sz w:val="20"/>
                <w:szCs w:val="20"/>
              </w:rPr>
            </w:pPr>
          </w:p>
        </w:tc>
        <w:tc>
          <w:tcPr>
            <w:tcW w:w="1409" w:type="dxa"/>
          </w:tcPr>
          <w:p w14:paraId="438C5EA0" w14:textId="77777777" w:rsidR="00471AFB" w:rsidRPr="00A75454" w:rsidRDefault="00471AFB" w:rsidP="00471AFB">
            <w:pPr>
              <w:jc w:val="center"/>
              <w:rPr>
                <w:b/>
                <w:bCs/>
                <w:color w:val="FF0000"/>
                <w:sz w:val="20"/>
                <w:szCs w:val="20"/>
              </w:rPr>
            </w:pPr>
            <w:r>
              <w:rPr>
                <w:b/>
                <w:bCs/>
                <w:sz w:val="20"/>
                <w:szCs w:val="20"/>
              </w:rPr>
              <w:t>&lt;</w:t>
            </w:r>
            <w:r w:rsidRPr="00A75454">
              <w:rPr>
                <w:b/>
                <w:bCs/>
                <w:sz w:val="20"/>
                <w:szCs w:val="20"/>
              </w:rPr>
              <w:t>5%</w:t>
            </w:r>
          </w:p>
          <w:p w14:paraId="1E79D3D3" w14:textId="225C21E0" w:rsidR="001D3C09" w:rsidRPr="00304144" w:rsidRDefault="001D3C09" w:rsidP="00BC6071">
            <w:pPr>
              <w:jc w:val="center"/>
              <w:rPr>
                <w:b/>
                <w:bCs/>
                <w:color w:val="FF0000"/>
                <w:sz w:val="20"/>
                <w:szCs w:val="20"/>
              </w:rPr>
            </w:pPr>
          </w:p>
        </w:tc>
      </w:tr>
      <w:tr w:rsidR="001D3C09" w:rsidRPr="00304144" w14:paraId="7FA49BA6" w14:textId="42BFFA54" w:rsidTr="6FAF9AB8">
        <w:tc>
          <w:tcPr>
            <w:tcW w:w="457" w:type="dxa"/>
            <w:vMerge/>
          </w:tcPr>
          <w:p w14:paraId="58FC24DC" w14:textId="77777777" w:rsidR="001D3C09" w:rsidRPr="00304144" w:rsidRDefault="001D3C09" w:rsidP="00DF0B7E">
            <w:pPr>
              <w:jc w:val="both"/>
              <w:rPr>
                <w:color w:val="FF0000"/>
                <w:sz w:val="20"/>
                <w:szCs w:val="20"/>
              </w:rPr>
            </w:pPr>
          </w:p>
        </w:tc>
        <w:tc>
          <w:tcPr>
            <w:tcW w:w="1413" w:type="dxa"/>
            <w:vMerge/>
          </w:tcPr>
          <w:p w14:paraId="5C1F0049" w14:textId="77777777" w:rsidR="001D3C09" w:rsidRPr="00304144" w:rsidRDefault="001D3C09" w:rsidP="005549A1">
            <w:pPr>
              <w:jc w:val="center"/>
              <w:rPr>
                <w:color w:val="FF0000"/>
                <w:sz w:val="20"/>
                <w:szCs w:val="20"/>
              </w:rPr>
            </w:pPr>
          </w:p>
        </w:tc>
        <w:tc>
          <w:tcPr>
            <w:tcW w:w="540" w:type="dxa"/>
          </w:tcPr>
          <w:p w14:paraId="2C5AD932" w14:textId="029C22A9" w:rsidR="001D3C09" w:rsidRPr="00CC2ECD" w:rsidRDefault="001D3C09" w:rsidP="00C22576">
            <w:pPr>
              <w:jc w:val="center"/>
              <w:rPr>
                <w:sz w:val="20"/>
                <w:szCs w:val="20"/>
              </w:rPr>
            </w:pPr>
            <w:r w:rsidRPr="00CC2ECD">
              <w:rPr>
                <w:sz w:val="20"/>
                <w:szCs w:val="20"/>
              </w:rPr>
              <w:t>17</w:t>
            </w:r>
          </w:p>
        </w:tc>
        <w:tc>
          <w:tcPr>
            <w:tcW w:w="1959" w:type="dxa"/>
          </w:tcPr>
          <w:p w14:paraId="344B237D" w14:textId="6B796AB1" w:rsidR="001D3C09" w:rsidRPr="00304144" w:rsidRDefault="001D3C09" w:rsidP="00DF0B7E">
            <w:pPr>
              <w:rPr>
                <w:color w:val="FF0000"/>
                <w:sz w:val="20"/>
                <w:szCs w:val="20"/>
              </w:rPr>
            </w:pPr>
            <w:r w:rsidRPr="00CC2ECD">
              <w:rPr>
                <w:sz w:val="20"/>
                <w:szCs w:val="20"/>
              </w:rPr>
              <w:t>Índice de itens não localizados nos inventários anuais</w:t>
            </w:r>
          </w:p>
        </w:tc>
        <w:tc>
          <w:tcPr>
            <w:tcW w:w="1940" w:type="dxa"/>
          </w:tcPr>
          <w:p w14:paraId="419D4176" w14:textId="2C77C2C0" w:rsidR="001D3C09" w:rsidRPr="00304144" w:rsidRDefault="00CC2ECD" w:rsidP="00DF0B7E">
            <w:pPr>
              <w:rPr>
                <w:color w:val="FF0000"/>
                <w:sz w:val="20"/>
                <w:szCs w:val="20"/>
              </w:rPr>
            </w:pPr>
            <w:r w:rsidRPr="00CC2ECD">
              <w:rPr>
                <w:sz w:val="20"/>
                <w:szCs w:val="20"/>
              </w:rPr>
              <w:t>Quantidade de itens não localizados no último inventário anual / Quantidade total de itens x 100</w:t>
            </w:r>
          </w:p>
        </w:tc>
        <w:tc>
          <w:tcPr>
            <w:tcW w:w="723" w:type="dxa"/>
          </w:tcPr>
          <w:p w14:paraId="48E5178B" w14:textId="6B0837BC" w:rsidR="001D3C09" w:rsidRPr="00CC2ECD" w:rsidRDefault="001D3C09" w:rsidP="002045F2">
            <w:pPr>
              <w:jc w:val="center"/>
              <w:rPr>
                <w:sz w:val="20"/>
                <w:szCs w:val="20"/>
              </w:rPr>
            </w:pPr>
            <w:r w:rsidRPr="00CC2ECD">
              <w:rPr>
                <w:sz w:val="20"/>
                <w:szCs w:val="20"/>
              </w:rPr>
              <w:t>%</w:t>
            </w:r>
          </w:p>
        </w:tc>
        <w:tc>
          <w:tcPr>
            <w:tcW w:w="1064" w:type="dxa"/>
          </w:tcPr>
          <w:p w14:paraId="3DDAB53D" w14:textId="77777777" w:rsidR="00471AFB" w:rsidRPr="00A75454" w:rsidRDefault="00471AFB" w:rsidP="00471AFB">
            <w:pPr>
              <w:jc w:val="center"/>
              <w:rPr>
                <w:b/>
                <w:bCs/>
                <w:color w:val="FF0000"/>
                <w:sz w:val="20"/>
                <w:szCs w:val="20"/>
              </w:rPr>
            </w:pPr>
            <w:r>
              <w:rPr>
                <w:b/>
                <w:bCs/>
                <w:sz w:val="20"/>
                <w:szCs w:val="20"/>
              </w:rPr>
              <w:t>&lt;</w:t>
            </w:r>
            <w:r w:rsidRPr="00A75454">
              <w:rPr>
                <w:b/>
                <w:bCs/>
                <w:sz w:val="20"/>
                <w:szCs w:val="20"/>
              </w:rPr>
              <w:t>5%</w:t>
            </w:r>
          </w:p>
          <w:p w14:paraId="17C51ADF" w14:textId="2C8322CC" w:rsidR="001D3C09" w:rsidRPr="00CC2ECD" w:rsidRDefault="001D3C09" w:rsidP="00D02CAE">
            <w:pPr>
              <w:jc w:val="center"/>
              <w:rPr>
                <w:b/>
                <w:bCs/>
                <w:sz w:val="20"/>
                <w:szCs w:val="20"/>
              </w:rPr>
            </w:pPr>
          </w:p>
        </w:tc>
        <w:tc>
          <w:tcPr>
            <w:tcW w:w="1113" w:type="dxa"/>
          </w:tcPr>
          <w:p w14:paraId="4AB5220C" w14:textId="77777777" w:rsidR="00471AFB" w:rsidRPr="00A75454" w:rsidRDefault="00471AFB" w:rsidP="00471AFB">
            <w:pPr>
              <w:jc w:val="center"/>
              <w:rPr>
                <w:b/>
                <w:bCs/>
                <w:color w:val="FF0000"/>
                <w:sz w:val="20"/>
                <w:szCs w:val="20"/>
              </w:rPr>
            </w:pPr>
            <w:r>
              <w:rPr>
                <w:b/>
                <w:bCs/>
                <w:sz w:val="20"/>
                <w:szCs w:val="20"/>
              </w:rPr>
              <w:t>&lt;</w:t>
            </w:r>
            <w:r w:rsidRPr="00A75454">
              <w:rPr>
                <w:b/>
                <w:bCs/>
                <w:sz w:val="20"/>
                <w:szCs w:val="20"/>
              </w:rPr>
              <w:t>5%</w:t>
            </w:r>
          </w:p>
          <w:p w14:paraId="7EBF9DA5" w14:textId="0A67C9CB" w:rsidR="001D3C09" w:rsidRPr="00304144" w:rsidDel="00B1672C" w:rsidRDefault="001D3C09" w:rsidP="00D02CAE">
            <w:pPr>
              <w:jc w:val="center"/>
              <w:rPr>
                <w:b/>
                <w:bCs/>
                <w:color w:val="FF0000"/>
                <w:sz w:val="20"/>
                <w:szCs w:val="20"/>
              </w:rPr>
            </w:pPr>
          </w:p>
        </w:tc>
        <w:tc>
          <w:tcPr>
            <w:tcW w:w="1276" w:type="dxa"/>
          </w:tcPr>
          <w:p w14:paraId="3B316A88" w14:textId="77777777" w:rsidR="00471AFB" w:rsidRPr="00A75454" w:rsidRDefault="00471AFB" w:rsidP="00471AFB">
            <w:pPr>
              <w:jc w:val="center"/>
              <w:rPr>
                <w:b/>
                <w:bCs/>
                <w:color w:val="FF0000"/>
                <w:sz w:val="20"/>
                <w:szCs w:val="20"/>
              </w:rPr>
            </w:pPr>
            <w:r>
              <w:rPr>
                <w:b/>
                <w:bCs/>
                <w:sz w:val="20"/>
                <w:szCs w:val="20"/>
              </w:rPr>
              <w:t>&lt;</w:t>
            </w:r>
            <w:r w:rsidRPr="00A75454">
              <w:rPr>
                <w:b/>
                <w:bCs/>
                <w:sz w:val="20"/>
                <w:szCs w:val="20"/>
              </w:rPr>
              <w:t>5%</w:t>
            </w:r>
          </w:p>
          <w:p w14:paraId="0F63AFF3" w14:textId="775962D5" w:rsidR="001D3C09" w:rsidRPr="00304144" w:rsidRDefault="001D3C09" w:rsidP="00D02CAE">
            <w:pPr>
              <w:jc w:val="center"/>
              <w:rPr>
                <w:b/>
                <w:bCs/>
                <w:color w:val="FF0000"/>
                <w:sz w:val="20"/>
                <w:szCs w:val="20"/>
              </w:rPr>
            </w:pPr>
          </w:p>
        </w:tc>
        <w:tc>
          <w:tcPr>
            <w:tcW w:w="1335" w:type="dxa"/>
          </w:tcPr>
          <w:p w14:paraId="713ADD12" w14:textId="77777777" w:rsidR="00471AFB" w:rsidRPr="00A75454" w:rsidRDefault="00471AFB" w:rsidP="00471AFB">
            <w:pPr>
              <w:jc w:val="center"/>
              <w:rPr>
                <w:b/>
                <w:bCs/>
                <w:color w:val="FF0000"/>
                <w:sz w:val="20"/>
                <w:szCs w:val="20"/>
              </w:rPr>
            </w:pPr>
            <w:r>
              <w:rPr>
                <w:b/>
                <w:bCs/>
                <w:sz w:val="20"/>
                <w:szCs w:val="20"/>
              </w:rPr>
              <w:t>&lt;</w:t>
            </w:r>
            <w:r w:rsidRPr="00A75454">
              <w:rPr>
                <w:b/>
                <w:bCs/>
                <w:sz w:val="20"/>
                <w:szCs w:val="20"/>
              </w:rPr>
              <w:t>5%</w:t>
            </w:r>
          </w:p>
          <w:p w14:paraId="172D7E93" w14:textId="71D0C5A2" w:rsidR="001D3C09" w:rsidRPr="00304144" w:rsidRDefault="001D3C09" w:rsidP="00D02CAE">
            <w:pPr>
              <w:jc w:val="center"/>
              <w:rPr>
                <w:b/>
                <w:bCs/>
                <w:color w:val="FF0000"/>
                <w:sz w:val="20"/>
                <w:szCs w:val="20"/>
              </w:rPr>
            </w:pPr>
          </w:p>
        </w:tc>
        <w:tc>
          <w:tcPr>
            <w:tcW w:w="1000" w:type="dxa"/>
          </w:tcPr>
          <w:p w14:paraId="036FFC5C" w14:textId="77777777" w:rsidR="00471AFB" w:rsidRPr="00A75454" w:rsidRDefault="00471AFB" w:rsidP="00471AFB">
            <w:pPr>
              <w:jc w:val="center"/>
              <w:rPr>
                <w:b/>
                <w:bCs/>
                <w:color w:val="FF0000"/>
                <w:sz w:val="20"/>
                <w:szCs w:val="20"/>
              </w:rPr>
            </w:pPr>
            <w:r>
              <w:rPr>
                <w:b/>
                <w:bCs/>
                <w:sz w:val="20"/>
                <w:szCs w:val="20"/>
              </w:rPr>
              <w:t>&lt;</w:t>
            </w:r>
            <w:r w:rsidRPr="00A75454">
              <w:rPr>
                <w:b/>
                <w:bCs/>
                <w:sz w:val="20"/>
                <w:szCs w:val="20"/>
              </w:rPr>
              <w:t>5%</w:t>
            </w:r>
          </w:p>
          <w:p w14:paraId="041298B7" w14:textId="7A3FFA3D" w:rsidR="001D3C09" w:rsidRPr="00304144" w:rsidRDefault="001D3C09" w:rsidP="00D02CAE">
            <w:pPr>
              <w:jc w:val="center"/>
              <w:rPr>
                <w:b/>
                <w:bCs/>
                <w:color w:val="FF0000"/>
                <w:sz w:val="20"/>
                <w:szCs w:val="20"/>
              </w:rPr>
            </w:pPr>
          </w:p>
        </w:tc>
        <w:tc>
          <w:tcPr>
            <w:tcW w:w="1409" w:type="dxa"/>
          </w:tcPr>
          <w:p w14:paraId="48069C04" w14:textId="77777777" w:rsidR="00471AFB" w:rsidRPr="00A75454" w:rsidRDefault="00471AFB" w:rsidP="00471AFB">
            <w:pPr>
              <w:jc w:val="center"/>
              <w:rPr>
                <w:b/>
                <w:bCs/>
                <w:color w:val="FF0000"/>
                <w:sz w:val="20"/>
                <w:szCs w:val="20"/>
              </w:rPr>
            </w:pPr>
            <w:r>
              <w:rPr>
                <w:b/>
                <w:bCs/>
                <w:sz w:val="20"/>
                <w:szCs w:val="20"/>
              </w:rPr>
              <w:t>&lt;</w:t>
            </w:r>
            <w:r w:rsidRPr="00A75454">
              <w:rPr>
                <w:b/>
                <w:bCs/>
                <w:sz w:val="20"/>
                <w:szCs w:val="20"/>
              </w:rPr>
              <w:t>5%</w:t>
            </w:r>
          </w:p>
          <w:p w14:paraId="59F33697" w14:textId="7A31152F" w:rsidR="001D3C09" w:rsidRPr="00304144" w:rsidRDefault="001D3C09" w:rsidP="00D02CAE">
            <w:pPr>
              <w:jc w:val="center"/>
              <w:rPr>
                <w:b/>
                <w:bCs/>
                <w:color w:val="FF0000"/>
                <w:sz w:val="20"/>
                <w:szCs w:val="20"/>
              </w:rPr>
            </w:pPr>
          </w:p>
        </w:tc>
      </w:tr>
      <w:tr w:rsidR="001D3C09" w:rsidRPr="00304144" w14:paraId="235329AE" w14:textId="62822308" w:rsidTr="6FAF9AB8">
        <w:tc>
          <w:tcPr>
            <w:tcW w:w="457" w:type="dxa"/>
            <w:vMerge w:val="restart"/>
          </w:tcPr>
          <w:p w14:paraId="68F429CF" w14:textId="16674FB5" w:rsidR="001D3C09" w:rsidRPr="00CC2ECD" w:rsidRDefault="001D3C09" w:rsidP="00DF0B7E">
            <w:pPr>
              <w:jc w:val="both"/>
              <w:rPr>
                <w:sz w:val="20"/>
                <w:szCs w:val="20"/>
              </w:rPr>
            </w:pPr>
            <w:r w:rsidRPr="00CC2ECD">
              <w:rPr>
                <w:sz w:val="20"/>
                <w:szCs w:val="20"/>
              </w:rPr>
              <w:t>11</w:t>
            </w:r>
          </w:p>
        </w:tc>
        <w:tc>
          <w:tcPr>
            <w:tcW w:w="1413" w:type="dxa"/>
            <w:vMerge w:val="restart"/>
          </w:tcPr>
          <w:p w14:paraId="79F4E9CD" w14:textId="4C0B449D" w:rsidR="001D3C09" w:rsidRPr="00CC2ECD" w:rsidRDefault="001D3C09" w:rsidP="005549A1">
            <w:pPr>
              <w:jc w:val="center"/>
              <w:rPr>
                <w:sz w:val="20"/>
                <w:szCs w:val="20"/>
              </w:rPr>
            </w:pPr>
            <w:r w:rsidRPr="00CC2ECD">
              <w:rPr>
                <w:sz w:val="20"/>
                <w:szCs w:val="20"/>
              </w:rPr>
              <w:t>Manutenção Predial</w:t>
            </w:r>
          </w:p>
        </w:tc>
        <w:tc>
          <w:tcPr>
            <w:tcW w:w="540" w:type="dxa"/>
          </w:tcPr>
          <w:p w14:paraId="43BA4420" w14:textId="4E594840" w:rsidR="001D3C09" w:rsidRPr="00CC2ECD" w:rsidRDefault="001D3C09" w:rsidP="00C22576">
            <w:pPr>
              <w:jc w:val="center"/>
              <w:rPr>
                <w:sz w:val="20"/>
                <w:szCs w:val="20"/>
              </w:rPr>
            </w:pPr>
            <w:r w:rsidRPr="00CC2ECD">
              <w:rPr>
                <w:sz w:val="20"/>
                <w:szCs w:val="20"/>
              </w:rPr>
              <w:t>18</w:t>
            </w:r>
          </w:p>
        </w:tc>
        <w:tc>
          <w:tcPr>
            <w:tcW w:w="1959" w:type="dxa"/>
          </w:tcPr>
          <w:p w14:paraId="5BD453C5" w14:textId="6006D0CA" w:rsidR="001D3C09" w:rsidRPr="00CC2ECD" w:rsidRDefault="00CC2ECD" w:rsidP="00DF0B7E">
            <w:pPr>
              <w:rPr>
                <w:sz w:val="20"/>
                <w:szCs w:val="20"/>
              </w:rPr>
            </w:pPr>
            <w:r w:rsidRPr="00CC2ECD">
              <w:rPr>
                <w:sz w:val="20"/>
                <w:szCs w:val="20"/>
              </w:rPr>
              <w:t>Índice de demandas atendidas por contrato de manutenção predial</w:t>
            </w:r>
          </w:p>
        </w:tc>
        <w:tc>
          <w:tcPr>
            <w:tcW w:w="1940" w:type="dxa"/>
          </w:tcPr>
          <w:p w14:paraId="7B9E85BA" w14:textId="5B34B83F" w:rsidR="001D3C09" w:rsidRPr="00304144" w:rsidRDefault="00CC2ECD" w:rsidP="00DF0B7E">
            <w:pPr>
              <w:rPr>
                <w:color w:val="FF0000"/>
                <w:sz w:val="20"/>
                <w:szCs w:val="20"/>
              </w:rPr>
            </w:pPr>
            <w:r w:rsidRPr="00CC2ECD">
              <w:rPr>
                <w:sz w:val="20"/>
                <w:szCs w:val="20"/>
              </w:rPr>
              <w:t>Quantidade de demandas realizadas por contrato de manutenção predial / total de serviços x 100</w:t>
            </w:r>
          </w:p>
        </w:tc>
        <w:tc>
          <w:tcPr>
            <w:tcW w:w="723" w:type="dxa"/>
          </w:tcPr>
          <w:p w14:paraId="0B7D369F" w14:textId="34CB77F1" w:rsidR="001D3C09" w:rsidRPr="00CC2ECD" w:rsidRDefault="001D3C09" w:rsidP="002045F2">
            <w:pPr>
              <w:jc w:val="center"/>
              <w:rPr>
                <w:sz w:val="20"/>
                <w:szCs w:val="20"/>
              </w:rPr>
            </w:pPr>
            <w:r w:rsidRPr="00CC2ECD">
              <w:rPr>
                <w:sz w:val="20"/>
                <w:szCs w:val="20"/>
              </w:rPr>
              <w:t>%</w:t>
            </w:r>
          </w:p>
        </w:tc>
        <w:tc>
          <w:tcPr>
            <w:tcW w:w="1064" w:type="dxa"/>
          </w:tcPr>
          <w:p w14:paraId="5DA52396" w14:textId="42913916" w:rsidR="001D3C09" w:rsidRPr="00CC2ECD" w:rsidRDefault="00471AFB" w:rsidP="00E56E6E">
            <w:pPr>
              <w:jc w:val="center"/>
              <w:rPr>
                <w:b/>
                <w:bCs/>
                <w:sz w:val="20"/>
                <w:szCs w:val="20"/>
              </w:rPr>
            </w:pPr>
            <w:r>
              <w:rPr>
                <w:b/>
                <w:bCs/>
                <w:sz w:val="20"/>
                <w:szCs w:val="20"/>
              </w:rPr>
              <w:t>&lt;</w:t>
            </w:r>
            <w:r w:rsidR="00DC7C83">
              <w:rPr>
                <w:b/>
                <w:bCs/>
                <w:sz w:val="20"/>
                <w:szCs w:val="20"/>
              </w:rPr>
              <w:t>10%</w:t>
            </w:r>
          </w:p>
        </w:tc>
        <w:tc>
          <w:tcPr>
            <w:tcW w:w="1113" w:type="dxa"/>
          </w:tcPr>
          <w:p w14:paraId="5AD7FBC4" w14:textId="3FE28EC7" w:rsidR="001D3C09" w:rsidRPr="00304144" w:rsidDel="00B1672C" w:rsidRDefault="00471AFB" w:rsidP="00E56E6E">
            <w:pPr>
              <w:jc w:val="center"/>
              <w:rPr>
                <w:b/>
                <w:bCs/>
                <w:color w:val="FF0000"/>
                <w:sz w:val="20"/>
                <w:szCs w:val="20"/>
              </w:rPr>
            </w:pPr>
            <w:r>
              <w:rPr>
                <w:b/>
                <w:bCs/>
                <w:sz w:val="20"/>
                <w:szCs w:val="20"/>
              </w:rPr>
              <w:t>&lt;10%</w:t>
            </w:r>
          </w:p>
        </w:tc>
        <w:tc>
          <w:tcPr>
            <w:tcW w:w="1276" w:type="dxa"/>
          </w:tcPr>
          <w:p w14:paraId="04E36C7F" w14:textId="2A06243A" w:rsidR="001D3C09" w:rsidRPr="00304144" w:rsidRDefault="00471AFB" w:rsidP="00E56E6E">
            <w:pPr>
              <w:jc w:val="center"/>
              <w:rPr>
                <w:b/>
                <w:bCs/>
                <w:color w:val="FF0000"/>
                <w:sz w:val="20"/>
                <w:szCs w:val="20"/>
              </w:rPr>
            </w:pPr>
            <w:r>
              <w:rPr>
                <w:b/>
                <w:bCs/>
                <w:sz w:val="20"/>
                <w:szCs w:val="20"/>
              </w:rPr>
              <w:t>&lt;10%</w:t>
            </w:r>
          </w:p>
        </w:tc>
        <w:tc>
          <w:tcPr>
            <w:tcW w:w="1335" w:type="dxa"/>
          </w:tcPr>
          <w:p w14:paraId="6A1A5E6A" w14:textId="0663F3A6" w:rsidR="001D3C09" w:rsidRPr="00304144" w:rsidRDefault="00471AFB" w:rsidP="00E56E6E">
            <w:pPr>
              <w:jc w:val="center"/>
              <w:rPr>
                <w:b/>
                <w:bCs/>
                <w:color w:val="FF0000"/>
                <w:sz w:val="20"/>
                <w:szCs w:val="20"/>
              </w:rPr>
            </w:pPr>
            <w:r>
              <w:rPr>
                <w:b/>
                <w:bCs/>
                <w:sz w:val="20"/>
                <w:szCs w:val="20"/>
              </w:rPr>
              <w:t>&lt;10%</w:t>
            </w:r>
          </w:p>
        </w:tc>
        <w:tc>
          <w:tcPr>
            <w:tcW w:w="1000" w:type="dxa"/>
          </w:tcPr>
          <w:p w14:paraId="44B126D6" w14:textId="29B762FB" w:rsidR="001D3C09" w:rsidRPr="00304144" w:rsidRDefault="00471AFB" w:rsidP="00E56E6E">
            <w:pPr>
              <w:jc w:val="center"/>
              <w:rPr>
                <w:b/>
                <w:bCs/>
                <w:color w:val="FF0000"/>
                <w:sz w:val="20"/>
                <w:szCs w:val="20"/>
              </w:rPr>
            </w:pPr>
            <w:r>
              <w:rPr>
                <w:b/>
                <w:bCs/>
                <w:sz w:val="20"/>
                <w:szCs w:val="20"/>
              </w:rPr>
              <w:t>&lt;10%</w:t>
            </w:r>
          </w:p>
        </w:tc>
        <w:tc>
          <w:tcPr>
            <w:tcW w:w="1409" w:type="dxa"/>
          </w:tcPr>
          <w:p w14:paraId="3586E47D" w14:textId="541A99D3" w:rsidR="001D3C09" w:rsidRPr="00304144" w:rsidRDefault="00471AFB" w:rsidP="00E56E6E">
            <w:pPr>
              <w:jc w:val="center"/>
              <w:rPr>
                <w:b/>
                <w:bCs/>
                <w:color w:val="FF0000"/>
                <w:sz w:val="20"/>
                <w:szCs w:val="20"/>
              </w:rPr>
            </w:pPr>
            <w:r>
              <w:rPr>
                <w:b/>
                <w:bCs/>
                <w:sz w:val="20"/>
                <w:szCs w:val="20"/>
              </w:rPr>
              <w:t>&lt;10%</w:t>
            </w:r>
          </w:p>
        </w:tc>
      </w:tr>
      <w:tr w:rsidR="001D3C09" w:rsidRPr="00304144" w14:paraId="07465094" w14:textId="12F86F8C" w:rsidTr="009F4622">
        <w:tc>
          <w:tcPr>
            <w:tcW w:w="457" w:type="dxa"/>
            <w:vMerge/>
          </w:tcPr>
          <w:p w14:paraId="4872B92C" w14:textId="77777777" w:rsidR="001D3C09" w:rsidRPr="00304144" w:rsidRDefault="001D3C09" w:rsidP="00DF0B7E">
            <w:pPr>
              <w:jc w:val="both"/>
              <w:rPr>
                <w:color w:val="FF0000"/>
                <w:sz w:val="20"/>
                <w:szCs w:val="20"/>
              </w:rPr>
            </w:pPr>
          </w:p>
        </w:tc>
        <w:tc>
          <w:tcPr>
            <w:tcW w:w="1413" w:type="dxa"/>
            <w:vMerge/>
          </w:tcPr>
          <w:p w14:paraId="7436B954" w14:textId="77777777" w:rsidR="001D3C09" w:rsidRPr="00304144" w:rsidRDefault="001D3C09" w:rsidP="00DF0B7E">
            <w:pPr>
              <w:jc w:val="both"/>
              <w:rPr>
                <w:color w:val="FF0000"/>
                <w:sz w:val="20"/>
                <w:szCs w:val="20"/>
              </w:rPr>
            </w:pPr>
          </w:p>
        </w:tc>
        <w:tc>
          <w:tcPr>
            <w:tcW w:w="540" w:type="dxa"/>
          </w:tcPr>
          <w:p w14:paraId="7270BE61" w14:textId="54047D52" w:rsidR="001D3C09" w:rsidRPr="00CC2ECD" w:rsidRDefault="001D3C09" w:rsidP="00C22576">
            <w:pPr>
              <w:jc w:val="center"/>
              <w:rPr>
                <w:sz w:val="20"/>
                <w:szCs w:val="20"/>
              </w:rPr>
            </w:pPr>
            <w:r w:rsidRPr="00CC2ECD">
              <w:rPr>
                <w:sz w:val="20"/>
                <w:szCs w:val="20"/>
              </w:rPr>
              <w:t>19</w:t>
            </w:r>
          </w:p>
        </w:tc>
        <w:tc>
          <w:tcPr>
            <w:tcW w:w="1959" w:type="dxa"/>
          </w:tcPr>
          <w:p w14:paraId="6A447A9C" w14:textId="4678DBBB" w:rsidR="001D3C09" w:rsidRPr="00CC2ECD" w:rsidRDefault="001D3C09" w:rsidP="00DF0B7E">
            <w:pPr>
              <w:rPr>
                <w:sz w:val="20"/>
                <w:szCs w:val="20"/>
              </w:rPr>
            </w:pPr>
            <w:r w:rsidRPr="00CC2ECD">
              <w:rPr>
                <w:sz w:val="20"/>
                <w:szCs w:val="20"/>
              </w:rPr>
              <w:t>Custeio com manutenção predial</w:t>
            </w:r>
          </w:p>
        </w:tc>
        <w:tc>
          <w:tcPr>
            <w:tcW w:w="1940" w:type="dxa"/>
          </w:tcPr>
          <w:p w14:paraId="602097C0" w14:textId="73573826" w:rsidR="001D3C09" w:rsidRPr="00304144" w:rsidRDefault="00CC2ECD" w:rsidP="00DF0B7E">
            <w:pPr>
              <w:rPr>
                <w:color w:val="FF0000"/>
                <w:sz w:val="20"/>
                <w:szCs w:val="20"/>
              </w:rPr>
            </w:pPr>
            <w:r w:rsidRPr="00CC2ECD">
              <w:rPr>
                <w:sz w:val="20"/>
                <w:szCs w:val="20"/>
              </w:rPr>
              <w:t>Custeio com manutenção predial 2021 / Custeio com manutenção predial 2020 x 100</w:t>
            </w:r>
          </w:p>
        </w:tc>
        <w:tc>
          <w:tcPr>
            <w:tcW w:w="723" w:type="dxa"/>
          </w:tcPr>
          <w:p w14:paraId="5D6A7BDD" w14:textId="30C9BEEE" w:rsidR="001D3C09" w:rsidRPr="00CC2ECD" w:rsidRDefault="001D3C09" w:rsidP="002045F2">
            <w:pPr>
              <w:jc w:val="center"/>
              <w:rPr>
                <w:sz w:val="20"/>
                <w:szCs w:val="20"/>
              </w:rPr>
            </w:pPr>
            <w:r w:rsidRPr="00CC2ECD">
              <w:rPr>
                <w:sz w:val="20"/>
                <w:szCs w:val="20"/>
              </w:rPr>
              <w:t>%</w:t>
            </w:r>
          </w:p>
        </w:tc>
        <w:tc>
          <w:tcPr>
            <w:tcW w:w="1064" w:type="dxa"/>
          </w:tcPr>
          <w:p w14:paraId="591EA254" w14:textId="65843CBD" w:rsidR="001D3C09" w:rsidRPr="00CC2ECD" w:rsidRDefault="00471AFB" w:rsidP="00E56E6E">
            <w:pPr>
              <w:jc w:val="center"/>
              <w:rPr>
                <w:b/>
                <w:bCs/>
                <w:sz w:val="20"/>
                <w:szCs w:val="20"/>
              </w:rPr>
            </w:pPr>
            <w:r>
              <w:rPr>
                <w:b/>
                <w:bCs/>
                <w:sz w:val="20"/>
                <w:szCs w:val="20"/>
              </w:rPr>
              <w:t>&lt;10%</w:t>
            </w:r>
          </w:p>
        </w:tc>
        <w:tc>
          <w:tcPr>
            <w:tcW w:w="1113" w:type="dxa"/>
            <w:shd w:val="clear" w:color="auto" w:fill="auto"/>
          </w:tcPr>
          <w:p w14:paraId="6485A3FB" w14:textId="31BE7584" w:rsidR="001D3C09" w:rsidRPr="00304144" w:rsidDel="00B1672C" w:rsidRDefault="00471AFB" w:rsidP="00E56E6E">
            <w:pPr>
              <w:jc w:val="center"/>
              <w:rPr>
                <w:b/>
                <w:bCs/>
                <w:color w:val="FF0000"/>
                <w:sz w:val="20"/>
                <w:szCs w:val="20"/>
              </w:rPr>
            </w:pPr>
            <w:r>
              <w:rPr>
                <w:b/>
                <w:bCs/>
                <w:sz w:val="20"/>
                <w:szCs w:val="20"/>
              </w:rPr>
              <w:t>&lt;10%</w:t>
            </w:r>
          </w:p>
        </w:tc>
        <w:tc>
          <w:tcPr>
            <w:tcW w:w="1276" w:type="dxa"/>
            <w:shd w:val="clear" w:color="auto" w:fill="auto"/>
          </w:tcPr>
          <w:p w14:paraId="7C3A9965" w14:textId="3F3C0C71" w:rsidR="001D3C09" w:rsidRPr="00304144" w:rsidRDefault="00471AFB" w:rsidP="00E56E6E">
            <w:pPr>
              <w:jc w:val="center"/>
              <w:rPr>
                <w:b/>
                <w:bCs/>
                <w:color w:val="FF0000"/>
                <w:sz w:val="20"/>
                <w:szCs w:val="20"/>
              </w:rPr>
            </w:pPr>
            <w:r>
              <w:rPr>
                <w:b/>
                <w:bCs/>
                <w:sz w:val="20"/>
                <w:szCs w:val="20"/>
              </w:rPr>
              <w:t>&lt;10%</w:t>
            </w:r>
          </w:p>
        </w:tc>
        <w:tc>
          <w:tcPr>
            <w:tcW w:w="1335" w:type="dxa"/>
            <w:shd w:val="clear" w:color="auto" w:fill="auto"/>
          </w:tcPr>
          <w:p w14:paraId="257A293B" w14:textId="4FE00E6E" w:rsidR="001D3C09" w:rsidRPr="00304144" w:rsidRDefault="00471AFB" w:rsidP="00E56E6E">
            <w:pPr>
              <w:jc w:val="center"/>
              <w:rPr>
                <w:b/>
                <w:bCs/>
                <w:color w:val="FF0000"/>
                <w:sz w:val="20"/>
                <w:szCs w:val="20"/>
              </w:rPr>
            </w:pPr>
            <w:r>
              <w:rPr>
                <w:b/>
                <w:bCs/>
                <w:sz w:val="20"/>
                <w:szCs w:val="20"/>
              </w:rPr>
              <w:t>&lt;10%</w:t>
            </w:r>
          </w:p>
        </w:tc>
        <w:tc>
          <w:tcPr>
            <w:tcW w:w="1000" w:type="dxa"/>
            <w:shd w:val="clear" w:color="auto" w:fill="auto"/>
          </w:tcPr>
          <w:p w14:paraId="37AC389A" w14:textId="6444D709" w:rsidR="001D3C09" w:rsidRPr="00304144" w:rsidRDefault="00471AFB" w:rsidP="00E56E6E">
            <w:pPr>
              <w:jc w:val="center"/>
              <w:rPr>
                <w:b/>
                <w:bCs/>
                <w:color w:val="FF0000"/>
                <w:sz w:val="20"/>
                <w:szCs w:val="20"/>
              </w:rPr>
            </w:pPr>
            <w:r>
              <w:rPr>
                <w:b/>
                <w:bCs/>
                <w:sz w:val="20"/>
                <w:szCs w:val="20"/>
              </w:rPr>
              <w:t>&lt;10%</w:t>
            </w:r>
          </w:p>
        </w:tc>
        <w:tc>
          <w:tcPr>
            <w:tcW w:w="1409" w:type="dxa"/>
            <w:shd w:val="clear" w:color="auto" w:fill="auto"/>
          </w:tcPr>
          <w:p w14:paraId="5FDC030F" w14:textId="06085AFF" w:rsidR="001D3C09" w:rsidRPr="00304144" w:rsidRDefault="00471AFB" w:rsidP="00E56E6E">
            <w:pPr>
              <w:jc w:val="center"/>
              <w:rPr>
                <w:b/>
                <w:bCs/>
                <w:color w:val="FF0000"/>
                <w:sz w:val="20"/>
                <w:szCs w:val="20"/>
              </w:rPr>
            </w:pPr>
            <w:r>
              <w:rPr>
                <w:b/>
                <w:bCs/>
                <w:sz w:val="20"/>
                <w:szCs w:val="20"/>
              </w:rPr>
              <w:t>&lt;10%</w:t>
            </w:r>
          </w:p>
        </w:tc>
      </w:tr>
    </w:tbl>
    <w:p w14:paraId="62EB5E39" w14:textId="2AC332A8" w:rsidR="005E40B3" w:rsidRPr="00304144" w:rsidRDefault="005E40B3" w:rsidP="00C7429D">
      <w:pPr>
        <w:jc w:val="both"/>
        <w:rPr>
          <w:color w:val="FF0000"/>
        </w:rPr>
      </w:pPr>
      <w:r w:rsidRPr="00304144">
        <w:rPr>
          <w:color w:val="FF0000"/>
        </w:rPr>
        <w:br w:type="page"/>
      </w:r>
    </w:p>
    <w:p w14:paraId="6179F9D1" w14:textId="0243B974" w:rsidR="00A157E1" w:rsidRPr="00B951A3" w:rsidRDefault="00B60342" w:rsidP="00B60342">
      <w:pPr>
        <w:jc w:val="center"/>
        <w:rPr>
          <w:rFonts w:cstheme="minorHAnsi"/>
        </w:rPr>
      </w:pPr>
      <w:r w:rsidRPr="00C22576">
        <w:rPr>
          <w:sz w:val="32"/>
          <w:szCs w:val="32"/>
        </w:rPr>
        <w:lastRenderedPageBreak/>
        <w:t xml:space="preserve">Tabela </w:t>
      </w:r>
      <w:r w:rsidRPr="00B951A3">
        <w:rPr>
          <w:sz w:val="32"/>
          <w:szCs w:val="32"/>
        </w:rPr>
        <w:t>2</w:t>
      </w:r>
      <w:r w:rsidRPr="00C22576">
        <w:rPr>
          <w:sz w:val="32"/>
          <w:szCs w:val="32"/>
        </w:rPr>
        <w:t xml:space="preserve"> - </w:t>
      </w:r>
      <w:r w:rsidRPr="00B951A3">
        <w:rPr>
          <w:sz w:val="32"/>
          <w:szCs w:val="32"/>
        </w:rPr>
        <w:t>Métricas</w:t>
      </w:r>
      <w:r w:rsidRPr="00C22576">
        <w:rPr>
          <w:sz w:val="32"/>
          <w:szCs w:val="32"/>
        </w:rPr>
        <w:t xml:space="preserve"> para 20</w:t>
      </w:r>
      <w:r w:rsidR="00840CA2">
        <w:rPr>
          <w:sz w:val="32"/>
          <w:szCs w:val="32"/>
        </w:rPr>
        <w:t>2</w:t>
      </w:r>
      <w:r w:rsidRPr="00C22576">
        <w:rPr>
          <w:sz w:val="32"/>
          <w:szCs w:val="32"/>
        </w:rPr>
        <w:t>2</w:t>
      </w:r>
      <w:r w:rsidR="008214F6" w:rsidRPr="00B951A3">
        <w:rPr>
          <w:sz w:val="32"/>
          <w:szCs w:val="32"/>
        </w:rPr>
        <w:t xml:space="preserve"> – SAD/RS</w:t>
      </w:r>
      <w:r w:rsidR="00A157E1" w:rsidRPr="00B951A3">
        <w:rPr>
          <w:rFonts w:cstheme="minorHAnsi"/>
        </w:rPr>
        <w:fldChar w:fldCharType="begin"/>
      </w:r>
      <w:r w:rsidR="00A157E1" w:rsidRPr="00B951A3">
        <w:rPr>
          <w:rFonts w:cstheme="minorHAnsi"/>
        </w:rPr>
        <w:instrText xml:space="preserve"> LINK Excel.Sheet.12 "\\\\10.151.8.11\\sadrs\\SEPLAN - Planejamento Estratégico\\PLANO DE LOGÍSTICA SUSTENTÁVEL - PLS\\2021 - 00588.000913_2021-13\\Abrangência &amp; Metas\\Métricas planilha formatada - PLS 2021 última revisão.xlsx" "Métricas!L3C1:L35C5" \a \f 4 \h  \* MERGEFORMAT </w:instrText>
      </w:r>
      <w:r w:rsidR="00A157E1" w:rsidRPr="00B951A3">
        <w:rPr>
          <w:rFonts w:cstheme="minorHAnsi"/>
        </w:rPr>
        <w:fldChar w:fldCharType="separate"/>
      </w:r>
    </w:p>
    <w:tbl>
      <w:tblPr>
        <w:tblW w:w="14495" w:type="dxa"/>
        <w:tblCellMar>
          <w:left w:w="70" w:type="dxa"/>
          <w:right w:w="70" w:type="dxa"/>
        </w:tblCellMar>
        <w:tblLook w:val="04A0" w:firstRow="1" w:lastRow="0" w:firstColumn="1" w:lastColumn="0" w:noHBand="0" w:noVBand="1"/>
      </w:tblPr>
      <w:tblGrid>
        <w:gridCol w:w="1542"/>
        <w:gridCol w:w="403"/>
        <w:gridCol w:w="4860"/>
        <w:gridCol w:w="6178"/>
        <w:gridCol w:w="1367"/>
        <w:gridCol w:w="146"/>
      </w:tblGrid>
      <w:tr w:rsidR="0033161D" w:rsidRPr="00B951A3" w14:paraId="36829A03" w14:textId="77777777" w:rsidTr="0033161D">
        <w:trPr>
          <w:gridAfter w:val="1"/>
          <w:wAfter w:w="146" w:type="dxa"/>
          <w:trHeight w:val="450"/>
        </w:trPr>
        <w:tc>
          <w:tcPr>
            <w:tcW w:w="12983" w:type="dxa"/>
            <w:gridSpan w:val="4"/>
            <w:tcBorders>
              <w:top w:val="single" w:sz="8" w:space="0" w:color="auto"/>
              <w:left w:val="single" w:sz="8" w:space="0" w:color="auto"/>
              <w:bottom w:val="single" w:sz="4" w:space="0" w:color="auto"/>
              <w:right w:val="single" w:sz="8" w:space="0" w:color="auto"/>
            </w:tcBorders>
            <w:shd w:val="pct25" w:color="99CCFF" w:fill="C6E0B6"/>
            <w:hideMark/>
          </w:tcPr>
          <w:p w14:paraId="1EEE5E2C" w14:textId="12B1DF43" w:rsidR="0033161D" w:rsidRPr="00B951A3" w:rsidRDefault="0033161D" w:rsidP="0033161D">
            <w:pPr>
              <w:spacing w:after="0" w:line="240" w:lineRule="auto"/>
              <w:jc w:val="center"/>
              <w:rPr>
                <w:rFonts w:eastAsia="Times New Roman" w:cstheme="minorHAnsi"/>
                <w:b/>
                <w:bCs/>
                <w:color w:val="000000"/>
                <w:sz w:val="36"/>
                <w:szCs w:val="36"/>
                <w:lang w:eastAsia="pt-BR"/>
              </w:rPr>
            </w:pPr>
            <w:r w:rsidRPr="00B951A3">
              <w:rPr>
                <w:rFonts w:eastAsia="Times New Roman" w:cstheme="minorHAnsi"/>
                <w:b/>
                <w:bCs/>
                <w:color w:val="000000"/>
                <w:sz w:val="36"/>
                <w:szCs w:val="36"/>
                <w:lang w:eastAsia="pt-BR"/>
              </w:rPr>
              <w:t>Métricas de Acompanhamento</w:t>
            </w:r>
          </w:p>
        </w:tc>
        <w:tc>
          <w:tcPr>
            <w:tcW w:w="1366" w:type="dxa"/>
            <w:tcBorders>
              <w:top w:val="single" w:sz="8" w:space="0" w:color="auto"/>
              <w:left w:val="single" w:sz="8" w:space="0" w:color="auto"/>
              <w:bottom w:val="single" w:sz="4" w:space="0" w:color="auto"/>
              <w:right w:val="single" w:sz="8" w:space="0" w:color="auto"/>
            </w:tcBorders>
            <w:shd w:val="pct25" w:color="99CCFF" w:fill="C6E0B6"/>
            <w:vAlign w:val="center"/>
            <w:hideMark/>
          </w:tcPr>
          <w:p w14:paraId="399F7CC6" w14:textId="38EBCCD8" w:rsidR="0033161D" w:rsidRPr="00B951A3" w:rsidRDefault="0033161D" w:rsidP="00A157E1">
            <w:pPr>
              <w:spacing w:after="0" w:line="240" w:lineRule="auto"/>
              <w:jc w:val="center"/>
              <w:rPr>
                <w:rFonts w:eastAsia="Times New Roman" w:cstheme="minorHAnsi"/>
                <w:b/>
                <w:bCs/>
                <w:color w:val="000000"/>
                <w:sz w:val="36"/>
                <w:szCs w:val="36"/>
                <w:lang w:eastAsia="pt-BR"/>
              </w:rPr>
            </w:pPr>
            <w:r w:rsidRPr="00B951A3">
              <w:rPr>
                <w:rFonts w:eastAsia="Times New Roman" w:cstheme="minorHAnsi"/>
                <w:b/>
                <w:bCs/>
                <w:color w:val="000000"/>
                <w:sz w:val="36"/>
                <w:szCs w:val="36"/>
                <w:lang w:eastAsia="pt-BR"/>
              </w:rPr>
              <w:t>202</w:t>
            </w:r>
            <w:r w:rsidR="00840CA2">
              <w:rPr>
                <w:rFonts w:eastAsia="Times New Roman" w:cstheme="minorHAnsi"/>
                <w:b/>
                <w:bCs/>
                <w:color w:val="000000"/>
                <w:sz w:val="36"/>
                <w:szCs w:val="36"/>
                <w:lang w:eastAsia="pt-BR"/>
              </w:rPr>
              <w:t>2</w:t>
            </w:r>
          </w:p>
        </w:tc>
      </w:tr>
      <w:tr w:rsidR="00A157E1" w:rsidRPr="00B951A3" w14:paraId="2F46E57A" w14:textId="77777777" w:rsidTr="0033161D">
        <w:trPr>
          <w:gridAfter w:val="1"/>
          <w:wAfter w:w="146" w:type="dxa"/>
          <w:trHeight w:val="509"/>
        </w:trPr>
        <w:tc>
          <w:tcPr>
            <w:tcW w:w="1542" w:type="dxa"/>
            <w:vMerge w:val="restart"/>
            <w:tcBorders>
              <w:top w:val="nil"/>
              <w:left w:val="single" w:sz="8" w:space="0" w:color="auto"/>
              <w:bottom w:val="single" w:sz="8" w:space="0" w:color="000000"/>
              <w:right w:val="single" w:sz="4" w:space="0" w:color="auto"/>
            </w:tcBorders>
            <w:shd w:val="clear" w:color="auto" w:fill="D6E3BC" w:themeFill="accent3" w:themeFillTint="66"/>
            <w:noWrap/>
            <w:vAlign w:val="center"/>
            <w:hideMark/>
          </w:tcPr>
          <w:p w14:paraId="4B5B3603" w14:textId="77777777" w:rsidR="00A157E1" w:rsidRPr="00B951A3" w:rsidRDefault="00A157E1" w:rsidP="00A157E1">
            <w:pPr>
              <w:spacing w:after="0" w:line="240" w:lineRule="auto"/>
              <w:jc w:val="center"/>
              <w:rPr>
                <w:rFonts w:eastAsia="Times New Roman" w:cstheme="minorHAnsi"/>
                <w:b/>
                <w:bCs/>
                <w:color w:val="000000"/>
                <w:sz w:val="24"/>
                <w:szCs w:val="24"/>
                <w:lang w:eastAsia="pt-BR"/>
              </w:rPr>
            </w:pPr>
            <w:r w:rsidRPr="00B951A3">
              <w:rPr>
                <w:rFonts w:eastAsia="Times New Roman" w:cstheme="minorHAnsi"/>
                <w:b/>
                <w:bCs/>
                <w:color w:val="000000"/>
                <w:sz w:val="24"/>
                <w:szCs w:val="24"/>
                <w:lang w:eastAsia="pt-BR"/>
              </w:rPr>
              <w:t>Temas</w:t>
            </w:r>
          </w:p>
        </w:tc>
        <w:tc>
          <w:tcPr>
            <w:tcW w:w="403" w:type="dxa"/>
            <w:vMerge w:val="restart"/>
            <w:tcBorders>
              <w:top w:val="nil"/>
              <w:left w:val="single" w:sz="4" w:space="0" w:color="auto"/>
              <w:bottom w:val="single" w:sz="8" w:space="0" w:color="000000"/>
              <w:right w:val="single" w:sz="4" w:space="0" w:color="auto"/>
            </w:tcBorders>
            <w:shd w:val="clear" w:color="auto" w:fill="D6E3BC" w:themeFill="accent3" w:themeFillTint="66"/>
            <w:vAlign w:val="center"/>
            <w:hideMark/>
          </w:tcPr>
          <w:p w14:paraId="0533F187" w14:textId="1E17770C" w:rsidR="00A157E1" w:rsidRPr="00B951A3" w:rsidRDefault="0033161D" w:rsidP="00A157E1">
            <w:pPr>
              <w:spacing w:after="0" w:line="240" w:lineRule="auto"/>
              <w:jc w:val="center"/>
              <w:rPr>
                <w:rFonts w:eastAsia="Times New Roman" w:cstheme="minorHAnsi"/>
                <w:b/>
                <w:bCs/>
                <w:color w:val="000000"/>
                <w:sz w:val="24"/>
                <w:szCs w:val="24"/>
                <w:lang w:eastAsia="pt-BR"/>
              </w:rPr>
            </w:pPr>
            <w:r>
              <w:rPr>
                <w:rFonts w:eastAsia="Times New Roman" w:cstheme="minorHAnsi"/>
                <w:b/>
                <w:bCs/>
                <w:color w:val="000000"/>
                <w:sz w:val="24"/>
                <w:szCs w:val="24"/>
                <w:lang w:eastAsia="pt-BR"/>
              </w:rPr>
              <w:t>Nº</w:t>
            </w:r>
            <w:r w:rsidR="00A157E1" w:rsidRPr="00B951A3">
              <w:rPr>
                <w:rFonts w:eastAsia="Times New Roman" w:cstheme="minorHAnsi"/>
                <w:b/>
                <w:bCs/>
                <w:color w:val="000000"/>
                <w:sz w:val="24"/>
                <w:szCs w:val="24"/>
                <w:lang w:eastAsia="pt-BR"/>
              </w:rPr>
              <w:t xml:space="preserve"> </w:t>
            </w:r>
          </w:p>
        </w:tc>
        <w:tc>
          <w:tcPr>
            <w:tcW w:w="4860" w:type="dxa"/>
            <w:vMerge w:val="restart"/>
            <w:tcBorders>
              <w:top w:val="nil"/>
              <w:left w:val="single" w:sz="4" w:space="0" w:color="auto"/>
              <w:bottom w:val="single" w:sz="8" w:space="0" w:color="000000"/>
              <w:right w:val="single" w:sz="4" w:space="0" w:color="auto"/>
            </w:tcBorders>
            <w:shd w:val="clear" w:color="auto" w:fill="D6E3BC" w:themeFill="accent3" w:themeFillTint="66"/>
            <w:noWrap/>
            <w:vAlign w:val="center"/>
            <w:hideMark/>
          </w:tcPr>
          <w:p w14:paraId="34C572C1" w14:textId="77777777" w:rsidR="00A157E1" w:rsidRPr="00B951A3" w:rsidRDefault="00A157E1" w:rsidP="00A157E1">
            <w:pPr>
              <w:spacing w:after="0" w:line="240" w:lineRule="auto"/>
              <w:jc w:val="center"/>
              <w:rPr>
                <w:rFonts w:eastAsia="Times New Roman" w:cstheme="minorHAnsi"/>
                <w:b/>
                <w:bCs/>
                <w:color w:val="000000"/>
                <w:sz w:val="24"/>
                <w:szCs w:val="24"/>
                <w:lang w:eastAsia="pt-BR"/>
              </w:rPr>
            </w:pPr>
            <w:r w:rsidRPr="00B951A3">
              <w:rPr>
                <w:rFonts w:eastAsia="Times New Roman" w:cstheme="minorHAnsi"/>
                <w:b/>
                <w:bCs/>
                <w:color w:val="000000"/>
                <w:sz w:val="24"/>
                <w:szCs w:val="24"/>
                <w:lang w:eastAsia="pt-BR"/>
              </w:rPr>
              <w:t xml:space="preserve"> Métricas</w:t>
            </w:r>
          </w:p>
        </w:tc>
        <w:tc>
          <w:tcPr>
            <w:tcW w:w="6178" w:type="dxa"/>
            <w:vMerge w:val="restart"/>
            <w:tcBorders>
              <w:top w:val="nil"/>
              <w:left w:val="single" w:sz="4" w:space="0" w:color="auto"/>
              <w:bottom w:val="single" w:sz="8" w:space="0" w:color="000000"/>
              <w:right w:val="single" w:sz="4" w:space="0" w:color="auto"/>
            </w:tcBorders>
            <w:shd w:val="clear" w:color="auto" w:fill="D6E3BC" w:themeFill="accent3" w:themeFillTint="66"/>
            <w:noWrap/>
            <w:vAlign w:val="center"/>
            <w:hideMark/>
          </w:tcPr>
          <w:p w14:paraId="15D01E1F" w14:textId="77777777" w:rsidR="00A157E1" w:rsidRPr="00B951A3" w:rsidRDefault="00A157E1" w:rsidP="00A157E1">
            <w:pPr>
              <w:spacing w:after="0" w:line="240" w:lineRule="auto"/>
              <w:jc w:val="center"/>
              <w:rPr>
                <w:rFonts w:eastAsia="Times New Roman" w:cstheme="minorHAnsi"/>
                <w:b/>
                <w:bCs/>
                <w:color w:val="000000"/>
                <w:sz w:val="24"/>
                <w:szCs w:val="24"/>
                <w:lang w:eastAsia="pt-BR"/>
              </w:rPr>
            </w:pPr>
            <w:r w:rsidRPr="00B951A3">
              <w:rPr>
                <w:rFonts w:eastAsia="Times New Roman" w:cstheme="minorHAnsi"/>
                <w:b/>
                <w:bCs/>
                <w:color w:val="000000"/>
                <w:sz w:val="24"/>
                <w:szCs w:val="24"/>
                <w:lang w:eastAsia="pt-BR"/>
              </w:rPr>
              <w:t>Fórmulas</w:t>
            </w:r>
          </w:p>
        </w:tc>
        <w:tc>
          <w:tcPr>
            <w:tcW w:w="1366" w:type="dxa"/>
            <w:vMerge w:val="restart"/>
            <w:tcBorders>
              <w:top w:val="nil"/>
              <w:left w:val="single" w:sz="4" w:space="0" w:color="auto"/>
              <w:bottom w:val="single" w:sz="8" w:space="0" w:color="000000"/>
              <w:right w:val="single" w:sz="8" w:space="0" w:color="auto"/>
            </w:tcBorders>
            <w:shd w:val="clear" w:color="auto" w:fill="D6E3BC" w:themeFill="accent3" w:themeFillTint="66"/>
            <w:noWrap/>
            <w:vAlign w:val="center"/>
            <w:hideMark/>
          </w:tcPr>
          <w:p w14:paraId="6C205417" w14:textId="77777777" w:rsidR="00A157E1" w:rsidRPr="00B951A3" w:rsidRDefault="00A157E1" w:rsidP="00A157E1">
            <w:pPr>
              <w:spacing w:after="0" w:line="240" w:lineRule="auto"/>
              <w:jc w:val="center"/>
              <w:rPr>
                <w:rFonts w:eastAsia="Times New Roman" w:cstheme="minorHAnsi"/>
                <w:b/>
                <w:bCs/>
                <w:color w:val="000000"/>
                <w:sz w:val="24"/>
                <w:szCs w:val="24"/>
                <w:lang w:eastAsia="pt-BR"/>
              </w:rPr>
            </w:pPr>
            <w:r w:rsidRPr="00B951A3">
              <w:rPr>
                <w:rFonts w:eastAsia="Times New Roman" w:cstheme="minorHAnsi"/>
                <w:b/>
                <w:bCs/>
                <w:color w:val="000000"/>
                <w:sz w:val="24"/>
                <w:szCs w:val="24"/>
                <w:lang w:eastAsia="pt-BR"/>
              </w:rPr>
              <w:t>Unid. Med.</w:t>
            </w:r>
          </w:p>
        </w:tc>
      </w:tr>
      <w:tr w:rsidR="00A157E1" w:rsidRPr="00B951A3" w14:paraId="707745D2" w14:textId="77777777" w:rsidTr="0033161D">
        <w:trPr>
          <w:trHeight w:val="315"/>
        </w:trPr>
        <w:tc>
          <w:tcPr>
            <w:tcW w:w="1542" w:type="dxa"/>
            <w:vMerge/>
            <w:tcBorders>
              <w:top w:val="nil"/>
              <w:left w:val="single" w:sz="8" w:space="0" w:color="auto"/>
              <w:bottom w:val="single" w:sz="8" w:space="0" w:color="000000"/>
              <w:right w:val="single" w:sz="4" w:space="0" w:color="auto"/>
            </w:tcBorders>
            <w:shd w:val="clear" w:color="auto" w:fill="D6E3BC" w:themeFill="accent3" w:themeFillTint="66"/>
            <w:vAlign w:val="center"/>
            <w:hideMark/>
          </w:tcPr>
          <w:p w14:paraId="4DDE3B2F" w14:textId="77777777" w:rsidR="00A157E1" w:rsidRPr="00B951A3" w:rsidRDefault="00A157E1" w:rsidP="00A157E1">
            <w:pPr>
              <w:spacing w:after="0" w:line="240" w:lineRule="auto"/>
              <w:rPr>
                <w:rFonts w:eastAsia="Times New Roman" w:cstheme="minorHAnsi"/>
                <w:b/>
                <w:bCs/>
                <w:color w:val="000000"/>
                <w:sz w:val="24"/>
                <w:szCs w:val="24"/>
                <w:lang w:eastAsia="pt-BR"/>
              </w:rPr>
            </w:pPr>
          </w:p>
        </w:tc>
        <w:tc>
          <w:tcPr>
            <w:tcW w:w="403" w:type="dxa"/>
            <w:vMerge/>
            <w:tcBorders>
              <w:top w:val="nil"/>
              <w:left w:val="single" w:sz="4" w:space="0" w:color="auto"/>
              <w:bottom w:val="single" w:sz="8" w:space="0" w:color="000000"/>
              <w:right w:val="single" w:sz="4" w:space="0" w:color="auto"/>
            </w:tcBorders>
            <w:shd w:val="clear" w:color="auto" w:fill="D6E3BC" w:themeFill="accent3" w:themeFillTint="66"/>
            <w:vAlign w:val="center"/>
            <w:hideMark/>
          </w:tcPr>
          <w:p w14:paraId="619146F3" w14:textId="77777777" w:rsidR="00A157E1" w:rsidRPr="00B951A3" w:rsidRDefault="00A157E1" w:rsidP="00A157E1">
            <w:pPr>
              <w:spacing w:after="0" w:line="240" w:lineRule="auto"/>
              <w:rPr>
                <w:rFonts w:eastAsia="Times New Roman" w:cstheme="minorHAnsi"/>
                <w:b/>
                <w:bCs/>
                <w:color w:val="000000"/>
                <w:sz w:val="24"/>
                <w:szCs w:val="24"/>
                <w:lang w:eastAsia="pt-BR"/>
              </w:rPr>
            </w:pPr>
          </w:p>
        </w:tc>
        <w:tc>
          <w:tcPr>
            <w:tcW w:w="4860" w:type="dxa"/>
            <w:vMerge/>
            <w:tcBorders>
              <w:top w:val="nil"/>
              <w:left w:val="single" w:sz="4" w:space="0" w:color="auto"/>
              <w:bottom w:val="single" w:sz="8" w:space="0" w:color="000000"/>
              <w:right w:val="single" w:sz="4" w:space="0" w:color="auto"/>
            </w:tcBorders>
            <w:shd w:val="clear" w:color="auto" w:fill="D6E3BC" w:themeFill="accent3" w:themeFillTint="66"/>
            <w:vAlign w:val="center"/>
            <w:hideMark/>
          </w:tcPr>
          <w:p w14:paraId="1D5BC00E" w14:textId="77777777" w:rsidR="00A157E1" w:rsidRPr="00B951A3" w:rsidRDefault="00A157E1" w:rsidP="00A157E1">
            <w:pPr>
              <w:spacing w:after="0" w:line="240" w:lineRule="auto"/>
              <w:rPr>
                <w:rFonts w:eastAsia="Times New Roman" w:cstheme="minorHAnsi"/>
                <w:b/>
                <w:bCs/>
                <w:color w:val="000000"/>
                <w:sz w:val="24"/>
                <w:szCs w:val="24"/>
                <w:lang w:eastAsia="pt-BR"/>
              </w:rPr>
            </w:pPr>
          </w:p>
        </w:tc>
        <w:tc>
          <w:tcPr>
            <w:tcW w:w="6178" w:type="dxa"/>
            <w:vMerge/>
            <w:tcBorders>
              <w:top w:val="nil"/>
              <w:left w:val="single" w:sz="4" w:space="0" w:color="auto"/>
              <w:bottom w:val="single" w:sz="8" w:space="0" w:color="000000"/>
              <w:right w:val="single" w:sz="4" w:space="0" w:color="auto"/>
            </w:tcBorders>
            <w:shd w:val="clear" w:color="auto" w:fill="D6E3BC" w:themeFill="accent3" w:themeFillTint="66"/>
            <w:vAlign w:val="center"/>
            <w:hideMark/>
          </w:tcPr>
          <w:p w14:paraId="63E3A284" w14:textId="77777777" w:rsidR="00A157E1" w:rsidRPr="00B951A3" w:rsidRDefault="00A157E1" w:rsidP="00A157E1">
            <w:pPr>
              <w:spacing w:after="0" w:line="240" w:lineRule="auto"/>
              <w:rPr>
                <w:rFonts w:eastAsia="Times New Roman" w:cstheme="minorHAnsi"/>
                <w:b/>
                <w:bCs/>
                <w:color w:val="000000"/>
                <w:sz w:val="24"/>
                <w:szCs w:val="24"/>
                <w:lang w:eastAsia="pt-BR"/>
              </w:rPr>
            </w:pPr>
          </w:p>
        </w:tc>
        <w:tc>
          <w:tcPr>
            <w:tcW w:w="1366" w:type="dxa"/>
            <w:vMerge/>
            <w:tcBorders>
              <w:top w:val="nil"/>
              <w:left w:val="single" w:sz="4" w:space="0" w:color="auto"/>
              <w:bottom w:val="single" w:sz="8" w:space="0" w:color="000000"/>
              <w:right w:val="single" w:sz="8" w:space="0" w:color="auto"/>
            </w:tcBorders>
            <w:shd w:val="clear" w:color="auto" w:fill="D6E3BC" w:themeFill="accent3" w:themeFillTint="66"/>
            <w:vAlign w:val="center"/>
            <w:hideMark/>
          </w:tcPr>
          <w:p w14:paraId="2EDE7C18" w14:textId="77777777" w:rsidR="00A157E1" w:rsidRPr="00B951A3" w:rsidRDefault="00A157E1" w:rsidP="00A157E1">
            <w:pPr>
              <w:spacing w:after="0" w:line="240" w:lineRule="auto"/>
              <w:rPr>
                <w:rFonts w:eastAsia="Times New Roman" w:cstheme="minorHAnsi"/>
                <w:b/>
                <w:bCs/>
                <w:color w:val="000000"/>
                <w:sz w:val="24"/>
                <w:szCs w:val="24"/>
                <w:lang w:eastAsia="pt-BR"/>
              </w:rPr>
            </w:pPr>
          </w:p>
        </w:tc>
        <w:tc>
          <w:tcPr>
            <w:tcW w:w="146" w:type="dxa"/>
            <w:tcBorders>
              <w:top w:val="nil"/>
              <w:left w:val="nil"/>
              <w:bottom w:val="nil"/>
              <w:right w:val="nil"/>
            </w:tcBorders>
            <w:shd w:val="clear" w:color="auto" w:fill="auto"/>
            <w:noWrap/>
            <w:vAlign w:val="bottom"/>
            <w:hideMark/>
          </w:tcPr>
          <w:p w14:paraId="284B6BE7" w14:textId="77777777" w:rsidR="00A157E1" w:rsidRPr="00B951A3" w:rsidRDefault="00A157E1" w:rsidP="00A157E1">
            <w:pPr>
              <w:spacing w:after="0" w:line="240" w:lineRule="auto"/>
              <w:jc w:val="center"/>
              <w:rPr>
                <w:rFonts w:eastAsia="Times New Roman" w:cstheme="minorHAnsi"/>
                <w:b/>
                <w:bCs/>
                <w:color w:val="000000"/>
                <w:sz w:val="24"/>
                <w:szCs w:val="24"/>
                <w:lang w:eastAsia="pt-BR"/>
              </w:rPr>
            </w:pPr>
          </w:p>
        </w:tc>
      </w:tr>
      <w:tr w:rsidR="00A157E1" w:rsidRPr="00B951A3" w14:paraId="04EFEA98" w14:textId="77777777" w:rsidTr="0033161D">
        <w:trPr>
          <w:trHeight w:val="600"/>
        </w:trPr>
        <w:tc>
          <w:tcPr>
            <w:tcW w:w="1542" w:type="dxa"/>
            <w:tcBorders>
              <w:top w:val="nil"/>
              <w:left w:val="single" w:sz="8" w:space="0" w:color="auto"/>
              <w:bottom w:val="single" w:sz="4" w:space="0" w:color="auto"/>
              <w:right w:val="single" w:sz="4" w:space="0" w:color="auto"/>
            </w:tcBorders>
            <w:shd w:val="clear" w:color="auto" w:fill="D6E3BC" w:themeFill="accent3" w:themeFillTint="66"/>
            <w:vAlign w:val="center"/>
            <w:hideMark/>
          </w:tcPr>
          <w:p w14:paraId="2ABE7F61" w14:textId="77777777" w:rsidR="00A157E1" w:rsidRPr="00B951A3" w:rsidRDefault="00A157E1" w:rsidP="00A157E1">
            <w:pPr>
              <w:spacing w:after="0" w:line="240" w:lineRule="auto"/>
              <w:jc w:val="center"/>
              <w:rPr>
                <w:rFonts w:eastAsia="Times New Roman" w:cstheme="minorHAnsi"/>
                <w:b/>
                <w:bCs/>
                <w:color w:val="000000"/>
                <w:lang w:eastAsia="pt-BR"/>
              </w:rPr>
            </w:pPr>
            <w:r w:rsidRPr="00B951A3">
              <w:rPr>
                <w:rFonts w:eastAsia="Times New Roman" w:cstheme="minorHAnsi"/>
                <w:b/>
                <w:bCs/>
                <w:color w:val="000000"/>
                <w:lang w:eastAsia="pt-BR"/>
              </w:rPr>
              <w:t>Qualidade de Vida</w:t>
            </w:r>
          </w:p>
        </w:tc>
        <w:tc>
          <w:tcPr>
            <w:tcW w:w="403" w:type="dxa"/>
            <w:tcBorders>
              <w:top w:val="nil"/>
              <w:left w:val="nil"/>
              <w:bottom w:val="single" w:sz="4" w:space="0" w:color="auto"/>
              <w:right w:val="single" w:sz="4" w:space="0" w:color="auto"/>
            </w:tcBorders>
            <w:shd w:val="clear" w:color="000000" w:fill="FFFFFF"/>
            <w:noWrap/>
            <w:vAlign w:val="center"/>
            <w:hideMark/>
          </w:tcPr>
          <w:p w14:paraId="692969E7"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1</w:t>
            </w:r>
          </w:p>
        </w:tc>
        <w:tc>
          <w:tcPr>
            <w:tcW w:w="4860" w:type="dxa"/>
            <w:tcBorders>
              <w:top w:val="nil"/>
              <w:left w:val="nil"/>
              <w:bottom w:val="single" w:sz="4" w:space="0" w:color="auto"/>
              <w:right w:val="single" w:sz="4" w:space="0" w:color="auto"/>
            </w:tcBorders>
            <w:shd w:val="clear" w:color="000000" w:fill="FFFFFF"/>
            <w:vAlign w:val="center"/>
            <w:hideMark/>
          </w:tcPr>
          <w:p w14:paraId="74D0AF90" w14:textId="77777777"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 xml:space="preserve">Adesão ao Teletrabalho </w:t>
            </w:r>
          </w:p>
        </w:tc>
        <w:tc>
          <w:tcPr>
            <w:tcW w:w="6178" w:type="dxa"/>
            <w:tcBorders>
              <w:top w:val="nil"/>
              <w:left w:val="nil"/>
              <w:bottom w:val="single" w:sz="4" w:space="0" w:color="auto"/>
              <w:right w:val="single" w:sz="4" w:space="0" w:color="auto"/>
            </w:tcBorders>
            <w:shd w:val="clear" w:color="000000" w:fill="FFFFFF"/>
            <w:vAlign w:val="center"/>
            <w:hideMark/>
          </w:tcPr>
          <w:p w14:paraId="04EC0FB1" w14:textId="77777777"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Quantidade de servidores em teletrabalho/total de servidores habilitados para o Programa</w:t>
            </w:r>
          </w:p>
        </w:tc>
        <w:tc>
          <w:tcPr>
            <w:tcW w:w="1366" w:type="dxa"/>
            <w:tcBorders>
              <w:top w:val="nil"/>
              <w:left w:val="nil"/>
              <w:bottom w:val="single" w:sz="4" w:space="0" w:color="auto"/>
              <w:right w:val="single" w:sz="8" w:space="0" w:color="auto"/>
            </w:tcBorders>
            <w:shd w:val="clear" w:color="000000" w:fill="FFFFFF"/>
            <w:noWrap/>
            <w:vAlign w:val="center"/>
            <w:hideMark/>
          </w:tcPr>
          <w:p w14:paraId="6F22ADD3"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w:t>
            </w:r>
          </w:p>
        </w:tc>
        <w:tc>
          <w:tcPr>
            <w:tcW w:w="146" w:type="dxa"/>
            <w:vAlign w:val="center"/>
            <w:hideMark/>
          </w:tcPr>
          <w:p w14:paraId="20735E28" w14:textId="77777777" w:rsidR="00A157E1" w:rsidRPr="00B951A3" w:rsidRDefault="00A157E1" w:rsidP="00A157E1">
            <w:pPr>
              <w:spacing w:after="0" w:line="240" w:lineRule="auto"/>
              <w:rPr>
                <w:rFonts w:eastAsia="Times New Roman" w:cstheme="minorHAnsi"/>
                <w:sz w:val="20"/>
                <w:szCs w:val="20"/>
                <w:lang w:eastAsia="pt-BR"/>
              </w:rPr>
            </w:pPr>
          </w:p>
        </w:tc>
      </w:tr>
      <w:tr w:rsidR="00A157E1" w:rsidRPr="00B951A3" w14:paraId="43F936C0" w14:textId="77777777" w:rsidTr="0033161D">
        <w:trPr>
          <w:trHeight w:val="600"/>
        </w:trPr>
        <w:tc>
          <w:tcPr>
            <w:tcW w:w="1542" w:type="dxa"/>
            <w:vMerge w:val="restart"/>
            <w:tcBorders>
              <w:top w:val="nil"/>
              <w:left w:val="single" w:sz="8" w:space="0" w:color="auto"/>
              <w:bottom w:val="single" w:sz="4" w:space="0" w:color="auto"/>
              <w:right w:val="single" w:sz="4" w:space="0" w:color="auto"/>
            </w:tcBorders>
            <w:shd w:val="clear" w:color="auto" w:fill="D6E3BC" w:themeFill="accent3" w:themeFillTint="66"/>
            <w:vAlign w:val="center"/>
            <w:hideMark/>
          </w:tcPr>
          <w:p w14:paraId="03077654" w14:textId="77777777" w:rsidR="00A157E1" w:rsidRPr="00B951A3" w:rsidRDefault="00A157E1" w:rsidP="00A157E1">
            <w:pPr>
              <w:spacing w:after="0" w:line="240" w:lineRule="auto"/>
              <w:jc w:val="center"/>
              <w:rPr>
                <w:rFonts w:eastAsia="Times New Roman" w:cstheme="minorHAnsi"/>
                <w:b/>
                <w:bCs/>
                <w:color w:val="000000"/>
                <w:lang w:eastAsia="pt-BR"/>
              </w:rPr>
            </w:pPr>
            <w:r w:rsidRPr="00B951A3">
              <w:rPr>
                <w:rFonts w:eastAsia="Times New Roman" w:cstheme="minorHAnsi"/>
                <w:b/>
                <w:bCs/>
                <w:color w:val="000000"/>
                <w:lang w:eastAsia="pt-BR"/>
              </w:rPr>
              <w:t>Transporte</w:t>
            </w:r>
          </w:p>
        </w:tc>
        <w:tc>
          <w:tcPr>
            <w:tcW w:w="403" w:type="dxa"/>
            <w:tcBorders>
              <w:top w:val="nil"/>
              <w:left w:val="nil"/>
              <w:bottom w:val="single" w:sz="4" w:space="0" w:color="auto"/>
              <w:right w:val="single" w:sz="4" w:space="0" w:color="auto"/>
            </w:tcBorders>
            <w:shd w:val="clear" w:color="auto" w:fill="auto"/>
            <w:noWrap/>
            <w:vAlign w:val="center"/>
            <w:hideMark/>
          </w:tcPr>
          <w:p w14:paraId="50533554"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2</w:t>
            </w:r>
          </w:p>
        </w:tc>
        <w:tc>
          <w:tcPr>
            <w:tcW w:w="4860" w:type="dxa"/>
            <w:tcBorders>
              <w:top w:val="nil"/>
              <w:left w:val="nil"/>
              <w:bottom w:val="single" w:sz="4" w:space="0" w:color="auto"/>
              <w:right w:val="single" w:sz="4" w:space="0" w:color="auto"/>
            </w:tcBorders>
            <w:shd w:val="clear" w:color="000000" w:fill="FFFFFF"/>
            <w:vAlign w:val="center"/>
            <w:hideMark/>
          </w:tcPr>
          <w:p w14:paraId="2331B5EE" w14:textId="3A69CB03"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 xml:space="preserve">Gasto com veículos locados </w:t>
            </w:r>
          </w:p>
        </w:tc>
        <w:tc>
          <w:tcPr>
            <w:tcW w:w="6178" w:type="dxa"/>
            <w:tcBorders>
              <w:top w:val="nil"/>
              <w:left w:val="nil"/>
              <w:bottom w:val="single" w:sz="4" w:space="0" w:color="auto"/>
              <w:right w:val="single" w:sz="4" w:space="0" w:color="auto"/>
            </w:tcBorders>
            <w:shd w:val="clear" w:color="000000" w:fill="FFFFFF"/>
            <w:vAlign w:val="center"/>
            <w:hideMark/>
          </w:tcPr>
          <w:p w14:paraId="451D30D8" w14:textId="7F9FB4E8"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Somatório dos gastos mensais, por tipo de serviços, em reais R$</w:t>
            </w:r>
          </w:p>
        </w:tc>
        <w:tc>
          <w:tcPr>
            <w:tcW w:w="1366" w:type="dxa"/>
            <w:tcBorders>
              <w:top w:val="nil"/>
              <w:left w:val="nil"/>
              <w:bottom w:val="single" w:sz="4" w:space="0" w:color="auto"/>
              <w:right w:val="single" w:sz="8" w:space="0" w:color="auto"/>
            </w:tcBorders>
            <w:shd w:val="clear" w:color="000000" w:fill="FFFFFF"/>
            <w:noWrap/>
            <w:vAlign w:val="center"/>
            <w:hideMark/>
          </w:tcPr>
          <w:p w14:paraId="0BE7AFF4"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R$</w:t>
            </w:r>
          </w:p>
        </w:tc>
        <w:tc>
          <w:tcPr>
            <w:tcW w:w="146" w:type="dxa"/>
            <w:vAlign w:val="center"/>
            <w:hideMark/>
          </w:tcPr>
          <w:p w14:paraId="5255E32E" w14:textId="77777777" w:rsidR="00A157E1" w:rsidRPr="00B951A3" w:rsidRDefault="00A157E1" w:rsidP="00A157E1">
            <w:pPr>
              <w:spacing w:after="0" w:line="240" w:lineRule="auto"/>
              <w:rPr>
                <w:rFonts w:eastAsia="Times New Roman" w:cstheme="minorHAnsi"/>
                <w:sz w:val="20"/>
                <w:szCs w:val="20"/>
                <w:lang w:eastAsia="pt-BR"/>
              </w:rPr>
            </w:pPr>
          </w:p>
        </w:tc>
      </w:tr>
      <w:tr w:rsidR="00A157E1" w:rsidRPr="00B951A3" w14:paraId="6168A37B" w14:textId="77777777" w:rsidTr="0033161D">
        <w:trPr>
          <w:trHeight w:val="300"/>
        </w:trPr>
        <w:tc>
          <w:tcPr>
            <w:tcW w:w="1542" w:type="dxa"/>
            <w:vMerge/>
            <w:tcBorders>
              <w:top w:val="nil"/>
              <w:left w:val="single" w:sz="8" w:space="0" w:color="auto"/>
              <w:bottom w:val="single" w:sz="4" w:space="0" w:color="auto"/>
              <w:right w:val="single" w:sz="4" w:space="0" w:color="auto"/>
            </w:tcBorders>
            <w:shd w:val="clear" w:color="auto" w:fill="D6E3BC" w:themeFill="accent3" w:themeFillTint="66"/>
            <w:vAlign w:val="center"/>
            <w:hideMark/>
          </w:tcPr>
          <w:p w14:paraId="4AB631D3" w14:textId="77777777" w:rsidR="00A157E1" w:rsidRPr="00B951A3" w:rsidRDefault="00A157E1" w:rsidP="00A157E1">
            <w:pPr>
              <w:spacing w:after="0" w:line="240" w:lineRule="auto"/>
              <w:rPr>
                <w:rFonts w:eastAsia="Times New Roman" w:cstheme="minorHAnsi"/>
                <w:b/>
                <w:bCs/>
                <w:color w:val="000000"/>
                <w:lang w:eastAsia="pt-BR"/>
              </w:rPr>
            </w:pPr>
          </w:p>
        </w:tc>
        <w:tc>
          <w:tcPr>
            <w:tcW w:w="403" w:type="dxa"/>
            <w:tcBorders>
              <w:top w:val="nil"/>
              <w:left w:val="nil"/>
              <w:bottom w:val="single" w:sz="4" w:space="0" w:color="auto"/>
              <w:right w:val="single" w:sz="4" w:space="0" w:color="auto"/>
            </w:tcBorders>
            <w:shd w:val="clear" w:color="auto" w:fill="auto"/>
            <w:noWrap/>
            <w:vAlign w:val="center"/>
            <w:hideMark/>
          </w:tcPr>
          <w:p w14:paraId="4AA24FD5"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3</w:t>
            </w:r>
          </w:p>
        </w:tc>
        <w:tc>
          <w:tcPr>
            <w:tcW w:w="4860" w:type="dxa"/>
            <w:tcBorders>
              <w:top w:val="nil"/>
              <w:left w:val="nil"/>
              <w:bottom w:val="single" w:sz="4" w:space="0" w:color="auto"/>
              <w:right w:val="single" w:sz="4" w:space="0" w:color="auto"/>
            </w:tcBorders>
            <w:shd w:val="clear" w:color="000000" w:fill="FFFFFF"/>
            <w:vAlign w:val="center"/>
            <w:hideMark/>
          </w:tcPr>
          <w:p w14:paraId="4FDD7299" w14:textId="079DFCDF"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 xml:space="preserve">Gasto com serviço de táxi </w:t>
            </w:r>
          </w:p>
        </w:tc>
        <w:tc>
          <w:tcPr>
            <w:tcW w:w="6178" w:type="dxa"/>
            <w:tcBorders>
              <w:top w:val="nil"/>
              <w:left w:val="nil"/>
              <w:bottom w:val="single" w:sz="4" w:space="0" w:color="auto"/>
              <w:right w:val="single" w:sz="4" w:space="0" w:color="auto"/>
            </w:tcBorders>
            <w:shd w:val="clear" w:color="000000" w:fill="FFFFFF"/>
            <w:vAlign w:val="center"/>
            <w:hideMark/>
          </w:tcPr>
          <w:p w14:paraId="7D8237B6" w14:textId="2CEC2005"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Somatório dos gastos mensais</w:t>
            </w:r>
          </w:p>
        </w:tc>
        <w:tc>
          <w:tcPr>
            <w:tcW w:w="1366" w:type="dxa"/>
            <w:tcBorders>
              <w:top w:val="nil"/>
              <w:left w:val="nil"/>
              <w:bottom w:val="single" w:sz="4" w:space="0" w:color="auto"/>
              <w:right w:val="single" w:sz="8" w:space="0" w:color="auto"/>
            </w:tcBorders>
            <w:shd w:val="clear" w:color="000000" w:fill="FFFFFF"/>
            <w:noWrap/>
            <w:vAlign w:val="center"/>
            <w:hideMark/>
          </w:tcPr>
          <w:p w14:paraId="07A0430C"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R$</w:t>
            </w:r>
          </w:p>
        </w:tc>
        <w:tc>
          <w:tcPr>
            <w:tcW w:w="146" w:type="dxa"/>
            <w:vAlign w:val="center"/>
            <w:hideMark/>
          </w:tcPr>
          <w:p w14:paraId="2A38D5A3" w14:textId="77777777" w:rsidR="00A157E1" w:rsidRPr="00B951A3" w:rsidRDefault="00A157E1" w:rsidP="00A157E1">
            <w:pPr>
              <w:spacing w:after="0" w:line="240" w:lineRule="auto"/>
              <w:rPr>
                <w:rFonts w:eastAsia="Times New Roman" w:cstheme="minorHAnsi"/>
                <w:sz w:val="20"/>
                <w:szCs w:val="20"/>
                <w:lang w:eastAsia="pt-BR"/>
              </w:rPr>
            </w:pPr>
          </w:p>
        </w:tc>
      </w:tr>
      <w:tr w:rsidR="00A157E1" w:rsidRPr="00B951A3" w14:paraId="08F26487" w14:textId="77777777" w:rsidTr="0033161D">
        <w:trPr>
          <w:trHeight w:val="600"/>
        </w:trPr>
        <w:tc>
          <w:tcPr>
            <w:tcW w:w="1542" w:type="dxa"/>
            <w:vMerge w:val="restart"/>
            <w:tcBorders>
              <w:top w:val="nil"/>
              <w:left w:val="single" w:sz="8" w:space="0" w:color="auto"/>
              <w:bottom w:val="single" w:sz="4" w:space="0" w:color="auto"/>
              <w:right w:val="single" w:sz="4" w:space="0" w:color="auto"/>
            </w:tcBorders>
            <w:shd w:val="clear" w:color="auto" w:fill="D6E3BC" w:themeFill="accent3" w:themeFillTint="66"/>
            <w:vAlign w:val="center"/>
            <w:hideMark/>
          </w:tcPr>
          <w:p w14:paraId="06549AA7" w14:textId="77777777" w:rsidR="00A157E1" w:rsidRPr="00B951A3" w:rsidRDefault="00A157E1" w:rsidP="00A157E1">
            <w:pPr>
              <w:spacing w:after="0" w:line="240" w:lineRule="auto"/>
              <w:jc w:val="center"/>
              <w:rPr>
                <w:rFonts w:eastAsia="Times New Roman" w:cstheme="minorHAnsi"/>
                <w:b/>
                <w:bCs/>
                <w:color w:val="000000"/>
                <w:lang w:eastAsia="pt-BR"/>
              </w:rPr>
            </w:pPr>
            <w:r w:rsidRPr="00B951A3">
              <w:rPr>
                <w:rFonts w:eastAsia="Times New Roman" w:cstheme="minorHAnsi"/>
                <w:b/>
                <w:bCs/>
                <w:color w:val="000000"/>
                <w:lang w:eastAsia="pt-BR"/>
              </w:rPr>
              <w:t>Energia</w:t>
            </w:r>
          </w:p>
        </w:tc>
        <w:tc>
          <w:tcPr>
            <w:tcW w:w="403" w:type="dxa"/>
            <w:tcBorders>
              <w:top w:val="nil"/>
              <w:left w:val="nil"/>
              <w:bottom w:val="single" w:sz="4" w:space="0" w:color="auto"/>
              <w:right w:val="single" w:sz="4" w:space="0" w:color="auto"/>
            </w:tcBorders>
            <w:shd w:val="clear" w:color="000000" w:fill="FFFFFF"/>
            <w:noWrap/>
            <w:vAlign w:val="center"/>
            <w:hideMark/>
          </w:tcPr>
          <w:p w14:paraId="76BD9A88"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4</w:t>
            </w:r>
          </w:p>
        </w:tc>
        <w:tc>
          <w:tcPr>
            <w:tcW w:w="4860" w:type="dxa"/>
            <w:tcBorders>
              <w:top w:val="nil"/>
              <w:left w:val="nil"/>
              <w:bottom w:val="single" w:sz="4" w:space="0" w:color="auto"/>
              <w:right w:val="single" w:sz="4" w:space="0" w:color="auto"/>
            </w:tcBorders>
            <w:shd w:val="clear" w:color="000000" w:fill="FFFFFF"/>
            <w:vAlign w:val="center"/>
            <w:hideMark/>
          </w:tcPr>
          <w:p w14:paraId="62DE5781" w14:textId="5BD46E7E"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Consumo por área (considerar área total - incluindo estacionamento e consumo fora de ponta)</w:t>
            </w:r>
          </w:p>
        </w:tc>
        <w:tc>
          <w:tcPr>
            <w:tcW w:w="6178" w:type="dxa"/>
            <w:tcBorders>
              <w:top w:val="nil"/>
              <w:left w:val="nil"/>
              <w:bottom w:val="single" w:sz="4" w:space="0" w:color="auto"/>
              <w:right w:val="single" w:sz="4" w:space="0" w:color="auto"/>
            </w:tcBorders>
            <w:shd w:val="clear" w:color="000000" w:fill="FFFFFF"/>
            <w:vAlign w:val="center"/>
            <w:hideMark/>
          </w:tcPr>
          <w:p w14:paraId="06CFD2B3" w14:textId="79951D7B"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Quantidade em kWh consumidos/metragem do edifício</w:t>
            </w:r>
          </w:p>
        </w:tc>
        <w:tc>
          <w:tcPr>
            <w:tcW w:w="1366" w:type="dxa"/>
            <w:tcBorders>
              <w:top w:val="nil"/>
              <w:left w:val="nil"/>
              <w:bottom w:val="single" w:sz="4" w:space="0" w:color="auto"/>
              <w:right w:val="single" w:sz="8" w:space="0" w:color="auto"/>
            </w:tcBorders>
            <w:shd w:val="clear" w:color="000000" w:fill="FFFFFF"/>
            <w:noWrap/>
            <w:vAlign w:val="center"/>
            <w:hideMark/>
          </w:tcPr>
          <w:p w14:paraId="6DD2C08A"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kWh/m²</w:t>
            </w:r>
          </w:p>
        </w:tc>
        <w:tc>
          <w:tcPr>
            <w:tcW w:w="146" w:type="dxa"/>
            <w:vAlign w:val="center"/>
            <w:hideMark/>
          </w:tcPr>
          <w:p w14:paraId="49317215" w14:textId="77777777" w:rsidR="00A157E1" w:rsidRPr="00B951A3" w:rsidRDefault="00A157E1" w:rsidP="00A157E1">
            <w:pPr>
              <w:spacing w:after="0" w:line="240" w:lineRule="auto"/>
              <w:rPr>
                <w:rFonts w:eastAsia="Times New Roman" w:cstheme="minorHAnsi"/>
                <w:sz w:val="20"/>
                <w:szCs w:val="20"/>
                <w:lang w:eastAsia="pt-BR"/>
              </w:rPr>
            </w:pPr>
          </w:p>
        </w:tc>
      </w:tr>
      <w:tr w:rsidR="00A157E1" w:rsidRPr="00B951A3" w14:paraId="04F2A77A" w14:textId="77777777" w:rsidTr="0033161D">
        <w:trPr>
          <w:trHeight w:val="300"/>
        </w:trPr>
        <w:tc>
          <w:tcPr>
            <w:tcW w:w="1542" w:type="dxa"/>
            <w:vMerge/>
            <w:tcBorders>
              <w:top w:val="nil"/>
              <w:left w:val="single" w:sz="8" w:space="0" w:color="auto"/>
              <w:bottom w:val="single" w:sz="4" w:space="0" w:color="auto"/>
              <w:right w:val="single" w:sz="4" w:space="0" w:color="auto"/>
            </w:tcBorders>
            <w:shd w:val="clear" w:color="auto" w:fill="D6E3BC" w:themeFill="accent3" w:themeFillTint="66"/>
            <w:vAlign w:val="center"/>
            <w:hideMark/>
          </w:tcPr>
          <w:p w14:paraId="56073ACD" w14:textId="77777777" w:rsidR="00A157E1" w:rsidRPr="00B951A3" w:rsidRDefault="00A157E1" w:rsidP="00A157E1">
            <w:pPr>
              <w:spacing w:after="0" w:line="240" w:lineRule="auto"/>
              <w:rPr>
                <w:rFonts w:eastAsia="Times New Roman" w:cstheme="minorHAnsi"/>
                <w:b/>
                <w:bCs/>
                <w:color w:val="000000"/>
                <w:lang w:eastAsia="pt-BR"/>
              </w:rPr>
            </w:pPr>
          </w:p>
        </w:tc>
        <w:tc>
          <w:tcPr>
            <w:tcW w:w="403" w:type="dxa"/>
            <w:tcBorders>
              <w:top w:val="nil"/>
              <w:left w:val="nil"/>
              <w:bottom w:val="single" w:sz="4" w:space="0" w:color="auto"/>
              <w:right w:val="single" w:sz="4" w:space="0" w:color="auto"/>
            </w:tcBorders>
            <w:shd w:val="clear" w:color="auto" w:fill="auto"/>
            <w:noWrap/>
            <w:vAlign w:val="center"/>
            <w:hideMark/>
          </w:tcPr>
          <w:p w14:paraId="6E67A74E"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5</w:t>
            </w:r>
          </w:p>
        </w:tc>
        <w:tc>
          <w:tcPr>
            <w:tcW w:w="4860" w:type="dxa"/>
            <w:tcBorders>
              <w:top w:val="nil"/>
              <w:left w:val="nil"/>
              <w:bottom w:val="single" w:sz="4" w:space="0" w:color="auto"/>
              <w:right w:val="single" w:sz="4" w:space="0" w:color="auto"/>
            </w:tcBorders>
            <w:shd w:val="clear" w:color="000000" w:fill="FFFFFF"/>
            <w:vAlign w:val="center"/>
            <w:hideMark/>
          </w:tcPr>
          <w:p w14:paraId="198A5D90" w14:textId="77037CB7"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Consumo per capita (kWh/população</w:t>
            </w:r>
          </w:p>
        </w:tc>
        <w:tc>
          <w:tcPr>
            <w:tcW w:w="6178" w:type="dxa"/>
            <w:tcBorders>
              <w:top w:val="nil"/>
              <w:left w:val="nil"/>
              <w:bottom w:val="single" w:sz="4" w:space="0" w:color="auto"/>
              <w:right w:val="single" w:sz="4" w:space="0" w:color="auto"/>
            </w:tcBorders>
            <w:shd w:val="clear" w:color="000000" w:fill="FFFFFF"/>
            <w:vAlign w:val="center"/>
            <w:hideMark/>
          </w:tcPr>
          <w:p w14:paraId="6C342B76" w14:textId="6898E454"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Quantidade em kWh consumido/total de servidores</w:t>
            </w:r>
          </w:p>
        </w:tc>
        <w:tc>
          <w:tcPr>
            <w:tcW w:w="1366" w:type="dxa"/>
            <w:tcBorders>
              <w:top w:val="nil"/>
              <w:left w:val="nil"/>
              <w:bottom w:val="single" w:sz="4" w:space="0" w:color="auto"/>
              <w:right w:val="single" w:sz="8" w:space="0" w:color="auto"/>
            </w:tcBorders>
            <w:shd w:val="clear" w:color="000000" w:fill="FFFFFF"/>
            <w:noWrap/>
            <w:vAlign w:val="center"/>
            <w:hideMark/>
          </w:tcPr>
          <w:p w14:paraId="28743904"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kWh/servidor</w:t>
            </w:r>
          </w:p>
        </w:tc>
        <w:tc>
          <w:tcPr>
            <w:tcW w:w="146" w:type="dxa"/>
            <w:vAlign w:val="center"/>
            <w:hideMark/>
          </w:tcPr>
          <w:p w14:paraId="0DBC1EB4" w14:textId="77777777" w:rsidR="00A157E1" w:rsidRPr="00B951A3" w:rsidRDefault="00A157E1" w:rsidP="00A157E1">
            <w:pPr>
              <w:spacing w:after="0" w:line="240" w:lineRule="auto"/>
              <w:rPr>
                <w:rFonts w:eastAsia="Times New Roman" w:cstheme="minorHAnsi"/>
                <w:sz w:val="20"/>
                <w:szCs w:val="20"/>
                <w:lang w:eastAsia="pt-BR"/>
              </w:rPr>
            </w:pPr>
          </w:p>
        </w:tc>
      </w:tr>
      <w:tr w:rsidR="00A157E1" w:rsidRPr="00B951A3" w14:paraId="188F3120" w14:textId="77777777" w:rsidTr="0033161D">
        <w:trPr>
          <w:trHeight w:val="300"/>
        </w:trPr>
        <w:tc>
          <w:tcPr>
            <w:tcW w:w="1542" w:type="dxa"/>
            <w:vMerge w:val="restart"/>
            <w:tcBorders>
              <w:top w:val="nil"/>
              <w:left w:val="single" w:sz="8" w:space="0" w:color="auto"/>
              <w:bottom w:val="single" w:sz="4" w:space="0" w:color="auto"/>
              <w:right w:val="single" w:sz="4" w:space="0" w:color="auto"/>
            </w:tcBorders>
            <w:shd w:val="clear" w:color="auto" w:fill="D6E3BC" w:themeFill="accent3" w:themeFillTint="66"/>
            <w:vAlign w:val="center"/>
            <w:hideMark/>
          </w:tcPr>
          <w:p w14:paraId="6C0F9CC1" w14:textId="77777777" w:rsidR="00A157E1" w:rsidRPr="00B951A3" w:rsidRDefault="00A157E1" w:rsidP="00A157E1">
            <w:pPr>
              <w:spacing w:after="0" w:line="240" w:lineRule="auto"/>
              <w:jc w:val="center"/>
              <w:rPr>
                <w:rFonts w:eastAsia="Times New Roman" w:cstheme="minorHAnsi"/>
                <w:b/>
                <w:bCs/>
                <w:color w:val="000000"/>
                <w:lang w:eastAsia="pt-BR"/>
              </w:rPr>
            </w:pPr>
            <w:r w:rsidRPr="00B951A3">
              <w:rPr>
                <w:rFonts w:eastAsia="Times New Roman" w:cstheme="minorHAnsi"/>
                <w:b/>
                <w:bCs/>
                <w:color w:val="000000"/>
                <w:lang w:eastAsia="pt-BR"/>
              </w:rPr>
              <w:t>Água e Esgoto</w:t>
            </w:r>
          </w:p>
        </w:tc>
        <w:tc>
          <w:tcPr>
            <w:tcW w:w="403" w:type="dxa"/>
            <w:tcBorders>
              <w:top w:val="nil"/>
              <w:left w:val="nil"/>
              <w:bottom w:val="single" w:sz="4" w:space="0" w:color="auto"/>
              <w:right w:val="single" w:sz="4" w:space="0" w:color="auto"/>
            </w:tcBorders>
            <w:shd w:val="clear" w:color="auto" w:fill="auto"/>
            <w:noWrap/>
            <w:vAlign w:val="center"/>
            <w:hideMark/>
          </w:tcPr>
          <w:p w14:paraId="2DFD831D"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6</w:t>
            </w:r>
          </w:p>
        </w:tc>
        <w:tc>
          <w:tcPr>
            <w:tcW w:w="4860" w:type="dxa"/>
            <w:tcBorders>
              <w:top w:val="nil"/>
              <w:left w:val="nil"/>
              <w:bottom w:val="single" w:sz="4" w:space="0" w:color="auto"/>
              <w:right w:val="single" w:sz="4" w:space="0" w:color="auto"/>
            </w:tcBorders>
            <w:shd w:val="clear" w:color="000000" w:fill="FFFFFF"/>
            <w:vAlign w:val="center"/>
            <w:hideMark/>
          </w:tcPr>
          <w:p w14:paraId="719BB1B2" w14:textId="77777777"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 xml:space="preserve">Consumo de água por área </w:t>
            </w:r>
          </w:p>
        </w:tc>
        <w:tc>
          <w:tcPr>
            <w:tcW w:w="6178" w:type="dxa"/>
            <w:tcBorders>
              <w:top w:val="nil"/>
              <w:left w:val="nil"/>
              <w:bottom w:val="single" w:sz="4" w:space="0" w:color="auto"/>
              <w:right w:val="single" w:sz="4" w:space="0" w:color="auto"/>
            </w:tcBorders>
            <w:shd w:val="clear" w:color="000000" w:fill="FFFFFF"/>
            <w:vAlign w:val="center"/>
            <w:hideMark/>
          </w:tcPr>
          <w:p w14:paraId="7CFCE269" w14:textId="56AB79E4"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 xml:space="preserve">Quantidade consumido (m³) / área total (m²)  </w:t>
            </w:r>
          </w:p>
        </w:tc>
        <w:tc>
          <w:tcPr>
            <w:tcW w:w="1366" w:type="dxa"/>
            <w:tcBorders>
              <w:top w:val="nil"/>
              <w:left w:val="nil"/>
              <w:bottom w:val="single" w:sz="4" w:space="0" w:color="auto"/>
              <w:right w:val="single" w:sz="8" w:space="0" w:color="auto"/>
            </w:tcBorders>
            <w:shd w:val="clear" w:color="000000" w:fill="FFFFFF"/>
            <w:noWrap/>
            <w:vAlign w:val="center"/>
            <w:hideMark/>
          </w:tcPr>
          <w:p w14:paraId="0C86D3F4"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m³</w:t>
            </w:r>
          </w:p>
        </w:tc>
        <w:tc>
          <w:tcPr>
            <w:tcW w:w="146" w:type="dxa"/>
            <w:vAlign w:val="center"/>
            <w:hideMark/>
          </w:tcPr>
          <w:p w14:paraId="2B7DEA38" w14:textId="77777777" w:rsidR="00A157E1" w:rsidRPr="00B951A3" w:rsidRDefault="00A157E1" w:rsidP="00A157E1">
            <w:pPr>
              <w:spacing w:after="0" w:line="240" w:lineRule="auto"/>
              <w:rPr>
                <w:rFonts w:eastAsia="Times New Roman" w:cstheme="minorHAnsi"/>
                <w:sz w:val="20"/>
                <w:szCs w:val="20"/>
                <w:lang w:eastAsia="pt-BR"/>
              </w:rPr>
            </w:pPr>
          </w:p>
        </w:tc>
      </w:tr>
      <w:tr w:rsidR="00A157E1" w:rsidRPr="00B951A3" w14:paraId="41B02CB8" w14:textId="77777777" w:rsidTr="0033161D">
        <w:trPr>
          <w:trHeight w:val="300"/>
        </w:trPr>
        <w:tc>
          <w:tcPr>
            <w:tcW w:w="1542" w:type="dxa"/>
            <w:vMerge/>
            <w:tcBorders>
              <w:top w:val="nil"/>
              <w:left w:val="single" w:sz="8" w:space="0" w:color="auto"/>
              <w:bottom w:val="single" w:sz="4" w:space="0" w:color="auto"/>
              <w:right w:val="single" w:sz="4" w:space="0" w:color="auto"/>
            </w:tcBorders>
            <w:shd w:val="clear" w:color="auto" w:fill="D6E3BC" w:themeFill="accent3" w:themeFillTint="66"/>
            <w:vAlign w:val="center"/>
            <w:hideMark/>
          </w:tcPr>
          <w:p w14:paraId="485C56BE" w14:textId="77777777" w:rsidR="00A157E1" w:rsidRPr="00B951A3" w:rsidRDefault="00A157E1" w:rsidP="00A157E1">
            <w:pPr>
              <w:spacing w:after="0" w:line="240" w:lineRule="auto"/>
              <w:rPr>
                <w:rFonts w:eastAsia="Times New Roman" w:cstheme="minorHAnsi"/>
                <w:b/>
                <w:bCs/>
                <w:color w:val="000000"/>
                <w:lang w:eastAsia="pt-BR"/>
              </w:rPr>
            </w:pPr>
          </w:p>
        </w:tc>
        <w:tc>
          <w:tcPr>
            <w:tcW w:w="403" w:type="dxa"/>
            <w:tcBorders>
              <w:top w:val="nil"/>
              <w:left w:val="nil"/>
              <w:bottom w:val="single" w:sz="4" w:space="0" w:color="auto"/>
              <w:right w:val="single" w:sz="4" w:space="0" w:color="auto"/>
            </w:tcBorders>
            <w:shd w:val="clear" w:color="000000" w:fill="FFFFFF"/>
            <w:noWrap/>
            <w:vAlign w:val="center"/>
            <w:hideMark/>
          </w:tcPr>
          <w:p w14:paraId="197880C1"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7</w:t>
            </w:r>
          </w:p>
        </w:tc>
        <w:tc>
          <w:tcPr>
            <w:tcW w:w="4860" w:type="dxa"/>
            <w:tcBorders>
              <w:top w:val="nil"/>
              <w:left w:val="nil"/>
              <w:bottom w:val="single" w:sz="4" w:space="0" w:color="auto"/>
              <w:right w:val="single" w:sz="4" w:space="0" w:color="auto"/>
            </w:tcBorders>
            <w:shd w:val="clear" w:color="000000" w:fill="FFFFFF"/>
            <w:vAlign w:val="center"/>
            <w:hideMark/>
          </w:tcPr>
          <w:p w14:paraId="3EF03BC3" w14:textId="77777777"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 xml:space="preserve">Consumo per capita (m³/população) </w:t>
            </w:r>
          </w:p>
        </w:tc>
        <w:tc>
          <w:tcPr>
            <w:tcW w:w="6178" w:type="dxa"/>
            <w:tcBorders>
              <w:top w:val="nil"/>
              <w:left w:val="nil"/>
              <w:bottom w:val="single" w:sz="4" w:space="0" w:color="auto"/>
              <w:right w:val="single" w:sz="4" w:space="0" w:color="auto"/>
            </w:tcBorders>
            <w:shd w:val="clear" w:color="000000" w:fill="FFFFFF"/>
            <w:vAlign w:val="center"/>
            <w:hideMark/>
          </w:tcPr>
          <w:p w14:paraId="213184E7" w14:textId="77777777"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Quantidade consumido (m³) /total de servidores</w:t>
            </w:r>
          </w:p>
        </w:tc>
        <w:tc>
          <w:tcPr>
            <w:tcW w:w="1366" w:type="dxa"/>
            <w:tcBorders>
              <w:top w:val="nil"/>
              <w:left w:val="nil"/>
              <w:bottom w:val="single" w:sz="4" w:space="0" w:color="auto"/>
              <w:right w:val="single" w:sz="8" w:space="0" w:color="auto"/>
            </w:tcBorders>
            <w:shd w:val="clear" w:color="000000" w:fill="FFFFFF"/>
            <w:noWrap/>
            <w:vAlign w:val="center"/>
            <w:hideMark/>
          </w:tcPr>
          <w:p w14:paraId="03C45C53"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m³</w:t>
            </w:r>
          </w:p>
        </w:tc>
        <w:tc>
          <w:tcPr>
            <w:tcW w:w="146" w:type="dxa"/>
            <w:vAlign w:val="center"/>
            <w:hideMark/>
          </w:tcPr>
          <w:p w14:paraId="1F169DCB" w14:textId="77777777" w:rsidR="00A157E1" w:rsidRPr="00B951A3" w:rsidRDefault="00A157E1" w:rsidP="00A157E1">
            <w:pPr>
              <w:spacing w:after="0" w:line="240" w:lineRule="auto"/>
              <w:rPr>
                <w:rFonts w:eastAsia="Times New Roman" w:cstheme="minorHAnsi"/>
                <w:sz w:val="20"/>
                <w:szCs w:val="20"/>
                <w:lang w:eastAsia="pt-BR"/>
              </w:rPr>
            </w:pPr>
          </w:p>
        </w:tc>
      </w:tr>
      <w:tr w:rsidR="00A157E1" w:rsidRPr="00B951A3" w14:paraId="6EF99877" w14:textId="77777777" w:rsidTr="0033161D">
        <w:trPr>
          <w:trHeight w:val="1200"/>
        </w:trPr>
        <w:tc>
          <w:tcPr>
            <w:tcW w:w="1542" w:type="dxa"/>
            <w:vMerge w:val="restart"/>
            <w:tcBorders>
              <w:top w:val="nil"/>
              <w:left w:val="single" w:sz="8" w:space="0" w:color="auto"/>
              <w:bottom w:val="single" w:sz="4" w:space="0" w:color="auto"/>
              <w:right w:val="single" w:sz="4" w:space="0" w:color="auto"/>
            </w:tcBorders>
            <w:shd w:val="clear" w:color="auto" w:fill="D6E3BC" w:themeFill="accent3" w:themeFillTint="66"/>
            <w:vAlign w:val="center"/>
            <w:hideMark/>
          </w:tcPr>
          <w:p w14:paraId="1EB05C9F" w14:textId="77777777" w:rsidR="00A157E1" w:rsidRPr="00B951A3" w:rsidRDefault="00A157E1" w:rsidP="00A157E1">
            <w:pPr>
              <w:spacing w:after="0" w:line="240" w:lineRule="auto"/>
              <w:jc w:val="center"/>
              <w:rPr>
                <w:rFonts w:eastAsia="Times New Roman" w:cstheme="minorHAnsi"/>
                <w:b/>
                <w:bCs/>
                <w:color w:val="000000"/>
                <w:lang w:eastAsia="pt-BR"/>
              </w:rPr>
            </w:pPr>
            <w:r w:rsidRPr="00B951A3">
              <w:rPr>
                <w:rFonts w:eastAsia="Times New Roman" w:cstheme="minorHAnsi"/>
                <w:b/>
                <w:bCs/>
                <w:color w:val="000000"/>
                <w:lang w:eastAsia="pt-BR"/>
              </w:rPr>
              <w:t>Limpeza</w:t>
            </w:r>
          </w:p>
        </w:tc>
        <w:tc>
          <w:tcPr>
            <w:tcW w:w="403" w:type="dxa"/>
            <w:tcBorders>
              <w:top w:val="nil"/>
              <w:left w:val="nil"/>
              <w:bottom w:val="single" w:sz="4" w:space="0" w:color="auto"/>
              <w:right w:val="single" w:sz="4" w:space="0" w:color="auto"/>
            </w:tcBorders>
            <w:shd w:val="clear" w:color="000000" w:fill="FFFFFF"/>
            <w:noWrap/>
            <w:vAlign w:val="center"/>
            <w:hideMark/>
          </w:tcPr>
          <w:p w14:paraId="6EDE0811"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8</w:t>
            </w:r>
          </w:p>
        </w:tc>
        <w:tc>
          <w:tcPr>
            <w:tcW w:w="4860" w:type="dxa"/>
            <w:tcBorders>
              <w:top w:val="nil"/>
              <w:left w:val="nil"/>
              <w:bottom w:val="single" w:sz="4" w:space="0" w:color="auto"/>
              <w:right w:val="single" w:sz="4" w:space="0" w:color="auto"/>
            </w:tcBorders>
            <w:shd w:val="clear" w:color="auto" w:fill="auto"/>
            <w:noWrap/>
            <w:vAlign w:val="center"/>
            <w:hideMark/>
          </w:tcPr>
          <w:p w14:paraId="56E858E1" w14:textId="77777777" w:rsidR="00A157E1" w:rsidRPr="00B951A3" w:rsidRDefault="00A157E1" w:rsidP="00A157E1">
            <w:pPr>
              <w:spacing w:after="0" w:line="240" w:lineRule="auto"/>
              <w:jc w:val="both"/>
              <w:rPr>
                <w:rFonts w:eastAsia="Times New Roman" w:cstheme="minorHAnsi"/>
                <w:sz w:val="24"/>
                <w:szCs w:val="24"/>
                <w:lang w:eastAsia="pt-BR"/>
              </w:rPr>
            </w:pPr>
            <w:r w:rsidRPr="00B951A3">
              <w:rPr>
                <w:rFonts w:eastAsia="Times New Roman" w:cstheme="minorHAnsi"/>
                <w:lang w:eastAsia="pt-BR"/>
              </w:rPr>
              <w:t>Acompanhamento da atualização do conhecimento sobre novas orientações de trabalho no que se refere as boas práticas de redução de desperdício e otimização do serviço.</w:t>
            </w:r>
            <w:r w:rsidRPr="00B951A3">
              <w:rPr>
                <w:rFonts w:eastAsia="Times New Roman" w:cstheme="minorHAnsi"/>
                <w:sz w:val="24"/>
                <w:szCs w:val="24"/>
                <w:lang w:eastAsia="pt-BR"/>
              </w:rPr>
              <w:t xml:space="preserve"> </w:t>
            </w:r>
          </w:p>
        </w:tc>
        <w:tc>
          <w:tcPr>
            <w:tcW w:w="6178" w:type="dxa"/>
            <w:tcBorders>
              <w:top w:val="nil"/>
              <w:left w:val="nil"/>
              <w:bottom w:val="single" w:sz="4" w:space="0" w:color="auto"/>
              <w:right w:val="single" w:sz="4" w:space="0" w:color="auto"/>
            </w:tcBorders>
            <w:shd w:val="clear" w:color="000000" w:fill="FFFFFF"/>
            <w:vAlign w:val="center"/>
            <w:hideMark/>
          </w:tcPr>
          <w:p w14:paraId="2AA68E60" w14:textId="654D9E50" w:rsidR="00A157E1" w:rsidRPr="00B951A3" w:rsidRDefault="00A157E1" w:rsidP="00A157E1">
            <w:pPr>
              <w:spacing w:after="0" w:line="240" w:lineRule="auto"/>
              <w:rPr>
                <w:rFonts w:eastAsia="Times New Roman" w:cstheme="minorHAnsi"/>
                <w:lang w:eastAsia="pt-BR"/>
              </w:rPr>
            </w:pPr>
            <w:r w:rsidRPr="00B951A3">
              <w:rPr>
                <w:rFonts w:eastAsia="Times New Roman" w:cstheme="minorHAnsi"/>
                <w:lang w:eastAsia="pt-BR"/>
              </w:rPr>
              <w:t xml:space="preserve"> Quantidade de atualizações do conhecimento sobre novas orientações de trabalho no que se refere as boas práticas de redução de desperdício e otimização do serviço realizadas por contrato/ano  </w:t>
            </w:r>
          </w:p>
        </w:tc>
        <w:tc>
          <w:tcPr>
            <w:tcW w:w="1366" w:type="dxa"/>
            <w:tcBorders>
              <w:top w:val="nil"/>
              <w:left w:val="nil"/>
              <w:bottom w:val="single" w:sz="4" w:space="0" w:color="auto"/>
              <w:right w:val="single" w:sz="8" w:space="0" w:color="auto"/>
            </w:tcBorders>
            <w:shd w:val="clear" w:color="000000" w:fill="FFFFFF"/>
            <w:noWrap/>
            <w:vAlign w:val="center"/>
            <w:hideMark/>
          </w:tcPr>
          <w:p w14:paraId="52B0BC29"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nº</w:t>
            </w:r>
          </w:p>
        </w:tc>
        <w:tc>
          <w:tcPr>
            <w:tcW w:w="146" w:type="dxa"/>
            <w:vAlign w:val="center"/>
            <w:hideMark/>
          </w:tcPr>
          <w:p w14:paraId="612F4F14" w14:textId="77777777" w:rsidR="00A157E1" w:rsidRPr="00B951A3" w:rsidRDefault="00A157E1" w:rsidP="00A157E1">
            <w:pPr>
              <w:spacing w:after="0" w:line="240" w:lineRule="auto"/>
              <w:rPr>
                <w:rFonts w:eastAsia="Times New Roman" w:cstheme="minorHAnsi"/>
                <w:sz w:val="20"/>
                <w:szCs w:val="20"/>
                <w:lang w:eastAsia="pt-BR"/>
              </w:rPr>
            </w:pPr>
          </w:p>
        </w:tc>
      </w:tr>
      <w:tr w:rsidR="00A157E1" w:rsidRPr="00B951A3" w14:paraId="07496F15" w14:textId="77777777" w:rsidTr="0033161D">
        <w:trPr>
          <w:trHeight w:val="885"/>
        </w:trPr>
        <w:tc>
          <w:tcPr>
            <w:tcW w:w="1542" w:type="dxa"/>
            <w:vMerge/>
            <w:tcBorders>
              <w:top w:val="nil"/>
              <w:left w:val="single" w:sz="8" w:space="0" w:color="auto"/>
              <w:bottom w:val="single" w:sz="4" w:space="0" w:color="auto"/>
              <w:right w:val="single" w:sz="4" w:space="0" w:color="auto"/>
            </w:tcBorders>
            <w:shd w:val="clear" w:color="auto" w:fill="D6E3BC" w:themeFill="accent3" w:themeFillTint="66"/>
            <w:vAlign w:val="center"/>
            <w:hideMark/>
          </w:tcPr>
          <w:p w14:paraId="785B0423" w14:textId="77777777" w:rsidR="00A157E1" w:rsidRPr="00B951A3" w:rsidRDefault="00A157E1" w:rsidP="00A157E1">
            <w:pPr>
              <w:spacing w:after="0" w:line="240" w:lineRule="auto"/>
              <w:rPr>
                <w:rFonts w:eastAsia="Times New Roman" w:cstheme="minorHAnsi"/>
                <w:b/>
                <w:bCs/>
                <w:color w:val="000000"/>
                <w:lang w:eastAsia="pt-BR"/>
              </w:rPr>
            </w:pPr>
          </w:p>
        </w:tc>
        <w:tc>
          <w:tcPr>
            <w:tcW w:w="403" w:type="dxa"/>
            <w:tcBorders>
              <w:top w:val="nil"/>
              <w:left w:val="nil"/>
              <w:bottom w:val="single" w:sz="4" w:space="0" w:color="auto"/>
              <w:right w:val="single" w:sz="4" w:space="0" w:color="auto"/>
            </w:tcBorders>
            <w:shd w:val="clear" w:color="000000" w:fill="FFFFFF"/>
            <w:noWrap/>
            <w:vAlign w:val="center"/>
            <w:hideMark/>
          </w:tcPr>
          <w:p w14:paraId="56BABD1B"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9</w:t>
            </w:r>
          </w:p>
        </w:tc>
        <w:tc>
          <w:tcPr>
            <w:tcW w:w="4860" w:type="dxa"/>
            <w:tcBorders>
              <w:top w:val="nil"/>
              <w:left w:val="nil"/>
              <w:bottom w:val="single" w:sz="4" w:space="0" w:color="auto"/>
              <w:right w:val="single" w:sz="4" w:space="0" w:color="auto"/>
            </w:tcBorders>
            <w:shd w:val="clear" w:color="000000" w:fill="FFFFFF"/>
            <w:vAlign w:val="bottom"/>
            <w:hideMark/>
          </w:tcPr>
          <w:p w14:paraId="54F5A187" w14:textId="77777777"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Quantidade de materiais que atendem os requisitos socioambientais do TR</w:t>
            </w:r>
          </w:p>
        </w:tc>
        <w:tc>
          <w:tcPr>
            <w:tcW w:w="6178" w:type="dxa"/>
            <w:tcBorders>
              <w:top w:val="nil"/>
              <w:left w:val="nil"/>
              <w:bottom w:val="single" w:sz="4" w:space="0" w:color="auto"/>
              <w:right w:val="single" w:sz="4" w:space="0" w:color="auto"/>
            </w:tcBorders>
            <w:shd w:val="clear" w:color="000000" w:fill="FFFFFF"/>
            <w:vAlign w:val="center"/>
            <w:hideMark/>
          </w:tcPr>
          <w:p w14:paraId="6E42A762" w14:textId="6BC7DF0E"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Número de itens fornecidos pela empresa com critérios de sustentabilidade/Quantidade de itens</w:t>
            </w:r>
            <w:r w:rsidRPr="00B951A3">
              <w:rPr>
                <w:rFonts w:eastAsia="Times New Roman" w:cstheme="minorHAnsi"/>
                <w:color w:val="FF0000"/>
                <w:lang w:eastAsia="pt-BR"/>
              </w:rPr>
              <w:t xml:space="preserve"> </w:t>
            </w:r>
            <w:r w:rsidRPr="00B951A3">
              <w:rPr>
                <w:rFonts w:eastAsia="Times New Roman" w:cstheme="minorHAnsi"/>
                <w:lang w:eastAsia="pt-BR"/>
              </w:rPr>
              <w:t xml:space="preserve">com critérios de sustentabilidade </w:t>
            </w:r>
            <w:r w:rsidR="00B951A3" w:rsidRPr="00B951A3">
              <w:rPr>
                <w:rFonts w:eastAsia="Times New Roman" w:cstheme="minorHAnsi"/>
                <w:lang w:eastAsia="pt-BR"/>
              </w:rPr>
              <w:t>previstos</w:t>
            </w:r>
            <w:r w:rsidRPr="00B951A3">
              <w:rPr>
                <w:rFonts w:eastAsia="Times New Roman" w:cstheme="minorHAnsi"/>
                <w:lang w:eastAsia="pt-BR"/>
              </w:rPr>
              <w:t xml:space="preserve"> no contrato</w:t>
            </w:r>
          </w:p>
        </w:tc>
        <w:tc>
          <w:tcPr>
            <w:tcW w:w="1366" w:type="dxa"/>
            <w:tcBorders>
              <w:top w:val="nil"/>
              <w:left w:val="nil"/>
              <w:bottom w:val="single" w:sz="4" w:space="0" w:color="auto"/>
              <w:right w:val="single" w:sz="8" w:space="0" w:color="auto"/>
            </w:tcBorders>
            <w:shd w:val="clear" w:color="000000" w:fill="FFFFFF"/>
            <w:noWrap/>
            <w:vAlign w:val="center"/>
            <w:hideMark/>
          </w:tcPr>
          <w:p w14:paraId="0E1C57A9"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nº</w:t>
            </w:r>
          </w:p>
        </w:tc>
        <w:tc>
          <w:tcPr>
            <w:tcW w:w="146" w:type="dxa"/>
            <w:vAlign w:val="center"/>
            <w:hideMark/>
          </w:tcPr>
          <w:p w14:paraId="705BA803" w14:textId="77777777" w:rsidR="00A157E1" w:rsidRPr="00B951A3" w:rsidRDefault="00A157E1" w:rsidP="00A157E1">
            <w:pPr>
              <w:spacing w:after="0" w:line="240" w:lineRule="auto"/>
              <w:rPr>
                <w:rFonts w:eastAsia="Times New Roman" w:cstheme="minorHAnsi"/>
                <w:sz w:val="20"/>
                <w:szCs w:val="20"/>
                <w:lang w:eastAsia="pt-BR"/>
              </w:rPr>
            </w:pPr>
          </w:p>
        </w:tc>
      </w:tr>
      <w:tr w:rsidR="00A157E1" w:rsidRPr="00B951A3" w14:paraId="7D886C18" w14:textId="77777777" w:rsidTr="0033161D">
        <w:trPr>
          <w:trHeight w:val="945"/>
        </w:trPr>
        <w:tc>
          <w:tcPr>
            <w:tcW w:w="1542" w:type="dxa"/>
            <w:tcBorders>
              <w:top w:val="nil"/>
              <w:left w:val="single" w:sz="8" w:space="0" w:color="auto"/>
              <w:bottom w:val="single" w:sz="4" w:space="0" w:color="auto"/>
              <w:right w:val="single" w:sz="4" w:space="0" w:color="auto"/>
            </w:tcBorders>
            <w:shd w:val="clear" w:color="auto" w:fill="D6E3BC" w:themeFill="accent3" w:themeFillTint="66"/>
            <w:vAlign w:val="center"/>
            <w:hideMark/>
          </w:tcPr>
          <w:p w14:paraId="27373300" w14:textId="77777777" w:rsidR="00A157E1" w:rsidRPr="00B951A3" w:rsidRDefault="00A157E1" w:rsidP="00A157E1">
            <w:pPr>
              <w:spacing w:after="0" w:line="240" w:lineRule="auto"/>
              <w:jc w:val="center"/>
              <w:rPr>
                <w:rFonts w:eastAsia="Times New Roman" w:cstheme="minorHAnsi"/>
                <w:b/>
                <w:bCs/>
                <w:color w:val="000000"/>
                <w:lang w:eastAsia="pt-BR"/>
              </w:rPr>
            </w:pPr>
            <w:r w:rsidRPr="00B951A3">
              <w:rPr>
                <w:rFonts w:eastAsia="Times New Roman" w:cstheme="minorHAnsi"/>
                <w:b/>
                <w:bCs/>
                <w:color w:val="000000"/>
                <w:lang w:eastAsia="pt-BR"/>
              </w:rPr>
              <w:t>Segurança</w:t>
            </w:r>
          </w:p>
        </w:tc>
        <w:tc>
          <w:tcPr>
            <w:tcW w:w="403" w:type="dxa"/>
            <w:tcBorders>
              <w:top w:val="nil"/>
              <w:left w:val="nil"/>
              <w:bottom w:val="single" w:sz="4" w:space="0" w:color="auto"/>
              <w:right w:val="single" w:sz="4" w:space="0" w:color="auto"/>
            </w:tcBorders>
            <w:shd w:val="clear" w:color="auto" w:fill="auto"/>
            <w:noWrap/>
            <w:vAlign w:val="center"/>
            <w:hideMark/>
          </w:tcPr>
          <w:p w14:paraId="0BAC4D96"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11</w:t>
            </w:r>
          </w:p>
        </w:tc>
        <w:tc>
          <w:tcPr>
            <w:tcW w:w="4860" w:type="dxa"/>
            <w:tcBorders>
              <w:top w:val="nil"/>
              <w:left w:val="nil"/>
              <w:bottom w:val="single" w:sz="4" w:space="0" w:color="auto"/>
              <w:right w:val="single" w:sz="4" w:space="0" w:color="auto"/>
            </w:tcBorders>
            <w:shd w:val="clear" w:color="000000" w:fill="FFFFFF"/>
            <w:vAlign w:val="center"/>
            <w:hideMark/>
          </w:tcPr>
          <w:p w14:paraId="6C292B03" w14:textId="77777777"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 xml:space="preserve">Registro de ocorrências como roubo, furto, invasão (anotado em livro de ocorrência) nas unidades com vigilância orgânica </w:t>
            </w:r>
            <w:r w:rsidRPr="00B951A3">
              <w:rPr>
                <w:rFonts w:eastAsia="Times New Roman" w:cstheme="minorHAnsi"/>
                <w:lang w:eastAsia="pt-BR"/>
              </w:rPr>
              <w:t xml:space="preserve">ou eletrônica </w:t>
            </w:r>
          </w:p>
        </w:tc>
        <w:tc>
          <w:tcPr>
            <w:tcW w:w="6178" w:type="dxa"/>
            <w:tcBorders>
              <w:top w:val="nil"/>
              <w:left w:val="nil"/>
              <w:bottom w:val="single" w:sz="4" w:space="0" w:color="auto"/>
              <w:right w:val="single" w:sz="4" w:space="0" w:color="auto"/>
            </w:tcBorders>
            <w:shd w:val="clear" w:color="000000" w:fill="FFFFFF"/>
            <w:vAlign w:val="center"/>
            <w:hideMark/>
          </w:tcPr>
          <w:p w14:paraId="026402C9" w14:textId="77777777"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Total do número de ocorrências como roubo, furto, invasão nas unidades com vigilância orgânica</w:t>
            </w:r>
          </w:p>
        </w:tc>
        <w:tc>
          <w:tcPr>
            <w:tcW w:w="1366" w:type="dxa"/>
            <w:tcBorders>
              <w:top w:val="nil"/>
              <w:left w:val="nil"/>
              <w:bottom w:val="single" w:sz="4" w:space="0" w:color="auto"/>
              <w:right w:val="single" w:sz="8" w:space="0" w:color="auto"/>
            </w:tcBorders>
            <w:shd w:val="clear" w:color="000000" w:fill="FFFFFF"/>
            <w:noWrap/>
            <w:vAlign w:val="center"/>
            <w:hideMark/>
          </w:tcPr>
          <w:p w14:paraId="51CB93B0"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nº</w:t>
            </w:r>
          </w:p>
        </w:tc>
        <w:tc>
          <w:tcPr>
            <w:tcW w:w="146" w:type="dxa"/>
            <w:vAlign w:val="center"/>
            <w:hideMark/>
          </w:tcPr>
          <w:p w14:paraId="09EDA966" w14:textId="77777777" w:rsidR="00A157E1" w:rsidRPr="00B951A3" w:rsidRDefault="00A157E1" w:rsidP="00A157E1">
            <w:pPr>
              <w:spacing w:after="0" w:line="240" w:lineRule="auto"/>
              <w:rPr>
                <w:rFonts w:eastAsia="Times New Roman" w:cstheme="minorHAnsi"/>
                <w:sz w:val="20"/>
                <w:szCs w:val="20"/>
                <w:lang w:eastAsia="pt-BR"/>
              </w:rPr>
            </w:pPr>
          </w:p>
        </w:tc>
      </w:tr>
      <w:tr w:rsidR="00A157E1" w:rsidRPr="00B951A3" w14:paraId="6EE27DFE" w14:textId="77777777" w:rsidTr="0033161D">
        <w:trPr>
          <w:trHeight w:val="1080"/>
        </w:trPr>
        <w:tc>
          <w:tcPr>
            <w:tcW w:w="1542" w:type="dxa"/>
            <w:vMerge w:val="restart"/>
            <w:tcBorders>
              <w:top w:val="nil"/>
              <w:left w:val="single" w:sz="8" w:space="0" w:color="auto"/>
              <w:bottom w:val="single" w:sz="4" w:space="0" w:color="auto"/>
              <w:right w:val="single" w:sz="4" w:space="0" w:color="auto"/>
            </w:tcBorders>
            <w:shd w:val="clear" w:color="auto" w:fill="D6E3BC" w:themeFill="accent3" w:themeFillTint="66"/>
            <w:vAlign w:val="center"/>
            <w:hideMark/>
          </w:tcPr>
          <w:p w14:paraId="75A7BDD7" w14:textId="77777777" w:rsidR="00A157E1" w:rsidRPr="00B951A3" w:rsidRDefault="00A157E1" w:rsidP="00A157E1">
            <w:pPr>
              <w:spacing w:after="0" w:line="240" w:lineRule="auto"/>
              <w:jc w:val="center"/>
              <w:rPr>
                <w:rFonts w:eastAsia="Times New Roman" w:cstheme="minorHAnsi"/>
                <w:b/>
                <w:bCs/>
                <w:color w:val="000000"/>
                <w:lang w:eastAsia="pt-BR"/>
              </w:rPr>
            </w:pPr>
            <w:r w:rsidRPr="00B951A3">
              <w:rPr>
                <w:rFonts w:eastAsia="Times New Roman" w:cstheme="minorHAnsi"/>
                <w:b/>
                <w:bCs/>
                <w:color w:val="000000"/>
                <w:lang w:eastAsia="pt-BR"/>
              </w:rPr>
              <w:lastRenderedPageBreak/>
              <w:t>Gestão de Resíduos</w:t>
            </w:r>
          </w:p>
        </w:tc>
        <w:tc>
          <w:tcPr>
            <w:tcW w:w="403" w:type="dxa"/>
            <w:tcBorders>
              <w:top w:val="nil"/>
              <w:left w:val="nil"/>
              <w:bottom w:val="single" w:sz="4" w:space="0" w:color="auto"/>
              <w:right w:val="single" w:sz="4" w:space="0" w:color="auto"/>
            </w:tcBorders>
            <w:shd w:val="clear" w:color="000000" w:fill="FFFFFF"/>
            <w:noWrap/>
            <w:vAlign w:val="center"/>
            <w:hideMark/>
          </w:tcPr>
          <w:p w14:paraId="3F2ADB50"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12</w:t>
            </w:r>
          </w:p>
        </w:tc>
        <w:tc>
          <w:tcPr>
            <w:tcW w:w="4860" w:type="dxa"/>
            <w:tcBorders>
              <w:top w:val="nil"/>
              <w:left w:val="nil"/>
              <w:bottom w:val="single" w:sz="4" w:space="0" w:color="auto"/>
              <w:right w:val="single" w:sz="4" w:space="0" w:color="auto"/>
            </w:tcBorders>
            <w:shd w:val="clear" w:color="000000" w:fill="FFFFFF"/>
            <w:vAlign w:val="center"/>
            <w:hideMark/>
          </w:tcPr>
          <w:p w14:paraId="6A2C6FCA" w14:textId="0773435F" w:rsidR="00A157E1" w:rsidRPr="00B951A3" w:rsidRDefault="00A157E1" w:rsidP="00A157E1">
            <w:pPr>
              <w:spacing w:after="0" w:line="240" w:lineRule="auto"/>
              <w:rPr>
                <w:rFonts w:eastAsia="Times New Roman" w:cstheme="minorHAnsi"/>
                <w:lang w:eastAsia="pt-BR"/>
              </w:rPr>
            </w:pPr>
            <w:r w:rsidRPr="00B951A3">
              <w:rPr>
                <w:rFonts w:eastAsia="Times New Roman" w:cstheme="minorHAnsi"/>
                <w:lang w:eastAsia="pt-BR"/>
              </w:rPr>
              <w:t xml:space="preserve">Unidades que adotam a coleta seletiva solidária, em conformidade ao Decreto nº 5.940 de 26 de outubro de 2006 ou outro tipo de descarte de </w:t>
            </w:r>
            <w:r w:rsidR="00B951A3" w:rsidRPr="00B951A3">
              <w:rPr>
                <w:rFonts w:eastAsia="Times New Roman" w:cstheme="minorHAnsi"/>
                <w:lang w:eastAsia="pt-BR"/>
              </w:rPr>
              <w:t>resíduos</w:t>
            </w:r>
            <w:r w:rsidRPr="00B951A3">
              <w:rPr>
                <w:rFonts w:eastAsia="Times New Roman" w:cstheme="minorHAnsi"/>
                <w:lang w:eastAsia="pt-BR"/>
              </w:rPr>
              <w:t xml:space="preserve"> </w:t>
            </w:r>
          </w:p>
        </w:tc>
        <w:tc>
          <w:tcPr>
            <w:tcW w:w="6178" w:type="dxa"/>
            <w:tcBorders>
              <w:top w:val="nil"/>
              <w:left w:val="nil"/>
              <w:bottom w:val="single" w:sz="4" w:space="0" w:color="auto"/>
              <w:right w:val="single" w:sz="4" w:space="0" w:color="auto"/>
            </w:tcBorders>
            <w:shd w:val="clear" w:color="000000" w:fill="FFFFFF"/>
            <w:vAlign w:val="center"/>
            <w:hideMark/>
          </w:tcPr>
          <w:p w14:paraId="45C98F85" w14:textId="646EB26E" w:rsidR="00A157E1" w:rsidRPr="00B951A3" w:rsidRDefault="00A157E1" w:rsidP="00A157E1">
            <w:pPr>
              <w:spacing w:after="0" w:line="240" w:lineRule="auto"/>
              <w:rPr>
                <w:rFonts w:eastAsia="Times New Roman" w:cstheme="minorHAnsi"/>
                <w:lang w:eastAsia="pt-BR"/>
              </w:rPr>
            </w:pPr>
            <w:r w:rsidRPr="00B951A3">
              <w:rPr>
                <w:rFonts w:eastAsia="Times New Roman" w:cstheme="minorHAnsi"/>
                <w:lang w:eastAsia="pt-BR"/>
              </w:rPr>
              <w:t xml:space="preserve">Quantidade de unidades que adotam a coleta seletiva solidária, em conformidade ao Decreto nº 5.940 de 26 de outubro de 2006 ou outro tipo de descarte de </w:t>
            </w:r>
            <w:r w:rsidR="00B951A3" w:rsidRPr="00B951A3">
              <w:rPr>
                <w:rFonts w:eastAsia="Times New Roman" w:cstheme="minorHAnsi"/>
                <w:lang w:eastAsia="pt-BR"/>
              </w:rPr>
              <w:t>resíduos</w:t>
            </w:r>
            <w:r w:rsidRPr="00B951A3">
              <w:rPr>
                <w:rFonts w:eastAsia="Times New Roman" w:cstheme="minorHAnsi"/>
                <w:lang w:eastAsia="pt-BR"/>
              </w:rPr>
              <w:t xml:space="preserve"> </w:t>
            </w:r>
          </w:p>
        </w:tc>
        <w:tc>
          <w:tcPr>
            <w:tcW w:w="1366" w:type="dxa"/>
            <w:tcBorders>
              <w:top w:val="nil"/>
              <w:left w:val="nil"/>
              <w:bottom w:val="single" w:sz="4" w:space="0" w:color="auto"/>
              <w:right w:val="single" w:sz="8" w:space="0" w:color="auto"/>
            </w:tcBorders>
            <w:shd w:val="clear" w:color="000000" w:fill="FFFFFF"/>
            <w:noWrap/>
            <w:vAlign w:val="center"/>
            <w:hideMark/>
          </w:tcPr>
          <w:p w14:paraId="6093B3D0"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nº</w:t>
            </w:r>
          </w:p>
        </w:tc>
        <w:tc>
          <w:tcPr>
            <w:tcW w:w="146" w:type="dxa"/>
            <w:vAlign w:val="center"/>
            <w:hideMark/>
          </w:tcPr>
          <w:p w14:paraId="1D660BE1" w14:textId="77777777" w:rsidR="00A157E1" w:rsidRPr="00B951A3" w:rsidRDefault="00A157E1" w:rsidP="00A157E1">
            <w:pPr>
              <w:spacing w:after="0" w:line="240" w:lineRule="auto"/>
              <w:rPr>
                <w:rFonts w:eastAsia="Times New Roman" w:cstheme="minorHAnsi"/>
                <w:sz w:val="20"/>
                <w:szCs w:val="20"/>
                <w:lang w:eastAsia="pt-BR"/>
              </w:rPr>
            </w:pPr>
          </w:p>
        </w:tc>
      </w:tr>
      <w:tr w:rsidR="00A157E1" w:rsidRPr="00B951A3" w14:paraId="2947C48D" w14:textId="77777777" w:rsidTr="0033161D">
        <w:trPr>
          <w:trHeight w:val="600"/>
        </w:trPr>
        <w:tc>
          <w:tcPr>
            <w:tcW w:w="1542" w:type="dxa"/>
            <w:vMerge/>
            <w:tcBorders>
              <w:top w:val="nil"/>
              <w:left w:val="single" w:sz="8" w:space="0" w:color="auto"/>
              <w:bottom w:val="single" w:sz="4" w:space="0" w:color="auto"/>
              <w:right w:val="single" w:sz="4" w:space="0" w:color="auto"/>
            </w:tcBorders>
            <w:shd w:val="clear" w:color="auto" w:fill="D6E3BC" w:themeFill="accent3" w:themeFillTint="66"/>
            <w:vAlign w:val="center"/>
            <w:hideMark/>
          </w:tcPr>
          <w:p w14:paraId="02086F84" w14:textId="77777777" w:rsidR="00A157E1" w:rsidRPr="00B951A3" w:rsidRDefault="00A157E1" w:rsidP="00A157E1">
            <w:pPr>
              <w:spacing w:after="0" w:line="240" w:lineRule="auto"/>
              <w:rPr>
                <w:rFonts w:eastAsia="Times New Roman" w:cstheme="minorHAnsi"/>
                <w:b/>
                <w:bCs/>
                <w:color w:val="000000"/>
                <w:lang w:eastAsia="pt-BR"/>
              </w:rPr>
            </w:pPr>
          </w:p>
        </w:tc>
        <w:tc>
          <w:tcPr>
            <w:tcW w:w="403" w:type="dxa"/>
            <w:tcBorders>
              <w:top w:val="nil"/>
              <w:left w:val="nil"/>
              <w:bottom w:val="single" w:sz="4" w:space="0" w:color="auto"/>
              <w:right w:val="single" w:sz="4" w:space="0" w:color="auto"/>
            </w:tcBorders>
            <w:shd w:val="clear" w:color="auto" w:fill="auto"/>
            <w:noWrap/>
            <w:vAlign w:val="center"/>
            <w:hideMark/>
          </w:tcPr>
          <w:p w14:paraId="18AAC058"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13</w:t>
            </w:r>
          </w:p>
        </w:tc>
        <w:tc>
          <w:tcPr>
            <w:tcW w:w="4860" w:type="dxa"/>
            <w:tcBorders>
              <w:top w:val="nil"/>
              <w:left w:val="nil"/>
              <w:bottom w:val="single" w:sz="4" w:space="0" w:color="auto"/>
              <w:right w:val="single" w:sz="4" w:space="0" w:color="auto"/>
            </w:tcBorders>
            <w:shd w:val="clear" w:color="000000" w:fill="FFFFFF"/>
            <w:vAlign w:val="center"/>
            <w:hideMark/>
          </w:tcPr>
          <w:p w14:paraId="69A1BBF2" w14:textId="77777777"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Acompanhamento da quantidade de itens enviados para logística reversa</w:t>
            </w:r>
          </w:p>
        </w:tc>
        <w:tc>
          <w:tcPr>
            <w:tcW w:w="6178" w:type="dxa"/>
            <w:tcBorders>
              <w:top w:val="nil"/>
              <w:left w:val="nil"/>
              <w:bottom w:val="single" w:sz="4" w:space="0" w:color="auto"/>
              <w:right w:val="single" w:sz="4" w:space="0" w:color="auto"/>
            </w:tcBorders>
            <w:shd w:val="clear" w:color="000000" w:fill="FFFFFF"/>
            <w:vAlign w:val="center"/>
            <w:hideMark/>
          </w:tcPr>
          <w:p w14:paraId="7CB42ACC" w14:textId="77777777"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Quantidade de itens enviados para logística reversa</w:t>
            </w:r>
          </w:p>
        </w:tc>
        <w:tc>
          <w:tcPr>
            <w:tcW w:w="1366" w:type="dxa"/>
            <w:tcBorders>
              <w:top w:val="nil"/>
              <w:left w:val="nil"/>
              <w:bottom w:val="single" w:sz="4" w:space="0" w:color="auto"/>
              <w:right w:val="single" w:sz="8" w:space="0" w:color="auto"/>
            </w:tcBorders>
            <w:shd w:val="clear" w:color="000000" w:fill="FFFFFF"/>
            <w:noWrap/>
            <w:vAlign w:val="center"/>
            <w:hideMark/>
          </w:tcPr>
          <w:p w14:paraId="26DAC5ED"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nº</w:t>
            </w:r>
          </w:p>
        </w:tc>
        <w:tc>
          <w:tcPr>
            <w:tcW w:w="146" w:type="dxa"/>
            <w:vAlign w:val="center"/>
            <w:hideMark/>
          </w:tcPr>
          <w:p w14:paraId="31E7EBA4" w14:textId="77777777" w:rsidR="00A157E1" w:rsidRPr="00B951A3" w:rsidRDefault="00A157E1" w:rsidP="00A157E1">
            <w:pPr>
              <w:spacing w:after="0" w:line="240" w:lineRule="auto"/>
              <w:rPr>
                <w:rFonts w:eastAsia="Times New Roman" w:cstheme="minorHAnsi"/>
                <w:sz w:val="20"/>
                <w:szCs w:val="20"/>
                <w:lang w:eastAsia="pt-BR"/>
              </w:rPr>
            </w:pPr>
          </w:p>
        </w:tc>
      </w:tr>
      <w:tr w:rsidR="00A157E1" w:rsidRPr="00B951A3" w14:paraId="73FB0A41" w14:textId="77777777" w:rsidTr="0033161D">
        <w:trPr>
          <w:trHeight w:val="885"/>
        </w:trPr>
        <w:tc>
          <w:tcPr>
            <w:tcW w:w="1542" w:type="dxa"/>
            <w:vMerge/>
            <w:tcBorders>
              <w:top w:val="nil"/>
              <w:left w:val="single" w:sz="8" w:space="0" w:color="auto"/>
              <w:bottom w:val="single" w:sz="4" w:space="0" w:color="auto"/>
              <w:right w:val="single" w:sz="4" w:space="0" w:color="auto"/>
            </w:tcBorders>
            <w:shd w:val="clear" w:color="auto" w:fill="D6E3BC" w:themeFill="accent3" w:themeFillTint="66"/>
            <w:vAlign w:val="center"/>
            <w:hideMark/>
          </w:tcPr>
          <w:p w14:paraId="414C241F" w14:textId="77777777" w:rsidR="00A157E1" w:rsidRPr="00B951A3" w:rsidRDefault="00A157E1" w:rsidP="00A157E1">
            <w:pPr>
              <w:spacing w:after="0" w:line="240" w:lineRule="auto"/>
              <w:rPr>
                <w:rFonts w:eastAsia="Times New Roman" w:cstheme="minorHAnsi"/>
                <w:b/>
                <w:bCs/>
                <w:color w:val="000000"/>
                <w:lang w:eastAsia="pt-BR"/>
              </w:rPr>
            </w:pPr>
          </w:p>
        </w:tc>
        <w:tc>
          <w:tcPr>
            <w:tcW w:w="403" w:type="dxa"/>
            <w:tcBorders>
              <w:top w:val="nil"/>
              <w:left w:val="nil"/>
              <w:bottom w:val="single" w:sz="4" w:space="0" w:color="auto"/>
              <w:right w:val="single" w:sz="4" w:space="0" w:color="auto"/>
            </w:tcBorders>
            <w:shd w:val="clear" w:color="000000" w:fill="FFFFFF"/>
            <w:noWrap/>
            <w:vAlign w:val="center"/>
            <w:hideMark/>
          </w:tcPr>
          <w:p w14:paraId="21129D5E"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14</w:t>
            </w:r>
          </w:p>
        </w:tc>
        <w:tc>
          <w:tcPr>
            <w:tcW w:w="4860" w:type="dxa"/>
            <w:tcBorders>
              <w:top w:val="nil"/>
              <w:left w:val="nil"/>
              <w:bottom w:val="single" w:sz="4" w:space="0" w:color="auto"/>
              <w:right w:val="single" w:sz="4" w:space="0" w:color="auto"/>
            </w:tcBorders>
            <w:shd w:val="clear" w:color="000000" w:fill="FFFFFF"/>
            <w:vAlign w:val="center"/>
            <w:hideMark/>
          </w:tcPr>
          <w:p w14:paraId="622BEC66" w14:textId="77777777" w:rsidR="00A157E1" w:rsidRPr="00B951A3" w:rsidRDefault="00A157E1" w:rsidP="00A157E1">
            <w:pPr>
              <w:spacing w:after="0" w:line="240" w:lineRule="auto"/>
              <w:rPr>
                <w:rFonts w:eastAsia="Times New Roman" w:cstheme="minorHAnsi"/>
                <w:color w:val="000000"/>
                <w:sz w:val="21"/>
                <w:szCs w:val="21"/>
                <w:lang w:eastAsia="pt-BR"/>
              </w:rPr>
            </w:pPr>
            <w:r w:rsidRPr="00B951A3">
              <w:rPr>
                <w:rFonts w:eastAsia="Times New Roman" w:cstheme="minorHAnsi"/>
                <w:color w:val="000000"/>
                <w:sz w:val="21"/>
                <w:szCs w:val="21"/>
                <w:lang w:eastAsia="pt-BR"/>
              </w:rPr>
              <w:t xml:space="preserve">Descarte de documentos textuais gráficos inservíveis (papel), provenientes dos Arquivos da AGU </w:t>
            </w:r>
          </w:p>
        </w:tc>
        <w:tc>
          <w:tcPr>
            <w:tcW w:w="6178" w:type="dxa"/>
            <w:tcBorders>
              <w:top w:val="nil"/>
              <w:left w:val="nil"/>
              <w:bottom w:val="single" w:sz="4" w:space="0" w:color="auto"/>
              <w:right w:val="single" w:sz="4" w:space="0" w:color="auto"/>
            </w:tcBorders>
            <w:shd w:val="clear" w:color="000000" w:fill="FFFFFF"/>
            <w:vAlign w:val="center"/>
            <w:hideMark/>
          </w:tcPr>
          <w:p w14:paraId="4A18E94F" w14:textId="36263AB5"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 xml:space="preserve"> Somatório dos descartes de documentos textuais gráficos </w:t>
            </w:r>
            <w:r w:rsidR="00B951A3" w:rsidRPr="00B951A3">
              <w:rPr>
                <w:rFonts w:eastAsia="Times New Roman" w:cstheme="minorHAnsi"/>
                <w:color w:val="000000"/>
                <w:lang w:eastAsia="pt-BR"/>
              </w:rPr>
              <w:t>inservíveis</w:t>
            </w:r>
            <w:r w:rsidRPr="00B951A3">
              <w:rPr>
                <w:rFonts w:eastAsia="Times New Roman" w:cstheme="minorHAnsi"/>
                <w:color w:val="000000"/>
                <w:lang w:eastAsia="pt-BR"/>
              </w:rPr>
              <w:t xml:space="preserve"> das Unidades da AGU, destinados (semestralmente) às cooperativas</w:t>
            </w:r>
          </w:p>
        </w:tc>
        <w:tc>
          <w:tcPr>
            <w:tcW w:w="1366" w:type="dxa"/>
            <w:tcBorders>
              <w:top w:val="nil"/>
              <w:left w:val="nil"/>
              <w:bottom w:val="single" w:sz="4" w:space="0" w:color="auto"/>
              <w:right w:val="single" w:sz="8" w:space="0" w:color="auto"/>
            </w:tcBorders>
            <w:shd w:val="clear" w:color="000000" w:fill="FFFFFF"/>
            <w:noWrap/>
            <w:vAlign w:val="center"/>
            <w:hideMark/>
          </w:tcPr>
          <w:p w14:paraId="38BB56E3"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kg</w:t>
            </w:r>
          </w:p>
        </w:tc>
        <w:tc>
          <w:tcPr>
            <w:tcW w:w="146" w:type="dxa"/>
            <w:vAlign w:val="center"/>
            <w:hideMark/>
          </w:tcPr>
          <w:p w14:paraId="06011E7B" w14:textId="77777777" w:rsidR="00A157E1" w:rsidRPr="00B951A3" w:rsidRDefault="00A157E1" w:rsidP="00A157E1">
            <w:pPr>
              <w:spacing w:after="0" w:line="240" w:lineRule="auto"/>
              <w:rPr>
                <w:rFonts w:eastAsia="Times New Roman" w:cstheme="minorHAnsi"/>
                <w:sz w:val="20"/>
                <w:szCs w:val="20"/>
                <w:lang w:eastAsia="pt-BR"/>
              </w:rPr>
            </w:pPr>
          </w:p>
        </w:tc>
      </w:tr>
      <w:tr w:rsidR="00A157E1" w:rsidRPr="00B951A3" w14:paraId="32753B93" w14:textId="77777777" w:rsidTr="0033161D">
        <w:trPr>
          <w:trHeight w:val="630"/>
        </w:trPr>
        <w:tc>
          <w:tcPr>
            <w:tcW w:w="1542" w:type="dxa"/>
            <w:vMerge w:val="restart"/>
            <w:tcBorders>
              <w:top w:val="nil"/>
              <w:left w:val="single" w:sz="8" w:space="0" w:color="auto"/>
              <w:bottom w:val="single" w:sz="4" w:space="0" w:color="auto"/>
              <w:right w:val="single" w:sz="4" w:space="0" w:color="auto"/>
            </w:tcBorders>
            <w:shd w:val="clear" w:color="auto" w:fill="D6E3BC" w:themeFill="accent3" w:themeFillTint="66"/>
            <w:vAlign w:val="center"/>
            <w:hideMark/>
          </w:tcPr>
          <w:p w14:paraId="00C55AF3" w14:textId="77777777" w:rsidR="00A157E1" w:rsidRPr="00B951A3" w:rsidRDefault="00A157E1" w:rsidP="00A157E1">
            <w:pPr>
              <w:spacing w:after="0" w:line="240" w:lineRule="auto"/>
              <w:jc w:val="center"/>
              <w:rPr>
                <w:rFonts w:eastAsia="Times New Roman" w:cstheme="minorHAnsi"/>
                <w:b/>
                <w:bCs/>
                <w:color w:val="000000"/>
                <w:lang w:eastAsia="pt-BR"/>
              </w:rPr>
            </w:pPr>
            <w:r w:rsidRPr="00B951A3">
              <w:rPr>
                <w:rFonts w:eastAsia="Times New Roman" w:cstheme="minorHAnsi"/>
                <w:b/>
                <w:bCs/>
                <w:color w:val="000000"/>
                <w:lang w:eastAsia="pt-BR"/>
              </w:rPr>
              <w:t>Apoio Administrativo</w:t>
            </w:r>
          </w:p>
        </w:tc>
        <w:tc>
          <w:tcPr>
            <w:tcW w:w="403" w:type="dxa"/>
            <w:tcBorders>
              <w:top w:val="nil"/>
              <w:left w:val="nil"/>
              <w:bottom w:val="single" w:sz="4" w:space="0" w:color="auto"/>
              <w:right w:val="single" w:sz="4" w:space="0" w:color="auto"/>
            </w:tcBorders>
            <w:shd w:val="clear" w:color="000000" w:fill="FFFFFF"/>
            <w:noWrap/>
            <w:vAlign w:val="center"/>
            <w:hideMark/>
          </w:tcPr>
          <w:p w14:paraId="2E3ECF28"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14</w:t>
            </w:r>
          </w:p>
        </w:tc>
        <w:tc>
          <w:tcPr>
            <w:tcW w:w="4860" w:type="dxa"/>
            <w:tcBorders>
              <w:top w:val="nil"/>
              <w:left w:val="nil"/>
              <w:bottom w:val="single" w:sz="4" w:space="0" w:color="auto"/>
              <w:right w:val="single" w:sz="4" w:space="0" w:color="auto"/>
            </w:tcBorders>
            <w:shd w:val="clear" w:color="000000" w:fill="FFFFFF"/>
            <w:vAlign w:val="center"/>
            <w:hideMark/>
          </w:tcPr>
          <w:p w14:paraId="3A9DF1D2" w14:textId="77777777"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Acompanhamento dos custos dos contratos</w:t>
            </w:r>
          </w:p>
        </w:tc>
        <w:tc>
          <w:tcPr>
            <w:tcW w:w="6178" w:type="dxa"/>
            <w:tcBorders>
              <w:top w:val="nil"/>
              <w:left w:val="nil"/>
              <w:bottom w:val="single" w:sz="4" w:space="0" w:color="auto"/>
              <w:right w:val="single" w:sz="4" w:space="0" w:color="auto"/>
            </w:tcBorders>
            <w:shd w:val="clear" w:color="000000" w:fill="FFFFFF"/>
            <w:vAlign w:val="center"/>
            <w:hideMark/>
          </w:tcPr>
          <w:p w14:paraId="5852E4C9" w14:textId="77777777"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Custos dos contratos em cada categoria de apoio administrativo</w:t>
            </w:r>
          </w:p>
        </w:tc>
        <w:tc>
          <w:tcPr>
            <w:tcW w:w="1366" w:type="dxa"/>
            <w:tcBorders>
              <w:top w:val="nil"/>
              <w:left w:val="nil"/>
              <w:bottom w:val="single" w:sz="4" w:space="0" w:color="auto"/>
              <w:right w:val="single" w:sz="8" w:space="0" w:color="auto"/>
            </w:tcBorders>
            <w:shd w:val="clear" w:color="000000" w:fill="FFFFFF"/>
            <w:noWrap/>
            <w:vAlign w:val="center"/>
            <w:hideMark/>
          </w:tcPr>
          <w:p w14:paraId="7F1FCCEE"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nº/R$</w:t>
            </w:r>
          </w:p>
        </w:tc>
        <w:tc>
          <w:tcPr>
            <w:tcW w:w="146" w:type="dxa"/>
            <w:vAlign w:val="center"/>
            <w:hideMark/>
          </w:tcPr>
          <w:p w14:paraId="0205C578" w14:textId="77777777" w:rsidR="00A157E1" w:rsidRPr="00B951A3" w:rsidRDefault="00A157E1" w:rsidP="00A157E1">
            <w:pPr>
              <w:spacing w:after="0" w:line="240" w:lineRule="auto"/>
              <w:rPr>
                <w:rFonts w:eastAsia="Times New Roman" w:cstheme="minorHAnsi"/>
                <w:sz w:val="20"/>
                <w:szCs w:val="20"/>
                <w:lang w:eastAsia="pt-BR"/>
              </w:rPr>
            </w:pPr>
          </w:p>
        </w:tc>
      </w:tr>
      <w:tr w:rsidR="00A157E1" w:rsidRPr="00B951A3" w14:paraId="524C91A5" w14:textId="77777777" w:rsidTr="0033161D">
        <w:trPr>
          <w:trHeight w:val="1200"/>
        </w:trPr>
        <w:tc>
          <w:tcPr>
            <w:tcW w:w="1542" w:type="dxa"/>
            <w:vMerge/>
            <w:tcBorders>
              <w:top w:val="nil"/>
              <w:left w:val="single" w:sz="8" w:space="0" w:color="auto"/>
              <w:bottom w:val="single" w:sz="4" w:space="0" w:color="auto"/>
              <w:right w:val="single" w:sz="4" w:space="0" w:color="auto"/>
            </w:tcBorders>
            <w:shd w:val="clear" w:color="auto" w:fill="D6E3BC" w:themeFill="accent3" w:themeFillTint="66"/>
            <w:vAlign w:val="center"/>
            <w:hideMark/>
          </w:tcPr>
          <w:p w14:paraId="567B4BF9" w14:textId="77777777" w:rsidR="00A157E1" w:rsidRPr="00B951A3" w:rsidRDefault="00A157E1" w:rsidP="00A157E1">
            <w:pPr>
              <w:spacing w:after="0" w:line="240" w:lineRule="auto"/>
              <w:rPr>
                <w:rFonts w:eastAsia="Times New Roman" w:cstheme="minorHAnsi"/>
                <w:b/>
                <w:bCs/>
                <w:color w:val="000000"/>
                <w:lang w:eastAsia="pt-BR"/>
              </w:rPr>
            </w:pPr>
          </w:p>
        </w:tc>
        <w:tc>
          <w:tcPr>
            <w:tcW w:w="403" w:type="dxa"/>
            <w:tcBorders>
              <w:top w:val="nil"/>
              <w:left w:val="nil"/>
              <w:bottom w:val="single" w:sz="4" w:space="0" w:color="auto"/>
              <w:right w:val="single" w:sz="4" w:space="0" w:color="auto"/>
            </w:tcBorders>
            <w:shd w:val="clear" w:color="000000" w:fill="FFFFFF"/>
            <w:noWrap/>
            <w:vAlign w:val="center"/>
            <w:hideMark/>
          </w:tcPr>
          <w:p w14:paraId="531E6A92"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 </w:t>
            </w:r>
          </w:p>
        </w:tc>
        <w:tc>
          <w:tcPr>
            <w:tcW w:w="4860" w:type="dxa"/>
            <w:tcBorders>
              <w:top w:val="nil"/>
              <w:left w:val="nil"/>
              <w:bottom w:val="single" w:sz="4" w:space="0" w:color="auto"/>
              <w:right w:val="single" w:sz="4" w:space="0" w:color="auto"/>
            </w:tcBorders>
            <w:shd w:val="clear" w:color="auto" w:fill="auto"/>
            <w:noWrap/>
            <w:vAlign w:val="center"/>
            <w:hideMark/>
          </w:tcPr>
          <w:p w14:paraId="50EB3815" w14:textId="77777777" w:rsidR="00A157E1" w:rsidRPr="00B951A3" w:rsidRDefault="00A157E1" w:rsidP="00A157E1">
            <w:pPr>
              <w:spacing w:after="0" w:line="240" w:lineRule="auto"/>
              <w:jc w:val="both"/>
              <w:rPr>
                <w:rFonts w:eastAsia="Times New Roman" w:cstheme="minorHAnsi"/>
                <w:sz w:val="24"/>
                <w:szCs w:val="24"/>
                <w:lang w:eastAsia="pt-BR"/>
              </w:rPr>
            </w:pPr>
            <w:r w:rsidRPr="00B951A3">
              <w:rPr>
                <w:rFonts w:eastAsia="Times New Roman" w:cstheme="minorHAnsi"/>
                <w:lang w:eastAsia="pt-BR"/>
              </w:rPr>
              <w:t>Acompanhamento da atualização do conhecimento sobre novas orientações de trabalho no que se refere as boas práticas de redução de desperdício e otimização do serviço.</w:t>
            </w:r>
            <w:r w:rsidRPr="00B951A3">
              <w:rPr>
                <w:rFonts w:eastAsia="Times New Roman" w:cstheme="minorHAnsi"/>
                <w:sz w:val="24"/>
                <w:szCs w:val="24"/>
                <w:lang w:eastAsia="pt-BR"/>
              </w:rPr>
              <w:t xml:space="preserve"> </w:t>
            </w:r>
          </w:p>
        </w:tc>
        <w:tc>
          <w:tcPr>
            <w:tcW w:w="6178" w:type="dxa"/>
            <w:tcBorders>
              <w:top w:val="nil"/>
              <w:left w:val="nil"/>
              <w:bottom w:val="single" w:sz="4" w:space="0" w:color="auto"/>
              <w:right w:val="single" w:sz="4" w:space="0" w:color="auto"/>
            </w:tcBorders>
            <w:shd w:val="clear" w:color="000000" w:fill="FFFFFF"/>
            <w:vAlign w:val="center"/>
            <w:hideMark/>
          </w:tcPr>
          <w:p w14:paraId="6AD35DAF" w14:textId="6AFE91AE" w:rsidR="00A157E1" w:rsidRPr="00B951A3" w:rsidRDefault="00A157E1" w:rsidP="00A157E1">
            <w:pPr>
              <w:spacing w:after="0" w:line="240" w:lineRule="auto"/>
              <w:rPr>
                <w:rFonts w:eastAsia="Times New Roman" w:cstheme="minorHAnsi"/>
                <w:lang w:eastAsia="pt-BR"/>
              </w:rPr>
            </w:pPr>
            <w:r w:rsidRPr="00B951A3">
              <w:rPr>
                <w:rFonts w:eastAsia="Times New Roman" w:cstheme="minorHAnsi"/>
                <w:lang w:eastAsia="pt-BR"/>
              </w:rPr>
              <w:t xml:space="preserve"> Quantidade de </w:t>
            </w:r>
            <w:r w:rsidR="00B951A3" w:rsidRPr="00B951A3">
              <w:rPr>
                <w:rFonts w:eastAsia="Times New Roman" w:cstheme="minorHAnsi"/>
                <w:lang w:eastAsia="pt-BR"/>
              </w:rPr>
              <w:t>atualizações</w:t>
            </w:r>
            <w:r w:rsidRPr="00B951A3">
              <w:rPr>
                <w:rFonts w:eastAsia="Times New Roman" w:cstheme="minorHAnsi"/>
                <w:lang w:eastAsia="pt-BR"/>
              </w:rPr>
              <w:t xml:space="preserve"> do conhecimento sobre novas orientações de trabalho no que se refere as boas práticas de redução de desperdício e otimização do serviço realizadas por contrato/ano  </w:t>
            </w:r>
          </w:p>
        </w:tc>
        <w:tc>
          <w:tcPr>
            <w:tcW w:w="1366" w:type="dxa"/>
            <w:tcBorders>
              <w:top w:val="nil"/>
              <w:left w:val="nil"/>
              <w:bottom w:val="single" w:sz="4" w:space="0" w:color="auto"/>
              <w:right w:val="single" w:sz="8" w:space="0" w:color="auto"/>
            </w:tcBorders>
            <w:shd w:val="clear" w:color="000000" w:fill="FFFFFF"/>
            <w:noWrap/>
            <w:vAlign w:val="center"/>
            <w:hideMark/>
          </w:tcPr>
          <w:p w14:paraId="49BDFD88"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nº</w:t>
            </w:r>
          </w:p>
        </w:tc>
        <w:tc>
          <w:tcPr>
            <w:tcW w:w="146" w:type="dxa"/>
            <w:vAlign w:val="center"/>
            <w:hideMark/>
          </w:tcPr>
          <w:p w14:paraId="18B42718" w14:textId="77777777" w:rsidR="00A157E1" w:rsidRPr="00B951A3" w:rsidRDefault="00A157E1" w:rsidP="00A157E1">
            <w:pPr>
              <w:spacing w:after="0" w:line="240" w:lineRule="auto"/>
              <w:rPr>
                <w:rFonts w:eastAsia="Times New Roman" w:cstheme="minorHAnsi"/>
                <w:sz w:val="20"/>
                <w:szCs w:val="20"/>
                <w:lang w:eastAsia="pt-BR"/>
              </w:rPr>
            </w:pPr>
          </w:p>
        </w:tc>
      </w:tr>
      <w:tr w:rsidR="00A157E1" w:rsidRPr="00B951A3" w14:paraId="4E9BD45D" w14:textId="77777777" w:rsidTr="0033161D">
        <w:trPr>
          <w:trHeight w:val="540"/>
        </w:trPr>
        <w:tc>
          <w:tcPr>
            <w:tcW w:w="1542" w:type="dxa"/>
            <w:vMerge/>
            <w:tcBorders>
              <w:top w:val="nil"/>
              <w:left w:val="single" w:sz="8" w:space="0" w:color="auto"/>
              <w:bottom w:val="single" w:sz="4" w:space="0" w:color="auto"/>
              <w:right w:val="single" w:sz="4" w:space="0" w:color="auto"/>
            </w:tcBorders>
            <w:shd w:val="clear" w:color="auto" w:fill="D6E3BC" w:themeFill="accent3" w:themeFillTint="66"/>
            <w:vAlign w:val="center"/>
            <w:hideMark/>
          </w:tcPr>
          <w:p w14:paraId="5E7C3D2F" w14:textId="77777777" w:rsidR="00A157E1" w:rsidRPr="00B951A3" w:rsidRDefault="00A157E1" w:rsidP="00A157E1">
            <w:pPr>
              <w:spacing w:after="0" w:line="240" w:lineRule="auto"/>
              <w:rPr>
                <w:rFonts w:eastAsia="Times New Roman" w:cstheme="minorHAnsi"/>
                <w:b/>
                <w:bCs/>
                <w:color w:val="000000"/>
                <w:lang w:eastAsia="pt-BR"/>
              </w:rPr>
            </w:pPr>
          </w:p>
        </w:tc>
        <w:tc>
          <w:tcPr>
            <w:tcW w:w="403" w:type="dxa"/>
            <w:tcBorders>
              <w:top w:val="nil"/>
              <w:left w:val="nil"/>
              <w:bottom w:val="single" w:sz="4" w:space="0" w:color="auto"/>
              <w:right w:val="single" w:sz="4" w:space="0" w:color="auto"/>
            </w:tcBorders>
            <w:shd w:val="clear" w:color="000000" w:fill="FFFFFF"/>
            <w:noWrap/>
            <w:vAlign w:val="center"/>
            <w:hideMark/>
          </w:tcPr>
          <w:p w14:paraId="5F441089"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15</w:t>
            </w:r>
          </w:p>
        </w:tc>
        <w:tc>
          <w:tcPr>
            <w:tcW w:w="4860" w:type="dxa"/>
            <w:tcBorders>
              <w:top w:val="nil"/>
              <w:left w:val="nil"/>
              <w:bottom w:val="single" w:sz="4" w:space="0" w:color="auto"/>
              <w:right w:val="single" w:sz="4" w:space="0" w:color="auto"/>
            </w:tcBorders>
            <w:shd w:val="clear" w:color="000000" w:fill="FFFFFF"/>
            <w:vAlign w:val="center"/>
            <w:hideMark/>
          </w:tcPr>
          <w:p w14:paraId="513B3727" w14:textId="77777777" w:rsidR="00A157E1" w:rsidRPr="00B951A3" w:rsidRDefault="00A157E1" w:rsidP="00A157E1">
            <w:pPr>
              <w:spacing w:after="0" w:line="240" w:lineRule="auto"/>
              <w:rPr>
                <w:rFonts w:eastAsia="Times New Roman" w:cstheme="minorHAnsi"/>
                <w:lang w:eastAsia="pt-BR"/>
              </w:rPr>
            </w:pPr>
            <w:r w:rsidRPr="00B951A3">
              <w:rPr>
                <w:rFonts w:eastAsia="Times New Roman" w:cstheme="minorHAnsi"/>
                <w:lang w:eastAsia="pt-BR"/>
              </w:rPr>
              <w:t>Ocorrências administrativas contratuais</w:t>
            </w:r>
          </w:p>
        </w:tc>
        <w:tc>
          <w:tcPr>
            <w:tcW w:w="6178" w:type="dxa"/>
            <w:tcBorders>
              <w:top w:val="nil"/>
              <w:left w:val="nil"/>
              <w:bottom w:val="single" w:sz="4" w:space="0" w:color="auto"/>
              <w:right w:val="single" w:sz="4" w:space="0" w:color="auto"/>
            </w:tcBorders>
            <w:shd w:val="clear" w:color="000000" w:fill="FFFFFF"/>
            <w:vAlign w:val="center"/>
            <w:hideMark/>
          </w:tcPr>
          <w:p w14:paraId="67BFB5C6" w14:textId="77777777" w:rsidR="00A157E1" w:rsidRPr="00B951A3" w:rsidRDefault="00A157E1" w:rsidP="00A157E1">
            <w:pPr>
              <w:spacing w:after="0" w:line="240" w:lineRule="auto"/>
              <w:rPr>
                <w:rFonts w:eastAsia="Times New Roman" w:cstheme="minorHAnsi"/>
                <w:color w:val="000000"/>
                <w:sz w:val="21"/>
                <w:szCs w:val="21"/>
                <w:lang w:eastAsia="pt-BR"/>
              </w:rPr>
            </w:pPr>
            <w:r w:rsidRPr="00B951A3">
              <w:rPr>
                <w:rFonts w:eastAsia="Times New Roman" w:cstheme="minorHAnsi"/>
                <w:color w:val="000000"/>
                <w:sz w:val="21"/>
                <w:szCs w:val="21"/>
                <w:lang w:eastAsia="pt-BR"/>
              </w:rPr>
              <w:t>Número de ocorrências administrativas registradas no Comprasnet</w:t>
            </w:r>
          </w:p>
        </w:tc>
        <w:tc>
          <w:tcPr>
            <w:tcW w:w="1366" w:type="dxa"/>
            <w:tcBorders>
              <w:top w:val="nil"/>
              <w:left w:val="nil"/>
              <w:bottom w:val="single" w:sz="4" w:space="0" w:color="auto"/>
              <w:right w:val="single" w:sz="8" w:space="0" w:color="auto"/>
            </w:tcBorders>
            <w:shd w:val="clear" w:color="000000" w:fill="FFFFFF"/>
            <w:noWrap/>
            <w:vAlign w:val="center"/>
            <w:hideMark/>
          </w:tcPr>
          <w:p w14:paraId="40AD4844"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nº</w:t>
            </w:r>
          </w:p>
        </w:tc>
        <w:tc>
          <w:tcPr>
            <w:tcW w:w="146" w:type="dxa"/>
            <w:vAlign w:val="center"/>
            <w:hideMark/>
          </w:tcPr>
          <w:p w14:paraId="52BA42A7" w14:textId="77777777" w:rsidR="00A157E1" w:rsidRPr="00B951A3" w:rsidRDefault="00A157E1" w:rsidP="00A157E1">
            <w:pPr>
              <w:spacing w:after="0" w:line="240" w:lineRule="auto"/>
              <w:rPr>
                <w:rFonts w:eastAsia="Times New Roman" w:cstheme="minorHAnsi"/>
                <w:sz w:val="20"/>
                <w:szCs w:val="20"/>
                <w:lang w:eastAsia="pt-BR"/>
              </w:rPr>
            </w:pPr>
          </w:p>
        </w:tc>
      </w:tr>
      <w:tr w:rsidR="00A157E1" w:rsidRPr="00B951A3" w14:paraId="6D21D473" w14:textId="77777777" w:rsidTr="0033161D">
        <w:trPr>
          <w:trHeight w:val="900"/>
        </w:trPr>
        <w:tc>
          <w:tcPr>
            <w:tcW w:w="1542" w:type="dxa"/>
            <w:vMerge w:val="restart"/>
            <w:tcBorders>
              <w:top w:val="nil"/>
              <w:left w:val="single" w:sz="8" w:space="0" w:color="auto"/>
              <w:bottom w:val="single" w:sz="4" w:space="0" w:color="auto"/>
              <w:right w:val="single" w:sz="4" w:space="0" w:color="auto"/>
            </w:tcBorders>
            <w:shd w:val="clear" w:color="auto" w:fill="D6E3BC" w:themeFill="accent3" w:themeFillTint="66"/>
            <w:vAlign w:val="center"/>
            <w:hideMark/>
          </w:tcPr>
          <w:p w14:paraId="4B2EC981" w14:textId="77777777" w:rsidR="00A157E1" w:rsidRPr="00B951A3" w:rsidRDefault="00A157E1" w:rsidP="00A157E1">
            <w:pPr>
              <w:spacing w:after="0" w:line="240" w:lineRule="auto"/>
              <w:jc w:val="center"/>
              <w:rPr>
                <w:rFonts w:eastAsia="Times New Roman" w:cstheme="minorHAnsi"/>
                <w:b/>
                <w:bCs/>
                <w:color w:val="000000"/>
                <w:lang w:eastAsia="pt-BR"/>
              </w:rPr>
            </w:pPr>
            <w:r w:rsidRPr="00B951A3">
              <w:rPr>
                <w:rFonts w:eastAsia="Times New Roman" w:cstheme="minorHAnsi"/>
                <w:b/>
                <w:bCs/>
                <w:color w:val="000000"/>
                <w:lang w:eastAsia="pt-BR"/>
              </w:rPr>
              <w:t>Material de Consumo</w:t>
            </w:r>
          </w:p>
        </w:tc>
        <w:tc>
          <w:tcPr>
            <w:tcW w:w="403" w:type="dxa"/>
            <w:tcBorders>
              <w:top w:val="nil"/>
              <w:left w:val="nil"/>
              <w:bottom w:val="single" w:sz="4" w:space="0" w:color="auto"/>
              <w:right w:val="single" w:sz="4" w:space="0" w:color="auto"/>
            </w:tcBorders>
            <w:shd w:val="clear" w:color="auto" w:fill="auto"/>
            <w:noWrap/>
            <w:vAlign w:val="center"/>
            <w:hideMark/>
          </w:tcPr>
          <w:p w14:paraId="5CF52BE9"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16</w:t>
            </w:r>
          </w:p>
        </w:tc>
        <w:tc>
          <w:tcPr>
            <w:tcW w:w="4860" w:type="dxa"/>
            <w:tcBorders>
              <w:top w:val="nil"/>
              <w:left w:val="nil"/>
              <w:bottom w:val="single" w:sz="4" w:space="0" w:color="auto"/>
              <w:right w:val="single" w:sz="4" w:space="0" w:color="auto"/>
            </w:tcBorders>
            <w:shd w:val="clear" w:color="000000" w:fill="FFFFFF"/>
            <w:vAlign w:val="center"/>
            <w:hideMark/>
          </w:tcPr>
          <w:p w14:paraId="44A25F83" w14:textId="4327BA1F"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 xml:space="preserve">Número de dispensas para aquisição de material de consumo, que poderiam estar contemplados dentro do processo licitatório do almoxarifado virtual </w:t>
            </w:r>
          </w:p>
        </w:tc>
        <w:tc>
          <w:tcPr>
            <w:tcW w:w="6178" w:type="dxa"/>
            <w:tcBorders>
              <w:top w:val="nil"/>
              <w:left w:val="nil"/>
              <w:bottom w:val="single" w:sz="4" w:space="0" w:color="auto"/>
              <w:right w:val="single" w:sz="4" w:space="0" w:color="auto"/>
            </w:tcBorders>
            <w:shd w:val="clear" w:color="000000" w:fill="FFFFFF"/>
            <w:vAlign w:val="center"/>
            <w:hideMark/>
          </w:tcPr>
          <w:p w14:paraId="24370493" w14:textId="77777777"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Quantidade de processos de dispensa de licitação de itens que poderiam ser contemplados na cesta do almoxarifado virtual</w:t>
            </w:r>
          </w:p>
        </w:tc>
        <w:tc>
          <w:tcPr>
            <w:tcW w:w="1366" w:type="dxa"/>
            <w:tcBorders>
              <w:top w:val="nil"/>
              <w:left w:val="nil"/>
              <w:bottom w:val="single" w:sz="4" w:space="0" w:color="auto"/>
              <w:right w:val="single" w:sz="8" w:space="0" w:color="auto"/>
            </w:tcBorders>
            <w:shd w:val="clear" w:color="000000" w:fill="FFFFFF"/>
            <w:noWrap/>
            <w:vAlign w:val="center"/>
            <w:hideMark/>
          </w:tcPr>
          <w:p w14:paraId="6DB74907"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nº</w:t>
            </w:r>
          </w:p>
        </w:tc>
        <w:tc>
          <w:tcPr>
            <w:tcW w:w="146" w:type="dxa"/>
            <w:vAlign w:val="center"/>
            <w:hideMark/>
          </w:tcPr>
          <w:p w14:paraId="2B797247" w14:textId="77777777" w:rsidR="00A157E1" w:rsidRPr="00B951A3" w:rsidRDefault="00A157E1" w:rsidP="00A157E1">
            <w:pPr>
              <w:spacing w:after="0" w:line="240" w:lineRule="auto"/>
              <w:rPr>
                <w:rFonts w:eastAsia="Times New Roman" w:cstheme="minorHAnsi"/>
                <w:sz w:val="20"/>
                <w:szCs w:val="20"/>
                <w:lang w:eastAsia="pt-BR"/>
              </w:rPr>
            </w:pPr>
          </w:p>
        </w:tc>
      </w:tr>
      <w:tr w:rsidR="00A157E1" w:rsidRPr="00B951A3" w14:paraId="0852C546" w14:textId="77777777" w:rsidTr="0033161D">
        <w:trPr>
          <w:trHeight w:val="630"/>
        </w:trPr>
        <w:tc>
          <w:tcPr>
            <w:tcW w:w="1542" w:type="dxa"/>
            <w:vMerge/>
            <w:tcBorders>
              <w:top w:val="nil"/>
              <w:left w:val="single" w:sz="8" w:space="0" w:color="auto"/>
              <w:bottom w:val="single" w:sz="4" w:space="0" w:color="auto"/>
              <w:right w:val="single" w:sz="4" w:space="0" w:color="auto"/>
            </w:tcBorders>
            <w:shd w:val="clear" w:color="auto" w:fill="D6E3BC" w:themeFill="accent3" w:themeFillTint="66"/>
            <w:vAlign w:val="center"/>
            <w:hideMark/>
          </w:tcPr>
          <w:p w14:paraId="45E024A1" w14:textId="77777777" w:rsidR="00A157E1" w:rsidRPr="00B951A3" w:rsidRDefault="00A157E1" w:rsidP="00A157E1">
            <w:pPr>
              <w:spacing w:after="0" w:line="240" w:lineRule="auto"/>
              <w:rPr>
                <w:rFonts w:eastAsia="Times New Roman" w:cstheme="minorHAnsi"/>
                <w:b/>
                <w:bCs/>
                <w:color w:val="000000"/>
                <w:lang w:eastAsia="pt-BR"/>
              </w:rPr>
            </w:pPr>
          </w:p>
        </w:tc>
        <w:tc>
          <w:tcPr>
            <w:tcW w:w="403" w:type="dxa"/>
            <w:tcBorders>
              <w:top w:val="nil"/>
              <w:left w:val="nil"/>
              <w:bottom w:val="single" w:sz="4" w:space="0" w:color="auto"/>
              <w:right w:val="single" w:sz="4" w:space="0" w:color="auto"/>
            </w:tcBorders>
            <w:shd w:val="clear" w:color="000000" w:fill="FFFFFF"/>
            <w:noWrap/>
            <w:vAlign w:val="center"/>
            <w:hideMark/>
          </w:tcPr>
          <w:p w14:paraId="42EA2136"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17</w:t>
            </w:r>
          </w:p>
        </w:tc>
        <w:tc>
          <w:tcPr>
            <w:tcW w:w="4860" w:type="dxa"/>
            <w:tcBorders>
              <w:top w:val="nil"/>
              <w:left w:val="nil"/>
              <w:bottom w:val="single" w:sz="4" w:space="0" w:color="auto"/>
              <w:right w:val="single" w:sz="4" w:space="0" w:color="auto"/>
            </w:tcBorders>
            <w:shd w:val="clear" w:color="000000" w:fill="FFFFFF"/>
            <w:vAlign w:val="center"/>
            <w:hideMark/>
          </w:tcPr>
          <w:p w14:paraId="2B08DD99" w14:textId="77777777"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 xml:space="preserve">Gasto com materiais nas unidades </w:t>
            </w:r>
          </w:p>
        </w:tc>
        <w:tc>
          <w:tcPr>
            <w:tcW w:w="6178" w:type="dxa"/>
            <w:tcBorders>
              <w:top w:val="nil"/>
              <w:left w:val="nil"/>
              <w:bottom w:val="single" w:sz="4" w:space="0" w:color="auto"/>
              <w:right w:val="single" w:sz="4" w:space="0" w:color="auto"/>
            </w:tcBorders>
            <w:shd w:val="clear" w:color="000000" w:fill="FFFFFF"/>
            <w:vAlign w:val="center"/>
            <w:hideMark/>
          </w:tcPr>
          <w:p w14:paraId="0E2A0D47" w14:textId="1CE0E688"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 xml:space="preserve">Somatórios dos valores dos materiais </w:t>
            </w:r>
            <w:r w:rsidR="00B951A3" w:rsidRPr="00B951A3">
              <w:rPr>
                <w:rFonts w:eastAsia="Times New Roman" w:cstheme="minorHAnsi"/>
                <w:color w:val="000000"/>
                <w:lang w:eastAsia="pt-BR"/>
              </w:rPr>
              <w:t>distribuídos</w:t>
            </w:r>
            <w:r w:rsidRPr="00B951A3">
              <w:rPr>
                <w:rFonts w:eastAsia="Times New Roman" w:cstheme="minorHAnsi"/>
                <w:color w:val="000000"/>
                <w:lang w:eastAsia="pt-BR"/>
              </w:rPr>
              <w:t xml:space="preserve"> mensalmente para as unidades </w:t>
            </w:r>
          </w:p>
        </w:tc>
        <w:tc>
          <w:tcPr>
            <w:tcW w:w="1366" w:type="dxa"/>
            <w:tcBorders>
              <w:top w:val="nil"/>
              <w:left w:val="nil"/>
              <w:bottom w:val="single" w:sz="4" w:space="0" w:color="auto"/>
              <w:right w:val="single" w:sz="8" w:space="0" w:color="auto"/>
            </w:tcBorders>
            <w:shd w:val="clear" w:color="000000" w:fill="FFFFFF"/>
            <w:noWrap/>
            <w:vAlign w:val="center"/>
            <w:hideMark/>
          </w:tcPr>
          <w:p w14:paraId="7E4C1656"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R$</w:t>
            </w:r>
          </w:p>
        </w:tc>
        <w:tc>
          <w:tcPr>
            <w:tcW w:w="146" w:type="dxa"/>
            <w:vAlign w:val="center"/>
            <w:hideMark/>
          </w:tcPr>
          <w:p w14:paraId="4801CE43" w14:textId="77777777" w:rsidR="00A157E1" w:rsidRPr="00B951A3" w:rsidRDefault="00A157E1" w:rsidP="00A157E1">
            <w:pPr>
              <w:spacing w:after="0" w:line="240" w:lineRule="auto"/>
              <w:rPr>
                <w:rFonts w:eastAsia="Times New Roman" w:cstheme="minorHAnsi"/>
                <w:sz w:val="20"/>
                <w:szCs w:val="20"/>
                <w:lang w:eastAsia="pt-BR"/>
              </w:rPr>
            </w:pPr>
          </w:p>
        </w:tc>
      </w:tr>
      <w:tr w:rsidR="00A157E1" w:rsidRPr="00B951A3" w14:paraId="0974AC15" w14:textId="77777777" w:rsidTr="0033161D">
        <w:trPr>
          <w:trHeight w:val="600"/>
        </w:trPr>
        <w:tc>
          <w:tcPr>
            <w:tcW w:w="1542" w:type="dxa"/>
            <w:vMerge/>
            <w:tcBorders>
              <w:top w:val="nil"/>
              <w:left w:val="single" w:sz="8" w:space="0" w:color="auto"/>
              <w:bottom w:val="single" w:sz="4" w:space="0" w:color="auto"/>
              <w:right w:val="single" w:sz="4" w:space="0" w:color="auto"/>
            </w:tcBorders>
            <w:shd w:val="clear" w:color="auto" w:fill="D6E3BC" w:themeFill="accent3" w:themeFillTint="66"/>
            <w:vAlign w:val="center"/>
            <w:hideMark/>
          </w:tcPr>
          <w:p w14:paraId="6A66B53E" w14:textId="77777777" w:rsidR="00A157E1" w:rsidRPr="00B951A3" w:rsidRDefault="00A157E1" w:rsidP="00A157E1">
            <w:pPr>
              <w:spacing w:after="0" w:line="240" w:lineRule="auto"/>
              <w:rPr>
                <w:rFonts w:eastAsia="Times New Roman" w:cstheme="minorHAnsi"/>
                <w:b/>
                <w:bCs/>
                <w:color w:val="000000"/>
                <w:lang w:eastAsia="pt-BR"/>
              </w:rPr>
            </w:pPr>
          </w:p>
        </w:tc>
        <w:tc>
          <w:tcPr>
            <w:tcW w:w="403" w:type="dxa"/>
            <w:tcBorders>
              <w:top w:val="nil"/>
              <w:left w:val="nil"/>
              <w:bottom w:val="single" w:sz="4" w:space="0" w:color="auto"/>
              <w:right w:val="single" w:sz="4" w:space="0" w:color="auto"/>
            </w:tcBorders>
            <w:shd w:val="clear" w:color="000000" w:fill="FFFFFF"/>
            <w:noWrap/>
            <w:vAlign w:val="center"/>
            <w:hideMark/>
          </w:tcPr>
          <w:p w14:paraId="0143E8D0"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18</w:t>
            </w:r>
          </w:p>
        </w:tc>
        <w:tc>
          <w:tcPr>
            <w:tcW w:w="4860" w:type="dxa"/>
            <w:tcBorders>
              <w:top w:val="nil"/>
              <w:left w:val="nil"/>
              <w:bottom w:val="single" w:sz="4" w:space="0" w:color="auto"/>
              <w:right w:val="single" w:sz="4" w:space="0" w:color="auto"/>
            </w:tcBorders>
            <w:shd w:val="clear" w:color="000000" w:fill="FFFFFF"/>
            <w:vAlign w:val="center"/>
            <w:hideMark/>
          </w:tcPr>
          <w:p w14:paraId="25472C83" w14:textId="77777777"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Gasto per capta de materiais requisitados</w:t>
            </w:r>
          </w:p>
        </w:tc>
        <w:tc>
          <w:tcPr>
            <w:tcW w:w="6178" w:type="dxa"/>
            <w:tcBorders>
              <w:top w:val="nil"/>
              <w:left w:val="nil"/>
              <w:bottom w:val="single" w:sz="4" w:space="0" w:color="auto"/>
              <w:right w:val="single" w:sz="4" w:space="0" w:color="auto"/>
            </w:tcBorders>
            <w:shd w:val="clear" w:color="000000" w:fill="FFFFFF"/>
            <w:vAlign w:val="center"/>
            <w:hideMark/>
          </w:tcPr>
          <w:p w14:paraId="368352DE" w14:textId="77777777"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Somatórios dos valores dos materiais requisitados/total de servidores</w:t>
            </w:r>
          </w:p>
        </w:tc>
        <w:tc>
          <w:tcPr>
            <w:tcW w:w="1366" w:type="dxa"/>
            <w:tcBorders>
              <w:top w:val="nil"/>
              <w:left w:val="nil"/>
              <w:bottom w:val="single" w:sz="4" w:space="0" w:color="auto"/>
              <w:right w:val="single" w:sz="8" w:space="0" w:color="auto"/>
            </w:tcBorders>
            <w:shd w:val="clear" w:color="000000" w:fill="FFFFFF"/>
            <w:noWrap/>
            <w:vAlign w:val="center"/>
            <w:hideMark/>
          </w:tcPr>
          <w:p w14:paraId="670ED33E"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R$</w:t>
            </w:r>
          </w:p>
        </w:tc>
        <w:tc>
          <w:tcPr>
            <w:tcW w:w="146" w:type="dxa"/>
            <w:vAlign w:val="center"/>
            <w:hideMark/>
          </w:tcPr>
          <w:p w14:paraId="3ECAE9B5" w14:textId="77777777" w:rsidR="00A157E1" w:rsidRPr="00B951A3" w:rsidRDefault="00A157E1" w:rsidP="00A157E1">
            <w:pPr>
              <w:spacing w:after="0" w:line="240" w:lineRule="auto"/>
              <w:rPr>
                <w:rFonts w:eastAsia="Times New Roman" w:cstheme="minorHAnsi"/>
                <w:sz w:val="20"/>
                <w:szCs w:val="20"/>
                <w:lang w:eastAsia="pt-BR"/>
              </w:rPr>
            </w:pPr>
          </w:p>
        </w:tc>
      </w:tr>
      <w:tr w:rsidR="00A157E1" w:rsidRPr="00B951A3" w14:paraId="0877AE09" w14:textId="77777777" w:rsidTr="0033161D">
        <w:trPr>
          <w:trHeight w:val="300"/>
        </w:trPr>
        <w:tc>
          <w:tcPr>
            <w:tcW w:w="1542" w:type="dxa"/>
            <w:vMerge w:val="restart"/>
            <w:tcBorders>
              <w:top w:val="nil"/>
              <w:left w:val="single" w:sz="8" w:space="0" w:color="auto"/>
              <w:bottom w:val="single" w:sz="4" w:space="0" w:color="auto"/>
              <w:right w:val="single" w:sz="4" w:space="0" w:color="auto"/>
            </w:tcBorders>
            <w:shd w:val="clear" w:color="auto" w:fill="D6E3BC" w:themeFill="accent3" w:themeFillTint="66"/>
            <w:vAlign w:val="center"/>
            <w:hideMark/>
          </w:tcPr>
          <w:p w14:paraId="5BFA679C" w14:textId="77777777" w:rsidR="00A157E1" w:rsidRPr="00B951A3" w:rsidRDefault="00A157E1" w:rsidP="00A157E1">
            <w:pPr>
              <w:spacing w:after="0" w:line="240" w:lineRule="auto"/>
              <w:jc w:val="center"/>
              <w:rPr>
                <w:rFonts w:eastAsia="Times New Roman" w:cstheme="minorHAnsi"/>
                <w:b/>
                <w:bCs/>
                <w:color w:val="000000"/>
                <w:lang w:eastAsia="pt-BR"/>
              </w:rPr>
            </w:pPr>
            <w:r w:rsidRPr="00B951A3">
              <w:rPr>
                <w:rFonts w:eastAsia="Times New Roman" w:cstheme="minorHAnsi"/>
                <w:b/>
                <w:bCs/>
                <w:color w:val="000000"/>
                <w:lang w:eastAsia="pt-BR"/>
              </w:rPr>
              <w:t>Material Permanente</w:t>
            </w:r>
          </w:p>
        </w:tc>
        <w:tc>
          <w:tcPr>
            <w:tcW w:w="403" w:type="dxa"/>
            <w:tcBorders>
              <w:top w:val="nil"/>
              <w:left w:val="nil"/>
              <w:bottom w:val="single" w:sz="4" w:space="0" w:color="auto"/>
              <w:right w:val="single" w:sz="4" w:space="0" w:color="auto"/>
            </w:tcBorders>
            <w:shd w:val="clear" w:color="auto" w:fill="auto"/>
            <w:noWrap/>
            <w:vAlign w:val="center"/>
            <w:hideMark/>
          </w:tcPr>
          <w:p w14:paraId="3065BE8A"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19</w:t>
            </w:r>
          </w:p>
        </w:tc>
        <w:tc>
          <w:tcPr>
            <w:tcW w:w="4860" w:type="dxa"/>
            <w:tcBorders>
              <w:top w:val="nil"/>
              <w:left w:val="nil"/>
              <w:bottom w:val="single" w:sz="4" w:space="0" w:color="auto"/>
              <w:right w:val="single" w:sz="4" w:space="0" w:color="auto"/>
            </w:tcBorders>
            <w:shd w:val="clear" w:color="000000" w:fill="FFFFFF"/>
            <w:vAlign w:val="center"/>
            <w:hideMark/>
          </w:tcPr>
          <w:p w14:paraId="4A4B7911" w14:textId="77777777"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Acompanhamento de itens ociosos</w:t>
            </w:r>
          </w:p>
        </w:tc>
        <w:tc>
          <w:tcPr>
            <w:tcW w:w="6178" w:type="dxa"/>
            <w:tcBorders>
              <w:top w:val="nil"/>
              <w:left w:val="nil"/>
              <w:bottom w:val="single" w:sz="4" w:space="0" w:color="auto"/>
              <w:right w:val="single" w:sz="4" w:space="0" w:color="auto"/>
            </w:tcBorders>
            <w:shd w:val="clear" w:color="000000" w:fill="FFFFFF"/>
            <w:vAlign w:val="center"/>
            <w:hideMark/>
          </w:tcPr>
          <w:p w14:paraId="4C705F36" w14:textId="77777777"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Quantidade de itens</w:t>
            </w:r>
          </w:p>
        </w:tc>
        <w:tc>
          <w:tcPr>
            <w:tcW w:w="1366" w:type="dxa"/>
            <w:tcBorders>
              <w:top w:val="nil"/>
              <w:left w:val="nil"/>
              <w:bottom w:val="single" w:sz="4" w:space="0" w:color="auto"/>
              <w:right w:val="single" w:sz="8" w:space="0" w:color="auto"/>
            </w:tcBorders>
            <w:shd w:val="clear" w:color="000000" w:fill="FFFFFF"/>
            <w:noWrap/>
            <w:vAlign w:val="center"/>
            <w:hideMark/>
          </w:tcPr>
          <w:p w14:paraId="0E0172E3"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nº</w:t>
            </w:r>
          </w:p>
        </w:tc>
        <w:tc>
          <w:tcPr>
            <w:tcW w:w="146" w:type="dxa"/>
            <w:vAlign w:val="center"/>
            <w:hideMark/>
          </w:tcPr>
          <w:p w14:paraId="68A120E4" w14:textId="77777777" w:rsidR="00A157E1" w:rsidRPr="00B951A3" w:rsidRDefault="00A157E1" w:rsidP="00A157E1">
            <w:pPr>
              <w:spacing w:after="0" w:line="240" w:lineRule="auto"/>
              <w:rPr>
                <w:rFonts w:eastAsia="Times New Roman" w:cstheme="minorHAnsi"/>
                <w:sz w:val="20"/>
                <w:szCs w:val="20"/>
                <w:lang w:eastAsia="pt-BR"/>
              </w:rPr>
            </w:pPr>
          </w:p>
        </w:tc>
      </w:tr>
      <w:tr w:rsidR="00A157E1" w:rsidRPr="00B951A3" w14:paraId="63FA928F" w14:textId="77777777" w:rsidTr="0033161D">
        <w:trPr>
          <w:trHeight w:val="300"/>
        </w:trPr>
        <w:tc>
          <w:tcPr>
            <w:tcW w:w="1542" w:type="dxa"/>
            <w:vMerge/>
            <w:tcBorders>
              <w:top w:val="nil"/>
              <w:left w:val="single" w:sz="8" w:space="0" w:color="auto"/>
              <w:bottom w:val="single" w:sz="4" w:space="0" w:color="auto"/>
              <w:right w:val="single" w:sz="4" w:space="0" w:color="auto"/>
            </w:tcBorders>
            <w:shd w:val="clear" w:color="auto" w:fill="D6E3BC" w:themeFill="accent3" w:themeFillTint="66"/>
            <w:vAlign w:val="center"/>
            <w:hideMark/>
          </w:tcPr>
          <w:p w14:paraId="725C55A0" w14:textId="77777777" w:rsidR="00A157E1" w:rsidRPr="00B951A3" w:rsidRDefault="00A157E1" w:rsidP="00A157E1">
            <w:pPr>
              <w:spacing w:after="0" w:line="240" w:lineRule="auto"/>
              <w:rPr>
                <w:rFonts w:eastAsia="Times New Roman" w:cstheme="minorHAnsi"/>
                <w:b/>
                <w:bCs/>
                <w:color w:val="000000"/>
                <w:lang w:eastAsia="pt-BR"/>
              </w:rPr>
            </w:pPr>
          </w:p>
        </w:tc>
        <w:tc>
          <w:tcPr>
            <w:tcW w:w="403" w:type="dxa"/>
            <w:tcBorders>
              <w:top w:val="nil"/>
              <w:left w:val="nil"/>
              <w:bottom w:val="single" w:sz="4" w:space="0" w:color="auto"/>
              <w:right w:val="single" w:sz="4" w:space="0" w:color="auto"/>
            </w:tcBorders>
            <w:shd w:val="clear" w:color="auto" w:fill="auto"/>
            <w:noWrap/>
            <w:vAlign w:val="center"/>
            <w:hideMark/>
          </w:tcPr>
          <w:p w14:paraId="5B4DCA78"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20</w:t>
            </w:r>
          </w:p>
        </w:tc>
        <w:tc>
          <w:tcPr>
            <w:tcW w:w="4860" w:type="dxa"/>
            <w:tcBorders>
              <w:top w:val="nil"/>
              <w:left w:val="nil"/>
              <w:bottom w:val="single" w:sz="4" w:space="0" w:color="auto"/>
              <w:right w:val="single" w:sz="4" w:space="0" w:color="auto"/>
            </w:tcBorders>
            <w:shd w:val="clear" w:color="000000" w:fill="FFFFFF"/>
            <w:vAlign w:val="center"/>
            <w:hideMark/>
          </w:tcPr>
          <w:p w14:paraId="525D346F" w14:textId="77777777"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 xml:space="preserve">Acompanhamento de itens recuperáveis </w:t>
            </w:r>
          </w:p>
        </w:tc>
        <w:tc>
          <w:tcPr>
            <w:tcW w:w="6178" w:type="dxa"/>
            <w:tcBorders>
              <w:top w:val="nil"/>
              <w:left w:val="nil"/>
              <w:bottom w:val="single" w:sz="4" w:space="0" w:color="auto"/>
              <w:right w:val="single" w:sz="4" w:space="0" w:color="auto"/>
            </w:tcBorders>
            <w:shd w:val="clear" w:color="000000" w:fill="FFFFFF"/>
            <w:vAlign w:val="center"/>
            <w:hideMark/>
          </w:tcPr>
          <w:p w14:paraId="5CB1742B" w14:textId="77777777"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Quantidade de itens</w:t>
            </w:r>
          </w:p>
        </w:tc>
        <w:tc>
          <w:tcPr>
            <w:tcW w:w="1366" w:type="dxa"/>
            <w:tcBorders>
              <w:top w:val="nil"/>
              <w:left w:val="nil"/>
              <w:bottom w:val="single" w:sz="4" w:space="0" w:color="auto"/>
              <w:right w:val="single" w:sz="8" w:space="0" w:color="auto"/>
            </w:tcBorders>
            <w:shd w:val="clear" w:color="000000" w:fill="FFFFFF"/>
            <w:noWrap/>
            <w:vAlign w:val="center"/>
            <w:hideMark/>
          </w:tcPr>
          <w:p w14:paraId="1EC27A67"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nº</w:t>
            </w:r>
          </w:p>
        </w:tc>
        <w:tc>
          <w:tcPr>
            <w:tcW w:w="146" w:type="dxa"/>
            <w:vAlign w:val="center"/>
            <w:hideMark/>
          </w:tcPr>
          <w:p w14:paraId="25DE80A9" w14:textId="77777777" w:rsidR="00A157E1" w:rsidRPr="00B951A3" w:rsidRDefault="00A157E1" w:rsidP="00A157E1">
            <w:pPr>
              <w:spacing w:after="0" w:line="240" w:lineRule="auto"/>
              <w:rPr>
                <w:rFonts w:eastAsia="Times New Roman" w:cstheme="minorHAnsi"/>
                <w:sz w:val="20"/>
                <w:szCs w:val="20"/>
                <w:lang w:eastAsia="pt-BR"/>
              </w:rPr>
            </w:pPr>
          </w:p>
        </w:tc>
      </w:tr>
      <w:tr w:rsidR="00A157E1" w:rsidRPr="00B951A3" w14:paraId="41296EB4" w14:textId="77777777" w:rsidTr="0033161D">
        <w:trPr>
          <w:trHeight w:val="300"/>
        </w:trPr>
        <w:tc>
          <w:tcPr>
            <w:tcW w:w="1542" w:type="dxa"/>
            <w:vMerge/>
            <w:tcBorders>
              <w:top w:val="nil"/>
              <w:left w:val="single" w:sz="8" w:space="0" w:color="auto"/>
              <w:bottom w:val="single" w:sz="4" w:space="0" w:color="auto"/>
              <w:right w:val="single" w:sz="4" w:space="0" w:color="auto"/>
            </w:tcBorders>
            <w:shd w:val="clear" w:color="auto" w:fill="D6E3BC" w:themeFill="accent3" w:themeFillTint="66"/>
            <w:vAlign w:val="center"/>
            <w:hideMark/>
          </w:tcPr>
          <w:p w14:paraId="1ED55683" w14:textId="77777777" w:rsidR="00A157E1" w:rsidRPr="00B951A3" w:rsidRDefault="00A157E1" w:rsidP="00A157E1">
            <w:pPr>
              <w:spacing w:after="0" w:line="240" w:lineRule="auto"/>
              <w:rPr>
                <w:rFonts w:eastAsia="Times New Roman" w:cstheme="minorHAnsi"/>
                <w:b/>
                <w:bCs/>
                <w:color w:val="000000"/>
                <w:lang w:eastAsia="pt-BR"/>
              </w:rPr>
            </w:pPr>
          </w:p>
        </w:tc>
        <w:tc>
          <w:tcPr>
            <w:tcW w:w="403" w:type="dxa"/>
            <w:tcBorders>
              <w:top w:val="nil"/>
              <w:left w:val="nil"/>
              <w:bottom w:val="single" w:sz="4" w:space="0" w:color="auto"/>
              <w:right w:val="single" w:sz="4" w:space="0" w:color="auto"/>
            </w:tcBorders>
            <w:shd w:val="clear" w:color="auto" w:fill="auto"/>
            <w:noWrap/>
            <w:vAlign w:val="center"/>
            <w:hideMark/>
          </w:tcPr>
          <w:p w14:paraId="79649BE7"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21</w:t>
            </w:r>
          </w:p>
        </w:tc>
        <w:tc>
          <w:tcPr>
            <w:tcW w:w="4860" w:type="dxa"/>
            <w:tcBorders>
              <w:top w:val="nil"/>
              <w:left w:val="nil"/>
              <w:bottom w:val="single" w:sz="4" w:space="0" w:color="auto"/>
              <w:right w:val="single" w:sz="4" w:space="0" w:color="auto"/>
            </w:tcBorders>
            <w:shd w:val="clear" w:color="000000" w:fill="FFFFFF"/>
            <w:vAlign w:val="center"/>
            <w:hideMark/>
          </w:tcPr>
          <w:p w14:paraId="23BDF597" w14:textId="77777777"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Acompanhamento de itens antieconômicos</w:t>
            </w:r>
          </w:p>
        </w:tc>
        <w:tc>
          <w:tcPr>
            <w:tcW w:w="6178" w:type="dxa"/>
            <w:tcBorders>
              <w:top w:val="nil"/>
              <w:left w:val="nil"/>
              <w:bottom w:val="single" w:sz="4" w:space="0" w:color="auto"/>
              <w:right w:val="single" w:sz="4" w:space="0" w:color="auto"/>
            </w:tcBorders>
            <w:shd w:val="clear" w:color="000000" w:fill="FFFFFF"/>
            <w:vAlign w:val="center"/>
            <w:hideMark/>
          </w:tcPr>
          <w:p w14:paraId="49836152" w14:textId="77777777"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Quantidade de itens</w:t>
            </w:r>
          </w:p>
        </w:tc>
        <w:tc>
          <w:tcPr>
            <w:tcW w:w="1366" w:type="dxa"/>
            <w:tcBorders>
              <w:top w:val="nil"/>
              <w:left w:val="nil"/>
              <w:bottom w:val="single" w:sz="4" w:space="0" w:color="auto"/>
              <w:right w:val="single" w:sz="8" w:space="0" w:color="auto"/>
            </w:tcBorders>
            <w:shd w:val="clear" w:color="000000" w:fill="FFFFFF"/>
            <w:noWrap/>
            <w:vAlign w:val="center"/>
            <w:hideMark/>
          </w:tcPr>
          <w:p w14:paraId="50395ADC"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nº</w:t>
            </w:r>
          </w:p>
        </w:tc>
        <w:tc>
          <w:tcPr>
            <w:tcW w:w="146" w:type="dxa"/>
            <w:vAlign w:val="center"/>
            <w:hideMark/>
          </w:tcPr>
          <w:p w14:paraId="435F7C1E" w14:textId="77777777" w:rsidR="00A157E1" w:rsidRPr="00B951A3" w:rsidRDefault="00A157E1" w:rsidP="00A157E1">
            <w:pPr>
              <w:spacing w:after="0" w:line="240" w:lineRule="auto"/>
              <w:rPr>
                <w:rFonts w:eastAsia="Times New Roman" w:cstheme="minorHAnsi"/>
                <w:sz w:val="20"/>
                <w:szCs w:val="20"/>
                <w:lang w:eastAsia="pt-BR"/>
              </w:rPr>
            </w:pPr>
          </w:p>
        </w:tc>
      </w:tr>
      <w:tr w:rsidR="00A157E1" w:rsidRPr="00B951A3" w14:paraId="2852496C" w14:textId="77777777" w:rsidTr="0033161D">
        <w:trPr>
          <w:trHeight w:val="300"/>
        </w:trPr>
        <w:tc>
          <w:tcPr>
            <w:tcW w:w="1542" w:type="dxa"/>
            <w:vMerge/>
            <w:tcBorders>
              <w:top w:val="nil"/>
              <w:left w:val="single" w:sz="8" w:space="0" w:color="auto"/>
              <w:bottom w:val="single" w:sz="4" w:space="0" w:color="auto"/>
              <w:right w:val="single" w:sz="4" w:space="0" w:color="auto"/>
            </w:tcBorders>
            <w:shd w:val="clear" w:color="auto" w:fill="D6E3BC" w:themeFill="accent3" w:themeFillTint="66"/>
            <w:vAlign w:val="center"/>
            <w:hideMark/>
          </w:tcPr>
          <w:p w14:paraId="6D88C721" w14:textId="77777777" w:rsidR="00A157E1" w:rsidRPr="00B951A3" w:rsidRDefault="00A157E1" w:rsidP="00A157E1">
            <w:pPr>
              <w:spacing w:after="0" w:line="240" w:lineRule="auto"/>
              <w:rPr>
                <w:rFonts w:eastAsia="Times New Roman" w:cstheme="minorHAnsi"/>
                <w:b/>
                <w:bCs/>
                <w:color w:val="000000"/>
                <w:lang w:eastAsia="pt-BR"/>
              </w:rPr>
            </w:pPr>
          </w:p>
        </w:tc>
        <w:tc>
          <w:tcPr>
            <w:tcW w:w="403" w:type="dxa"/>
            <w:tcBorders>
              <w:top w:val="nil"/>
              <w:left w:val="nil"/>
              <w:bottom w:val="single" w:sz="4" w:space="0" w:color="auto"/>
              <w:right w:val="single" w:sz="4" w:space="0" w:color="auto"/>
            </w:tcBorders>
            <w:shd w:val="clear" w:color="auto" w:fill="auto"/>
            <w:noWrap/>
            <w:vAlign w:val="center"/>
            <w:hideMark/>
          </w:tcPr>
          <w:p w14:paraId="334C31BA"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22</w:t>
            </w:r>
          </w:p>
        </w:tc>
        <w:tc>
          <w:tcPr>
            <w:tcW w:w="4860" w:type="dxa"/>
            <w:tcBorders>
              <w:top w:val="nil"/>
              <w:left w:val="nil"/>
              <w:bottom w:val="single" w:sz="4" w:space="0" w:color="auto"/>
              <w:right w:val="single" w:sz="4" w:space="0" w:color="auto"/>
            </w:tcBorders>
            <w:shd w:val="clear" w:color="000000" w:fill="FFFFFF"/>
            <w:vAlign w:val="center"/>
            <w:hideMark/>
          </w:tcPr>
          <w:p w14:paraId="0D1C866A" w14:textId="77777777"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 xml:space="preserve">Acompanhamento do de itens irrecuperáveis </w:t>
            </w:r>
          </w:p>
        </w:tc>
        <w:tc>
          <w:tcPr>
            <w:tcW w:w="6178" w:type="dxa"/>
            <w:tcBorders>
              <w:top w:val="nil"/>
              <w:left w:val="nil"/>
              <w:bottom w:val="single" w:sz="4" w:space="0" w:color="auto"/>
              <w:right w:val="single" w:sz="4" w:space="0" w:color="auto"/>
            </w:tcBorders>
            <w:shd w:val="clear" w:color="000000" w:fill="FFFFFF"/>
            <w:vAlign w:val="center"/>
            <w:hideMark/>
          </w:tcPr>
          <w:p w14:paraId="1A5D3BD2" w14:textId="77777777"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Quantidade de itens</w:t>
            </w:r>
          </w:p>
        </w:tc>
        <w:tc>
          <w:tcPr>
            <w:tcW w:w="1366" w:type="dxa"/>
            <w:tcBorders>
              <w:top w:val="nil"/>
              <w:left w:val="nil"/>
              <w:bottom w:val="single" w:sz="4" w:space="0" w:color="auto"/>
              <w:right w:val="single" w:sz="8" w:space="0" w:color="auto"/>
            </w:tcBorders>
            <w:shd w:val="clear" w:color="000000" w:fill="FFFFFF"/>
            <w:noWrap/>
            <w:vAlign w:val="center"/>
            <w:hideMark/>
          </w:tcPr>
          <w:p w14:paraId="05CC9A52"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nº</w:t>
            </w:r>
          </w:p>
        </w:tc>
        <w:tc>
          <w:tcPr>
            <w:tcW w:w="146" w:type="dxa"/>
            <w:vAlign w:val="center"/>
            <w:hideMark/>
          </w:tcPr>
          <w:p w14:paraId="1548E3A7" w14:textId="77777777" w:rsidR="00A157E1" w:rsidRPr="00B951A3" w:rsidRDefault="00A157E1" w:rsidP="00A157E1">
            <w:pPr>
              <w:spacing w:after="0" w:line="240" w:lineRule="auto"/>
              <w:rPr>
                <w:rFonts w:eastAsia="Times New Roman" w:cstheme="minorHAnsi"/>
                <w:sz w:val="20"/>
                <w:szCs w:val="20"/>
                <w:lang w:eastAsia="pt-BR"/>
              </w:rPr>
            </w:pPr>
          </w:p>
        </w:tc>
      </w:tr>
      <w:tr w:rsidR="00A157E1" w:rsidRPr="00B951A3" w14:paraId="0BD052E6" w14:textId="77777777" w:rsidTr="0033161D">
        <w:trPr>
          <w:trHeight w:val="300"/>
        </w:trPr>
        <w:tc>
          <w:tcPr>
            <w:tcW w:w="1542" w:type="dxa"/>
            <w:vMerge/>
            <w:tcBorders>
              <w:top w:val="nil"/>
              <w:left w:val="single" w:sz="8" w:space="0" w:color="auto"/>
              <w:bottom w:val="single" w:sz="4" w:space="0" w:color="auto"/>
              <w:right w:val="single" w:sz="4" w:space="0" w:color="auto"/>
            </w:tcBorders>
            <w:shd w:val="clear" w:color="auto" w:fill="D6E3BC" w:themeFill="accent3" w:themeFillTint="66"/>
            <w:vAlign w:val="center"/>
            <w:hideMark/>
          </w:tcPr>
          <w:p w14:paraId="77D78035" w14:textId="77777777" w:rsidR="00A157E1" w:rsidRPr="00B951A3" w:rsidRDefault="00A157E1" w:rsidP="00A157E1">
            <w:pPr>
              <w:spacing w:after="0" w:line="240" w:lineRule="auto"/>
              <w:rPr>
                <w:rFonts w:eastAsia="Times New Roman" w:cstheme="minorHAnsi"/>
                <w:b/>
                <w:bCs/>
                <w:color w:val="000000"/>
                <w:lang w:eastAsia="pt-BR"/>
              </w:rPr>
            </w:pPr>
          </w:p>
        </w:tc>
        <w:tc>
          <w:tcPr>
            <w:tcW w:w="403" w:type="dxa"/>
            <w:tcBorders>
              <w:top w:val="nil"/>
              <w:left w:val="nil"/>
              <w:bottom w:val="single" w:sz="4" w:space="0" w:color="auto"/>
              <w:right w:val="single" w:sz="4" w:space="0" w:color="auto"/>
            </w:tcBorders>
            <w:shd w:val="clear" w:color="000000" w:fill="FFFFFF"/>
            <w:noWrap/>
            <w:vAlign w:val="center"/>
            <w:hideMark/>
          </w:tcPr>
          <w:p w14:paraId="215E7880"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23</w:t>
            </w:r>
          </w:p>
        </w:tc>
        <w:tc>
          <w:tcPr>
            <w:tcW w:w="4860" w:type="dxa"/>
            <w:tcBorders>
              <w:top w:val="nil"/>
              <w:left w:val="nil"/>
              <w:bottom w:val="single" w:sz="4" w:space="0" w:color="auto"/>
              <w:right w:val="single" w:sz="4" w:space="0" w:color="auto"/>
            </w:tcBorders>
            <w:shd w:val="clear" w:color="000000" w:fill="FFFFFF"/>
            <w:vAlign w:val="center"/>
            <w:hideMark/>
          </w:tcPr>
          <w:p w14:paraId="40419B18" w14:textId="77777777"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 xml:space="preserve">Compras compartilhadas entre Unidades e /ou órgãos </w:t>
            </w:r>
          </w:p>
        </w:tc>
        <w:tc>
          <w:tcPr>
            <w:tcW w:w="6178" w:type="dxa"/>
            <w:tcBorders>
              <w:top w:val="nil"/>
              <w:left w:val="nil"/>
              <w:bottom w:val="single" w:sz="4" w:space="0" w:color="auto"/>
              <w:right w:val="single" w:sz="4" w:space="0" w:color="auto"/>
            </w:tcBorders>
            <w:shd w:val="clear" w:color="000000" w:fill="FFFFFF"/>
            <w:vAlign w:val="center"/>
            <w:hideMark/>
          </w:tcPr>
          <w:p w14:paraId="2FE7C455" w14:textId="77777777"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Quantidade de compras compartilhadas</w:t>
            </w:r>
          </w:p>
        </w:tc>
        <w:tc>
          <w:tcPr>
            <w:tcW w:w="1366" w:type="dxa"/>
            <w:tcBorders>
              <w:top w:val="nil"/>
              <w:left w:val="nil"/>
              <w:bottom w:val="single" w:sz="4" w:space="0" w:color="auto"/>
              <w:right w:val="single" w:sz="8" w:space="0" w:color="auto"/>
            </w:tcBorders>
            <w:shd w:val="clear" w:color="000000" w:fill="FFFFFF"/>
            <w:noWrap/>
            <w:vAlign w:val="center"/>
            <w:hideMark/>
          </w:tcPr>
          <w:p w14:paraId="6963B7D5"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nº</w:t>
            </w:r>
          </w:p>
        </w:tc>
        <w:tc>
          <w:tcPr>
            <w:tcW w:w="146" w:type="dxa"/>
            <w:vAlign w:val="center"/>
            <w:hideMark/>
          </w:tcPr>
          <w:p w14:paraId="3190671B" w14:textId="77777777" w:rsidR="00A157E1" w:rsidRPr="00B951A3" w:rsidRDefault="00A157E1" w:rsidP="00A157E1">
            <w:pPr>
              <w:spacing w:after="0" w:line="240" w:lineRule="auto"/>
              <w:rPr>
                <w:rFonts w:eastAsia="Times New Roman" w:cstheme="minorHAnsi"/>
                <w:sz w:val="20"/>
                <w:szCs w:val="20"/>
                <w:lang w:eastAsia="pt-BR"/>
              </w:rPr>
            </w:pPr>
          </w:p>
        </w:tc>
      </w:tr>
      <w:tr w:rsidR="00A157E1" w:rsidRPr="00B951A3" w14:paraId="3E06B29B" w14:textId="77777777" w:rsidTr="0033161D">
        <w:trPr>
          <w:trHeight w:val="600"/>
        </w:trPr>
        <w:tc>
          <w:tcPr>
            <w:tcW w:w="1542" w:type="dxa"/>
            <w:vMerge w:val="restart"/>
            <w:tcBorders>
              <w:top w:val="nil"/>
              <w:left w:val="single" w:sz="8" w:space="0" w:color="auto"/>
              <w:bottom w:val="single" w:sz="4" w:space="0" w:color="auto"/>
              <w:right w:val="single" w:sz="4" w:space="0" w:color="auto"/>
            </w:tcBorders>
            <w:shd w:val="clear" w:color="auto" w:fill="D6E3BC" w:themeFill="accent3" w:themeFillTint="66"/>
            <w:vAlign w:val="center"/>
            <w:hideMark/>
          </w:tcPr>
          <w:p w14:paraId="5208FE19" w14:textId="77777777" w:rsidR="00A157E1" w:rsidRPr="00B951A3" w:rsidRDefault="00A157E1" w:rsidP="00A157E1">
            <w:pPr>
              <w:spacing w:after="0" w:line="240" w:lineRule="auto"/>
              <w:jc w:val="center"/>
              <w:rPr>
                <w:rFonts w:eastAsia="Times New Roman" w:cstheme="minorHAnsi"/>
                <w:b/>
                <w:bCs/>
                <w:color w:val="000000"/>
                <w:lang w:eastAsia="pt-BR"/>
              </w:rPr>
            </w:pPr>
            <w:r w:rsidRPr="00B951A3">
              <w:rPr>
                <w:rFonts w:eastAsia="Times New Roman" w:cstheme="minorHAnsi"/>
                <w:b/>
                <w:bCs/>
                <w:color w:val="000000"/>
                <w:lang w:eastAsia="pt-BR"/>
              </w:rPr>
              <w:t>Manutenção Predial</w:t>
            </w:r>
          </w:p>
        </w:tc>
        <w:tc>
          <w:tcPr>
            <w:tcW w:w="403" w:type="dxa"/>
            <w:tcBorders>
              <w:top w:val="nil"/>
              <w:left w:val="nil"/>
              <w:bottom w:val="single" w:sz="4" w:space="0" w:color="auto"/>
              <w:right w:val="single" w:sz="4" w:space="0" w:color="auto"/>
            </w:tcBorders>
            <w:shd w:val="clear" w:color="auto" w:fill="auto"/>
            <w:noWrap/>
            <w:vAlign w:val="center"/>
            <w:hideMark/>
          </w:tcPr>
          <w:p w14:paraId="3E08D5EE"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24</w:t>
            </w:r>
          </w:p>
        </w:tc>
        <w:tc>
          <w:tcPr>
            <w:tcW w:w="4860" w:type="dxa"/>
            <w:tcBorders>
              <w:top w:val="nil"/>
              <w:left w:val="nil"/>
              <w:bottom w:val="single" w:sz="4" w:space="0" w:color="auto"/>
              <w:right w:val="single" w:sz="4" w:space="0" w:color="auto"/>
            </w:tcBorders>
            <w:shd w:val="clear" w:color="000000" w:fill="FFFFFF"/>
            <w:vAlign w:val="center"/>
            <w:hideMark/>
          </w:tcPr>
          <w:p w14:paraId="7403E4EC" w14:textId="77777777"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Gastos com reparos de ar-condicionado e equipamentos eletro/eletrônicos e/ou com pequenos reparos em geral</w:t>
            </w:r>
          </w:p>
        </w:tc>
        <w:tc>
          <w:tcPr>
            <w:tcW w:w="6178" w:type="dxa"/>
            <w:tcBorders>
              <w:top w:val="nil"/>
              <w:left w:val="nil"/>
              <w:bottom w:val="single" w:sz="4" w:space="0" w:color="auto"/>
              <w:right w:val="single" w:sz="4" w:space="0" w:color="auto"/>
            </w:tcBorders>
            <w:shd w:val="clear" w:color="000000" w:fill="FFFFFF"/>
            <w:vAlign w:val="center"/>
            <w:hideMark/>
          </w:tcPr>
          <w:p w14:paraId="54722D4A" w14:textId="77777777"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Somatórios dos gastos</w:t>
            </w:r>
          </w:p>
        </w:tc>
        <w:tc>
          <w:tcPr>
            <w:tcW w:w="1366" w:type="dxa"/>
            <w:tcBorders>
              <w:top w:val="nil"/>
              <w:left w:val="nil"/>
              <w:bottom w:val="single" w:sz="4" w:space="0" w:color="auto"/>
              <w:right w:val="single" w:sz="8" w:space="0" w:color="auto"/>
            </w:tcBorders>
            <w:shd w:val="clear" w:color="000000" w:fill="FFFFFF"/>
            <w:noWrap/>
            <w:vAlign w:val="center"/>
            <w:hideMark/>
          </w:tcPr>
          <w:p w14:paraId="3B405DF4"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R$</w:t>
            </w:r>
          </w:p>
        </w:tc>
        <w:tc>
          <w:tcPr>
            <w:tcW w:w="146" w:type="dxa"/>
            <w:vAlign w:val="center"/>
            <w:hideMark/>
          </w:tcPr>
          <w:p w14:paraId="2F612CF6" w14:textId="77777777" w:rsidR="00A157E1" w:rsidRPr="00B951A3" w:rsidRDefault="00A157E1" w:rsidP="00A157E1">
            <w:pPr>
              <w:spacing w:after="0" w:line="240" w:lineRule="auto"/>
              <w:rPr>
                <w:rFonts w:eastAsia="Times New Roman" w:cstheme="minorHAnsi"/>
                <w:sz w:val="20"/>
                <w:szCs w:val="20"/>
                <w:lang w:eastAsia="pt-BR"/>
              </w:rPr>
            </w:pPr>
          </w:p>
        </w:tc>
      </w:tr>
      <w:tr w:rsidR="00A157E1" w:rsidRPr="00B951A3" w14:paraId="40CCD45E" w14:textId="77777777" w:rsidTr="0033161D">
        <w:trPr>
          <w:trHeight w:val="600"/>
        </w:trPr>
        <w:tc>
          <w:tcPr>
            <w:tcW w:w="1542" w:type="dxa"/>
            <w:vMerge/>
            <w:tcBorders>
              <w:top w:val="nil"/>
              <w:left w:val="single" w:sz="8" w:space="0" w:color="auto"/>
              <w:bottom w:val="single" w:sz="4" w:space="0" w:color="auto"/>
              <w:right w:val="single" w:sz="4" w:space="0" w:color="auto"/>
            </w:tcBorders>
            <w:shd w:val="clear" w:color="auto" w:fill="D6E3BC" w:themeFill="accent3" w:themeFillTint="66"/>
            <w:vAlign w:val="center"/>
            <w:hideMark/>
          </w:tcPr>
          <w:p w14:paraId="21FECAF6" w14:textId="77777777" w:rsidR="00A157E1" w:rsidRPr="00B951A3" w:rsidRDefault="00A157E1" w:rsidP="00A157E1">
            <w:pPr>
              <w:spacing w:after="0" w:line="240" w:lineRule="auto"/>
              <w:rPr>
                <w:rFonts w:eastAsia="Times New Roman" w:cstheme="minorHAnsi"/>
                <w:b/>
                <w:bCs/>
                <w:color w:val="000000"/>
                <w:lang w:eastAsia="pt-BR"/>
              </w:rPr>
            </w:pPr>
          </w:p>
        </w:tc>
        <w:tc>
          <w:tcPr>
            <w:tcW w:w="403" w:type="dxa"/>
            <w:tcBorders>
              <w:top w:val="nil"/>
              <w:left w:val="nil"/>
              <w:bottom w:val="single" w:sz="4" w:space="0" w:color="auto"/>
              <w:right w:val="single" w:sz="4" w:space="0" w:color="auto"/>
            </w:tcBorders>
            <w:shd w:val="clear" w:color="000000" w:fill="FFFFFF"/>
            <w:noWrap/>
            <w:vAlign w:val="center"/>
            <w:hideMark/>
          </w:tcPr>
          <w:p w14:paraId="46BD135D"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25</w:t>
            </w:r>
          </w:p>
        </w:tc>
        <w:tc>
          <w:tcPr>
            <w:tcW w:w="4860" w:type="dxa"/>
            <w:tcBorders>
              <w:top w:val="nil"/>
              <w:left w:val="nil"/>
              <w:bottom w:val="single" w:sz="4" w:space="0" w:color="auto"/>
              <w:right w:val="single" w:sz="4" w:space="0" w:color="auto"/>
            </w:tcBorders>
            <w:shd w:val="clear" w:color="000000" w:fill="FFFFFF"/>
            <w:vAlign w:val="center"/>
            <w:hideMark/>
          </w:tcPr>
          <w:p w14:paraId="5E9CA203" w14:textId="77777777"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Acompanhamento de dispensa de licitação para aquisição de material elétrico e de manutenção predial</w:t>
            </w:r>
          </w:p>
        </w:tc>
        <w:tc>
          <w:tcPr>
            <w:tcW w:w="6178" w:type="dxa"/>
            <w:tcBorders>
              <w:top w:val="nil"/>
              <w:left w:val="nil"/>
              <w:bottom w:val="single" w:sz="4" w:space="0" w:color="auto"/>
              <w:right w:val="single" w:sz="4" w:space="0" w:color="auto"/>
            </w:tcBorders>
            <w:shd w:val="clear" w:color="000000" w:fill="FFFFFF"/>
            <w:vAlign w:val="center"/>
            <w:hideMark/>
          </w:tcPr>
          <w:p w14:paraId="3A003504" w14:textId="77777777"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Quantidade de dispensas de licitação para aquisição de materiais utilizados em serviços de manutenção predial</w:t>
            </w:r>
          </w:p>
        </w:tc>
        <w:tc>
          <w:tcPr>
            <w:tcW w:w="1366" w:type="dxa"/>
            <w:tcBorders>
              <w:top w:val="nil"/>
              <w:left w:val="nil"/>
              <w:bottom w:val="single" w:sz="4" w:space="0" w:color="auto"/>
              <w:right w:val="single" w:sz="8" w:space="0" w:color="auto"/>
            </w:tcBorders>
            <w:shd w:val="clear" w:color="000000" w:fill="FFFFFF"/>
            <w:noWrap/>
            <w:vAlign w:val="center"/>
            <w:hideMark/>
          </w:tcPr>
          <w:p w14:paraId="34FEB1D2"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nº</w:t>
            </w:r>
          </w:p>
        </w:tc>
        <w:tc>
          <w:tcPr>
            <w:tcW w:w="146" w:type="dxa"/>
            <w:vAlign w:val="center"/>
            <w:hideMark/>
          </w:tcPr>
          <w:p w14:paraId="29F89730" w14:textId="77777777" w:rsidR="00A157E1" w:rsidRPr="00B951A3" w:rsidRDefault="00A157E1" w:rsidP="00A157E1">
            <w:pPr>
              <w:spacing w:after="0" w:line="240" w:lineRule="auto"/>
              <w:rPr>
                <w:rFonts w:eastAsia="Times New Roman" w:cstheme="minorHAnsi"/>
                <w:sz w:val="20"/>
                <w:szCs w:val="20"/>
                <w:lang w:eastAsia="pt-BR"/>
              </w:rPr>
            </w:pPr>
          </w:p>
        </w:tc>
      </w:tr>
      <w:tr w:rsidR="00A157E1" w:rsidRPr="00B951A3" w14:paraId="54AC899B" w14:textId="77777777" w:rsidTr="0033161D">
        <w:trPr>
          <w:trHeight w:val="600"/>
        </w:trPr>
        <w:tc>
          <w:tcPr>
            <w:tcW w:w="1542" w:type="dxa"/>
            <w:vMerge/>
            <w:tcBorders>
              <w:top w:val="nil"/>
              <w:left w:val="single" w:sz="8" w:space="0" w:color="auto"/>
              <w:bottom w:val="single" w:sz="4" w:space="0" w:color="auto"/>
              <w:right w:val="single" w:sz="4" w:space="0" w:color="auto"/>
            </w:tcBorders>
            <w:shd w:val="clear" w:color="auto" w:fill="D6E3BC" w:themeFill="accent3" w:themeFillTint="66"/>
            <w:vAlign w:val="center"/>
            <w:hideMark/>
          </w:tcPr>
          <w:p w14:paraId="0CFC0261" w14:textId="77777777" w:rsidR="00A157E1" w:rsidRPr="00B951A3" w:rsidRDefault="00A157E1" w:rsidP="00A157E1">
            <w:pPr>
              <w:spacing w:after="0" w:line="240" w:lineRule="auto"/>
              <w:rPr>
                <w:rFonts w:eastAsia="Times New Roman" w:cstheme="minorHAnsi"/>
                <w:b/>
                <w:bCs/>
                <w:color w:val="000000"/>
                <w:lang w:eastAsia="pt-BR"/>
              </w:rPr>
            </w:pPr>
          </w:p>
        </w:tc>
        <w:tc>
          <w:tcPr>
            <w:tcW w:w="403" w:type="dxa"/>
            <w:tcBorders>
              <w:top w:val="nil"/>
              <w:left w:val="nil"/>
              <w:bottom w:val="single" w:sz="4" w:space="0" w:color="auto"/>
              <w:right w:val="single" w:sz="4" w:space="0" w:color="auto"/>
            </w:tcBorders>
            <w:shd w:val="clear" w:color="000000" w:fill="FFFFFF"/>
            <w:noWrap/>
            <w:vAlign w:val="center"/>
            <w:hideMark/>
          </w:tcPr>
          <w:p w14:paraId="3AF3E9C1"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26</w:t>
            </w:r>
          </w:p>
        </w:tc>
        <w:tc>
          <w:tcPr>
            <w:tcW w:w="4860" w:type="dxa"/>
            <w:tcBorders>
              <w:top w:val="nil"/>
              <w:left w:val="nil"/>
              <w:bottom w:val="single" w:sz="4" w:space="0" w:color="auto"/>
              <w:right w:val="single" w:sz="4" w:space="0" w:color="auto"/>
            </w:tcBorders>
            <w:shd w:val="clear" w:color="000000" w:fill="FFFFFF"/>
            <w:vAlign w:val="center"/>
            <w:hideMark/>
          </w:tcPr>
          <w:p w14:paraId="3A5B5287" w14:textId="77777777"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Percentual de lâmpadas com sensores de presença</w:t>
            </w:r>
          </w:p>
        </w:tc>
        <w:tc>
          <w:tcPr>
            <w:tcW w:w="6178" w:type="dxa"/>
            <w:tcBorders>
              <w:top w:val="nil"/>
              <w:left w:val="nil"/>
              <w:bottom w:val="single" w:sz="4" w:space="0" w:color="auto"/>
              <w:right w:val="single" w:sz="4" w:space="0" w:color="auto"/>
            </w:tcBorders>
            <w:shd w:val="clear" w:color="000000" w:fill="FFFFFF"/>
            <w:vAlign w:val="center"/>
            <w:hideMark/>
          </w:tcPr>
          <w:p w14:paraId="5C79CE79" w14:textId="77777777"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Proporção de lâmpadas com sensores de presença por unidade</w:t>
            </w:r>
          </w:p>
        </w:tc>
        <w:tc>
          <w:tcPr>
            <w:tcW w:w="1366" w:type="dxa"/>
            <w:tcBorders>
              <w:top w:val="nil"/>
              <w:left w:val="nil"/>
              <w:bottom w:val="single" w:sz="4" w:space="0" w:color="auto"/>
              <w:right w:val="single" w:sz="8" w:space="0" w:color="auto"/>
            </w:tcBorders>
            <w:shd w:val="clear" w:color="000000" w:fill="FFFFFF"/>
            <w:noWrap/>
            <w:vAlign w:val="center"/>
            <w:hideMark/>
          </w:tcPr>
          <w:p w14:paraId="47F2D218"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w:t>
            </w:r>
          </w:p>
        </w:tc>
        <w:tc>
          <w:tcPr>
            <w:tcW w:w="146" w:type="dxa"/>
            <w:vAlign w:val="center"/>
            <w:hideMark/>
          </w:tcPr>
          <w:p w14:paraId="4972D043" w14:textId="77777777" w:rsidR="00A157E1" w:rsidRPr="00B951A3" w:rsidRDefault="00A157E1" w:rsidP="00A157E1">
            <w:pPr>
              <w:spacing w:after="0" w:line="240" w:lineRule="auto"/>
              <w:rPr>
                <w:rFonts w:eastAsia="Times New Roman" w:cstheme="minorHAnsi"/>
                <w:sz w:val="20"/>
                <w:szCs w:val="20"/>
                <w:lang w:eastAsia="pt-BR"/>
              </w:rPr>
            </w:pPr>
          </w:p>
        </w:tc>
      </w:tr>
      <w:tr w:rsidR="00A157E1" w:rsidRPr="00B951A3" w14:paraId="5B16CE6D" w14:textId="77777777" w:rsidTr="0033161D">
        <w:trPr>
          <w:trHeight w:val="600"/>
        </w:trPr>
        <w:tc>
          <w:tcPr>
            <w:tcW w:w="1542" w:type="dxa"/>
            <w:vMerge/>
            <w:tcBorders>
              <w:top w:val="nil"/>
              <w:left w:val="single" w:sz="8" w:space="0" w:color="auto"/>
              <w:bottom w:val="single" w:sz="4" w:space="0" w:color="auto"/>
              <w:right w:val="single" w:sz="4" w:space="0" w:color="auto"/>
            </w:tcBorders>
            <w:shd w:val="clear" w:color="auto" w:fill="D6E3BC" w:themeFill="accent3" w:themeFillTint="66"/>
            <w:vAlign w:val="center"/>
            <w:hideMark/>
          </w:tcPr>
          <w:p w14:paraId="7A27F564" w14:textId="77777777" w:rsidR="00A157E1" w:rsidRPr="00B951A3" w:rsidRDefault="00A157E1" w:rsidP="00A157E1">
            <w:pPr>
              <w:spacing w:after="0" w:line="240" w:lineRule="auto"/>
              <w:rPr>
                <w:rFonts w:eastAsia="Times New Roman" w:cstheme="minorHAnsi"/>
                <w:b/>
                <w:bCs/>
                <w:color w:val="000000"/>
                <w:lang w:eastAsia="pt-BR"/>
              </w:rPr>
            </w:pPr>
          </w:p>
        </w:tc>
        <w:tc>
          <w:tcPr>
            <w:tcW w:w="403" w:type="dxa"/>
            <w:tcBorders>
              <w:top w:val="nil"/>
              <w:left w:val="nil"/>
              <w:bottom w:val="single" w:sz="4" w:space="0" w:color="auto"/>
              <w:right w:val="single" w:sz="4" w:space="0" w:color="auto"/>
            </w:tcBorders>
            <w:shd w:val="clear" w:color="000000" w:fill="FFFFFF"/>
            <w:noWrap/>
            <w:vAlign w:val="center"/>
            <w:hideMark/>
          </w:tcPr>
          <w:p w14:paraId="69FE07B8"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27</w:t>
            </w:r>
          </w:p>
        </w:tc>
        <w:tc>
          <w:tcPr>
            <w:tcW w:w="4860" w:type="dxa"/>
            <w:tcBorders>
              <w:top w:val="nil"/>
              <w:left w:val="nil"/>
              <w:bottom w:val="single" w:sz="4" w:space="0" w:color="auto"/>
              <w:right w:val="single" w:sz="4" w:space="0" w:color="auto"/>
            </w:tcBorders>
            <w:shd w:val="clear" w:color="000000" w:fill="FFFFFF"/>
            <w:vAlign w:val="center"/>
            <w:hideMark/>
          </w:tcPr>
          <w:p w14:paraId="517B0A90" w14:textId="77777777"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Percentual de torneiras com válvulas redutoras de pressão e temporizadores</w:t>
            </w:r>
          </w:p>
        </w:tc>
        <w:tc>
          <w:tcPr>
            <w:tcW w:w="6178" w:type="dxa"/>
            <w:tcBorders>
              <w:top w:val="nil"/>
              <w:left w:val="nil"/>
              <w:bottom w:val="single" w:sz="4" w:space="0" w:color="auto"/>
              <w:right w:val="single" w:sz="4" w:space="0" w:color="auto"/>
            </w:tcBorders>
            <w:shd w:val="clear" w:color="000000" w:fill="FFFFFF"/>
            <w:vAlign w:val="center"/>
            <w:hideMark/>
          </w:tcPr>
          <w:p w14:paraId="785125A7" w14:textId="77777777"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Proporção de torneiras com válvulas redutoras de pressão e temporizadores por unidade</w:t>
            </w:r>
          </w:p>
        </w:tc>
        <w:tc>
          <w:tcPr>
            <w:tcW w:w="1366" w:type="dxa"/>
            <w:tcBorders>
              <w:top w:val="nil"/>
              <w:left w:val="nil"/>
              <w:bottom w:val="single" w:sz="4" w:space="0" w:color="auto"/>
              <w:right w:val="single" w:sz="8" w:space="0" w:color="auto"/>
            </w:tcBorders>
            <w:shd w:val="clear" w:color="000000" w:fill="FFFFFF"/>
            <w:noWrap/>
            <w:vAlign w:val="center"/>
            <w:hideMark/>
          </w:tcPr>
          <w:p w14:paraId="5C1E74B9"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w:t>
            </w:r>
          </w:p>
        </w:tc>
        <w:tc>
          <w:tcPr>
            <w:tcW w:w="146" w:type="dxa"/>
            <w:vAlign w:val="center"/>
            <w:hideMark/>
          </w:tcPr>
          <w:p w14:paraId="1770BD31" w14:textId="77777777" w:rsidR="00A157E1" w:rsidRPr="00B951A3" w:rsidRDefault="00A157E1" w:rsidP="00A157E1">
            <w:pPr>
              <w:spacing w:after="0" w:line="240" w:lineRule="auto"/>
              <w:rPr>
                <w:rFonts w:eastAsia="Times New Roman" w:cstheme="minorHAnsi"/>
                <w:sz w:val="20"/>
                <w:szCs w:val="20"/>
                <w:lang w:eastAsia="pt-BR"/>
              </w:rPr>
            </w:pPr>
          </w:p>
        </w:tc>
      </w:tr>
      <w:tr w:rsidR="00A157E1" w:rsidRPr="00B951A3" w14:paraId="2B507E44" w14:textId="77777777" w:rsidTr="0033161D">
        <w:trPr>
          <w:trHeight w:val="735"/>
        </w:trPr>
        <w:tc>
          <w:tcPr>
            <w:tcW w:w="1542" w:type="dxa"/>
            <w:vMerge/>
            <w:tcBorders>
              <w:top w:val="nil"/>
              <w:left w:val="single" w:sz="8" w:space="0" w:color="auto"/>
              <w:bottom w:val="single" w:sz="4" w:space="0" w:color="auto"/>
              <w:right w:val="single" w:sz="4" w:space="0" w:color="auto"/>
            </w:tcBorders>
            <w:shd w:val="clear" w:color="auto" w:fill="D6E3BC" w:themeFill="accent3" w:themeFillTint="66"/>
            <w:vAlign w:val="center"/>
            <w:hideMark/>
          </w:tcPr>
          <w:p w14:paraId="14FA0C55" w14:textId="77777777" w:rsidR="00A157E1" w:rsidRPr="00B951A3" w:rsidRDefault="00A157E1" w:rsidP="00A157E1">
            <w:pPr>
              <w:spacing w:after="0" w:line="240" w:lineRule="auto"/>
              <w:rPr>
                <w:rFonts w:eastAsia="Times New Roman" w:cstheme="minorHAnsi"/>
                <w:b/>
                <w:bCs/>
                <w:color w:val="000000"/>
                <w:lang w:eastAsia="pt-BR"/>
              </w:rPr>
            </w:pPr>
          </w:p>
        </w:tc>
        <w:tc>
          <w:tcPr>
            <w:tcW w:w="403" w:type="dxa"/>
            <w:tcBorders>
              <w:top w:val="nil"/>
              <w:left w:val="nil"/>
              <w:bottom w:val="single" w:sz="4" w:space="0" w:color="auto"/>
              <w:right w:val="single" w:sz="4" w:space="0" w:color="auto"/>
            </w:tcBorders>
            <w:shd w:val="clear" w:color="auto" w:fill="auto"/>
            <w:noWrap/>
            <w:vAlign w:val="center"/>
            <w:hideMark/>
          </w:tcPr>
          <w:p w14:paraId="57B7DF76"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28</w:t>
            </w:r>
          </w:p>
        </w:tc>
        <w:tc>
          <w:tcPr>
            <w:tcW w:w="4860" w:type="dxa"/>
            <w:tcBorders>
              <w:top w:val="nil"/>
              <w:left w:val="nil"/>
              <w:bottom w:val="single" w:sz="4" w:space="0" w:color="auto"/>
              <w:right w:val="single" w:sz="4" w:space="0" w:color="auto"/>
            </w:tcBorders>
            <w:shd w:val="clear" w:color="000000" w:fill="FFFFFF"/>
            <w:vAlign w:val="center"/>
            <w:hideMark/>
          </w:tcPr>
          <w:p w14:paraId="44048FC1" w14:textId="77777777"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lang w:eastAsia="pt-BR"/>
              </w:rPr>
              <w:t>Quantidade de itens</w:t>
            </w:r>
            <w:r w:rsidRPr="00B951A3">
              <w:rPr>
                <w:rFonts w:eastAsia="Times New Roman" w:cstheme="minorHAnsi"/>
                <w:color w:val="000000"/>
                <w:lang w:eastAsia="pt-BR"/>
              </w:rPr>
              <w:t xml:space="preserve"> de acessibilidade</w:t>
            </w:r>
            <w:r w:rsidRPr="00B951A3">
              <w:rPr>
                <w:rFonts w:eastAsia="Times New Roman" w:cstheme="minorHAnsi"/>
                <w:lang w:eastAsia="pt-BR"/>
              </w:rPr>
              <w:t xml:space="preserve"> na instalação</w:t>
            </w:r>
            <w:r w:rsidRPr="00B951A3">
              <w:rPr>
                <w:rFonts w:eastAsia="Times New Roman" w:cstheme="minorHAnsi"/>
                <w:color w:val="000000"/>
                <w:lang w:eastAsia="pt-BR"/>
              </w:rPr>
              <w:t xml:space="preserve"> (rampa de acesso/estacionamento/banheiro adaptado/elevador)</w:t>
            </w:r>
          </w:p>
        </w:tc>
        <w:tc>
          <w:tcPr>
            <w:tcW w:w="6178" w:type="dxa"/>
            <w:tcBorders>
              <w:top w:val="nil"/>
              <w:left w:val="nil"/>
              <w:bottom w:val="single" w:sz="4" w:space="0" w:color="auto"/>
              <w:right w:val="single" w:sz="4" w:space="0" w:color="auto"/>
            </w:tcBorders>
            <w:shd w:val="clear" w:color="000000" w:fill="FFFFFF"/>
            <w:vAlign w:val="center"/>
            <w:hideMark/>
          </w:tcPr>
          <w:p w14:paraId="7E0BA970" w14:textId="77777777" w:rsidR="00A157E1" w:rsidRPr="00B951A3" w:rsidRDefault="00A157E1" w:rsidP="00A157E1">
            <w:pPr>
              <w:spacing w:after="0" w:line="240" w:lineRule="auto"/>
              <w:rPr>
                <w:rFonts w:eastAsia="Times New Roman" w:cstheme="minorHAnsi"/>
                <w:color w:val="000000"/>
                <w:lang w:eastAsia="pt-BR"/>
              </w:rPr>
            </w:pPr>
            <w:r w:rsidRPr="00B951A3">
              <w:rPr>
                <w:rFonts w:eastAsia="Times New Roman" w:cstheme="minorHAnsi"/>
                <w:color w:val="000000"/>
                <w:lang w:eastAsia="pt-BR"/>
              </w:rPr>
              <w:t>Quantidade de itens com critérios de acessibilidade na instalação</w:t>
            </w:r>
          </w:p>
        </w:tc>
        <w:tc>
          <w:tcPr>
            <w:tcW w:w="1366" w:type="dxa"/>
            <w:tcBorders>
              <w:top w:val="nil"/>
              <w:left w:val="nil"/>
              <w:bottom w:val="single" w:sz="4" w:space="0" w:color="auto"/>
              <w:right w:val="single" w:sz="8" w:space="0" w:color="auto"/>
            </w:tcBorders>
            <w:shd w:val="clear" w:color="000000" w:fill="FFFFFF"/>
            <w:noWrap/>
            <w:vAlign w:val="center"/>
            <w:hideMark/>
          </w:tcPr>
          <w:p w14:paraId="20703516"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nº</w:t>
            </w:r>
          </w:p>
        </w:tc>
        <w:tc>
          <w:tcPr>
            <w:tcW w:w="146" w:type="dxa"/>
            <w:vAlign w:val="center"/>
            <w:hideMark/>
          </w:tcPr>
          <w:p w14:paraId="0BB1492A" w14:textId="77777777" w:rsidR="00A157E1" w:rsidRPr="00B951A3" w:rsidRDefault="00A157E1" w:rsidP="00A157E1">
            <w:pPr>
              <w:spacing w:after="0" w:line="240" w:lineRule="auto"/>
              <w:rPr>
                <w:rFonts w:eastAsia="Times New Roman" w:cstheme="minorHAnsi"/>
                <w:sz w:val="20"/>
                <w:szCs w:val="20"/>
                <w:lang w:eastAsia="pt-BR"/>
              </w:rPr>
            </w:pPr>
          </w:p>
        </w:tc>
      </w:tr>
      <w:tr w:rsidR="00A157E1" w:rsidRPr="00B951A3" w14:paraId="52BC9050" w14:textId="77777777" w:rsidTr="0033161D">
        <w:trPr>
          <w:trHeight w:val="555"/>
        </w:trPr>
        <w:tc>
          <w:tcPr>
            <w:tcW w:w="1542" w:type="dxa"/>
            <w:tcBorders>
              <w:top w:val="nil"/>
              <w:left w:val="single" w:sz="8" w:space="0" w:color="auto"/>
              <w:bottom w:val="single" w:sz="8" w:space="0" w:color="auto"/>
              <w:right w:val="single" w:sz="4" w:space="0" w:color="auto"/>
            </w:tcBorders>
            <w:shd w:val="clear" w:color="auto" w:fill="D6E3BC" w:themeFill="accent3" w:themeFillTint="66"/>
            <w:vAlign w:val="center"/>
            <w:hideMark/>
          </w:tcPr>
          <w:p w14:paraId="4A08BE69" w14:textId="77777777" w:rsidR="00A157E1" w:rsidRPr="00B951A3" w:rsidRDefault="00A157E1" w:rsidP="00A157E1">
            <w:pPr>
              <w:spacing w:after="0" w:line="240" w:lineRule="auto"/>
              <w:jc w:val="center"/>
              <w:rPr>
                <w:rFonts w:eastAsia="Times New Roman" w:cstheme="minorHAnsi"/>
                <w:b/>
                <w:bCs/>
                <w:color w:val="000000"/>
                <w:lang w:eastAsia="pt-BR"/>
              </w:rPr>
            </w:pPr>
            <w:r w:rsidRPr="00B951A3">
              <w:rPr>
                <w:rFonts w:eastAsia="Times New Roman" w:cstheme="minorHAnsi"/>
                <w:b/>
                <w:bCs/>
                <w:color w:val="000000"/>
                <w:lang w:eastAsia="pt-BR"/>
              </w:rPr>
              <w:t>Telefonia</w:t>
            </w:r>
          </w:p>
        </w:tc>
        <w:tc>
          <w:tcPr>
            <w:tcW w:w="403" w:type="dxa"/>
            <w:tcBorders>
              <w:top w:val="nil"/>
              <w:left w:val="nil"/>
              <w:bottom w:val="single" w:sz="8" w:space="0" w:color="auto"/>
              <w:right w:val="single" w:sz="4" w:space="0" w:color="auto"/>
            </w:tcBorders>
            <w:shd w:val="clear" w:color="auto" w:fill="auto"/>
            <w:noWrap/>
            <w:vAlign w:val="center"/>
            <w:hideMark/>
          </w:tcPr>
          <w:p w14:paraId="4C7D9577" w14:textId="77777777" w:rsidR="00A157E1" w:rsidRPr="00B951A3" w:rsidRDefault="00A157E1" w:rsidP="00A157E1">
            <w:pPr>
              <w:spacing w:after="0" w:line="240" w:lineRule="auto"/>
              <w:jc w:val="center"/>
              <w:rPr>
                <w:rFonts w:eastAsia="Times New Roman" w:cstheme="minorHAnsi"/>
                <w:color w:val="000000"/>
                <w:lang w:eastAsia="pt-BR"/>
              </w:rPr>
            </w:pPr>
            <w:r w:rsidRPr="00B951A3">
              <w:rPr>
                <w:rFonts w:eastAsia="Times New Roman" w:cstheme="minorHAnsi"/>
                <w:color w:val="000000"/>
                <w:lang w:eastAsia="pt-BR"/>
              </w:rPr>
              <w:t>29</w:t>
            </w:r>
          </w:p>
        </w:tc>
        <w:tc>
          <w:tcPr>
            <w:tcW w:w="4860" w:type="dxa"/>
            <w:tcBorders>
              <w:top w:val="nil"/>
              <w:left w:val="nil"/>
              <w:bottom w:val="single" w:sz="8" w:space="0" w:color="auto"/>
              <w:right w:val="single" w:sz="4" w:space="0" w:color="auto"/>
            </w:tcBorders>
            <w:shd w:val="clear" w:color="auto" w:fill="auto"/>
            <w:vAlign w:val="center"/>
            <w:hideMark/>
          </w:tcPr>
          <w:p w14:paraId="08DBCF79" w14:textId="5BB4289A" w:rsidR="00A157E1" w:rsidRPr="00B951A3" w:rsidRDefault="00A157E1" w:rsidP="00A157E1">
            <w:pPr>
              <w:spacing w:after="0" w:line="240" w:lineRule="auto"/>
              <w:rPr>
                <w:rFonts w:eastAsia="Times New Roman" w:cstheme="minorHAnsi"/>
                <w:color w:val="000000"/>
                <w:sz w:val="21"/>
                <w:szCs w:val="21"/>
                <w:lang w:eastAsia="pt-BR"/>
              </w:rPr>
            </w:pPr>
            <w:r w:rsidRPr="00B951A3">
              <w:rPr>
                <w:rFonts w:eastAsia="Times New Roman" w:cstheme="minorHAnsi"/>
                <w:color w:val="000000"/>
                <w:sz w:val="21"/>
                <w:szCs w:val="21"/>
                <w:lang w:eastAsia="pt-BR"/>
              </w:rPr>
              <w:t xml:space="preserve">Percentual de diminuição </w:t>
            </w:r>
            <w:r w:rsidR="00B951A3" w:rsidRPr="00B951A3">
              <w:rPr>
                <w:rFonts w:eastAsia="Times New Roman" w:cstheme="minorHAnsi"/>
                <w:color w:val="000000"/>
                <w:sz w:val="21"/>
                <w:szCs w:val="21"/>
                <w:lang w:eastAsia="pt-BR"/>
              </w:rPr>
              <w:t>dos custos</w:t>
            </w:r>
            <w:r w:rsidRPr="00B951A3">
              <w:rPr>
                <w:rFonts w:eastAsia="Times New Roman" w:cstheme="minorHAnsi"/>
                <w:color w:val="000000"/>
                <w:sz w:val="21"/>
                <w:szCs w:val="21"/>
                <w:lang w:eastAsia="pt-BR"/>
              </w:rPr>
              <w:t xml:space="preserve"> dos serviços</w:t>
            </w:r>
          </w:p>
        </w:tc>
        <w:tc>
          <w:tcPr>
            <w:tcW w:w="6178" w:type="dxa"/>
            <w:tcBorders>
              <w:top w:val="nil"/>
              <w:left w:val="nil"/>
              <w:bottom w:val="single" w:sz="8" w:space="0" w:color="auto"/>
              <w:right w:val="single" w:sz="4" w:space="0" w:color="auto"/>
            </w:tcBorders>
            <w:shd w:val="clear" w:color="auto" w:fill="auto"/>
            <w:vAlign w:val="center"/>
            <w:hideMark/>
          </w:tcPr>
          <w:p w14:paraId="73B3153E" w14:textId="0DFEF7C7" w:rsidR="00A157E1" w:rsidRPr="00B951A3" w:rsidRDefault="00A157E1" w:rsidP="00A157E1">
            <w:pPr>
              <w:spacing w:after="0" w:line="240" w:lineRule="auto"/>
              <w:rPr>
                <w:rFonts w:eastAsia="Times New Roman" w:cstheme="minorHAnsi"/>
                <w:color w:val="000000"/>
                <w:sz w:val="21"/>
                <w:szCs w:val="21"/>
                <w:lang w:eastAsia="pt-BR"/>
              </w:rPr>
            </w:pPr>
            <w:r w:rsidRPr="00B951A3">
              <w:rPr>
                <w:rFonts w:eastAsia="Times New Roman" w:cstheme="minorHAnsi"/>
                <w:color w:val="000000"/>
                <w:sz w:val="21"/>
                <w:szCs w:val="21"/>
                <w:lang w:eastAsia="pt-BR"/>
              </w:rPr>
              <w:t>(Gastos com telefonia 202</w:t>
            </w:r>
            <w:r w:rsidR="00D312EC">
              <w:rPr>
                <w:rFonts w:eastAsia="Times New Roman" w:cstheme="minorHAnsi"/>
                <w:color w:val="000000"/>
                <w:sz w:val="21"/>
                <w:szCs w:val="21"/>
                <w:lang w:eastAsia="pt-BR"/>
              </w:rPr>
              <w:t>2</w:t>
            </w:r>
            <w:r w:rsidRPr="00B951A3">
              <w:rPr>
                <w:rFonts w:eastAsia="Times New Roman" w:cstheme="minorHAnsi"/>
                <w:color w:val="000000"/>
                <w:sz w:val="21"/>
                <w:szCs w:val="21"/>
                <w:lang w:eastAsia="pt-BR"/>
              </w:rPr>
              <w:t xml:space="preserve"> - Gastos com telefonia </w:t>
            </w:r>
            <w:r w:rsidR="00B951A3" w:rsidRPr="00B951A3">
              <w:rPr>
                <w:rFonts w:eastAsia="Times New Roman" w:cstheme="minorHAnsi"/>
                <w:color w:val="000000"/>
                <w:sz w:val="21"/>
                <w:szCs w:val="21"/>
                <w:lang w:eastAsia="pt-BR"/>
              </w:rPr>
              <w:t>202</w:t>
            </w:r>
            <w:r w:rsidR="00D312EC">
              <w:rPr>
                <w:rFonts w:eastAsia="Times New Roman" w:cstheme="minorHAnsi"/>
                <w:color w:val="000000"/>
                <w:sz w:val="21"/>
                <w:szCs w:val="21"/>
                <w:lang w:eastAsia="pt-BR"/>
              </w:rPr>
              <w:t>1</w:t>
            </w:r>
            <w:r w:rsidR="00B951A3" w:rsidRPr="00B951A3">
              <w:rPr>
                <w:rFonts w:eastAsia="Times New Roman" w:cstheme="minorHAnsi"/>
                <w:color w:val="000000"/>
                <w:sz w:val="21"/>
                <w:szCs w:val="21"/>
                <w:lang w:eastAsia="pt-BR"/>
              </w:rPr>
              <w:t>) /</w:t>
            </w:r>
            <w:r w:rsidRPr="00B951A3">
              <w:rPr>
                <w:rFonts w:eastAsia="Times New Roman" w:cstheme="minorHAnsi"/>
                <w:color w:val="000000"/>
                <w:sz w:val="21"/>
                <w:szCs w:val="21"/>
                <w:lang w:eastAsia="pt-BR"/>
              </w:rPr>
              <w:t xml:space="preserve"> (Gastos com telefonia 202</w:t>
            </w:r>
            <w:r w:rsidR="00D312EC">
              <w:rPr>
                <w:rFonts w:eastAsia="Times New Roman" w:cstheme="minorHAnsi"/>
                <w:color w:val="000000"/>
                <w:sz w:val="21"/>
                <w:szCs w:val="21"/>
                <w:lang w:eastAsia="pt-BR"/>
              </w:rPr>
              <w:t>1</w:t>
            </w:r>
            <w:r w:rsidRPr="00B951A3">
              <w:rPr>
                <w:rFonts w:eastAsia="Times New Roman" w:cstheme="minorHAnsi"/>
                <w:color w:val="000000"/>
                <w:sz w:val="21"/>
                <w:szCs w:val="21"/>
                <w:lang w:eastAsia="pt-BR"/>
              </w:rPr>
              <w:t>) x 100</w:t>
            </w:r>
          </w:p>
        </w:tc>
        <w:tc>
          <w:tcPr>
            <w:tcW w:w="1366" w:type="dxa"/>
            <w:tcBorders>
              <w:top w:val="nil"/>
              <w:left w:val="nil"/>
              <w:bottom w:val="single" w:sz="8" w:space="0" w:color="auto"/>
              <w:right w:val="single" w:sz="8" w:space="0" w:color="auto"/>
            </w:tcBorders>
            <w:shd w:val="clear" w:color="auto" w:fill="auto"/>
            <w:noWrap/>
            <w:vAlign w:val="center"/>
            <w:hideMark/>
          </w:tcPr>
          <w:p w14:paraId="3842E5E2" w14:textId="77777777" w:rsidR="00A157E1" w:rsidRPr="00B951A3" w:rsidRDefault="00A157E1" w:rsidP="00A157E1">
            <w:pPr>
              <w:spacing w:after="0" w:line="240" w:lineRule="auto"/>
              <w:jc w:val="center"/>
              <w:rPr>
                <w:rFonts w:eastAsia="Times New Roman" w:cstheme="minorHAnsi"/>
                <w:color w:val="000000"/>
                <w:sz w:val="21"/>
                <w:szCs w:val="21"/>
                <w:lang w:eastAsia="pt-BR"/>
              </w:rPr>
            </w:pPr>
            <w:r w:rsidRPr="00B951A3">
              <w:rPr>
                <w:rFonts w:eastAsia="Times New Roman" w:cstheme="minorHAnsi"/>
                <w:color w:val="000000"/>
                <w:sz w:val="21"/>
                <w:szCs w:val="21"/>
                <w:lang w:eastAsia="pt-BR"/>
              </w:rPr>
              <w:t>%</w:t>
            </w:r>
          </w:p>
        </w:tc>
        <w:tc>
          <w:tcPr>
            <w:tcW w:w="146" w:type="dxa"/>
            <w:vAlign w:val="center"/>
            <w:hideMark/>
          </w:tcPr>
          <w:p w14:paraId="7979DA67" w14:textId="77777777" w:rsidR="00A157E1" w:rsidRPr="00B951A3" w:rsidRDefault="00A157E1" w:rsidP="00A157E1">
            <w:pPr>
              <w:spacing w:after="0" w:line="240" w:lineRule="auto"/>
              <w:rPr>
                <w:rFonts w:eastAsia="Times New Roman" w:cstheme="minorHAnsi"/>
                <w:sz w:val="20"/>
                <w:szCs w:val="20"/>
                <w:lang w:eastAsia="pt-BR"/>
              </w:rPr>
            </w:pPr>
          </w:p>
        </w:tc>
      </w:tr>
    </w:tbl>
    <w:p w14:paraId="456F57F1" w14:textId="26F9204F" w:rsidR="00A157E1" w:rsidRPr="00304144" w:rsidRDefault="00A157E1" w:rsidP="00B60342">
      <w:pPr>
        <w:jc w:val="center"/>
        <w:rPr>
          <w:color w:val="FF0000"/>
          <w:sz w:val="32"/>
          <w:szCs w:val="32"/>
        </w:rPr>
      </w:pPr>
      <w:r w:rsidRPr="00B951A3">
        <w:rPr>
          <w:rFonts w:cstheme="minorHAnsi"/>
          <w:color w:val="FF0000"/>
          <w:sz w:val="32"/>
          <w:szCs w:val="32"/>
        </w:rPr>
        <w:fldChar w:fldCharType="end"/>
      </w:r>
    </w:p>
    <w:p w14:paraId="26BBE1B3" w14:textId="271830C1" w:rsidR="007534CC" w:rsidRPr="00304144" w:rsidRDefault="007534CC" w:rsidP="00B60342">
      <w:pPr>
        <w:jc w:val="center"/>
        <w:rPr>
          <w:color w:val="FF0000"/>
        </w:rPr>
      </w:pPr>
    </w:p>
    <w:p w14:paraId="0782E06A" w14:textId="77777777" w:rsidR="001726E2" w:rsidRDefault="001726E2">
      <w:pPr>
        <w:rPr>
          <w:rFonts w:eastAsiaTheme="majorEastAsia" w:cstheme="majorBidi"/>
          <w:bCs/>
          <w:color w:val="FF0000"/>
          <w:sz w:val="72"/>
          <w:szCs w:val="28"/>
        </w:rPr>
      </w:pPr>
      <w:r>
        <w:rPr>
          <w:color w:val="FF0000"/>
        </w:rPr>
        <w:br w:type="page"/>
      </w:r>
    </w:p>
    <w:p w14:paraId="5C8E1FCA" w14:textId="77777777" w:rsidR="00B951A3" w:rsidRDefault="00B951A3" w:rsidP="00C7429D">
      <w:pPr>
        <w:pStyle w:val="Ttulo1"/>
        <w:spacing w:after="240"/>
        <w:sectPr w:rsidR="00B951A3" w:rsidSect="00276333">
          <w:pgSz w:w="16840" w:h="11907" w:code="9"/>
          <w:pgMar w:top="1418" w:right="1134" w:bottom="907" w:left="1701" w:header="709" w:footer="709" w:gutter="0"/>
          <w:cols w:space="708"/>
          <w:docGrid w:linePitch="360"/>
        </w:sectPr>
      </w:pPr>
    </w:p>
    <w:p w14:paraId="1946FD97" w14:textId="14C99621" w:rsidR="00E868E9" w:rsidRDefault="00E868E9" w:rsidP="003B6A6F">
      <w:pPr>
        <w:pStyle w:val="Ttulo1"/>
      </w:pPr>
      <w:bookmarkStart w:id="8" w:name="_Toc113971746"/>
      <w:r w:rsidRPr="001726E2">
        <w:lastRenderedPageBreak/>
        <w:t>Caracterização do</w:t>
      </w:r>
      <w:r w:rsidR="00B351CB">
        <w:t>s</w:t>
      </w:r>
      <w:r w:rsidRPr="001726E2">
        <w:t xml:space="preserve"> edifício</w:t>
      </w:r>
      <w:r w:rsidR="00B351CB">
        <w:t>s</w:t>
      </w:r>
      <w:bookmarkEnd w:id="8"/>
    </w:p>
    <w:p w14:paraId="71552AF8" w14:textId="3D3BF23E" w:rsidR="00B351CB" w:rsidRPr="001726E2" w:rsidRDefault="00B351CB" w:rsidP="00B351CB">
      <w:pPr>
        <w:pStyle w:val="Ttulo3"/>
      </w:pPr>
      <w:bookmarkStart w:id="9" w:name="_Toc77863448"/>
      <w:bookmarkStart w:id="10" w:name="_Toc113971747"/>
      <w:r>
        <w:t>Ed. Sede (SAD/RS – PRU4 – CJU/RS – EAGU/RS – ECGAGU4) – Porto Alegre, RS</w:t>
      </w:r>
      <w:bookmarkEnd w:id="9"/>
      <w:bookmarkEnd w:id="10"/>
    </w:p>
    <w:p w14:paraId="4CB5EF68" w14:textId="1F963AF5" w:rsidR="00394A0A" w:rsidRDefault="00E868E9" w:rsidP="00C7429D">
      <w:pPr>
        <w:jc w:val="both"/>
      </w:pPr>
      <w:r w:rsidRPr="001726E2">
        <w:t xml:space="preserve">Edificação </w:t>
      </w:r>
      <w:r w:rsidR="003F46DF" w:rsidRPr="001726E2">
        <w:t>de propriedade da União</w:t>
      </w:r>
      <w:r w:rsidR="006F1356" w:rsidRPr="001726E2">
        <w:t xml:space="preserve"> </w:t>
      </w:r>
      <w:r w:rsidR="0054154F">
        <w:t xml:space="preserve">localizada na rua Mostardeiro, 483 bairro Rio Branco, em Porto Alegre, </w:t>
      </w:r>
      <w:r w:rsidRPr="001726E2">
        <w:t>constituíd</w:t>
      </w:r>
      <w:r w:rsidR="00C65D7D" w:rsidRPr="001726E2">
        <w:t>a</w:t>
      </w:r>
      <w:r w:rsidRPr="001726E2">
        <w:t xml:space="preserve"> de 1</w:t>
      </w:r>
      <w:r w:rsidR="00ED27D3">
        <w:t>2</w:t>
      </w:r>
      <w:r w:rsidRPr="001726E2">
        <w:t xml:space="preserve"> pavimentos, sendo 2 subsolos, </w:t>
      </w:r>
      <w:r w:rsidR="00E3602D" w:rsidRPr="001726E2">
        <w:t xml:space="preserve">pavimento </w:t>
      </w:r>
      <w:r w:rsidRPr="001726E2">
        <w:t xml:space="preserve">térreo, </w:t>
      </w:r>
      <w:r w:rsidR="001A7D27">
        <w:t>8</w:t>
      </w:r>
      <w:r w:rsidRPr="001726E2">
        <w:t xml:space="preserve"> pavimentos e uma cobertura</w:t>
      </w:r>
      <w:r w:rsidR="00E3602D" w:rsidRPr="001726E2">
        <w:t>,</w:t>
      </w:r>
      <w:r w:rsidRPr="001726E2">
        <w:t xml:space="preserve"> </w:t>
      </w:r>
      <w:r w:rsidR="00E3602D" w:rsidRPr="001726E2">
        <w:t>com</w:t>
      </w:r>
      <w:r w:rsidR="00394A0A" w:rsidRPr="001726E2">
        <w:t>preendendo uma</w:t>
      </w:r>
      <w:r w:rsidR="00E3602D" w:rsidRPr="001726E2">
        <w:t xml:space="preserve"> área total de 1</w:t>
      </w:r>
      <w:r w:rsidR="00747E64" w:rsidRPr="001726E2">
        <w:t>1</w:t>
      </w:r>
      <w:r w:rsidR="00E3602D" w:rsidRPr="001726E2">
        <w:t>.2</w:t>
      </w:r>
      <w:r w:rsidR="00747E64" w:rsidRPr="001726E2">
        <w:t>39</w:t>
      </w:r>
      <w:r w:rsidR="005B4E16" w:rsidRPr="001726E2">
        <w:t>,93</w:t>
      </w:r>
      <w:r w:rsidR="00E3602D" w:rsidRPr="001726E2">
        <w:t xml:space="preserve"> m², sendo </w:t>
      </w:r>
      <w:r w:rsidR="005B4E16" w:rsidRPr="001726E2">
        <w:t>90</w:t>
      </w:r>
      <w:r w:rsidR="00E3602D" w:rsidRPr="001726E2">
        <w:t>7 m² de área externa</w:t>
      </w:r>
      <w:r w:rsidR="00394A0A" w:rsidRPr="001726E2">
        <w:t>.</w:t>
      </w:r>
    </w:p>
    <w:p w14:paraId="7FDEB5AD" w14:textId="01A164B3" w:rsidR="00AB70E2" w:rsidRPr="001726E2" w:rsidRDefault="00AB70E2" w:rsidP="00C7429D">
      <w:pPr>
        <w:jc w:val="both"/>
      </w:pPr>
      <w:r>
        <w:t xml:space="preserve">Atualmente abriga as unidades da </w:t>
      </w:r>
      <w:r w:rsidR="00AA7A44" w:rsidRPr="00AA7A44">
        <w:t xml:space="preserve">Procuradoria Regional da União </w:t>
      </w:r>
      <w:r w:rsidR="00555373">
        <w:t>da 4ª Região</w:t>
      </w:r>
      <w:r w:rsidR="00AA7A44" w:rsidRPr="00AA7A44">
        <w:t xml:space="preserve"> </w:t>
      </w:r>
      <w:r w:rsidR="003E7058">
        <w:t>–</w:t>
      </w:r>
      <w:r w:rsidR="00AA7A44" w:rsidRPr="00AA7A44">
        <w:t xml:space="preserve"> PRU</w:t>
      </w:r>
      <w:r w:rsidR="003E7058">
        <w:t>4</w:t>
      </w:r>
      <w:r w:rsidR="00AA7A44" w:rsidRPr="00AA7A44">
        <w:t xml:space="preserve">, a Consultoria Jurídica da União no </w:t>
      </w:r>
      <w:r w:rsidR="003D6F89">
        <w:t>Estado do Rio Grande do Sul</w:t>
      </w:r>
      <w:r w:rsidR="00AA7A44" w:rsidRPr="00AA7A44">
        <w:t xml:space="preserve"> - CJU/RS, a Escola da AGU no </w:t>
      </w:r>
      <w:r w:rsidR="00D95551">
        <w:t>Estado do Rio Grande do Sul</w:t>
      </w:r>
      <w:r w:rsidR="00AA7A44" w:rsidRPr="00AA7A44">
        <w:t xml:space="preserve"> - EAGU/RS, o Escritório da Corregedoria-Geral da AGU da 4ª Região - ECGAU4/RS e a Superintendência de Administração no </w:t>
      </w:r>
      <w:r w:rsidR="008B5390">
        <w:t>Estado do Rio Grande do Sul</w:t>
      </w:r>
      <w:r w:rsidR="00AA7A44" w:rsidRPr="00AA7A44">
        <w:t xml:space="preserve"> - SAD/RS.</w:t>
      </w:r>
    </w:p>
    <w:p w14:paraId="52159087" w14:textId="2E78A56C" w:rsidR="004157A3" w:rsidRPr="001726E2" w:rsidRDefault="00E868E9" w:rsidP="00C7429D">
      <w:pPr>
        <w:jc w:val="both"/>
      </w:pPr>
      <w:r w:rsidRPr="001726E2">
        <w:t xml:space="preserve">As fachadas </w:t>
      </w:r>
      <w:r w:rsidR="002C5633" w:rsidRPr="001726E2">
        <w:t>norte, sul e leste são compostas de pele de vidro com platibandas em concreto revestidos em pastilhas, e com esquadrias de alumínio anodizado. A fachada oeste é revestida em pastilhas.</w:t>
      </w:r>
      <w:r w:rsidR="004157A3" w:rsidRPr="001726E2">
        <w:t xml:space="preserve"> As paredes internas são compostas com divisórias leves, e algumas com gesso acartonado.</w:t>
      </w:r>
    </w:p>
    <w:p w14:paraId="44B3615A" w14:textId="2937D21C" w:rsidR="004157A3" w:rsidRPr="001726E2" w:rsidRDefault="002C5633" w:rsidP="00C7429D">
      <w:pPr>
        <w:jc w:val="both"/>
      </w:pPr>
      <w:r w:rsidRPr="001726E2">
        <w:t xml:space="preserve">Possui </w:t>
      </w:r>
      <w:r w:rsidR="004157A3" w:rsidRPr="001726E2">
        <w:t>0</w:t>
      </w:r>
      <w:r w:rsidRPr="001726E2">
        <w:t>4</w:t>
      </w:r>
      <w:r w:rsidR="004157A3" w:rsidRPr="001726E2">
        <w:t xml:space="preserve"> (quatro)</w:t>
      </w:r>
      <w:r w:rsidRPr="001726E2">
        <w:t xml:space="preserve"> elevadores, sendo um exclusivo para serviço. O sistema de </w:t>
      </w:r>
      <w:r w:rsidR="00304144" w:rsidRPr="001726E2">
        <w:t>ar-condicionado</w:t>
      </w:r>
      <w:r w:rsidRPr="001726E2">
        <w:t xml:space="preserve"> </w:t>
      </w:r>
      <w:r w:rsidR="001B74B8" w:rsidRPr="001726E2">
        <w:t xml:space="preserve">central </w:t>
      </w:r>
      <w:r w:rsidRPr="001726E2">
        <w:t xml:space="preserve">é </w:t>
      </w:r>
      <w:r w:rsidR="001B74B8" w:rsidRPr="001726E2">
        <w:t xml:space="preserve">composto por 17 (dezessete) condicionadores de 20TR, </w:t>
      </w:r>
      <w:r w:rsidR="004157A3" w:rsidRPr="001726E2">
        <w:t>0</w:t>
      </w:r>
      <w:r w:rsidR="001B74B8" w:rsidRPr="001726E2">
        <w:t xml:space="preserve">1 (um) condicionador de 15TR, </w:t>
      </w:r>
      <w:r w:rsidR="004157A3" w:rsidRPr="001726E2">
        <w:t>0</w:t>
      </w:r>
      <w:r w:rsidR="001B74B8" w:rsidRPr="001726E2">
        <w:t xml:space="preserve">2 (duas) torres de arrefecimento, 04 (quatro) bombas d’água de 20 HP cada, além de tubulações, dutos e demais acessórios que compõem um sistema central da </w:t>
      </w:r>
      <w:r w:rsidR="00304144" w:rsidRPr="001726E2">
        <w:t>ar-condicionado</w:t>
      </w:r>
      <w:r w:rsidR="001B74B8" w:rsidRPr="001726E2">
        <w:t xml:space="preserve">. Além disso, também existem unidades individuais de </w:t>
      </w:r>
      <w:r w:rsidR="00304144" w:rsidRPr="001726E2">
        <w:t>ar-condicionado</w:t>
      </w:r>
      <w:r w:rsidR="001B74B8" w:rsidRPr="001726E2">
        <w:t xml:space="preserve">, tipo </w:t>
      </w:r>
      <w:r w:rsidR="001B74B8" w:rsidRPr="001726E2">
        <w:rPr>
          <w:i/>
        </w:rPr>
        <w:t>Split</w:t>
      </w:r>
      <w:r w:rsidR="001B74B8" w:rsidRPr="001726E2">
        <w:t xml:space="preserve"> e </w:t>
      </w:r>
      <w:r w:rsidR="001B74B8" w:rsidRPr="001726E2">
        <w:rPr>
          <w:i/>
        </w:rPr>
        <w:t>Cassete</w:t>
      </w:r>
      <w:r w:rsidR="001B74B8" w:rsidRPr="001726E2">
        <w:t>, para os locais não atendidos pelo sistema central.</w:t>
      </w:r>
    </w:p>
    <w:p w14:paraId="20EFA10D" w14:textId="77777777" w:rsidR="00003FE3" w:rsidRPr="001726E2" w:rsidRDefault="003F46DF" w:rsidP="00C7429D">
      <w:pPr>
        <w:jc w:val="both"/>
      </w:pPr>
      <w:r w:rsidRPr="001726E2">
        <w:t>A medição de energia elétrica é única para o prédio</w:t>
      </w:r>
      <w:r w:rsidR="004157A3" w:rsidRPr="001726E2">
        <w:t xml:space="preserve"> todo</w:t>
      </w:r>
      <w:r w:rsidRPr="001726E2">
        <w:t xml:space="preserve">, sendo utilizada a </w:t>
      </w:r>
      <w:r w:rsidR="00726AC7" w:rsidRPr="001726E2">
        <w:t xml:space="preserve">modalidade </w:t>
      </w:r>
      <w:r w:rsidRPr="001726E2">
        <w:t>tarif</w:t>
      </w:r>
      <w:r w:rsidR="00726AC7" w:rsidRPr="001726E2">
        <w:t>ária</w:t>
      </w:r>
      <w:r w:rsidRPr="001726E2">
        <w:t xml:space="preserve"> Hor</w:t>
      </w:r>
      <w:r w:rsidR="006F1356" w:rsidRPr="001726E2">
        <w:t>ária</w:t>
      </w:r>
      <w:r w:rsidRPr="001726E2">
        <w:t xml:space="preserve"> Verde</w:t>
      </w:r>
      <w:r w:rsidR="006F1356" w:rsidRPr="001726E2">
        <w:t xml:space="preserve"> para consumidor em média tensão (</w:t>
      </w:r>
      <w:r w:rsidR="00726AC7" w:rsidRPr="001726E2">
        <w:t xml:space="preserve">Grupo </w:t>
      </w:r>
      <w:r w:rsidR="006F1356" w:rsidRPr="001726E2">
        <w:t xml:space="preserve">A4). </w:t>
      </w:r>
      <w:r w:rsidR="007F734E" w:rsidRPr="001726E2">
        <w:t>A iluminação</w:t>
      </w:r>
      <w:r w:rsidR="00B359EB" w:rsidRPr="001726E2">
        <w:t xml:space="preserve"> é constituída basicamente por lâmpadas LED, </w:t>
      </w:r>
      <w:r w:rsidR="00366FD6" w:rsidRPr="001726E2">
        <w:t>sustentáveis</w:t>
      </w:r>
      <w:r w:rsidR="00F70FCF" w:rsidRPr="001726E2">
        <w:t xml:space="preserve"> considerando o</w:t>
      </w:r>
      <w:r w:rsidR="00B359EB" w:rsidRPr="001726E2">
        <w:t xml:space="preserve"> seu baixo consumo e </w:t>
      </w:r>
      <w:r w:rsidR="00F70FCF" w:rsidRPr="001726E2">
        <w:t xml:space="preserve">sua </w:t>
      </w:r>
      <w:r w:rsidR="00B359EB" w:rsidRPr="001726E2">
        <w:t>elevada vida útil</w:t>
      </w:r>
      <w:r w:rsidR="00366FD6" w:rsidRPr="001726E2">
        <w:t xml:space="preserve">, contando </w:t>
      </w:r>
      <w:r w:rsidR="00003FE3" w:rsidRPr="001726E2">
        <w:t xml:space="preserve">ainda </w:t>
      </w:r>
      <w:r w:rsidR="00366FD6" w:rsidRPr="001726E2">
        <w:t xml:space="preserve">com sensores de presença </w:t>
      </w:r>
      <w:r w:rsidR="00003FE3" w:rsidRPr="001726E2">
        <w:t>nas</w:t>
      </w:r>
      <w:r w:rsidR="00366FD6" w:rsidRPr="001726E2">
        <w:t xml:space="preserve"> áreas de circulação.</w:t>
      </w:r>
    </w:p>
    <w:p w14:paraId="6D60B777" w14:textId="77777777" w:rsidR="00003FE3" w:rsidRPr="001726E2" w:rsidRDefault="006F1356" w:rsidP="00C7429D">
      <w:pPr>
        <w:jc w:val="both"/>
      </w:pPr>
      <w:r w:rsidRPr="001726E2">
        <w:t>As torneiras dos banheiros possuem temporizadores e os vasos sanitários são com caixa acoplada.</w:t>
      </w:r>
    </w:p>
    <w:p w14:paraId="161E6C34" w14:textId="1E613D49" w:rsidR="00E868E9" w:rsidRPr="004F6BAF" w:rsidRDefault="006F1356" w:rsidP="00C7429D">
      <w:pPr>
        <w:jc w:val="both"/>
      </w:pPr>
      <w:r w:rsidRPr="004F6BAF">
        <w:t xml:space="preserve">A população estimada é de </w:t>
      </w:r>
      <w:r w:rsidR="00D312EC">
        <w:t>335</w:t>
      </w:r>
      <w:r w:rsidRPr="004F6BAF">
        <w:t xml:space="preserve"> pessoas, entre membros, servidores, terceirizados e estagiários.</w:t>
      </w:r>
    </w:p>
    <w:p w14:paraId="714CFC2E" w14:textId="79AED9DB" w:rsidR="00B351CB" w:rsidRPr="001726E2" w:rsidRDefault="00B351CB" w:rsidP="00B351CB">
      <w:pPr>
        <w:pStyle w:val="Ttulo3"/>
      </w:pPr>
      <w:bookmarkStart w:id="11" w:name="_Toc113971748"/>
      <w:r>
        <w:t xml:space="preserve">Ed. </w:t>
      </w:r>
      <w:proofErr w:type="spellStart"/>
      <w:r>
        <w:t>Eólis</w:t>
      </w:r>
      <w:proofErr w:type="spellEnd"/>
      <w:r>
        <w:t xml:space="preserve"> (PRF4) – Porto Alegre, RS</w:t>
      </w:r>
      <w:bookmarkEnd w:id="11"/>
    </w:p>
    <w:p w14:paraId="36987131" w14:textId="147983CB" w:rsidR="00B351CB" w:rsidRDefault="00B351CB" w:rsidP="00B351CB">
      <w:pPr>
        <w:jc w:val="both"/>
      </w:pPr>
      <w:bookmarkStart w:id="12" w:name="_Hlk78184505"/>
      <w:r w:rsidRPr="00B351CB">
        <w:t>Edificação</w:t>
      </w:r>
      <w:r w:rsidR="0054154F">
        <w:t xml:space="preserve"> </w:t>
      </w:r>
      <w:r w:rsidR="00020B2A">
        <w:t>locada</w:t>
      </w:r>
      <w:r w:rsidR="00F9241C">
        <w:t xml:space="preserve">, </w:t>
      </w:r>
      <w:r w:rsidR="00FA5854">
        <w:t>através do contrato de locação nº</w:t>
      </w:r>
      <w:r w:rsidR="00FA5854" w:rsidRPr="007B06B0">
        <w:t xml:space="preserve"> </w:t>
      </w:r>
      <w:r w:rsidR="009B136B" w:rsidRPr="007B06B0">
        <w:t>001</w:t>
      </w:r>
      <w:r w:rsidR="00FA5854" w:rsidRPr="007B06B0">
        <w:t>/</w:t>
      </w:r>
      <w:r w:rsidR="009B136B" w:rsidRPr="007B06B0">
        <w:t>20</w:t>
      </w:r>
      <w:r w:rsidR="007B06B0" w:rsidRPr="007B06B0">
        <w:t>1</w:t>
      </w:r>
      <w:r w:rsidR="009B136B" w:rsidRPr="007B06B0">
        <w:t>8</w:t>
      </w:r>
      <w:r w:rsidR="00FA5854" w:rsidRPr="007B06B0">
        <w:t>,</w:t>
      </w:r>
      <w:r w:rsidR="00FA5854">
        <w:t xml:space="preserve"> </w:t>
      </w:r>
      <w:r w:rsidR="0054154F">
        <w:t xml:space="preserve">localizada na </w:t>
      </w:r>
      <w:r w:rsidR="0054154F" w:rsidRPr="0054154F">
        <w:t xml:space="preserve">Av. Carlos Gomes, 1942 </w:t>
      </w:r>
      <w:r w:rsidR="0054154F">
        <w:t>bairro</w:t>
      </w:r>
      <w:r w:rsidR="0054154F" w:rsidRPr="0054154F">
        <w:t xml:space="preserve"> Três Figueiras</w:t>
      </w:r>
      <w:r w:rsidR="0054154F">
        <w:t>, em</w:t>
      </w:r>
      <w:r w:rsidR="0054154F" w:rsidRPr="0054154F">
        <w:t xml:space="preserve"> Porto Alegre/RS</w:t>
      </w:r>
      <w:bookmarkEnd w:id="12"/>
      <w:r w:rsidR="0054154F">
        <w:t xml:space="preserve">, </w:t>
      </w:r>
      <w:r w:rsidRPr="00B351CB">
        <w:t xml:space="preserve">constituída de 13 pavimentos, sendo 1 subsolo, pavimento térreo, 10 pavimentos e uma cobertura, compreendendo uma área total locada </w:t>
      </w:r>
      <w:r w:rsidRPr="00890B7A">
        <w:t>de 3.503,29 m².</w:t>
      </w:r>
    </w:p>
    <w:p w14:paraId="15E6E8C5" w14:textId="373AD816" w:rsidR="00C470A0" w:rsidRPr="00B351CB" w:rsidRDefault="00C470A0" w:rsidP="00B351CB">
      <w:pPr>
        <w:jc w:val="both"/>
      </w:pPr>
      <w:r>
        <w:t>Atualmente abriga a unidade da Procuradoria Regional Federal</w:t>
      </w:r>
      <w:r w:rsidR="00EA699C">
        <w:t xml:space="preserve"> da 4ª R</w:t>
      </w:r>
      <w:r w:rsidR="00AB70E2">
        <w:t>e</w:t>
      </w:r>
      <w:r w:rsidR="00EA699C">
        <w:t>gião</w:t>
      </w:r>
      <w:r>
        <w:t xml:space="preserve"> – P</w:t>
      </w:r>
      <w:r w:rsidR="00AB70E2">
        <w:t>RF4</w:t>
      </w:r>
      <w:r>
        <w:t>.</w:t>
      </w:r>
    </w:p>
    <w:p w14:paraId="2960456F" w14:textId="77777777" w:rsidR="00B351CB" w:rsidRPr="00B351CB" w:rsidRDefault="00B351CB" w:rsidP="00B351CB">
      <w:pPr>
        <w:jc w:val="both"/>
      </w:pPr>
      <w:bookmarkStart w:id="13" w:name="_Hlk78204814"/>
      <w:r w:rsidRPr="00B351CB">
        <w:t xml:space="preserve">As fachadas até o 3º pavimento são de granito branco, e do 4º até o terraço são compostas de pele de vidro laminado </w:t>
      </w:r>
      <w:proofErr w:type="spellStart"/>
      <w:r w:rsidRPr="00B351CB">
        <w:t>semi-reflexivo</w:t>
      </w:r>
      <w:proofErr w:type="spellEnd"/>
      <w:r w:rsidRPr="00B351CB">
        <w:t xml:space="preserve"> com platibandas e esquadrias de ACM (composto metálico de alumínio). As paredes internas são compostas com divisórias leves, e algumas com gesso acartonado. Os banheiros e corredores tem paredes de alvenaria.</w:t>
      </w:r>
    </w:p>
    <w:bookmarkEnd w:id="13"/>
    <w:p w14:paraId="5ADBADED" w14:textId="77777777" w:rsidR="00B351CB" w:rsidRPr="00B351CB" w:rsidRDefault="00B351CB" w:rsidP="00B351CB">
      <w:pPr>
        <w:jc w:val="both"/>
      </w:pPr>
      <w:r w:rsidRPr="00B351CB">
        <w:lastRenderedPageBreak/>
        <w:t>Possui 02 (dois) elevadores, sendo um adaptável para transporte de materiais/mobiliário. O sistema de ar-condicionado é composto por 125 (cento e vinte cinco) unidades, sendo 100 (cem) vinculadas a compressoras centrais (duas em cada andar) e 25 (vinte e cinco) unidades individuais de ar-condicionado, tipo Split, para os locais não atendidos pelos sistemas centrais – Sala dos servidores e 3º e 4º pavimento.</w:t>
      </w:r>
    </w:p>
    <w:p w14:paraId="44AA057E" w14:textId="77777777" w:rsidR="00B351CB" w:rsidRPr="00B351CB" w:rsidRDefault="00B351CB" w:rsidP="00B351CB">
      <w:pPr>
        <w:jc w:val="both"/>
      </w:pPr>
      <w:r w:rsidRPr="00B351CB">
        <w:t>A medição de energia elétrica é única para toda a área ocupada pela PRF4 no prédio, sendo utilizada a modalidade tarifária Horária Verde para consumidor em média tensão (Grupo A4). A iluminação é constituída primariamente por lâmpadas LED, sustentáveis considerando o seu baixo consumo e sua elevada vida útil, existindo ainda algumas lâmpadas fluorescentes, que são substituídas por LED quando queimam. As áreas de circulação dos corredores têm sensores de movimento para ativação da iluminação. Todas as áreas comuns têm luzes de emergência, com baterias para operarem em caso de queda de luz.</w:t>
      </w:r>
    </w:p>
    <w:p w14:paraId="572EA29A" w14:textId="77777777" w:rsidR="00B351CB" w:rsidRPr="00B351CB" w:rsidRDefault="00B351CB" w:rsidP="00B351CB">
      <w:pPr>
        <w:jc w:val="both"/>
      </w:pPr>
      <w:r w:rsidRPr="00B351CB">
        <w:t>O prédio tem gerador a diesel no 2º pavimento, para situações de queda de energia na rede local, e gerador eólico em torre no 12º pavimento, sendo a energia gerada pelo gerador eólico abatida da conta de luz do prédio.</w:t>
      </w:r>
    </w:p>
    <w:p w14:paraId="0B527F0F" w14:textId="77777777" w:rsidR="00B351CB" w:rsidRPr="00B351CB" w:rsidRDefault="00B351CB" w:rsidP="00B351CB">
      <w:pPr>
        <w:jc w:val="both"/>
      </w:pPr>
      <w:r w:rsidRPr="00B351CB">
        <w:t>As torneiras dos banheiros possuem temporizadores e os vasos sanitários são com caixa acoplada. O prédio possui sistema de captação de água da chuva para reutilização nas descargas dos vasos sanitários e na limpeza do terraço.</w:t>
      </w:r>
    </w:p>
    <w:p w14:paraId="32D10541" w14:textId="46E6584B" w:rsidR="00B351CB" w:rsidRPr="00B351CB" w:rsidRDefault="00B351CB" w:rsidP="00B351CB">
      <w:pPr>
        <w:jc w:val="both"/>
      </w:pPr>
      <w:r w:rsidRPr="00B351CB">
        <w:t>Para evitar acúmulo de fumaça nas escadarias</w:t>
      </w:r>
      <w:r>
        <w:t>,</w:t>
      </w:r>
      <w:r w:rsidRPr="00B351CB">
        <w:t xml:space="preserve"> em </w:t>
      </w:r>
      <w:r w:rsidR="002874A0" w:rsidRPr="00B351CB">
        <w:t>emergências</w:t>
      </w:r>
      <w:r w:rsidRPr="00B351CB">
        <w:t>, o prédio conta com sistema de escada pressurizada.</w:t>
      </w:r>
    </w:p>
    <w:p w14:paraId="3EAD7A43" w14:textId="1F439A9B" w:rsidR="00B351CB" w:rsidRPr="00B351CB" w:rsidRDefault="00B351CB" w:rsidP="00B351CB">
      <w:pPr>
        <w:jc w:val="both"/>
      </w:pPr>
      <w:r w:rsidRPr="00B351CB">
        <w:t xml:space="preserve">A população estimada é de </w:t>
      </w:r>
      <w:r w:rsidR="008B7952">
        <w:t>295</w:t>
      </w:r>
      <w:r w:rsidRPr="00B351CB">
        <w:t xml:space="preserve"> pessoas, entre membros, servidores, terceirizados e estagiários.</w:t>
      </w:r>
    </w:p>
    <w:p w14:paraId="588052C9" w14:textId="554AB8E0" w:rsidR="00B17E4D" w:rsidRDefault="0054154F" w:rsidP="0054154F">
      <w:pPr>
        <w:pStyle w:val="Ttulo3"/>
      </w:pPr>
      <w:bookmarkStart w:id="14" w:name="_Toc113971749"/>
      <w:r w:rsidRPr="0054154F">
        <w:t xml:space="preserve">Ed. Célia </w:t>
      </w:r>
      <w:proofErr w:type="spellStart"/>
      <w:r w:rsidRPr="0054154F">
        <w:t>Daux</w:t>
      </w:r>
      <w:proofErr w:type="spellEnd"/>
      <w:r w:rsidRPr="0054154F">
        <w:t xml:space="preserve"> (PU/SC - CJU/SC)</w:t>
      </w:r>
      <w:r w:rsidR="002A19FC">
        <w:t xml:space="preserve"> – Florianópolis, SC</w:t>
      </w:r>
      <w:bookmarkEnd w:id="14"/>
    </w:p>
    <w:p w14:paraId="5517081F" w14:textId="3ECA61A5" w:rsidR="00A77D37" w:rsidRDefault="0054154F" w:rsidP="007802E5">
      <w:pPr>
        <w:jc w:val="both"/>
      </w:pPr>
      <w:r w:rsidRPr="0054154F">
        <w:t xml:space="preserve">Edificação </w:t>
      </w:r>
      <w:r w:rsidR="00AA093E">
        <w:t xml:space="preserve">locada, </w:t>
      </w:r>
      <w:r w:rsidR="00FA5854">
        <w:t xml:space="preserve">através do contrato de locação nº </w:t>
      </w:r>
      <w:r w:rsidR="007818E8" w:rsidRPr="007818E8">
        <w:t>012</w:t>
      </w:r>
      <w:r w:rsidR="00FA5854" w:rsidRPr="007818E8">
        <w:t>/</w:t>
      </w:r>
      <w:r w:rsidR="007818E8" w:rsidRPr="007818E8">
        <w:t>2010</w:t>
      </w:r>
      <w:r w:rsidR="00FA5854">
        <w:t xml:space="preserve">, </w:t>
      </w:r>
      <w:r w:rsidRPr="0054154F">
        <w:t>localizada na Servidão Nossa Senhora de Lourdes, 110</w:t>
      </w:r>
      <w:r w:rsidR="00F86DE7">
        <w:t>,</w:t>
      </w:r>
      <w:r w:rsidRPr="0054154F">
        <w:t xml:space="preserve"> </w:t>
      </w:r>
      <w:r>
        <w:t>bairro</w:t>
      </w:r>
      <w:r w:rsidRPr="0054154F">
        <w:t xml:space="preserve"> Agronômica</w:t>
      </w:r>
      <w:r>
        <w:t>, em</w:t>
      </w:r>
      <w:r w:rsidRPr="0054154F">
        <w:t xml:space="preserve"> Florianópolis/SC</w:t>
      </w:r>
      <w:r w:rsidR="00F9439C" w:rsidRPr="000A1435">
        <w:t xml:space="preserve">, </w:t>
      </w:r>
      <w:r w:rsidR="00E473CA">
        <w:t>locada pela AGU</w:t>
      </w:r>
      <w:r w:rsidR="00F86DE7">
        <w:t>,</w:t>
      </w:r>
      <w:r w:rsidR="007802E5" w:rsidRPr="007802E5">
        <w:t xml:space="preserve"> </w:t>
      </w:r>
      <w:r w:rsidR="00CA316B">
        <w:t xml:space="preserve">é </w:t>
      </w:r>
      <w:r w:rsidR="007802E5" w:rsidRPr="007802E5">
        <w:t>constituída de 05 pavimentos,</w:t>
      </w:r>
      <w:r w:rsidR="001C7CD3">
        <w:t xml:space="preserve"> 22 boxes de garagem</w:t>
      </w:r>
      <w:r w:rsidR="00707A1E">
        <w:t>,</w:t>
      </w:r>
      <w:r w:rsidR="007802E5" w:rsidRPr="007802E5">
        <w:t xml:space="preserve"> </w:t>
      </w:r>
      <w:r w:rsidR="00435EF1" w:rsidRPr="000A1435">
        <w:t>totaliza</w:t>
      </w:r>
      <w:r w:rsidR="007802E5" w:rsidRPr="007802E5">
        <w:t>ndo</w:t>
      </w:r>
      <w:r w:rsidR="007E11FF">
        <w:t xml:space="preserve"> </w:t>
      </w:r>
      <w:r w:rsidR="007E11FF" w:rsidRPr="000A1435">
        <w:t>1</w:t>
      </w:r>
      <w:r w:rsidR="007E11FF" w:rsidRPr="007802E5">
        <w:t>.7</w:t>
      </w:r>
      <w:r w:rsidR="007E11FF" w:rsidRPr="000A1435">
        <w:t>34</w:t>
      </w:r>
      <w:r w:rsidR="007E11FF" w:rsidRPr="007802E5">
        <w:t>,0</w:t>
      </w:r>
      <w:r w:rsidR="007E11FF" w:rsidRPr="000A1435">
        <w:t>0</w:t>
      </w:r>
      <w:r w:rsidR="007E11FF" w:rsidRPr="007802E5">
        <w:t xml:space="preserve"> m²</w:t>
      </w:r>
      <w:r w:rsidR="00777BC5">
        <w:t xml:space="preserve"> de</w:t>
      </w:r>
      <w:r w:rsidR="007802E5" w:rsidRPr="007802E5">
        <w:t xml:space="preserve"> área </w:t>
      </w:r>
      <w:r w:rsidR="002C3F48">
        <w:t xml:space="preserve">útil </w:t>
      </w:r>
      <w:r w:rsidR="00626AB2">
        <w:t>e</w:t>
      </w:r>
      <w:r w:rsidR="007E11FF">
        <w:t xml:space="preserve"> 2.757,99</w:t>
      </w:r>
      <w:r w:rsidR="007E11FF" w:rsidRPr="007802E5">
        <w:t xml:space="preserve"> m²</w:t>
      </w:r>
      <w:r w:rsidR="00777BC5">
        <w:t xml:space="preserve"> de área total.</w:t>
      </w:r>
    </w:p>
    <w:p w14:paraId="474C2B7F" w14:textId="7BE2776B" w:rsidR="00436DF8" w:rsidRDefault="00436DF8" w:rsidP="007802E5">
      <w:pPr>
        <w:jc w:val="both"/>
      </w:pPr>
      <w:r>
        <w:t xml:space="preserve">Atualmente abriga as unidades da Procuradoria da União </w:t>
      </w:r>
      <w:r w:rsidR="002A3C23">
        <w:t xml:space="preserve">em Santa Catarina – PU/SC e a Consultoria Jurídica da União </w:t>
      </w:r>
      <w:r w:rsidR="00770304">
        <w:t>no Estado de Santa Catarina</w:t>
      </w:r>
      <w:r w:rsidR="00C470A0">
        <w:t xml:space="preserve"> – CJU/SC.</w:t>
      </w:r>
    </w:p>
    <w:p w14:paraId="6CC079EE" w14:textId="0BD35CF8" w:rsidR="00686A3D" w:rsidRDefault="00686A3D" w:rsidP="007802E5">
      <w:pPr>
        <w:jc w:val="both"/>
      </w:pPr>
      <w:r w:rsidRPr="00686A3D">
        <w:t xml:space="preserve">As fachadas </w:t>
      </w:r>
      <w:r w:rsidR="00C779E8">
        <w:t xml:space="preserve">norte, leste e oeste são em vidros, </w:t>
      </w:r>
      <w:r w:rsidR="00BD75C5">
        <w:t>e a fachada sul em pastilhas.</w:t>
      </w:r>
    </w:p>
    <w:p w14:paraId="2018CC5D" w14:textId="1B0E6ED4" w:rsidR="007802E5" w:rsidRPr="007802E5" w:rsidRDefault="00480391" w:rsidP="007802E5">
      <w:pPr>
        <w:jc w:val="both"/>
      </w:pPr>
      <w:r w:rsidRPr="001101FB">
        <w:t>O edifício p</w:t>
      </w:r>
      <w:r w:rsidR="007802E5" w:rsidRPr="007802E5">
        <w:t>ossui 0</w:t>
      </w:r>
      <w:r w:rsidRPr="001101FB">
        <w:t>2</w:t>
      </w:r>
      <w:r w:rsidR="007802E5" w:rsidRPr="007802E5">
        <w:t xml:space="preserve"> (</w:t>
      </w:r>
      <w:r w:rsidRPr="001101FB">
        <w:t>dois</w:t>
      </w:r>
      <w:r w:rsidR="007802E5" w:rsidRPr="007802E5">
        <w:t xml:space="preserve">) elevadores. O sistema de ar-condicionado </w:t>
      </w:r>
      <w:r w:rsidR="00F310A1" w:rsidRPr="001101FB">
        <w:t xml:space="preserve">é </w:t>
      </w:r>
      <w:r w:rsidR="007802E5" w:rsidRPr="007802E5">
        <w:t xml:space="preserve">central </w:t>
      </w:r>
      <w:r w:rsidR="00B562BB" w:rsidRPr="001101FB">
        <w:t>tipo VRF</w:t>
      </w:r>
      <w:r w:rsidR="007802E5" w:rsidRPr="007802E5">
        <w:t xml:space="preserve"> composto por </w:t>
      </w:r>
      <w:r w:rsidR="00B562BB" w:rsidRPr="001101FB">
        <w:t>11</w:t>
      </w:r>
      <w:r w:rsidR="007802E5" w:rsidRPr="007802E5">
        <w:t xml:space="preserve"> evaporadores</w:t>
      </w:r>
      <w:r w:rsidR="001101FB" w:rsidRPr="001101FB">
        <w:t xml:space="preserve"> por andar</w:t>
      </w:r>
      <w:r w:rsidR="007802E5" w:rsidRPr="007802E5">
        <w:t>.</w:t>
      </w:r>
    </w:p>
    <w:p w14:paraId="7C48328F" w14:textId="7A2858E1" w:rsidR="00EB74D6" w:rsidRDefault="007802E5" w:rsidP="007802E5">
      <w:pPr>
        <w:jc w:val="both"/>
      </w:pPr>
      <w:r w:rsidRPr="007802E5">
        <w:t xml:space="preserve">A medição de energia elétrica é em baixa tensão, individualizada por andar. A iluminação é constituída </w:t>
      </w:r>
      <w:r w:rsidR="00D7227F" w:rsidRPr="00850696">
        <w:t>por lâmpadas fluorescentes</w:t>
      </w:r>
      <w:r w:rsidR="003C1490" w:rsidRPr="00850696">
        <w:t xml:space="preserve"> nas salas, e</w:t>
      </w:r>
      <w:r w:rsidRPr="007802E5">
        <w:t xml:space="preserve"> lâmpadas LED</w:t>
      </w:r>
      <w:r w:rsidR="00850696" w:rsidRPr="00850696">
        <w:t xml:space="preserve"> nas áreas de circulação e sanitários</w:t>
      </w:r>
      <w:r w:rsidR="006A6474">
        <w:t>.</w:t>
      </w:r>
    </w:p>
    <w:p w14:paraId="1F40B10C" w14:textId="6261E081" w:rsidR="007802E5" w:rsidRPr="007802E5" w:rsidRDefault="00847D0A" w:rsidP="007802E5">
      <w:pPr>
        <w:jc w:val="both"/>
      </w:pPr>
      <w:r w:rsidRPr="00C526E8">
        <w:t>Parte da</w:t>
      </w:r>
      <w:r w:rsidR="007802E5" w:rsidRPr="007802E5">
        <w:t>s torneiras dos banheiros possuem temporizadores e os vasos sanitários são com caixa acoplada.</w:t>
      </w:r>
    </w:p>
    <w:p w14:paraId="29C3D68B" w14:textId="23895994" w:rsidR="007802E5" w:rsidRDefault="007802E5" w:rsidP="007802E5">
      <w:pPr>
        <w:jc w:val="both"/>
      </w:pPr>
      <w:r w:rsidRPr="00271215">
        <w:t xml:space="preserve">A população estimada é de </w:t>
      </w:r>
      <w:r w:rsidR="008B7952">
        <w:t>31</w:t>
      </w:r>
      <w:r w:rsidRPr="00271215">
        <w:t xml:space="preserve"> pessoas, entre membros, servidores, terceirizados e estagiários.</w:t>
      </w:r>
    </w:p>
    <w:p w14:paraId="4C6CB129" w14:textId="00D5496A" w:rsidR="00D312EC" w:rsidRDefault="00D312EC" w:rsidP="007802E5">
      <w:pPr>
        <w:jc w:val="both"/>
      </w:pPr>
    </w:p>
    <w:p w14:paraId="116E20FB" w14:textId="77777777" w:rsidR="00D312EC" w:rsidRPr="00271215" w:rsidRDefault="00D312EC" w:rsidP="007802E5">
      <w:pPr>
        <w:jc w:val="both"/>
      </w:pPr>
    </w:p>
    <w:p w14:paraId="6BE0F6CE" w14:textId="1F2A6329" w:rsidR="0054154F" w:rsidRDefault="0054154F" w:rsidP="0054154F">
      <w:pPr>
        <w:pStyle w:val="Ttulo3"/>
      </w:pPr>
      <w:bookmarkStart w:id="15" w:name="_Toc113971750"/>
      <w:r w:rsidRPr="0054154F">
        <w:lastRenderedPageBreak/>
        <w:t>Ed. Daros.com (PF/SC - EAGU/SC)</w:t>
      </w:r>
      <w:r w:rsidR="00DF76AF">
        <w:t xml:space="preserve"> - Florianópolis, SC</w:t>
      </w:r>
      <w:bookmarkEnd w:id="15"/>
    </w:p>
    <w:p w14:paraId="093DE57E" w14:textId="2616916E" w:rsidR="0054154F" w:rsidRDefault="0054154F" w:rsidP="0054154F">
      <w:pPr>
        <w:jc w:val="both"/>
      </w:pPr>
      <w:r w:rsidRPr="0054154F">
        <w:t>Edificação</w:t>
      </w:r>
      <w:r w:rsidR="0040221D">
        <w:t xml:space="preserve"> locada,</w:t>
      </w:r>
      <w:r w:rsidR="005E3522">
        <w:t xml:space="preserve"> através do contrato </w:t>
      </w:r>
      <w:r w:rsidR="0020015E">
        <w:t xml:space="preserve">de locação nº </w:t>
      </w:r>
      <w:r w:rsidR="00512111">
        <w:t>045/2008</w:t>
      </w:r>
      <w:r w:rsidR="007D7497">
        <w:t>,</w:t>
      </w:r>
      <w:r w:rsidRPr="0054154F">
        <w:t xml:space="preserve"> localizada na Rua Padre Schuler, 56, esq. Rua Tenente Silveira</w:t>
      </w:r>
      <w:r>
        <w:t>, em</w:t>
      </w:r>
      <w:r w:rsidRPr="0054154F">
        <w:t xml:space="preserve"> Florianópolis/SC</w:t>
      </w:r>
      <w:r w:rsidR="0040221D">
        <w:t xml:space="preserve">, constituída </w:t>
      </w:r>
      <w:r w:rsidR="00FF5226">
        <w:t xml:space="preserve">de 10 pavimentos, sendo </w:t>
      </w:r>
      <w:r w:rsidR="00CA6E10">
        <w:t>1</w:t>
      </w:r>
      <w:r w:rsidR="00FF5226">
        <w:t>.</w:t>
      </w:r>
      <w:r w:rsidR="00CA6E10">
        <w:t>50</w:t>
      </w:r>
      <w:r w:rsidR="003F6B59">
        <w:t>9,</w:t>
      </w:r>
      <w:r w:rsidR="00CA6E10">
        <w:t>83</w:t>
      </w:r>
      <w:r w:rsidR="003F6B59">
        <w:t xml:space="preserve"> m² de área </w:t>
      </w:r>
      <w:r w:rsidR="00CA6E10">
        <w:t>útil</w:t>
      </w:r>
      <w:r w:rsidR="00D25DDD">
        <w:t xml:space="preserve">, perfazendo uma área total de </w:t>
      </w:r>
      <w:r w:rsidR="006A6FB3">
        <w:t>2</w:t>
      </w:r>
      <w:r w:rsidR="00D25DDD">
        <w:t>.</w:t>
      </w:r>
      <w:r w:rsidR="006A6FB3">
        <w:t>983</w:t>
      </w:r>
      <w:r w:rsidR="00D25DDD">
        <w:t>,</w:t>
      </w:r>
      <w:r w:rsidR="006A6FB3">
        <w:t>9</w:t>
      </w:r>
      <w:r w:rsidR="00D25DDD">
        <w:t>6 m²</w:t>
      </w:r>
    </w:p>
    <w:p w14:paraId="0D79FB6A" w14:textId="3D03525D" w:rsidR="00D93576" w:rsidRPr="00D93576" w:rsidRDefault="00D93576" w:rsidP="00D93576">
      <w:pPr>
        <w:jc w:val="both"/>
        <w:rPr>
          <w:iCs/>
        </w:rPr>
      </w:pPr>
      <w:r w:rsidRPr="00D93576">
        <w:rPr>
          <w:iCs/>
        </w:rPr>
        <w:t>A fachada sul é composta e</w:t>
      </w:r>
      <w:r w:rsidR="00691F57" w:rsidRPr="00957C02">
        <w:rPr>
          <w:iCs/>
        </w:rPr>
        <w:t>m</w:t>
      </w:r>
      <w:r w:rsidRPr="00D93576">
        <w:rPr>
          <w:iCs/>
        </w:rPr>
        <w:t xml:space="preserve"> parte com </w:t>
      </w:r>
      <w:proofErr w:type="spellStart"/>
      <w:r w:rsidRPr="00D93576">
        <w:rPr>
          <w:i/>
        </w:rPr>
        <w:t>structural</w:t>
      </w:r>
      <w:proofErr w:type="spellEnd"/>
      <w:r w:rsidRPr="00D93576">
        <w:rPr>
          <w:i/>
        </w:rPr>
        <w:t xml:space="preserve"> </w:t>
      </w:r>
      <w:proofErr w:type="spellStart"/>
      <w:r w:rsidRPr="00D93576">
        <w:rPr>
          <w:i/>
        </w:rPr>
        <w:t>glazing</w:t>
      </w:r>
      <w:proofErr w:type="spellEnd"/>
      <w:r w:rsidRPr="00D93576">
        <w:rPr>
          <w:iCs/>
        </w:rPr>
        <w:t xml:space="preserve"> com perfis estruturais de alumínio anodizado e parte revestida em pastilhas, as fachadas leste e oeste </w:t>
      </w:r>
      <w:r w:rsidR="00957C02">
        <w:rPr>
          <w:iCs/>
        </w:rPr>
        <w:t xml:space="preserve">são </w:t>
      </w:r>
      <w:r w:rsidRPr="00D93576">
        <w:rPr>
          <w:iCs/>
        </w:rPr>
        <w:t>compost</w:t>
      </w:r>
      <w:r w:rsidR="00957C02">
        <w:rPr>
          <w:iCs/>
        </w:rPr>
        <w:t>as</w:t>
      </w:r>
      <w:r w:rsidRPr="00D93576">
        <w:rPr>
          <w:iCs/>
        </w:rPr>
        <w:t xml:space="preserve"> inteiramente de </w:t>
      </w:r>
      <w:proofErr w:type="spellStart"/>
      <w:r w:rsidRPr="00D93576">
        <w:rPr>
          <w:i/>
        </w:rPr>
        <w:t>structural</w:t>
      </w:r>
      <w:proofErr w:type="spellEnd"/>
      <w:r w:rsidRPr="00D93576">
        <w:rPr>
          <w:i/>
        </w:rPr>
        <w:t xml:space="preserve"> </w:t>
      </w:r>
      <w:proofErr w:type="spellStart"/>
      <w:r w:rsidRPr="00D93576">
        <w:rPr>
          <w:i/>
        </w:rPr>
        <w:t>glazing</w:t>
      </w:r>
      <w:proofErr w:type="spellEnd"/>
      <w:r w:rsidRPr="00D93576">
        <w:rPr>
          <w:iCs/>
        </w:rPr>
        <w:t xml:space="preserve"> com perfis de alumínio anodizado, a fachada norte é revestida inteiramente </w:t>
      </w:r>
      <w:r w:rsidR="00957C02">
        <w:rPr>
          <w:iCs/>
        </w:rPr>
        <w:t>em</w:t>
      </w:r>
      <w:r w:rsidRPr="00D93576">
        <w:rPr>
          <w:iCs/>
        </w:rPr>
        <w:t xml:space="preserve"> pastilhas.</w:t>
      </w:r>
    </w:p>
    <w:p w14:paraId="1BAECCB4" w14:textId="1607155B" w:rsidR="00D93576" w:rsidRPr="00D93576" w:rsidRDefault="00957C02" w:rsidP="00D93576">
      <w:pPr>
        <w:jc w:val="both"/>
        <w:rPr>
          <w:iCs/>
        </w:rPr>
      </w:pPr>
      <w:r w:rsidRPr="006A5521">
        <w:rPr>
          <w:iCs/>
        </w:rPr>
        <w:t>As p</w:t>
      </w:r>
      <w:r w:rsidR="00D93576" w:rsidRPr="00D93576">
        <w:rPr>
          <w:iCs/>
        </w:rPr>
        <w:t>aredes internas</w:t>
      </w:r>
      <w:r w:rsidRPr="006A5521">
        <w:rPr>
          <w:iCs/>
        </w:rPr>
        <w:t xml:space="preserve"> são</w:t>
      </w:r>
      <w:r w:rsidR="00D93576" w:rsidRPr="00D93576">
        <w:rPr>
          <w:iCs/>
        </w:rPr>
        <w:t xml:space="preserve"> compostas</w:t>
      </w:r>
      <w:r w:rsidR="00871ED4" w:rsidRPr="006A5521">
        <w:rPr>
          <w:iCs/>
        </w:rPr>
        <w:t xml:space="preserve"> em sua maioria</w:t>
      </w:r>
      <w:r w:rsidR="00D93576" w:rsidRPr="00D93576">
        <w:rPr>
          <w:iCs/>
        </w:rPr>
        <w:t xml:space="preserve"> com divisórias leves e algumas com gesso acartonado</w:t>
      </w:r>
      <w:r w:rsidR="00871ED4" w:rsidRPr="006A5521">
        <w:rPr>
          <w:iCs/>
        </w:rPr>
        <w:t>. O teto possui</w:t>
      </w:r>
      <w:r w:rsidR="00D93576" w:rsidRPr="00D93576">
        <w:rPr>
          <w:iCs/>
        </w:rPr>
        <w:t xml:space="preserve"> acabamento em gesso acartonado.</w:t>
      </w:r>
    </w:p>
    <w:p w14:paraId="1BEFDBE7" w14:textId="1EC903AD" w:rsidR="00D93576" w:rsidRPr="00D93576" w:rsidRDefault="00D93576" w:rsidP="00D93576">
      <w:pPr>
        <w:jc w:val="both"/>
        <w:rPr>
          <w:iCs/>
        </w:rPr>
      </w:pPr>
      <w:r w:rsidRPr="00D93576">
        <w:rPr>
          <w:iCs/>
        </w:rPr>
        <w:t xml:space="preserve">Possui dois elevadores sociais, 53 banheiros sendo 32 privativos todos com caixa acoplada, iluminação composta parte em lâmpadas Led e parte em </w:t>
      </w:r>
      <w:r w:rsidR="006A5521" w:rsidRPr="006A5521">
        <w:rPr>
          <w:iCs/>
        </w:rPr>
        <w:t>f</w:t>
      </w:r>
      <w:r w:rsidRPr="00D93576">
        <w:rPr>
          <w:iCs/>
        </w:rPr>
        <w:t xml:space="preserve">luorescente, conta com uma subestação de energia própria com medição única de energia, rede de energia para </w:t>
      </w:r>
      <w:r w:rsidR="006A5521" w:rsidRPr="00D93576">
        <w:rPr>
          <w:iCs/>
        </w:rPr>
        <w:t>ar-condicionado</w:t>
      </w:r>
      <w:r w:rsidRPr="00D93576">
        <w:rPr>
          <w:iCs/>
        </w:rPr>
        <w:t xml:space="preserve"> separada com 92 </w:t>
      </w:r>
      <w:proofErr w:type="spellStart"/>
      <w:r w:rsidRPr="00D93576">
        <w:rPr>
          <w:iCs/>
        </w:rPr>
        <w:t>split’s</w:t>
      </w:r>
      <w:proofErr w:type="spellEnd"/>
      <w:r w:rsidRPr="00D93576">
        <w:rPr>
          <w:iCs/>
        </w:rPr>
        <w:t xml:space="preserve"> instalados, rede lógica certificada com nobreak distribuída para todo o prédio, </w:t>
      </w:r>
      <w:r w:rsidR="006A5521" w:rsidRPr="006A5521">
        <w:rPr>
          <w:iCs/>
        </w:rPr>
        <w:t>c</w:t>
      </w:r>
      <w:r w:rsidRPr="00D93576">
        <w:rPr>
          <w:iCs/>
        </w:rPr>
        <w:t>entral de vigilância por câmeras internas e externas composta por 22 unidades infravermelho.</w:t>
      </w:r>
    </w:p>
    <w:p w14:paraId="5BD3DD78" w14:textId="79FD18D1" w:rsidR="00D93576" w:rsidRPr="00D93576" w:rsidRDefault="00D93576" w:rsidP="00D93576">
      <w:pPr>
        <w:jc w:val="both"/>
        <w:rPr>
          <w:iCs/>
        </w:rPr>
      </w:pPr>
      <w:r w:rsidRPr="00D93576">
        <w:rPr>
          <w:iCs/>
        </w:rPr>
        <w:t>A população estimada é de 1</w:t>
      </w:r>
      <w:r w:rsidR="008B7952">
        <w:rPr>
          <w:iCs/>
        </w:rPr>
        <w:t>36</w:t>
      </w:r>
      <w:r w:rsidRPr="00D93576">
        <w:rPr>
          <w:iCs/>
        </w:rPr>
        <w:t xml:space="preserve"> pessoas, entre membros, servidores, terceirizados e estagiários.</w:t>
      </w:r>
    </w:p>
    <w:p w14:paraId="461AA838" w14:textId="6C803669" w:rsidR="0054154F" w:rsidRDefault="0054154F" w:rsidP="0054154F">
      <w:pPr>
        <w:pStyle w:val="Ttulo3"/>
      </w:pPr>
      <w:bookmarkStart w:id="16" w:name="_Toc113971751"/>
      <w:r w:rsidRPr="0054154F">
        <w:t>Ed. João Gualberto (PF/PR - EAGU/PR)</w:t>
      </w:r>
      <w:r w:rsidR="00DF76AF">
        <w:t xml:space="preserve"> – Curitiba, PR</w:t>
      </w:r>
      <w:bookmarkEnd w:id="16"/>
    </w:p>
    <w:p w14:paraId="5B561B90" w14:textId="75D1596C" w:rsidR="00AC0A1A" w:rsidRDefault="0054154F" w:rsidP="00505906">
      <w:pPr>
        <w:jc w:val="both"/>
      </w:pPr>
      <w:r w:rsidRPr="00BF02D6">
        <w:t xml:space="preserve">Edificação </w:t>
      </w:r>
      <w:r w:rsidR="009C3F2C">
        <w:t>locada, através do contrato de locação nº</w:t>
      </w:r>
      <w:r w:rsidR="009C3F2C" w:rsidRPr="001C5EBE">
        <w:t xml:space="preserve"> </w:t>
      </w:r>
      <w:r w:rsidR="00AC592B" w:rsidRPr="001C5EBE">
        <w:t>039</w:t>
      </w:r>
      <w:r w:rsidR="009C3F2C" w:rsidRPr="001C5EBE">
        <w:t>/</w:t>
      </w:r>
      <w:r w:rsidR="00AC592B" w:rsidRPr="001C5EBE">
        <w:t>2017</w:t>
      </w:r>
      <w:r w:rsidR="009C3F2C">
        <w:rPr>
          <w:color w:val="FF0000"/>
        </w:rPr>
        <w:t>,</w:t>
      </w:r>
      <w:r w:rsidR="009C3F2C" w:rsidRPr="00BF02D6">
        <w:t xml:space="preserve"> </w:t>
      </w:r>
      <w:r w:rsidRPr="00BF02D6">
        <w:t>localizada na Rua João Gualberto, 1000 bairro Alto da Glória, em Curitiba/PR</w:t>
      </w:r>
      <w:r w:rsidR="006037D1" w:rsidRPr="00BF02D6">
        <w:t xml:space="preserve"> compreendendo uma á</w:t>
      </w:r>
      <w:r w:rsidR="00505906" w:rsidRPr="00BF02D6">
        <w:t>rea locada constituída de 05 pavimentos, sendo 3º, 4º, 5º, 6º e 7º andares do Centro Empresarial João Gualberto 1000, compreendendo uma área total de 4.775,03 m², sendo 2.420 m² de área útil. Possui 3 salas de reunião e um auditório, 1 refeitório, copas em todos os 5 andares, copa no auditório e no gabinete.</w:t>
      </w:r>
    </w:p>
    <w:p w14:paraId="0DBBB079" w14:textId="653A8199" w:rsidR="00505906" w:rsidRPr="00505906" w:rsidRDefault="00505906" w:rsidP="00505906">
      <w:pPr>
        <w:jc w:val="both"/>
      </w:pPr>
      <w:r w:rsidRPr="00505906">
        <w:t xml:space="preserve">O centro empresarial possui portaria com recepcionista, vigilância monitorada e catraca para acesso a edificação. A área ocupada com piso elevado e paredes internas compostas com divisórias leves, e algumas </w:t>
      </w:r>
      <w:proofErr w:type="spellStart"/>
      <w:r w:rsidRPr="00505906">
        <w:t>drywall</w:t>
      </w:r>
      <w:proofErr w:type="spellEnd"/>
      <w:r w:rsidRPr="00505906">
        <w:t xml:space="preserve">. </w:t>
      </w:r>
    </w:p>
    <w:p w14:paraId="746DDB02" w14:textId="77777777" w:rsidR="00505906" w:rsidRPr="00505906" w:rsidRDefault="00505906" w:rsidP="00505906">
      <w:pPr>
        <w:jc w:val="both"/>
      </w:pPr>
      <w:r w:rsidRPr="00505906">
        <w:t>Possui 05 (cinco) elevadores com piso tátil, braile e áudio, sendo um exclusivo para serviço. O sistema de ar-condicionado central é composto por 68 evaporadores, 22 condensadores e 20 unidades de ventiladores modelo MAXX-200, 1 unidade do ventilador MAXX-150.</w:t>
      </w:r>
    </w:p>
    <w:p w14:paraId="52CFA4B0" w14:textId="1D1BF60A" w:rsidR="00505906" w:rsidRPr="00505906" w:rsidRDefault="00505906" w:rsidP="00505906">
      <w:pPr>
        <w:jc w:val="both"/>
      </w:pPr>
      <w:r w:rsidRPr="00505906">
        <w:t xml:space="preserve">A medição de energia elétrica é em baixa tensão, </w:t>
      </w:r>
      <w:r w:rsidR="00D43F5F">
        <w:t xml:space="preserve">individualizada </w:t>
      </w:r>
      <w:r w:rsidRPr="00505906">
        <w:t xml:space="preserve">por andar, </w:t>
      </w:r>
      <w:r w:rsidR="00D43F5F">
        <w:t>totalizando</w:t>
      </w:r>
      <w:r w:rsidRPr="00505906">
        <w:t xml:space="preserve"> 05 medidores. A iluminação é constituída basicamente por lâmpadas LED, sustentáveis considerando o seu baixo consumo e sua elevada vida útil, contando ainda com sensores de presença nas áreas de circulação.</w:t>
      </w:r>
    </w:p>
    <w:p w14:paraId="7741455E" w14:textId="77777777" w:rsidR="00505906" w:rsidRPr="00505906" w:rsidRDefault="00505906" w:rsidP="00505906">
      <w:pPr>
        <w:jc w:val="both"/>
      </w:pPr>
      <w:r w:rsidRPr="00505906">
        <w:t>As torneiras dos banheiros possuem temporizadores e os vasos sanitários são com caixa acoplada.</w:t>
      </w:r>
    </w:p>
    <w:p w14:paraId="76E0AA32" w14:textId="1DDCFEE2" w:rsidR="0054154F" w:rsidRDefault="00505906" w:rsidP="00505906">
      <w:pPr>
        <w:jc w:val="both"/>
      </w:pPr>
      <w:r w:rsidRPr="006519E4">
        <w:t xml:space="preserve">A população estimada é de </w:t>
      </w:r>
      <w:r w:rsidR="008B7952">
        <w:t>254</w:t>
      </w:r>
      <w:r w:rsidRPr="006519E4">
        <w:t xml:space="preserve"> pessoas, entre membros, servidores, terceirizados e estagiários.</w:t>
      </w:r>
    </w:p>
    <w:p w14:paraId="5710F61A" w14:textId="7DD3BBBF" w:rsidR="00D312EC" w:rsidRDefault="00D312EC" w:rsidP="00505906">
      <w:pPr>
        <w:jc w:val="both"/>
      </w:pPr>
    </w:p>
    <w:p w14:paraId="3ED685E6" w14:textId="77777777" w:rsidR="00D312EC" w:rsidRPr="006519E4" w:rsidRDefault="00D312EC" w:rsidP="00505906">
      <w:pPr>
        <w:jc w:val="both"/>
      </w:pPr>
    </w:p>
    <w:p w14:paraId="79C4A7C6" w14:textId="3016050E" w:rsidR="0054154F" w:rsidRDefault="001F3435" w:rsidP="0054154F">
      <w:pPr>
        <w:pStyle w:val="Ttulo3"/>
      </w:pPr>
      <w:bookmarkStart w:id="17" w:name="_Toc113971752"/>
      <w:r>
        <w:lastRenderedPageBreak/>
        <w:t>Imóvel</w:t>
      </w:r>
      <w:r w:rsidR="0054154F" w:rsidRPr="0054154F">
        <w:t xml:space="preserve"> da PU/PR - CJU/PR</w:t>
      </w:r>
      <w:r w:rsidR="00DF76AF">
        <w:t xml:space="preserve"> – Curitiba, PR</w:t>
      </w:r>
      <w:bookmarkEnd w:id="17"/>
    </w:p>
    <w:p w14:paraId="2246AB76" w14:textId="11CB9C09" w:rsidR="003B1166" w:rsidRPr="003B1166" w:rsidRDefault="003B1166" w:rsidP="003B1166">
      <w:pPr>
        <w:jc w:val="both"/>
      </w:pPr>
      <w:r>
        <w:t>Imóvel de propriedade da União, localizada na AV. Munhoz da Rocha, 1247 bairro Cabral, em Curitiba/PR</w:t>
      </w:r>
      <w:r w:rsidR="00A1225D">
        <w:t>,</w:t>
      </w:r>
      <w:r>
        <w:t xml:space="preserve"> compartilhado entre a Procuradoria da União no Paraná – PU/PR  e a Consultoria Jurídica da União no Paraná – CJU/PR, com a seguinte descrição: terreno com área total de 16.163,00 m², de esquina, contendo um prédio com área total de 2.216,80m², construído em concreto aparente e alvenaria, composto de 01 pavimento térreo e 2 sobrelojas </w:t>
      </w:r>
      <w:r w:rsidR="00D7666C">
        <w:t>t</w:t>
      </w:r>
      <w:r>
        <w:t>e</w:t>
      </w:r>
      <w:r w:rsidR="00D7666C">
        <w:t>ndo</w:t>
      </w:r>
      <w:r w:rsidR="00EA6370">
        <w:t xml:space="preserve"> uma</w:t>
      </w:r>
      <w:r>
        <w:t xml:space="preserve"> caixa d’água de concreto com capacidade de 30.000 litros, sala de reuniões</w:t>
      </w:r>
      <w:r w:rsidR="00852DC3">
        <w:t>,</w:t>
      </w:r>
      <w:r>
        <w:t xml:space="preserve"> auditório com capacidade para 50 pessoa</w:t>
      </w:r>
      <w:r w:rsidR="00852DC3">
        <w:t>s,</w:t>
      </w:r>
      <w:r>
        <w:t xml:space="preserve"> 2 banheiros coletivos:</w:t>
      </w:r>
      <w:r w:rsidR="00852DC3">
        <w:t xml:space="preserve"> </w:t>
      </w:r>
      <w:r>
        <w:t>01  masculino e 01 feminino, 01 banheiro</w:t>
      </w:r>
      <w:r w:rsidR="002F7787">
        <w:t xml:space="preserve"> PNE</w:t>
      </w:r>
      <w:r>
        <w:t xml:space="preserve"> </w:t>
      </w:r>
      <w:r w:rsidR="00D92990">
        <w:t>(</w:t>
      </w:r>
      <w:r>
        <w:t xml:space="preserve">pessoas </w:t>
      </w:r>
      <w:r w:rsidR="00D92990">
        <w:t xml:space="preserve">com necessidades </w:t>
      </w:r>
      <w:r>
        <w:t>especiais</w:t>
      </w:r>
      <w:r w:rsidR="00D92990">
        <w:t>)</w:t>
      </w:r>
      <w:r>
        <w:t xml:space="preserve">; duas copas internas e uma externa; prédio de garagem coberta com área de 486,39m²; prédio da guarita e sala de motoristas, em alvenaria com área 63.80m² e pátio de circulação com estacionamento descoberto, pavimentado com blocos de cimento sextavado e meio fio, com capacidade para aproximadamente 30 veículos. </w:t>
      </w:r>
      <w:r w:rsidR="00B34186">
        <w:t>Aproximadamente</w:t>
      </w:r>
      <w:r>
        <w:t xml:space="preserve"> 60% do terreno é composto por jardim e bosque, contendo diversas árvores nativas e 50 pés adultos de araucária.  </w:t>
      </w:r>
    </w:p>
    <w:p w14:paraId="22EF18B2" w14:textId="1DF25DF5" w:rsidR="003B1166" w:rsidRPr="003B1166" w:rsidRDefault="003B1166" w:rsidP="003B1166">
      <w:pPr>
        <w:jc w:val="both"/>
      </w:pPr>
      <w:r w:rsidRPr="003B1166">
        <w:t xml:space="preserve">As fachadas são em concreto aparente e vidros, com esquadrias de alumínio natural. As paredes internas são compostas com divisórias leves, e algumas em alvenaria e todo o sistema de refrigeração de ambiente é composto por unidades individuais de </w:t>
      </w:r>
      <w:r w:rsidR="001F12B3" w:rsidRPr="007445E2">
        <w:t>ar-condicionado</w:t>
      </w:r>
      <w:r w:rsidRPr="003B1166">
        <w:t>, tipo Split.</w:t>
      </w:r>
    </w:p>
    <w:p w14:paraId="2B56EBA6" w14:textId="20FFB755" w:rsidR="003B1166" w:rsidRPr="003B1166" w:rsidRDefault="003B1166" w:rsidP="003B1166">
      <w:pPr>
        <w:jc w:val="both"/>
        <w:rPr>
          <w:color w:val="FF0000"/>
        </w:rPr>
      </w:pPr>
      <w:r w:rsidRPr="003B1166">
        <w:t>A medição de energia elétrica</w:t>
      </w:r>
      <w:r w:rsidR="001F12B3" w:rsidRPr="007445E2">
        <w:t xml:space="preserve"> </w:t>
      </w:r>
      <w:r w:rsidRPr="003B1166">
        <w:t>é única</w:t>
      </w:r>
      <w:r w:rsidR="000700CD">
        <w:t>, em média tensão</w:t>
      </w:r>
      <w:r w:rsidR="008A68B3">
        <w:t>,</w:t>
      </w:r>
      <w:r w:rsidRPr="003B1166">
        <w:t xml:space="preserve"> para todo imóvel. Toda a iluminação é constituída basicamente por lâmpadas LED, sustentáveis considerando o seu baixo consumo e sua elevada vida útil.</w:t>
      </w:r>
    </w:p>
    <w:p w14:paraId="15BC592C" w14:textId="41B2CE0E" w:rsidR="003B1166" w:rsidRPr="003B1166" w:rsidRDefault="0055341E" w:rsidP="003B1166">
      <w:pPr>
        <w:jc w:val="both"/>
      </w:pPr>
      <w:r w:rsidRPr="007445E2">
        <w:t>A m</w:t>
      </w:r>
      <w:r w:rsidR="003B1166" w:rsidRPr="003B1166">
        <w:t>edição de água é por medidor único</w:t>
      </w:r>
      <w:r w:rsidR="00F16914" w:rsidRPr="007445E2">
        <w:t>.</w:t>
      </w:r>
      <w:r w:rsidR="003B1166" w:rsidRPr="003B1166">
        <w:t xml:space="preserve"> </w:t>
      </w:r>
      <w:r w:rsidR="00F16914" w:rsidRPr="007445E2">
        <w:t>A</w:t>
      </w:r>
      <w:r w:rsidR="003B1166" w:rsidRPr="003B1166">
        <w:t>s torneiras dos banheiros possuem temporizadores e os vasos sanitários são com válvula de descarga.</w:t>
      </w:r>
    </w:p>
    <w:p w14:paraId="56520416" w14:textId="5693442A" w:rsidR="003B1166" w:rsidRPr="003B1166" w:rsidRDefault="003B1166" w:rsidP="003B1166">
      <w:pPr>
        <w:jc w:val="both"/>
      </w:pPr>
      <w:r w:rsidRPr="003B1166">
        <w:t xml:space="preserve">Prédio </w:t>
      </w:r>
      <w:r w:rsidR="00976156" w:rsidRPr="007445E2">
        <w:t>possui</w:t>
      </w:r>
      <w:r w:rsidRPr="003B1166">
        <w:t xml:space="preserve"> portaria com portão e cancela, com vigilância armada 24 horas e monitoramento CFTV, sendo 15 câmeras internas e </w:t>
      </w:r>
      <w:r w:rsidR="00976156" w:rsidRPr="003B1166">
        <w:t>15</w:t>
      </w:r>
      <w:r w:rsidR="00976156" w:rsidRPr="007445E2">
        <w:t xml:space="preserve"> </w:t>
      </w:r>
      <w:r w:rsidRPr="003B1166">
        <w:t>externas.</w:t>
      </w:r>
    </w:p>
    <w:p w14:paraId="01518D9D" w14:textId="2043CFCB" w:rsidR="003B1166" w:rsidRPr="007445E2" w:rsidRDefault="003B1166" w:rsidP="003B1166">
      <w:pPr>
        <w:jc w:val="both"/>
      </w:pPr>
      <w:r w:rsidRPr="007445E2">
        <w:t xml:space="preserve">A população estimada é de </w:t>
      </w:r>
      <w:r w:rsidR="008B7952">
        <w:t>104</w:t>
      </w:r>
      <w:r w:rsidRPr="007445E2">
        <w:t xml:space="preserve"> pessoas, entre membros, servidores, terceirizados e estagiários.</w:t>
      </w:r>
    </w:p>
    <w:p w14:paraId="2B5C811C" w14:textId="77777777" w:rsidR="0054154F" w:rsidRDefault="0054154F">
      <w:pPr>
        <w:rPr>
          <w:rFonts w:eastAsia="Times New Roman" w:cstheme="minorHAnsi"/>
          <w:color w:val="FF0000"/>
          <w:sz w:val="44"/>
          <w:szCs w:val="72"/>
          <w:lang w:eastAsia="pt-BR"/>
        </w:rPr>
      </w:pPr>
      <w:bookmarkStart w:id="18" w:name="_Toc46510934"/>
      <w:r>
        <w:rPr>
          <w:color w:val="FF0000"/>
        </w:rPr>
        <w:br w:type="page"/>
      </w:r>
    </w:p>
    <w:p w14:paraId="0AF18413" w14:textId="77777777" w:rsidR="00550925" w:rsidRDefault="00550925" w:rsidP="006C6C67">
      <w:pPr>
        <w:pStyle w:val="Ttulo1"/>
      </w:pPr>
      <w:bookmarkStart w:id="19" w:name="_Toc113971753"/>
      <w:r>
        <w:lastRenderedPageBreak/>
        <w:t>Resultados</w:t>
      </w:r>
      <w:bookmarkEnd w:id="19"/>
    </w:p>
    <w:p w14:paraId="1F92E8E7" w14:textId="77777777" w:rsidR="00550925" w:rsidRDefault="00550925" w:rsidP="00550925">
      <w:pPr>
        <w:pStyle w:val="Ttulo2"/>
      </w:pPr>
    </w:p>
    <w:bookmarkEnd w:id="18"/>
    <w:p w14:paraId="6C5A8357" w14:textId="27EC1688" w:rsidR="000C297A" w:rsidRPr="00B514A1" w:rsidRDefault="000C297A" w:rsidP="000C297A">
      <w:pPr>
        <w:jc w:val="both"/>
      </w:pPr>
      <w:r w:rsidRPr="00B514A1">
        <w:t xml:space="preserve">Conforme mostrado na </w:t>
      </w:r>
      <w:r w:rsidR="007A5E53" w:rsidRPr="00B514A1">
        <w:rPr>
          <w:i/>
          <w:iCs/>
        </w:rPr>
        <w:t xml:space="preserve">Tabela 1 - Indicadores e Metas </w:t>
      </w:r>
      <w:r w:rsidR="005507CA" w:rsidRPr="00B514A1">
        <w:rPr>
          <w:i/>
          <w:iCs/>
        </w:rPr>
        <w:t>por edifício</w:t>
      </w:r>
      <w:r w:rsidR="00B514A1" w:rsidRPr="00B514A1">
        <w:rPr>
          <w:i/>
          <w:iCs/>
        </w:rPr>
        <w:t xml:space="preserve"> </w:t>
      </w:r>
      <w:r w:rsidR="007A5E53" w:rsidRPr="00B514A1">
        <w:rPr>
          <w:i/>
          <w:iCs/>
        </w:rPr>
        <w:t>para 202</w:t>
      </w:r>
      <w:r w:rsidR="00840CA2">
        <w:rPr>
          <w:i/>
          <w:iCs/>
        </w:rPr>
        <w:t>2</w:t>
      </w:r>
      <w:r w:rsidR="007A5E53" w:rsidRPr="00B514A1">
        <w:rPr>
          <w:i/>
          <w:iCs/>
        </w:rPr>
        <w:t xml:space="preserve"> – SAD/RS</w:t>
      </w:r>
      <w:r w:rsidRPr="00B514A1">
        <w:t xml:space="preserve">, no âmbito da Superintendência de Administração no </w:t>
      </w:r>
      <w:r w:rsidR="00B514A1" w:rsidRPr="00B514A1">
        <w:t xml:space="preserve">Estado do </w:t>
      </w:r>
      <w:r w:rsidRPr="00B514A1">
        <w:t>Rio Grande do Sul – SAD/RS foram pactuadas 1</w:t>
      </w:r>
      <w:r w:rsidR="00AB4EE7" w:rsidRPr="00B514A1">
        <w:t>8</w:t>
      </w:r>
      <w:r w:rsidRPr="00B514A1">
        <w:t xml:space="preserve"> metas, </w:t>
      </w:r>
      <w:r w:rsidR="00AB4EE7" w:rsidRPr="00B514A1">
        <w:t>divididas em 11</w:t>
      </w:r>
      <w:r w:rsidRPr="00B514A1">
        <w:t xml:space="preserve"> temas</w:t>
      </w:r>
      <w:r w:rsidR="00AB4EE7" w:rsidRPr="00B514A1">
        <w:t>, para cada uma das 6 edificações</w:t>
      </w:r>
      <w:r w:rsidRPr="00B514A1">
        <w:t>.</w:t>
      </w:r>
    </w:p>
    <w:p w14:paraId="4433D409" w14:textId="02CA618E" w:rsidR="00FD2F08" w:rsidRPr="00B514A1" w:rsidRDefault="00FD2F08" w:rsidP="00C7429D">
      <w:pPr>
        <w:ind w:left="2" w:firstLine="1"/>
        <w:jc w:val="both"/>
      </w:pPr>
      <w:r w:rsidRPr="00B514A1">
        <w:t xml:space="preserve">A seguir </w:t>
      </w:r>
      <w:r w:rsidR="007D3CD8">
        <w:t>segue</w:t>
      </w:r>
      <w:r w:rsidRPr="00B514A1">
        <w:t xml:space="preserve"> uma breve caracterização dos temas</w:t>
      </w:r>
      <w:r w:rsidR="00C2124D" w:rsidRPr="00B514A1">
        <w:t>,</w:t>
      </w:r>
      <w:r w:rsidR="00A42184">
        <w:t xml:space="preserve"> seus indicadores,</w:t>
      </w:r>
      <w:r w:rsidR="00C2124D" w:rsidRPr="00B514A1">
        <w:t xml:space="preserve"> assim como</w:t>
      </w:r>
      <w:r w:rsidR="0084428B" w:rsidRPr="00B514A1">
        <w:t xml:space="preserve"> os dados coletados nesse </w:t>
      </w:r>
      <w:r w:rsidR="00014738" w:rsidRPr="00B514A1">
        <w:t>primeiro semestre do ano</w:t>
      </w:r>
      <w:r w:rsidR="0084428B" w:rsidRPr="00B514A1">
        <w:t xml:space="preserve"> </w:t>
      </w:r>
      <w:r w:rsidR="00914AC0" w:rsidRPr="00B514A1">
        <w:t xml:space="preserve">para cada edificação, </w:t>
      </w:r>
      <w:r w:rsidR="0084428B" w:rsidRPr="00B514A1">
        <w:t>e suas respectivas avaliações</w:t>
      </w:r>
      <w:r w:rsidRPr="00B514A1">
        <w:t>.</w:t>
      </w:r>
    </w:p>
    <w:p w14:paraId="7708028F" w14:textId="4AC65420" w:rsidR="009C0C0C" w:rsidRPr="002374F8" w:rsidRDefault="009C0C0C" w:rsidP="00C7429D">
      <w:pPr>
        <w:pStyle w:val="Ttulo2"/>
      </w:pPr>
      <w:bookmarkStart w:id="20" w:name="_Toc113971754"/>
      <w:r w:rsidRPr="002374F8">
        <w:t>Qualidade de Vida no Ambiente de Trabalho</w:t>
      </w:r>
      <w:bookmarkEnd w:id="20"/>
    </w:p>
    <w:p w14:paraId="76DA1905" w14:textId="535EA285" w:rsidR="001F6B09" w:rsidRPr="002374F8" w:rsidRDefault="001F6B09" w:rsidP="00C7429D">
      <w:pPr>
        <w:pStyle w:val="Ttulo3"/>
      </w:pPr>
      <w:bookmarkStart w:id="21" w:name="_Toc113971755"/>
      <w:r w:rsidRPr="002374F8">
        <w:t>Caracterização</w:t>
      </w:r>
      <w:bookmarkEnd w:id="21"/>
    </w:p>
    <w:p w14:paraId="09572528" w14:textId="100B2983" w:rsidR="009C0C0C" w:rsidRPr="002374F8" w:rsidRDefault="009C0C0C" w:rsidP="009C0C0C">
      <w:pPr>
        <w:ind w:left="2" w:firstLine="1"/>
        <w:jc w:val="both"/>
        <w:rPr>
          <w:bCs/>
          <w:iCs/>
        </w:rPr>
      </w:pPr>
      <w:r w:rsidRPr="002374F8">
        <w:rPr>
          <w:bCs/>
          <w:iCs/>
        </w:rPr>
        <w:t xml:space="preserve">A Portaria AGU nº 190, de 10/05/2012, instituiu o </w:t>
      </w:r>
      <w:r w:rsidRPr="002374F8">
        <w:rPr>
          <w:b/>
          <w:bCs/>
          <w:iCs/>
        </w:rPr>
        <w:t>Programa AGU Mais Vida</w:t>
      </w:r>
      <w:r w:rsidRPr="002374F8">
        <w:rPr>
          <w:bCs/>
          <w:iCs/>
        </w:rPr>
        <w:t xml:space="preserve"> no âmbito da Advocacia-Geral da União e da Procuradoria Geral Federal. O</w:t>
      </w:r>
      <w:r w:rsidR="000F7470" w:rsidRPr="002374F8">
        <w:rPr>
          <w:bCs/>
          <w:iCs/>
        </w:rPr>
        <w:t xml:space="preserve"> programa o</w:t>
      </w:r>
      <w:r w:rsidRPr="002374F8">
        <w:rPr>
          <w:bCs/>
          <w:iCs/>
        </w:rPr>
        <w:t xml:space="preserve">bjetiva a integração das iniciativas de valorização do corpo funcional da Instituição e sistematização das ações de saúde. O programa está estruturado em quatro eixos: </w:t>
      </w:r>
      <w:r w:rsidRPr="002374F8">
        <w:rPr>
          <w:bCs/>
          <w:i/>
          <w:iCs/>
        </w:rPr>
        <w:t>Valorização e Reconhecimento Profissional</w:t>
      </w:r>
      <w:r w:rsidRPr="002374F8">
        <w:rPr>
          <w:bCs/>
          <w:iCs/>
        </w:rPr>
        <w:t xml:space="preserve">, </w:t>
      </w:r>
      <w:r w:rsidRPr="002374F8">
        <w:rPr>
          <w:bCs/>
          <w:i/>
          <w:iCs/>
        </w:rPr>
        <w:t>Prevenção e Saúde</w:t>
      </w:r>
      <w:r w:rsidRPr="002374F8">
        <w:rPr>
          <w:bCs/>
          <w:iCs/>
        </w:rPr>
        <w:t xml:space="preserve">, </w:t>
      </w:r>
      <w:r w:rsidRPr="002374F8">
        <w:rPr>
          <w:bCs/>
          <w:i/>
          <w:iCs/>
        </w:rPr>
        <w:t>Capacitação e Desenvolvimento</w:t>
      </w:r>
      <w:r w:rsidRPr="002374F8">
        <w:rPr>
          <w:bCs/>
          <w:iCs/>
        </w:rPr>
        <w:t xml:space="preserve">, e </w:t>
      </w:r>
      <w:r w:rsidRPr="002374F8">
        <w:rPr>
          <w:bCs/>
          <w:i/>
          <w:iCs/>
        </w:rPr>
        <w:t>Integração Sociocultural</w:t>
      </w:r>
      <w:r w:rsidRPr="002374F8">
        <w:rPr>
          <w:bCs/>
          <w:iCs/>
        </w:rPr>
        <w:t>. AGU Mais Vida tem abrangência nacional e suas atividades são organizadas na forma de projetos</w:t>
      </w:r>
      <w:r w:rsidR="00DA593C">
        <w:rPr>
          <w:bCs/>
          <w:iCs/>
        </w:rPr>
        <w:t xml:space="preserve">, seguindo o </w:t>
      </w:r>
      <w:r w:rsidR="00DB7081">
        <w:rPr>
          <w:bCs/>
          <w:iCs/>
        </w:rPr>
        <w:t>calendário AGU Mais Vida 202</w:t>
      </w:r>
      <w:r w:rsidR="00C86022">
        <w:rPr>
          <w:bCs/>
          <w:iCs/>
        </w:rPr>
        <w:t>2</w:t>
      </w:r>
      <w:r w:rsidR="00DB7081">
        <w:rPr>
          <w:bCs/>
          <w:iCs/>
        </w:rPr>
        <w:t>, abaixo apresentado.</w:t>
      </w:r>
    </w:p>
    <w:p w14:paraId="708DBBEE" w14:textId="55D3D3EC" w:rsidR="001F6B09" w:rsidRPr="003209D5" w:rsidRDefault="001F6B09" w:rsidP="00C7429D">
      <w:pPr>
        <w:pStyle w:val="Ttulo3"/>
      </w:pPr>
      <w:bookmarkStart w:id="22" w:name="_Toc113971756"/>
      <w:r w:rsidRPr="003209D5">
        <w:t>Metas, dados coletados e avaliação</w:t>
      </w:r>
      <w:bookmarkEnd w:id="22"/>
    </w:p>
    <w:p w14:paraId="661D83A0" w14:textId="4185B226" w:rsidR="007D0A23" w:rsidRPr="00AD0605" w:rsidRDefault="007D0A23" w:rsidP="007D0A23">
      <w:pPr>
        <w:ind w:left="2" w:firstLine="1"/>
        <w:jc w:val="both"/>
        <w:rPr>
          <w:i/>
          <w:iCs/>
        </w:rPr>
      </w:pPr>
      <w:r w:rsidRPr="00AD0605">
        <w:t>Para o exercício de 202</w:t>
      </w:r>
      <w:r w:rsidR="00C86022" w:rsidRPr="00AD0605">
        <w:t>2</w:t>
      </w:r>
      <w:r w:rsidRPr="00AD0605">
        <w:t xml:space="preserve"> adotamos os seguintes indicadores: “</w:t>
      </w:r>
      <w:r w:rsidRPr="00AD0605">
        <w:rPr>
          <w:b/>
        </w:rPr>
        <w:t xml:space="preserve">índice de eventos </w:t>
      </w:r>
      <w:r w:rsidR="00485A98" w:rsidRPr="00AD0605">
        <w:rPr>
          <w:b/>
        </w:rPr>
        <w:t xml:space="preserve">e campanhas </w:t>
      </w:r>
      <w:r w:rsidRPr="00AD0605">
        <w:rPr>
          <w:b/>
        </w:rPr>
        <w:t>voltados para a saúde e prevenção”</w:t>
      </w:r>
      <w:r w:rsidRPr="00AD0605">
        <w:rPr>
          <w:bCs/>
        </w:rPr>
        <w:t xml:space="preserve"> e </w:t>
      </w:r>
      <w:r w:rsidRPr="00AD0605">
        <w:rPr>
          <w:b/>
        </w:rPr>
        <w:t>“índice de participação nos eventos relacionados à qualidade de vida”</w:t>
      </w:r>
      <w:r w:rsidRPr="00AD0605">
        <w:t xml:space="preserve">, ambos medidos em percentual (%). </w:t>
      </w:r>
    </w:p>
    <w:p w14:paraId="18AAD82C" w14:textId="4C5B49B4" w:rsidR="001E362A" w:rsidRPr="00AD0605" w:rsidRDefault="37562BA9" w:rsidP="6BDD1164">
      <w:pPr>
        <w:jc w:val="both"/>
        <w:rPr>
          <w:rFonts w:eastAsia="Calibri" w:cs="Times New Roman"/>
          <w:lang w:eastAsia="pt-BR"/>
        </w:rPr>
      </w:pPr>
      <w:r w:rsidRPr="00AD0605">
        <w:rPr>
          <w:rFonts w:eastAsia="Calibri" w:cs="Times New Roman"/>
          <w:lang w:eastAsia="pt-BR"/>
        </w:rPr>
        <w:t>Em</w:t>
      </w:r>
      <w:r w:rsidR="001E362A" w:rsidRPr="00AD0605">
        <w:rPr>
          <w:rFonts w:eastAsia="Calibri" w:cs="Times New Roman"/>
          <w:lang w:eastAsia="pt-BR"/>
        </w:rPr>
        <w:t xml:space="preserve"> atendimento às metas de eventos de abrangência nacional foi realizada </w:t>
      </w:r>
      <w:r w:rsidR="3877983D" w:rsidRPr="00AD0605">
        <w:rPr>
          <w:rFonts w:eastAsia="Calibri" w:cs="Times New Roman"/>
          <w:lang w:eastAsia="pt-BR"/>
        </w:rPr>
        <w:t xml:space="preserve">a </w:t>
      </w:r>
      <w:r w:rsidR="3877983D" w:rsidRPr="00AD0605">
        <w:rPr>
          <w:rFonts w:eastAsia="Calibri" w:cs="Times New Roman"/>
          <w:b/>
          <w:bCs/>
          <w:lang w:eastAsia="pt-BR"/>
        </w:rPr>
        <w:t>Campanha da Vacinação H1N1</w:t>
      </w:r>
      <w:r w:rsidR="00AD0605">
        <w:rPr>
          <w:rFonts w:eastAsia="Calibri" w:cs="Times New Roman"/>
          <w:lang w:eastAsia="pt-BR"/>
        </w:rPr>
        <w:t>.</w:t>
      </w:r>
    </w:p>
    <w:p w14:paraId="796FE85F" w14:textId="580E0E81" w:rsidR="51FD9588" w:rsidRPr="003209D5" w:rsidRDefault="51FD9588" w:rsidP="6B669A55">
      <w:pPr>
        <w:jc w:val="both"/>
        <w:rPr>
          <w:rFonts w:eastAsia="Calibri" w:cs="Times New Roman"/>
          <w:lang w:eastAsia="pt-BR"/>
        </w:rPr>
      </w:pPr>
      <w:r w:rsidRPr="00C86022">
        <w:rPr>
          <w:rFonts w:eastAsia="Calibri" w:cs="Times New Roman"/>
          <w:lang w:eastAsia="pt-BR"/>
        </w:rPr>
        <w:t>O reforço das iniciativas de prevenção e conscientização dos riscos de contaminação do COVID-19 continuam nas unidades durante 202</w:t>
      </w:r>
      <w:r w:rsidR="00C86022" w:rsidRPr="00C86022">
        <w:rPr>
          <w:rFonts w:eastAsia="Calibri" w:cs="Times New Roman"/>
          <w:lang w:eastAsia="pt-BR"/>
        </w:rPr>
        <w:t>2</w:t>
      </w:r>
      <w:r w:rsidRPr="00C86022">
        <w:rPr>
          <w:rFonts w:eastAsia="Calibri" w:cs="Times New Roman"/>
          <w:lang w:eastAsia="pt-BR"/>
        </w:rPr>
        <w:t>.</w:t>
      </w:r>
    </w:p>
    <w:p w14:paraId="5B661231" w14:textId="7D189721" w:rsidR="50907EE5" w:rsidRPr="003209D5" w:rsidRDefault="3D21A7DE" w:rsidP="3BD900B3">
      <w:pPr>
        <w:jc w:val="both"/>
        <w:rPr>
          <w:rFonts w:eastAsia="Calibri" w:cs="Times New Roman"/>
          <w:lang w:eastAsia="pt-BR"/>
        </w:rPr>
      </w:pPr>
      <w:r w:rsidRPr="003209D5">
        <w:rPr>
          <w:rFonts w:eastAsia="Calibri" w:cs="Times New Roman"/>
          <w:lang w:eastAsia="pt-BR"/>
        </w:rPr>
        <w:t>Com a participação da PF/</w:t>
      </w:r>
      <w:r w:rsidR="00C86022">
        <w:rPr>
          <w:rFonts w:eastAsia="Calibri" w:cs="Times New Roman"/>
          <w:lang w:eastAsia="pt-BR"/>
        </w:rPr>
        <w:t>PU/</w:t>
      </w:r>
      <w:r w:rsidRPr="003209D5">
        <w:rPr>
          <w:rFonts w:eastAsia="Calibri" w:cs="Times New Roman"/>
          <w:lang w:eastAsia="pt-BR"/>
        </w:rPr>
        <w:t>SC</w:t>
      </w:r>
      <w:r w:rsidR="00C86022">
        <w:rPr>
          <w:rFonts w:eastAsia="Calibri" w:cs="Times New Roman"/>
          <w:lang w:eastAsia="pt-BR"/>
        </w:rPr>
        <w:t xml:space="preserve"> e PF/</w:t>
      </w:r>
      <w:r w:rsidRPr="003209D5">
        <w:rPr>
          <w:rFonts w:eastAsia="Calibri" w:cs="Times New Roman"/>
          <w:lang w:eastAsia="pt-BR"/>
        </w:rPr>
        <w:t>PU/</w:t>
      </w:r>
      <w:r w:rsidR="00C86022">
        <w:rPr>
          <w:rFonts w:eastAsia="Calibri" w:cs="Times New Roman"/>
          <w:lang w:eastAsia="pt-BR"/>
        </w:rPr>
        <w:t>PR</w:t>
      </w:r>
      <w:r w:rsidRPr="003209D5">
        <w:rPr>
          <w:rFonts w:eastAsia="Calibri" w:cs="Times New Roman"/>
          <w:lang w:eastAsia="pt-BR"/>
        </w:rPr>
        <w:t xml:space="preserve">, </w:t>
      </w:r>
      <w:r w:rsidR="1F868776" w:rsidRPr="003209D5">
        <w:rPr>
          <w:rFonts w:eastAsia="Calibri" w:cs="Times New Roman"/>
          <w:lang w:eastAsia="pt-BR"/>
        </w:rPr>
        <w:t xml:space="preserve">e com o retorno gradual dos membros e servidores ao ambiente de trabalho, </w:t>
      </w:r>
      <w:r w:rsidRPr="003209D5">
        <w:rPr>
          <w:rFonts w:eastAsia="Calibri" w:cs="Times New Roman"/>
          <w:lang w:eastAsia="pt-BR"/>
        </w:rPr>
        <w:t>e</w:t>
      </w:r>
      <w:r w:rsidR="222E34B5" w:rsidRPr="003209D5">
        <w:rPr>
          <w:rFonts w:eastAsia="Calibri" w:cs="Times New Roman"/>
          <w:lang w:eastAsia="pt-BR"/>
        </w:rPr>
        <w:t xml:space="preserve">spera-se conseguir desenvolver </w:t>
      </w:r>
      <w:r w:rsidR="47E57819" w:rsidRPr="003209D5">
        <w:rPr>
          <w:rFonts w:eastAsia="Calibri" w:cs="Times New Roman"/>
          <w:lang w:eastAsia="pt-BR"/>
        </w:rPr>
        <w:t>no decorrer de 202</w:t>
      </w:r>
      <w:r w:rsidR="00C86022">
        <w:rPr>
          <w:rFonts w:eastAsia="Calibri" w:cs="Times New Roman"/>
          <w:lang w:eastAsia="pt-BR"/>
        </w:rPr>
        <w:t>2</w:t>
      </w:r>
      <w:r w:rsidR="47E57819" w:rsidRPr="003209D5">
        <w:rPr>
          <w:rFonts w:eastAsia="Calibri" w:cs="Times New Roman"/>
          <w:lang w:eastAsia="pt-BR"/>
        </w:rPr>
        <w:t xml:space="preserve"> palestras e eventos focados em atender o cronograma </w:t>
      </w:r>
      <w:r w:rsidR="37539DA7" w:rsidRPr="003209D5">
        <w:rPr>
          <w:rFonts w:eastAsia="Calibri" w:cs="Times New Roman"/>
          <w:lang w:eastAsia="pt-BR"/>
        </w:rPr>
        <w:t>o AGU Mais Vida</w:t>
      </w:r>
      <w:r w:rsidR="14781C23" w:rsidRPr="003209D5">
        <w:rPr>
          <w:rFonts w:eastAsia="Calibri" w:cs="Times New Roman"/>
          <w:lang w:eastAsia="pt-BR"/>
        </w:rPr>
        <w:t>.</w:t>
      </w:r>
    </w:p>
    <w:p w14:paraId="24358C9E" w14:textId="77777777" w:rsidR="50907EE5" w:rsidRDefault="50907EE5" w:rsidP="3BD900B3">
      <w:pPr>
        <w:jc w:val="both"/>
        <w:rPr>
          <w:rFonts w:eastAsia="Calibri" w:cs="Times New Roman"/>
          <w:lang w:eastAsia="pt-BR"/>
        </w:rPr>
      </w:pPr>
    </w:p>
    <w:p w14:paraId="69CADBFC" w14:textId="2C8C7A1E" w:rsidR="004266C6" w:rsidRPr="003209D5" w:rsidRDefault="004266C6" w:rsidP="3BD900B3">
      <w:pPr>
        <w:jc w:val="both"/>
        <w:rPr>
          <w:rFonts w:eastAsia="Calibri" w:cs="Times New Roman"/>
          <w:lang w:eastAsia="pt-BR"/>
        </w:rPr>
        <w:sectPr w:rsidR="004266C6" w:rsidRPr="003209D5" w:rsidSect="00276333">
          <w:pgSz w:w="11907" w:h="16840" w:orient="landscape" w:code="9"/>
          <w:pgMar w:top="1134" w:right="907" w:bottom="1701" w:left="1418" w:header="709" w:footer="709" w:gutter="0"/>
          <w:cols w:space="708"/>
          <w:docGrid w:linePitch="360"/>
        </w:sectPr>
      </w:pPr>
    </w:p>
    <w:p w14:paraId="69FAA74C" w14:textId="2A7DB8D3" w:rsidR="00A82690" w:rsidRDefault="00A82690" w:rsidP="00DC42DE">
      <w:pPr>
        <w:spacing w:before="240"/>
        <w:contextualSpacing/>
        <w:jc w:val="center"/>
        <w:rPr>
          <w:noProof/>
          <w:lang w:eastAsia="pt-BR"/>
        </w:rPr>
      </w:pPr>
      <w:r w:rsidRPr="00A82690">
        <w:rPr>
          <w:noProof/>
        </w:rPr>
        <w:lastRenderedPageBreak/>
        <w:drawing>
          <wp:inline distT="0" distB="0" distL="0" distR="0" wp14:anchorId="3752E6AB" wp14:editId="11865757">
            <wp:extent cx="8893175" cy="3409950"/>
            <wp:effectExtent l="0" t="0" r="317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93175" cy="3409950"/>
                    </a:xfrm>
                    <a:prstGeom prst="rect">
                      <a:avLst/>
                    </a:prstGeom>
                    <a:noFill/>
                    <a:ln>
                      <a:noFill/>
                    </a:ln>
                  </pic:spPr>
                </pic:pic>
              </a:graphicData>
            </a:graphic>
          </wp:inline>
        </w:drawing>
      </w:r>
    </w:p>
    <w:p w14:paraId="5D46F7E3" w14:textId="73FB9AC8" w:rsidR="00DC42DE" w:rsidRPr="00304144" w:rsidRDefault="00DC42DE" w:rsidP="00DC42DE">
      <w:pPr>
        <w:spacing w:before="240"/>
        <w:contextualSpacing/>
        <w:jc w:val="center"/>
        <w:rPr>
          <w:color w:val="FF0000"/>
        </w:rPr>
      </w:pPr>
    </w:p>
    <w:p w14:paraId="5FA9CDD3" w14:textId="77777777" w:rsidR="008F5BCA" w:rsidRPr="00304144" w:rsidRDefault="008F5BCA" w:rsidP="00C7429D">
      <w:pPr>
        <w:pStyle w:val="Ttulo2"/>
        <w:rPr>
          <w:color w:val="FF0000"/>
        </w:rPr>
        <w:sectPr w:rsidR="008F5BCA" w:rsidRPr="00304144" w:rsidSect="007F21FB">
          <w:pgSz w:w="16840" w:h="11907" w:code="9"/>
          <w:pgMar w:top="1418" w:right="1134" w:bottom="907" w:left="1701" w:header="709" w:footer="709" w:gutter="0"/>
          <w:cols w:space="708"/>
          <w:docGrid w:linePitch="360"/>
        </w:sectPr>
      </w:pPr>
    </w:p>
    <w:p w14:paraId="51F8DE9C" w14:textId="0C6A28BF" w:rsidR="00B40BFC" w:rsidRPr="001C1A54" w:rsidRDefault="009C0C0C" w:rsidP="00C7429D">
      <w:pPr>
        <w:pStyle w:val="Ttulo2"/>
      </w:pPr>
      <w:bookmarkStart w:id="23" w:name="_Toc113971757"/>
      <w:r w:rsidRPr="001C1A54">
        <w:lastRenderedPageBreak/>
        <w:t>Transporte</w:t>
      </w:r>
      <w:r w:rsidR="00931072" w:rsidRPr="001C1A54">
        <w:t xml:space="preserve"> Terrestre</w:t>
      </w:r>
      <w:bookmarkEnd w:id="23"/>
    </w:p>
    <w:p w14:paraId="72BA0BC1" w14:textId="46F02013" w:rsidR="009C0C0C" w:rsidRPr="001C1A54" w:rsidRDefault="00B40BFC" w:rsidP="00C7429D">
      <w:pPr>
        <w:pStyle w:val="Ttulo3"/>
      </w:pPr>
      <w:bookmarkStart w:id="24" w:name="_Toc113971758"/>
      <w:r w:rsidRPr="001C1A54">
        <w:t>Caracterização</w:t>
      </w:r>
      <w:bookmarkEnd w:id="24"/>
    </w:p>
    <w:p w14:paraId="20177421" w14:textId="58563B59" w:rsidR="009C0C0C" w:rsidRPr="001C1A54" w:rsidRDefault="009C0C0C" w:rsidP="00C7429D">
      <w:pPr>
        <w:ind w:left="2" w:firstLine="1"/>
        <w:jc w:val="both"/>
        <w:rPr>
          <w:bCs/>
          <w:iCs/>
        </w:rPr>
      </w:pPr>
      <w:r w:rsidRPr="001C1A54">
        <w:rPr>
          <w:bCs/>
          <w:iCs/>
        </w:rPr>
        <w:t>Consiste na prestação de serviços de transporte terrestre com fornecimento de veículo (com ou sem mão</w:t>
      </w:r>
      <w:r w:rsidR="74C1C8EE" w:rsidRPr="001C1A54">
        <w:t>-</w:t>
      </w:r>
      <w:r w:rsidRPr="001C1A54">
        <w:rPr>
          <w:bCs/>
          <w:iCs/>
        </w:rPr>
        <w:t>de</w:t>
      </w:r>
      <w:r w:rsidR="2DAA25C4" w:rsidRPr="001C1A54">
        <w:t>-</w:t>
      </w:r>
      <w:r w:rsidRPr="001C1A54">
        <w:rPr>
          <w:bCs/>
          <w:iCs/>
        </w:rPr>
        <w:t>obra), destinado a mobilidade dos servidores e ao transporte de carga, mudanças locais e interestaduais. Os serviços são disponibilizados por meio de transporte próprio, terceirizados (locados) e de frota de táxi para melhor atender as especificidades de cada unidade.</w:t>
      </w:r>
    </w:p>
    <w:p w14:paraId="11114DB5" w14:textId="0047696F" w:rsidR="00B40BFC" w:rsidRPr="0069473E" w:rsidRDefault="00B40BFC" w:rsidP="00C7429D">
      <w:pPr>
        <w:pStyle w:val="Ttulo3"/>
      </w:pPr>
      <w:bookmarkStart w:id="25" w:name="_Toc113971759"/>
      <w:r w:rsidRPr="0069473E">
        <w:t>Metas, dados coletados e avaliação</w:t>
      </w:r>
      <w:bookmarkEnd w:id="25"/>
    </w:p>
    <w:p w14:paraId="1993F406" w14:textId="0081DDAD" w:rsidR="3BDE7C4D" w:rsidRPr="00223625" w:rsidRDefault="00202FDD" w:rsidP="3BDE7C4D">
      <w:pPr>
        <w:jc w:val="both"/>
      </w:pPr>
      <w:r w:rsidRPr="00223625">
        <w:t>Para este tema</w:t>
      </w:r>
      <w:r w:rsidR="00BB2083" w:rsidRPr="00223625">
        <w:t xml:space="preserve"> foram definidos três indicadores, </w:t>
      </w:r>
      <w:r w:rsidR="0002453F" w:rsidRPr="00223625">
        <w:t xml:space="preserve">que permitem acompanhar </w:t>
      </w:r>
      <w:r w:rsidR="00BB2083" w:rsidRPr="00223625">
        <w:t xml:space="preserve">a </w:t>
      </w:r>
      <w:r w:rsidR="00BA1F37" w:rsidRPr="00223625">
        <w:t>utilização d</w:t>
      </w:r>
      <w:r w:rsidR="007E2CAD" w:rsidRPr="00223625">
        <w:t>as formas de</w:t>
      </w:r>
      <w:r w:rsidR="00BA1F37" w:rsidRPr="00223625">
        <w:t xml:space="preserve"> transporte</w:t>
      </w:r>
      <w:r w:rsidR="00DE21CF" w:rsidRPr="00223625">
        <w:t xml:space="preserve"> e</w:t>
      </w:r>
      <w:r w:rsidR="008F6361" w:rsidRPr="00223625">
        <w:t xml:space="preserve"> a</w:t>
      </w:r>
      <w:r w:rsidR="00DE21CF" w:rsidRPr="00223625">
        <w:t xml:space="preserve"> emissão de CO2.</w:t>
      </w:r>
    </w:p>
    <w:p w14:paraId="436B3A89" w14:textId="6418321E" w:rsidR="18EBABE2" w:rsidRPr="00223625" w:rsidRDefault="18EBABE2" w:rsidP="3BDE7C4D">
      <w:pPr>
        <w:jc w:val="both"/>
      </w:pPr>
      <w:r w:rsidRPr="00223625">
        <w:t xml:space="preserve">Para o indicador </w:t>
      </w:r>
      <w:r w:rsidR="00702283" w:rsidRPr="00223625">
        <w:t>“</w:t>
      </w:r>
      <w:r w:rsidR="008F6361" w:rsidRPr="00223625">
        <w:rPr>
          <w:b/>
          <w:bCs/>
        </w:rPr>
        <w:t>u</w:t>
      </w:r>
      <w:r w:rsidRPr="00223625">
        <w:rPr>
          <w:b/>
          <w:bCs/>
        </w:rPr>
        <w:t xml:space="preserve">tilização de </w:t>
      </w:r>
      <w:r w:rsidR="00702283" w:rsidRPr="00223625">
        <w:rPr>
          <w:b/>
          <w:bCs/>
        </w:rPr>
        <w:t>t</w:t>
      </w:r>
      <w:r w:rsidRPr="00223625">
        <w:rPr>
          <w:b/>
          <w:bCs/>
        </w:rPr>
        <w:t>ransporte</w:t>
      </w:r>
      <w:r w:rsidR="00702283" w:rsidRPr="00223625">
        <w:rPr>
          <w:b/>
          <w:bCs/>
        </w:rPr>
        <w:t>”</w:t>
      </w:r>
      <w:r w:rsidRPr="00223625">
        <w:t xml:space="preserve"> foi estipulado o percentual de</w:t>
      </w:r>
      <w:r w:rsidR="000211B3">
        <w:t xml:space="preserve"> incremento de até</w:t>
      </w:r>
      <w:r w:rsidRPr="00223625">
        <w:t xml:space="preserve"> </w:t>
      </w:r>
      <w:r w:rsidR="004E7532">
        <w:t>20</w:t>
      </w:r>
      <w:r w:rsidRPr="00223625">
        <w:t xml:space="preserve">% para </w:t>
      </w:r>
      <w:r w:rsidR="3DA0BE0F" w:rsidRPr="00223625">
        <w:t xml:space="preserve">o </w:t>
      </w:r>
      <w:r w:rsidR="3DA0BE0F" w:rsidRPr="00223625">
        <w:rPr>
          <w:b/>
          <w:bCs/>
        </w:rPr>
        <w:t>Ed. SEDE</w:t>
      </w:r>
      <w:r w:rsidRPr="00223625">
        <w:t>. Para as demais Unidades</w:t>
      </w:r>
      <w:r w:rsidR="34922B28" w:rsidRPr="00223625">
        <w:t xml:space="preserve"> não se </w:t>
      </w:r>
      <w:r w:rsidR="00E726F3" w:rsidRPr="00223625">
        <w:t>estabeleceu meta</w:t>
      </w:r>
      <w:r w:rsidR="34922B28" w:rsidRPr="00223625">
        <w:t xml:space="preserve"> visto não </w:t>
      </w:r>
      <w:r w:rsidR="04613B5C" w:rsidRPr="00223625">
        <w:t>haver</w:t>
      </w:r>
      <w:r w:rsidR="34922B28" w:rsidRPr="00223625">
        <w:t xml:space="preserve"> série histórica, cabendo </w:t>
      </w:r>
      <w:r w:rsidR="00D445E3" w:rsidRPr="00223625">
        <w:t>monitor</w:t>
      </w:r>
      <w:r w:rsidR="34922B28" w:rsidRPr="00223625">
        <w:t xml:space="preserve">amento para </w:t>
      </w:r>
      <w:r w:rsidR="00FB1C3E" w:rsidRPr="00223625">
        <w:t>def</w:t>
      </w:r>
      <w:r w:rsidR="00223625" w:rsidRPr="00223625">
        <w:t>in</w:t>
      </w:r>
      <w:r w:rsidR="34922B28" w:rsidRPr="00223625">
        <w:t>ição futura</w:t>
      </w:r>
      <w:r w:rsidR="00223625" w:rsidRPr="00223625">
        <w:t xml:space="preserve"> de meta</w:t>
      </w:r>
      <w:r w:rsidR="34922B28" w:rsidRPr="00223625">
        <w:t>.</w:t>
      </w:r>
    </w:p>
    <w:p w14:paraId="290D6FFB" w14:textId="77777777" w:rsidR="004E7532" w:rsidRDefault="1BF9057E" w:rsidP="3BDE7C4D">
      <w:pPr>
        <w:spacing w:after="120"/>
        <w:jc w:val="both"/>
        <w:rPr>
          <w:b/>
          <w:bCs/>
        </w:rPr>
      </w:pPr>
      <w:r w:rsidRPr="001C2A39">
        <w:t xml:space="preserve">Com a implementação dos serviços de táxis por aplicativos para os três estados da 4ª </w:t>
      </w:r>
      <w:r w:rsidR="6703FCE4" w:rsidRPr="001C2A39">
        <w:t>R</w:t>
      </w:r>
      <w:r w:rsidRPr="001C2A39">
        <w:t>egião</w:t>
      </w:r>
      <w:r w:rsidR="2F47AC7F" w:rsidRPr="001C2A39">
        <w:t xml:space="preserve">, </w:t>
      </w:r>
      <w:r w:rsidR="70B042AA" w:rsidRPr="001C2A39">
        <w:t>somado</w:t>
      </w:r>
      <w:r w:rsidR="113774DC" w:rsidRPr="001C2A39">
        <w:t xml:space="preserve"> com</w:t>
      </w:r>
      <w:r w:rsidR="1E13E5A8" w:rsidRPr="001C2A39">
        <w:t xml:space="preserve"> o período d</w:t>
      </w:r>
      <w:r w:rsidR="113774DC" w:rsidRPr="001C2A39">
        <w:t>a</w:t>
      </w:r>
      <w:r w:rsidR="51B9CDBA" w:rsidRPr="001C2A39">
        <w:t xml:space="preserve"> pandemia da Covid-19,</w:t>
      </w:r>
      <w:r w:rsidR="113774DC" w:rsidRPr="001C2A39">
        <w:t xml:space="preserve"> </w:t>
      </w:r>
      <w:r w:rsidR="1E13E5A8" w:rsidRPr="001C2A39">
        <w:t xml:space="preserve">quando </w:t>
      </w:r>
      <w:r w:rsidR="432F61CA" w:rsidRPr="001C2A39">
        <w:t>se evitou</w:t>
      </w:r>
      <w:r w:rsidR="1E13E5A8" w:rsidRPr="001C2A39">
        <w:t xml:space="preserve"> o compartilhamento de veículos, </w:t>
      </w:r>
      <w:r w:rsidR="04BE3675" w:rsidRPr="001C2A39">
        <w:t>a fim de</w:t>
      </w:r>
      <w:r w:rsidR="1E13E5A8" w:rsidRPr="001C2A39">
        <w:t xml:space="preserve"> manter o distanciamento entre usuários,</w:t>
      </w:r>
      <w:r w:rsidR="3BF8B87F" w:rsidRPr="001C2A39">
        <w:t xml:space="preserve"> </w:t>
      </w:r>
      <w:r w:rsidR="2F47AC7F" w:rsidRPr="001C2A39">
        <w:t>o indicador</w:t>
      </w:r>
      <w:r w:rsidR="4F6354B7" w:rsidRPr="001C2A39">
        <w:t xml:space="preserve"> </w:t>
      </w:r>
      <w:r w:rsidR="4F6354B7" w:rsidRPr="001C2A39">
        <w:rPr>
          <w:b/>
          <w:bCs/>
        </w:rPr>
        <w:t>“compartilhamento de veículos”</w:t>
      </w:r>
      <w:r w:rsidR="4F6354B7" w:rsidRPr="001C2A39">
        <w:t xml:space="preserve"> deixou de ter sentido</w:t>
      </w:r>
      <w:r w:rsidR="02EA85E9" w:rsidRPr="001C2A39">
        <w:t xml:space="preserve">, </w:t>
      </w:r>
      <w:r w:rsidR="3BF8B87F" w:rsidRPr="001C2A39">
        <w:t>sendo</w:t>
      </w:r>
      <w:r w:rsidR="48D1E485" w:rsidRPr="001C2A39">
        <w:t xml:space="preserve"> substituído pelo</w:t>
      </w:r>
      <w:r w:rsidR="7BA0C9C0" w:rsidRPr="001C2A39">
        <w:t xml:space="preserve"> indicador de </w:t>
      </w:r>
      <w:r w:rsidR="7BA0C9C0" w:rsidRPr="001C2A39">
        <w:rPr>
          <w:b/>
          <w:bCs/>
        </w:rPr>
        <w:t>“percentual de utilização de táxis</w:t>
      </w:r>
      <w:r w:rsidR="2D0193B9" w:rsidRPr="001C2A39">
        <w:rPr>
          <w:b/>
          <w:bCs/>
        </w:rPr>
        <w:t>”</w:t>
      </w:r>
      <w:r w:rsidR="004E7532">
        <w:rPr>
          <w:b/>
          <w:bCs/>
        </w:rPr>
        <w:t>.</w:t>
      </w:r>
    </w:p>
    <w:p w14:paraId="248715A4" w14:textId="09E81F82" w:rsidR="00E47A92" w:rsidRPr="001C2A39" w:rsidRDefault="2EA89688" w:rsidP="3BDE7C4D">
      <w:pPr>
        <w:spacing w:after="120"/>
        <w:jc w:val="both"/>
        <w:rPr>
          <w:rFonts w:eastAsia="Times New Roman"/>
          <w:lang w:eastAsia="pt-BR"/>
        </w:rPr>
      </w:pPr>
      <w:r w:rsidRPr="001C2A39">
        <w:t xml:space="preserve"> </w:t>
      </w:r>
    </w:p>
    <w:p w14:paraId="108EFF07" w14:textId="038DBB0A" w:rsidR="00E47A92" w:rsidRPr="001C2A39" w:rsidRDefault="0235AEE9" w:rsidP="3BDE7C4D">
      <w:pPr>
        <w:spacing w:after="120"/>
        <w:jc w:val="both"/>
        <w:rPr>
          <w:rFonts w:ascii="Calibri" w:eastAsia="Calibri" w:hAnsi="Calibri" w:cs="Calibri"/>
        </w:rPr>
      </w:pPr>
      <w:r w:rsidRPr="001C2A39">
        <w:t>Manteve-se o</w:t>
      </w:r>
      <w:r w:rsidR="4A47662B" w:rsidRPr="001C2A39">
        <w:t xml:space="preserve"> indicador</w:t>
      </w:r>
      <w:r w:rsidR="0FED1911" w:rsidRPr="001C2A39">
        <w:t xml:space="preserve"> “</w:t>
      </w:r>
      <w:r w:rsidR="0FED1911" w:rsidRPr="001C2A39">
        <w:rPr>
          <w:b/>
          <w:bCs/>
        </w:rPr>
        <w:t>emissão de CO</w:t>
      </w:r>
      <w:r w:rsidR="0FED1911" w:rsidRPr="001C2A39">
        <w:rPr>
          <w:b/>
          <w:bCs/>
          <w:vertAlign w:val="subscript"/>
        </w:rPr>
        <w:t>2</w:t>
      </w:r>
      <w:r w:rsidR="0FED1911" w:rsidRPr="001C2A39">
        <w:rPr>
          <w:b/>
          <w:bCs/>
        </w:rPr>
        <w:t>”</w:t>
      </w:r>
      <w:r w:rsidR="0FED1911" w:rsidRPr="001C2A39">
        <w:t xml:space="preserve">, para o qual já dispomos de uma série histórica, permitindo </w:t>
      </w:r>
      <w:r w:rsidR="307AAFCE" w:rsidRPr="001C2A39">
        <w:t>a</w:t>
      </w:r>
      <w:r w:rsidR="0FED1911" w:rsidRPr="001C2A39">
        <w:t xml:space="preserve"> comparação com o exercício anterior. </w:t>
      </w:r>
    </w:p>
    <w:p w14:paraId="69ABFF53" w14:textId="2B7A5B7E" w:rsidR="00E47A92" w:rsidRPr="003A6F7E" w:rsidRDefault="00E47A92" w:rsidP="0053505E">
      <w:pPr>
        <w:spacing w:after="120"/>
        <w:jc w:val="both"/>
        <w:rPr>
          <w:rFonts w:eastAsia="Times New Roman"/>
          <w:lang w:eastAsia="pt-BR"/>
        </w:rPr>
      </w:pPr>
      <w:r w:rsidRPr="003A6F7E">
        <w:t xml:space="preserve">Na sequência são apresentadas as planilhas de dados referentes ao tema Transporte Terrestre </w:t>
      </w:r>
      <w:r w:rsidR="000E4B16" w:rsidRPr="003A6F7E">
        <w:t xml:space="preserve">para cada </w:t>
      </w:r>
      <w:r w:rsidR="00BA7B35" w:rsidRPr="003A6F7E">
        <w:t>prédio</w:t>
      </w:r>
      <w:r w:rsidRPr="003A6F7E">
        <w:t>.</w:t>
      </w:r>
    </w:p>
    <w:p w14:paraId="3E5600A3" w14:textId="53D9EB4A" w:rsidR="008F5BCA" w:rsidRPr="00304144" w:rsidRDefault="00C25994" w:rsidP="005B3728">
      <w:pPr>
        <w:autoSpaceDE w:val="0"/>
        <w:autoSpaceDN w:val="0"/>
        <w:adjustRightInd w:val="0"/>
        <w:spacing w:before="240" w:line="240" w:lineRule="auto"/>
        <w:jc w:val="center"/>
        <w:rPr>
          <w:color w:val="FF0000"/>
        </w:rPr>
        <w:sectPr w:rsidR="008F5BCA" w:rsidRPr="00304144" w:rsidSect="007F21FB">
          <w:pgSz w:w="11907" w:h="16840" w:orient="landscape" w:code="9"/>
          <w:pgMar w:top="1134" w:right="907" w:bottom="1701" w:left="1418" w:header="709" w:footer="709" w:gutter="0"/>
          <w:cols w:space="708"/>
          <w:docGrid w:linePitch="360"/>
        </w:sectPr>
      </w:pPr>
      <w:r w:rsidRPr="00304144">
        <w:rPr>
          <w:color w:val="FF0000"/>
        </w:rPr>
        <w:br w:type="page"/>
      </w:r>
    </w:p>
    <w:p w14:paraId="63C08146" w14:textId="01C66845" w:rsidR="007725DA" w:rsidRDefault="001F41A3" w:rsidP="00833657">
      <w:pPr>
        <w:jc w:val="center"/>
        <w:rPr>
          <w:color w:val="FF0000"/>
        </w:rPr>
      </w:pPr>
      <w:r w:rsidRPr="001F41A3">
        <w:rPr>
          <w:noProof/>
        </w:rPr>
        <w:lastRenderedPageBreak/>
        <w:drawing>
          <wp:inline distT="0" distB="0" distL="0" distR="0" wp14:anchorId="3CEECC22" wp14:editId="65A4F5B6">
            <wp:extent cx="8780780" cy="6084570"/>
            <wp:effectExtent l="0" t="0" r="127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780780" cy="6084570"/>
                    </a:xfrm>
                    <a:prstGeom prst="rect">
                      <a:avLst/>
                    </a:prstGeom>
                    <a:noFill/>
                    <a:ln>
                      <a:noFill/>
                    </a:ln>
                  </pic:spPr>
                </pic:pic>
              </a:graphicData>
            </a:graphic>
          </wp:inline>
        </w:drawing>
      </w:r>
      <w:r w:rsidR="008D7952" w:rsidRPr="008D7952">
        <w:rPr>
          <w:color w:val="FF0000"/>
        </w:rPr>
        <w:t xml:space="preserve"> </w:t>
      </w:r>
      <w:r w:rsidR="00246502" w:rsidRPr="00246502">
        <w:rPr>
          <w:color w:val="FF0000"/>
        </w:rPr>
        <w:t xml:space="preserve"> </w:t>
      </w:r>
    </w:p>
    <w:p w14:paraId="7DD67CE2" w14:textId="1209D196" w:rsidR="003A67F1" w:rsidRDefault="001F41A3" w:rsidP="00833657">
      <w:pPr>
        <w:jc w:val="center"/>
        <w:rPr>
          <w:color w:val="FF0000"/>
        </w:rPr>
      </w:pPr>
      <w:r>
        <w:rPr>
          <w:noProof/>
        </w:rPr>
        <w:lastRenderedPageBreak/>
        <w:drawing>
          <wp:inline distT="0" distB="0" distL="0" distR="0" wp14:anchorId="59F0452B" wp14:editId="2921F593">
            <wp:extent cx="8893175" cy="1997710"/>
            <wp:effectExtent l="0" t="0" r="3175" b="2540"/>
            <wp:docPr id="6" name="Gráfico 6">
              <a:extLst xmlns:a="http://schemas.openxmlformats.org/drawingml/2006/main">
                <a:ext uri="{FF2B5EF4-FFF2-40B4-BE49-F238E27FC236}">
                  <a16:creationId xmlns:a16="http://schemas.microsoft.com/office/drawing/2014/main" id="{039F8E08-23C5-88FD-806E-4D1BEB3532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DBA3173" w14:textId="0911A4FA" w:rsidR="001F41A3" w:rsidRDefault="001F41A3" w:rsidP="00833657">
      <w:pPr>
        <w:jc w:val="center"/>
        <w:rPr>
          <w:color w:val="FF0000"/>
        </w:rPr>
      </w:pPr>
      <w:r w:rsidRPr="001F41A3">
        <w:rPr>
          <w:noProof/>
        </w:rPr>
        <w:lastRenderedPageBreak/>
        <w:drawing>
          <wp:inline distT="0" distB="0" distL="0" distR="0" wp14:anchorId="76050DBE" wp14:editId="069479CF">
            <wp:extent cx="8893175" cy="5050155"/>
            <wp:effectExtent l="0" t="0" r="317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93175" cy="5050155"/>
                    </a:xfrm>
                    <a:prstGeom prst="rect">
                      <a:avLst/>
                    </a:prstGeom>
                    <a:noFill/>
                    <a:ln>
                      <a:noFill/>
                    </a:ln>
                  </pic:spPr>
                </pic:pic>
              </a:graphicData>
            </a:graphic>
          </wp:inline>
        </w:drawing>
      </w:r>
    </w:p>
    <w:p w14:paraId="04F2CA8B" w14:textId="070E023A" w:rsidR="001F41A3" w:rsidRDefault="001F41A3" w:rsidP="00833657">
      <w:pPr>
        <w:jc w:val="center"/>
        <w:rPr>
          <w:color w:val="FF0000"/>
        </w:rPr>
      </w:pPr>
    </w:p>
    <w:p w14:paraId="3F780CA3" w14:textId="7440CD1B" w:rsidR="001F41A3" w:rsidRDefault="001F41A3" w:rsidP="00833657">
      <w:pPr>
        <w:jc w:val="center"/>
        <w:rPr>
          <w:color w:val="FF0000"/>
        </w:rPr>
      </w:pPr>
      <w:r>
        <w:rPr>
          <w:noProof/>
        </w:rPr>
        <w:lastRenderedPageBreak/>
        <w:drawing>
          <wp:inline distT="0" distB="0" distL="0" distR="0" wp14:anchorId="6D790FA7" wp14:editId="4FC8FA69">
            <wp:extent cx="8893175" cy="2237105"/>
            <wp:effectExtent l="0" t="0" r="3175" b="10795"/>
            <wp:docPr id="9" name="Gráfico 9">
              <a:extLst xmlns:a="http://schemas.openxmlformats.org/drawingml/2006/main">
                <a:ext uri="{FF2B5EF4-FFF2-40B4-BE49-F238E27FC236}">
                  <a16:creationId xmlns:a16="http://schemas.microsoft.com/office/drawing/2014/main" id="{8F0452F2-3B1A-AEAE-7C25-17846568C1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5097174" w14:textId="21B16E1F" w:rsidR="00EC0578" w:rsidRDefault="00EC0578" w:rsidP="00833657">
      <w:pPr>
        <w:jc w:val="center"/>
        <w:rPr>
          <w:color w:val="FF0000"/>
        </w:rPr>
      </w:pPr>
      <w:r w:rsidRPr="00EC0578">
        <w:rPr>
          <w:noProof/>
        </w:rPr>
        <w:drawing>
          <wp:inline distT="0" distB="0" distL="0" distR="0" wp14:anchorId="61ABBA97" wp14:editId="251EDB64">
            <wp:extent cx="8893175" cy="2893695"/>
            <wp:effectExtent l="0" t="0" r="3175" b="190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93175" cy="2893695"/>
                    </a:xfrm>
                    <a:prstGeom prst="rect">
                      <a:avLst/>
                    </a:prstGeom>
                    <a:noFill/>
                    <a:ln>
                      <a:noFill/>
                    </a:ln>
                  </pic:spPr>
                </pic:pic>
              </a:graphicData>
            </a:graphic>
          </wp:inline>
        </w:drawing>
      </w:r>
    </w:p>
    <w:p w14:paraId="397945BE" w14:textId="7B34754F" w:rsidR="004E7532" w:rsidRDefault="004515BA" w:rsidP="00833657">
      <w:pPr>
        <w:jc w:val="center"/>
        <w:rPr>
          <w:color w:val="FF0000"/>
        </w:rPr>
      </w:pPr>
      <w:r w:rsidRPr="004515BA">
        <w:rPr>
          <w:noProof/>
        </w:rPr>
        <w:lastRenderedPageBreak/>
        <w:drawing>
          <wp:inline distT="0" distB="0" distL="0" distR="0" wp14:anchorId="622E5CE3" wp14:editId="662AC8FB">
            <wp:extent cx="8893175" cy="5142865"/>
            <wp:effectExtent l="0" t="0" r="3175" b="63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93175" cy="5142865"/>
                    </a:xfrm>
                    <a:prstGeom prst="rect">
                      <a:avLst/>
                    </a:prstGeom>
                    <a:noFill/>
                    <a:ln>
                      <a:noFill/>
                    </a:ln>
                  </pic:spPr>
                </pic:pic>
              </a:graphicData>
            </a:graphic>
          </wp:inline>
        </w:drawing>
      </w:r>
    </w:p>
    <w:p w14:paraId="43E56E2B" w14:textId="043C7254" w:rsidR="004E7532" w:rsidRDefault="004E7532" w:rsidP="00833657">
      <w:pPr>
        <w:jc w:val="center"/>
        <w:rPr>
          <w:color w:val="FF0000"/>
        </w:rPr>
      </w:pPr>
    </w:p>
    <w:p w14:paraId="1DFAC30E" w14:textId="1D3C6620" w:rsidR="004E7532" w:rsidRDefault="004E7532" w:rsidP="00833657">
      <w:pPr>
        <w:jc w:val="center"/>
        <w:rPr>
          <w:color w:val="FF0000"/>
        </w:rPr>
      </w:pPr>
      <w:r>
        <w:rPr>
          <w:noProof/>
        </w:rPr>
        <w:lastRenderedPageBreak/>
        <w:drawing>
          <wp:inline distT="0" distB="0" distL="0" distR="0" wp14:anchorId="5B3AD2F1" wp14:editId="176DCA61">
            <wp:extent cx="8893175" cy="1990090"/>
            <wp:effectExtent l="0" t="0" r="3175" b="10160"/>
            <wp:docPr id="12" name="Gráfico 12">
              <a:extLst xmlns:a="http://schemas.openxmlformats.org/drawingml/2006/main">
                <a:ext uri="{FF2B5EF4-FFF2-40B4-BE49-F238E27FC236}">
                  <a16:creationId xmlns:a16="http://schemas.microsoft.com/office/drawing/2014/main" id="{8E1882C9-53CB-8FD0-54E7-1951DC188A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1269AF7" w14:textId="45F49E62" w:rsidR="004E7532" w:rsidRDefault="00FC6636" w:rsidP="00833657">
      <w:pPr>
        <w:jc w:val="center"/>
        <w:rPr>
          <w:color w:val="FF0000"/>
        </w:rPr>
      </w:pPr>
      <w:r w:rsidRPr="00FC6636">
        <w:rPr>
          <w:noProof/>
        </w:rPr>
        <w:lastRenderedPageBreak/>
        <w:drawing>
          <wp:inline distT="0" distB="0" distL="0" distR="0" wp14:anchorId="23E0B6A7" wp14:editId="2BDFDB81">
            <wp:extent cx="8893175" cy="3679190"/>
            <wp:effectExtent l="0" t="0" r="317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93175" cy="3679190"/>
                    </a:xfrm>
                    <a:prstGeom prst="rect">
                      <a:avLst/>
                    </a:prstGeom>
                    <a:noFill/>
                    <a:ln>
                      <a:noFill/>
                    </a:ln>
                  </pic:spPr>
                </pic:pic>
              </a:graphicData>
            </a:graphic>
          </wp:inline>
        </w:drawing>
      </w:r>
    </w:p>
    <w:p w14:paraId="546CEA1F" w14:textId="596F1ABB" w:rsidR="00FC6636" w:rsidRDefault="00FC6636" w:rsidP="00833657">
      <w:pPr>
        <w:jc w:val="center"/>
        <w:rPr>
          <w:color w:val="FF0000"/>
        </w:rPr>
      </w:pPr>
      <w:r>
        <w:rPr>
          <w:noProof/>
        </w:rPr>
        <w:lastRenderedPageBreak/>
        <w:drawing>
          <wp:inline distT="0" distB="0" distL="0" distR="0" wp14:anchorId="2E00226D" wp14:editId="7F3492D9">
            <wp:extent cx="8893175" cy="2246630"/>
            <wp:effectExtent l="0" t="0" r="3175" b="1270"/>
            <wp:docPr id="15" name="Gráfico 15">
              <a:extLst xmlns:a="http://schemas.openxmlformats.org/drawingml/2006/main">
                <a:ext uri="{FF2B5EF4-FFF2-40B4-BE49-F238E27FC236}">
                  <a16:creationId xmlns:a16="http://schemas.microsoft.com/office/drawing/2014/main" id="{E7A7C4B0-3D10-A97B-1343-8CF487F88C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6615A51" w14:textId="01D0F368" w:rsidR="00FC6636" w:rsidRDefault="00FC6636" w:rsidP="00833657">
      <w:pPr>
        <w:jc w:val="center"/>
        <w:rPr>
          <w:color w:val="FF0000"/>
        </w:rPr>
      </w:pPr>
      <w:r w:rsidRPr="00FC6636">
        <w:rPr>
          <w:noProof/>
        </w:rPr>
        <w:drawing>
          <wp:inline distT="0" distB="0" distL="0" distR="0" wp14:anchorId="1D84A837" wp14:editId="40644AFA">
            <wp:extent cx="8893175" cy="2893695"/>
            <wp:effectExtent l="0" t="0" r="3175" b="190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93175" cy="2893695"/>
                    </a:xfrm>
                    <a:prstGeom prst="rect">
                      <a:avLst/>
                    </a:prstGeom>
                    <a:noFill/>
                    <a:ln>
                      <a:noFill/>
                    </a:ln>
                  </pic:spPr>
                </pic:pic>
              </a:graphicData>
            </a:graphic>
          </wp:inline>
        </w:drawing>
      </w:r>
    </w:p>
    <w:p w14:paraId="48168312" w14:textId="1CB2F180" w:rsidR="00D50C46" w:rsidRDefault="00D50C46" w:rsidP="00833657">
      <w:pPr>
        <w:jc w:val="center"/>
        <w:rPr>
          <w:color w:val="FF0000"/>
        </w:rPr>
      </w:pPr>
    </w:p>
    <w:p w14:paraId="17E78E13" w14:textId="0F9CC1DE" w:rsidR="00D50C46" w:rsidRDefault="00D50C46" w:rsidP="00833657">
      <w:pPr>
        <w:jc w:val="center"/>
        <w:rPr>
          <w:color w:val="FF0000"/>
        </w:rPr>
      </w:pPr>
      <w:r w:rsidRPr="00D50C46">
        <w:rPr>
          <w:noProof/>
        </w:rPr>
        <w:lastRenderedPageBreak/>
        <w:drawing>
          <wp:inline distT="0" distB="0" distL="0" distR="0" wp14:anchorId="2F3B5317" wp14:editId="4A995B73">
            <wp:extent cx="8893175" cy="3761740"/>
            <wp:effectExtent l="0" t="0" r="317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93175" cy="3761740"/>
                    </a:xfrm>
                    <a:prstGeom prst="rect">
                      <a:avLst/>
                    </a:prstGeom>
                    <a:noFill/>
                    <a:ln>
                      <a:noFill/>
                    </a:ln>
                  </pic:spPr>
                </pic:pic>
              </a:graphicData>
            </a:graphic>
          </wp:inline>
        </w:drawing>
      </w:r>
    </w:p>
    <w:p w14:paraId="4C598954" w14:textId="77777777" w:rsidR="004E7532" w:rsidRDefault="004E7532" w:rsidP="00833657">
      <w:pPr>
        <w:jc w:val="center"/>
        <w:rPr>
          <w:color w:val="FF0000"/>
        </w:rPr>
      </w:pPr>
    </w:p>
    <w:p w14:paraId="072875DC" w14:textId="629D1FED" w:rsidR="005F1770" w:rsidRDefault="005F1770" w:rsidP="00833657">
      <w:pPr>
        <w:jc w:val="center"/>
        <w:rPr>
          <w:color w:val="FF0000"/>
        </w:rPr>
      </w:pPr>
    </w:p>
    <w:p w14:paraId="4DBD0719" w14:textId="78CFDD70" w:rsidR="004618F6" w:rsidRPr="00304144" w:rsidRDefault="004618F6" w:rsidP="00905D48">
      <w:pPr>
        <w:jc w:val="center"/>
        <w:rPr>
          <w:color w:val="FF0000"/>
        </w:rPr>
      </w:pPr>
    </w:p>
    <w:p w14:paraId="05CEAC99" w14:textId="460D7E24" w:rsidR="008F5BCA" w:rsidRDefault="001661A6">
      <w:pPr>
        <w:jc w:val="center"/>
        <w:rPr>
          <w:color w:val="FF0000"/>
        </w:rPr>
      </w:pPr>
      <w:r w:rsidRPr="001661A6">
        <w:rPr>
          <w:noProof/>
        </w:rPr>
        <w:lastRenderedPageBreak/>
        <w:drawing>
          <wp:inline distT="0" distB="0" distL="0" distR="0" wp14:anchorId="352C4DC3" wp14:editId="066D5381">
            <wp:extent cx="8893175" cy="3100705"/>
            <wp:effectExtent l="0" t="0" r="3175" b="444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93175" cy="3100705"/>
                    </a:xfrm>
                    <a:prstGeom prst="rect">
                      <a:avLst/>
                    </a:prstGeom>
                    <a:noFill/>
                    <a:ln>
                      <a:noFill/>
                    </a:ln>
                  </pic:spPr>
                </pic:pic>
              </a:graphicData>
            </a:graphic>
          </wp:inline>
        </w:drawing>
      </w:r>
      <w:r w:rsidR="00B63407" w:rsidRPr="00B63407">
        <w:rPr>
          <w:color w:val="FF0000"/>
        </w:rPr>
        <w:t xml:space="preserve"> </w:t>
      </w:r>
      <w:r w:rsidR="00A827A8" w:rsidRPr="00A827A8">
        <w:rPr>
          <w:color w:val="FF0000"/>
        </w:rPr>
        <w:t xml:space="preserve"> </w:t>
      </w:r>
      <w:r w:rsidR="002C6209" w:rsidRPr="002C6209">
        <w:rPr>
          <w:color w:val="FF0000"/>
        </w:rPr>
        <w:t xml:space="preserve"> </w:t>
      </w:r>
      <w:r w:rsidR="0088571E" w:rsidRPr="0088571E">
        <w:rPr>
          <w:color w:val="FF0000"/>
        </w:rPr>
        <w:t xml:space="preserve"> </w:t>
      </w:r>
    </w:p>
    <w:p w14:paraId="35693BA9" w14:textId="58048DE8" w:rsidR="001661A6" w:rsidRDefault="001661A6">
      <w:pPr>
        <w:jc w:val="center"/>
        <w:rPr>
          <w:noProof/>
          <w:lang w:eastAsia="pt-BR"/>
        </w:rPr>
      </w:pPr>
      <w:r w:rsidRPr="001661A6">
        <w:rPr>
          <w:noProof/>
        </w:rPr>
        <w:lastRenderedPageBreak/>
        <w:drawing>
          <wp:inline distT="0" distB="0" distL="0" distR="0" wp14:anchorId="42D38205" wp14:editId="18859728">
            <wp:extent cx="8893175" cy="3761740"/>
            <wp:effectExtent l="0" t="0" r="3175"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93175" cy="3761740"/>
                    </a:xfrm>
                    <a:prstGeom prst="rect">
                      <a:avLst/>
                    </a:prstGeom>
                    <a:noFill/>
                    <a:ln>
                      <a:noFill/>
                    </a:ln>
                  </pic:spPr>
                </pic:pic>
              </a:graphicData>
            </a:graphic>
          </wp:inline>
        </w:drawing>
      </w:r>
    </w:p>
    <w:p w14:paraId="41C4D5D9" w14:textId="3C3EEE3C" w:rsidR="001661A6" w:rsidRDefault="001661A6">
      <w:pPr>
        <w:jc w:val="center"/>
        <w:rPr>
          <w:noProof/>
          <w:lang w:eastAsia="pt-BR"/>
        </w:rPr>
      </w:pPr>
    </w:p>
    <w:p w14:paraId="6F471ABB" w14:textId="706064D6" w:rsidR="001661A6" w:rsidRDefault="001661A6">
      <w:pPr>
        <w:jc w:val="center"/>
        <w:rPr>
          <w:noProof/>
          <w:lang w:eastAsia="pt-BR"/>
        </w:rPr>
      </w:pPr>
      <w:r w:rsidRPr="001661A6">
        <w:rPr>
          <w:noProof/>
        </w:rPr>
        <w:lastRenderedPageBreak/>
        <w:drawing>
          <wp:inline distT="0" distB="0" distL="0" distR="0" wp14:anchorId="03971141" wp14:editId="4AFA6CAC">
            <wp:extent cx="8893175" cy="3100705"/>
            <wp:effectExtent l="0" t="0" r="3175" b="444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893175" cy="3100705"/>
                    </a:xfrm>
                    <a:prstGeom prst="rect">
                      <a:avLst/>
                    </a:prstGeom>
                    <a:noFill/>
                    <a:ln>
                      <a:noFill/>
                    </a:ln>
                  </pic:spPr>
                </pic:pic>
              </a:graphicData>
            </a:graphic>
          </wp:inline>
        </w:drawing>
      </w:r>
    </w:p>
    <w:p w14:paraId="3D095E87" w14:textId="54170BAF" w:rsidR="004B3CD5" w:rsidRDefault="004B3CD5">
      <w:pPr>
        <w:jc w:val="center"/>
        <w:rPr>
          <w:noProof/>
          <w:lang w:eastAsia="pt-BR"/>
        </w:rPr>
      </w:pPr>
      <w:r w:rsidRPr="004B3CD5">
        <w:rPr>
          <w:noProof/>
        </w:rPr>
        <w:lastRenderedPageBreak/>
        <w:drawing>
          <wp:inline distT="0" distB="0" distL="0" distR="0" wp14:anchorId="2189A2B1" wp14:editId="4150CEB7">
            <wp:extent cx="8893175" cy="3762375"/>
            <wp:effectExtent l="0" t="0" r="3175"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93175" cy="3762375"/>
                    </a:xfrm>
                    <a:prstGeom prst="rect">
                      <a:avLst/>
                    </a:prstGeom>
                    <a:noFill/>
                    <a:ln>
                      <a:noFill/>
                    </a:ln>
                  </pic:spPr>
                </pic:pic>
              </a:graphicData>
            </a:graphic>
          </wp:inline>
        </w:drawing>
      </w:r>
    </w:p>
    <w:p w14:paraId="1328242D" w14:textId="4B77E05C" w:rsidR="004B3CD5" w:rsidRDefault="004B3CD5">
      <w:pPr>
        <w:jc w:val="center"/>
        <w:rPr>
          <w:noProof/>
          <w:lang w:eastAsia="pt-BR"/>
        </w:rPr>
      </w:pPr>
      <w:r w:rsidRPr="004B3CD5">
        <w:rPr>
          <w:noProof/>
        </w:rPr>
        <w:lastRenderedPageBreak/>
        <w:drawing>
          <wp:inline distT="0" distB="0" distL="0" distR="0" wp14:anchorId="3B810629" wp14:editId="25E4F913">
            <wp:extent cx="8893175" cy="3097530"/>
            <wp:effectExtent l="0" t="0" r="3175" b="762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893175" cy="3097530"/>
                    </a:xfrm>
                    <a:prstGeom prst="rect">
                      <a:avLst/>
                    </a:prstGeom>
                    <a:noFill/>
                    <a:ln>
                      <a:noFill/>
                    </a:ln>
                  </pic:spPr>
                </pic:pic>
              </a:graphicData>
            </a:graphic>
          </wp:inline>
        </w:drawing>
      </w:r>
    </w:p>
    <w:p w14:paraId="50E70E80" w14:textId="5BF2A707" w:rsidR="005C2861" w:rsidRDefault="005C2861">
      <w:pPr>
        <w:jc w:val="center"/>
        <w:rPr>
          <w:noProof/>
          <w:lang w:eastAsia="pt-BR"/>
        </w:rPr>
      </w:pPr>
      <w:r w:rsidRPr="005C2861">
        <w:rPr>
          <w:noProof/>
        </w:rPr>
        <w:lastRenderedPageBreak/>
        <w:drawing>
          <wp:inline distT="0" distB="0" distL="0" distR="0" wp14:anchorId="22E94278" wp14:editId="5144EADB">
            <wp:extent cx="8893175" cy="3762375"/>
            <wp:effectExtent l="0" t="0" r="3175"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893175" cy="3762375"/>
                    </a:xfrm>
                    <a:prstGeom prst="rect">
                      <a:avLst/>
                    </a:prstGeom>
                    <a:noFill/>
                    <a:ln>
                      <a:noFill/>
                    </a:ln>
                  </pic:spPr>
                </pic:pic>
              </a:graphicData>
            </a:graphic>
          </wp:inline>
        </w:drawing>
      </w:r>
    </w:p>
    <w:p w14:paraId="06FE9EB9" w14:textId="27046FF3" w:rsidR="005C2861" w:rsidRDefault="005C2861">
      <w:pPr>
        <w:jc w:val="center"/>
        <w:rPr>
          <w:noProof/>
          <w:lang w:eastAsia="pt-BR"/>
        </w:rPr>
      </w:pPr>
      <w:r w:rsidRPr="005C2861">
        <w:rPr>
          <w:noProof/>
        </w:rPr>
        <w:lastRenderedPageBreak/>
        <w:drawing>
          <wp:inline distT="0" distB="0" distL="0" distR="0" wp14:anchorId="3E2D778C" wp14:editId="12E06C42">
            <wp:extent cx="8893175" cy="3097530"/>
            <wp:effectExtent l="0" t="0" r="3175" b="762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893175" cy="3097530"/>
                    </a:xfrm>
                    <a:prstGeom prst="rect">
                      <a:avLst/>
                    </a:prstGeom>
                    <a:noFill/>
                    <a:ln>
                      <a:noFill/>
                    </a:ln>
                  </pic:spPr>
                </pic:pic>
              </a:graphicData>
            </a:graphic>
          </wp:inline>
        </w:drawing>
      </w:r>
    </w:p>
    <w:p w14:paraId="537608C7" w14:textId="77777777" w:rsidR="004B3CD5" w:rsidRDefault="004B3CD5">
      <w:pPr>
        <w:jc w:val="center"/>
        <w:rPr>
          <w:noProof/>
          <w:lang w:eastAsia="pt-BR"/>
        </w:rPr>
      </w:pPr>
    </w:p>
    <w:p w14:paraId="7429C755" w14:textId="77777777" w:rsidR="00D50C46" w:rsidRDefault="00D50C46">
      <w:pPr>
        <w:jc w:val="center"/>
        <w:rPr>
          <w:noProof/>
          <w:lang w:eastAsia="pt-BR"/>
        </w:rPr>
      </w:pPr>
    </w:p>
    <w:p w14:paraId="402F7266" w14:textId="74A4DFC7" w:rsidR="00D50C46" w:rsidRPr="00304144" w:rsidRDefault="00D50C46">
      <w:pPr>
        <w:jc w:val="center"/>
        <w:rPr>
          <w:color w:val="FF0000"/>
        </w:rPr>
        <w:sectPr w:rsidR="00D50C46" w:rsidRPr="00304144" w:rsidSect="007F21FB">
          <w:pgSz w:w="16840" w:h="11907" w:code="9"/>
          <w:pgMar w:top="1418" w:right="1134" w:bottom="907" w:left="1701" w:header="709" w:footer="709" w:gutter="0"/>
          <w:cols w:space="708"/>
          <w:docGrid w:linePitch="360"/>
        </w:sectPr>
      </w:pPr>
    </w:p>
    <w:p w14:paraId="59EBA24F" w14:textId="4F6FDC7F" w:rsidR="009C0C0C" w:rsidRPr="001B4FF6" w:rsidRDefault="009C0C0C" w:rsidP="00C7429D">
      <w:pPr>
        <w:pStyle w:val="Ttulo2"/>
      </w:pPr>
      <w:bookmarkStart w:id="26" w:name="_Toc113971760"/>
      <w:r w:rsidRPr="001B4FF6">
        <w:lastRenderedPageBreak/>
        <w:t>Energia Elétrica</w:t>
      </w:r>
      <w:bookmarkEnd w:id="26"/>
    </w:p>
    <w:p w14:paraId="4323D28F" w14:textId="23607394" w:rsidR="00B40BFC" w:rsidRPr="001B4FF6" w:rsidRDefault="00B40BFC" w:rsidP="00C7429D">
      <w:pPr>
        <w:pStyle w:val="Ttulo3"/>
      </w:pPr>
      <w:bookmarkStart w:id="27" w:name="_Toc113971761"/>
      <w:r w:rsidRPr="001B4FF6">
        <w:t>Caracterização</w:t>
      </w:r>
      <w:bookmarkEnd w:id="27"/>
    </w:p>
    <w:p w14:paraId="3FBEA8A9" w14:textId="22DFC3B4" w:rsidR="009C0C0C" w:rsidRPr="001B4FF6" w:rsidRDefault="009C0C0C" w:rsidP="009C0C0C">
      <w:pPr>
        <w:ind w:left="2" w:firstLine="1"/>
        <w:jc w:val="both"/>
      </w:pPr>
      <w:r w:rsidRPr="001B4FF6">
        <w:rPr>
          <w:bCs/>
          <w:iCs/>
        </w:rPr>
        <w:t xml:space="preserve">A geração de energia depende de recursos naturais, sejam eles renováveis ou não. Seu consumo tem crescido em grande escala, porém a geração de energia não cresce na mesma proporção. Isso nos leva a repensar o consumo desse recurso na instituição. Essa preocupação se reflete não apenas com os custos financeiros, mas também com a utilização de energia limpa e de forma racional. Para tanto </w:t>
      </w:r>
      <w:r w:rsidR="00D14BDA" w:rsidRPr="001B4FF6">
        <w:rPr>
          <w:bCs/>
          <w:iCs/>
        </w:rPr>
        <w:t>está sendo</w:t>
      </w:r>
      <w:r w:rsidRPr="001B4FF6">
        <w:rPr>
          <w:bCs/>
          <w:iCs/>
        </w:rPr>
        <w:t xml:space="preserve"> acompanhado o consumo por área (kWh/m²) e o monitora</w:t>
      </w:r>
      <w:r w:rsidR="002225F7" w:rsidRPr="001B4FF6">
        <w:rPr>
          <w:bCs/>
          <w:iCs/>
        </w:rPr>
        <w:t>d</w:t>
      </w:r>
      <w:r w:rsidRPr="001B4FF6">
        <w:rPr>
          <w:bCs/>
          <w:iCs/>
        </w:rPr>
        <w:t>o mensal</w:t>
      </w:r>
      <w:r w:rsidR="002225F7" w:rsidRPr="001B4FF6">
        <w:rPr>
          <w:bCs/>
          <w:iCs/>
        </w:rPr>
        <w:t>mente</w:t>
      </w:r>
      <w:r w:rsidRPr="001B4FF6">
        <w:rPr>
          <w:bCs/>
          <w:iCs/>
        </w:rPr>
        <w:t xml:space="preserve"> </w:t>
      </w:r>
      <w:r w:rsidR="00C60104" w:rsidRPr="001B4FF6">
        <w:rPr>
          <w:bCs/>
          <w:iCs/>
        </w:rPr>
        <w:t>o consumo</w:t>
      </w:r>
      <w:r w:rsidRPr="001B4FF6">
        <w:rPr>
          <w:bCs/>
          <w:iCs/>
        </w:rPr>
        <w:t xml:space="preserve"> </w:t>
      </w:r>
      <w:r w:rsidR="00C60104" w:rsidRPr="001B4FF6">
        <w:rPr>
          <w:bCs/>
          <w:iCs/>
        </w:rPr>
        <w:t>d</w:t>
      </w:r>
      <w:r w:rsidR="00777A21" w:rsidRPr="001B4FF6">
        <w:rPr>
          <w:bCs/>
          <w:iCs/>
        </w:rPr>
        <w:t>o</w:t>
      </w:r>
      <w:r w:rsidRPr="001B4FF6">
        <w:rPr>
          <w:bCs/>
          <w:iCs/>
        </w:rPr>
        <w:t xml:space="preserve"> </w:t>
      </w:r>
      <w:r w:rsidR="00777A21" w:rsidRPr="001B4FF6">
        <w:rPr>
          <w:bCs/>
          <w:iCs/>
        </w:rPr>
        <w:t>edifício</w:t>
      </w:r>
      <w:r w:rsidRPr="001B4FF6">
        <w:rPr>
          <w:bCs/>
          <w:iCs/>
        </w:rPr>
        <w:t xml:space="preserve">, de modo a permitir ao gestor </w:t>
      </w:r>
      <w:r w:rsidR="002E3E65" w:rsidRPr="001B4FF6">
        <w:rPr>
          <w:bCs/>
          <w:iCs/>
        </w:rPr>
        <w:t>um</w:t>
      </w:r>
      <w:r w:rsidRPr="001B4FF6">
        <w:rPr>
          <w:bCs/>
          <w:iCs/>
        </w:rPr>
        <w:t xml:space="preserve">a tomada de decisão para corrigir </w:t>
      </w:r>
      <w:r w:rsidR="00777A21" w:rsidRPr="001B4FF6">
        <w:rPr>
          <w:bCs/>
          <w:iCs/>
        </w:rPr>
        <w:t>excessos</w:t>
      </w:r>
      <w:r w:rsidR="004A7780" w:rsidRPr="001B4FF6">
        <w:rPr>
          <w:bCs/>
          <w:iCs/>
        </w:rPr>
        <w:t>/desperdícios</w:t>
      </w:r>
      <w:r w:rsidR="00777A21" w:rsidRPr="001B4FF6">
        <w:rPr>
          <w:bCs/>
          <w:iCs/>
        </w:rPr>
        <w:t xml:space="preserve"> </w:t>
      </w:r>
      <w:r w:rsidRPr="001B4FF6">
        <w:rPr>
          <w:bCs/>
          <w:iCs/>
        </w:rPr>
        <w:t xml:space="preserve">no consumo </w:t>
      </w:r>
      <w:r w:rsidR="002E3E65" w:rsidRPr="001B4FF6">
        <w:rPr>
          <w:bCs/>
          <w:iCs/>
        </w:rPr>
        <w:t>através de</w:t>
      </w:r>
      <w:r w:rsidRPr="001B4FF6">
        <w:rPr>
          <w:bCs/>
          <w:iCs/>
        </w:rPr>
        <w:t xml:space="preserve"> implementação d</w:t>
      </w:r>
      <w:r w:rsidR="002225F7" w:rsidRPr="001B4FF6">
        <w:rPr>
          <w:bCs/>
          <w:iCs/>
        </w:rPr>
        <w:t>e</w:t>
      </w:r>
      <w:r w:rsidRPr="001B4FF6">
        <w:rPr>
          <w:bCs/>
          <w:iCs/>
        </w:rPr>
        <w:t xml:space="preserve"> ações.</w:t>
      </w:r>
    </w:p>
    <w:p w14:paraId="4EA46838" w14:textId="0284FE7E" w:rsidR="00B40BFC" w:rsidRPr="001D6250" w:rsidRDefault="00B40BFC" w:rsidP="00C7429D">
      <w:pPr>
        <w:pStyle w:val="Ttulo3"/>
      </w:pPr>
      <w:bookmarkStart w:id="28" w:name="_Toc113971762"/>
      <w:r w:rsidRPr="001D6250">
        <w:t>Metas, dados coletados e avaliação</w:t>
      </w:r>
      <w:bookmarkEnd w:id="28"/>
    </w:p>
    <w:p w14:paraId="753E95D8" w14:textId="2437AFDF" w:rsidR="00003CE9" w:rsidRPr="001D6250" w:rsidRDefault="00003CE9" w:rsidP="000043AC">
      <w:pPr>
        <w:jc w:val="both"/>
      </w:pPr>
      <w:r w:rsidRPr="001D6250">
        <w:t>Como indicador adoto</w:t>
      </w:r>
      <w:r w:rsidR="00242FFA">
        <w:t>u-</w:t>
      </w:r>
      <w:r w:rsidRPr="001D6250">
        <w:t>s</w:t>
      </w:r>
      <w:r w:rsidR="00242FFA">
        <w:t>e</w:t>
      </w:r>
      <w:r w:rsidRPr="001D6250">
        <w:t xml:space="preserve"> o </w:t>
      </w:r>
      <w:r w:rsidRPr="001D6250">
        <w:rPr>
          <w:b/>
        </w:rPr>
        <w:t>consumo de energia</w:t>
      </w:r>
      <w:r w:rsidRPr="001D6250">
        <w:t xml:space="preserve">, medido em kWh. </w:t>
      </w:r>
      <w:r w:rsidR="00D801FF">
        <w:t>A</w:t>
      </w:r>
      <w:r w:rsidR="009F559B" w:rsidRPr="001D6250">
        <w:t xml:space="preserve"> </w:t>
      </w:r>
      <w:r w:rsidRPr="001D6250">
        <w:t xml:space="preserve">meta </w:t>
      </w:r>
      <w:r w:rsidR="009F559B" w:rsidRPr="001D6250">
        <w:t>pactuada</w:t>
      </w:r>
      <w:r w:rsidRPr="001D6250">
        <w:t xml:space="preserve"> </w:t>
      </w:r>
      <w:r w:rsidR="007F0FE9" w:rsidRPr="001D6250">
        <w:t>excepcional</w:t>
      </w:r>
      <w:r w:rsidR="00482E81">
        <w:t>mente é de</w:t>
      </w:r>
      <w:r w:rsidR="007F0FE9" w:rsidRPr="001D6250">
        <w:t xml:space="preserve"> acréscimo </w:t>
      </w:r>
      <w:r w:rsidRPr="001D6250">
        <w:t xml:space="preserve">de </w:t>
      </w:r>
      <w:r w:rsidR="000211B3">
        <w:t xml:space="preserve">até </w:t>
      </w:r>
      <w:r w:rsidR="000211B3" w:rsidRPr="000336FF">
        <w:rPr>
          <w:b/>
          <w:bCs/>
        </w:rPr>
        <w:t>3</w:t>
      </w:r>
      <w:r w:rsidR="00FD2698" w:rsidRPr="001D6250">
        <w:rPr>
          <w:b/>
          <w:bCs/>
        </w:rPr>
        <w:t>0</w:t>
      </w:r>
      <w:r w:rsidRPr="001D6250">
        <w:rPr>
          <w:b/>
          <w:bCs/>
        </w:rPr>
        <w:t>%</w:t>
      </w:r>
      <w:r w:rsidRPr="001D6250">
        <w:t xml:space="preserve"> </w:t>
      </w:r>
      <w:r w:rsidR="003D0D21">
        <w:t>para o ed. Sede, e</w:t>
      </w:r>
      <w:r w:rsidR="00CC2C9D">
        <w:t xml:space="preserve"> </w:t>
      </w:r>
      <w:r w:rsidR="000211B3">
        <w:rPr>
          <w:b/>
          <w:bCs/>
        </w:rPr>
        <w:t>até 3</w:t>
      </w:r>
      <w:r w:rsidR="00CC2C9D" w:rsidRPr="00482E81">
        <w:rPr>
          <w:b/>
          <w:bCs/>
        </w:rPr>
        <w:t>0%</w:t>
      </w:r>
      <w:r w:rsidR="00CC2C9D">
        <w:t xml:space="preserve"> para as demais edificações, quando comparados</w:t>
      </w:r>
      <w:r w:rsidRPr="001D6250">
        <w:t xml:space="preserve"> ao consumo do exercício de 20</w:t>
      </w:r>
      <w:r w:rsidR="00FD2698" w:rsidRPr="001D6250">
        <w:t>2</w:t>
      </w:r>
      <w:r w:rsidR="000211B3">
        <w:t>1</w:t>
      </w:r>
      <w:r w:rsidRPr="001D6250">
        <w:t xml:space="preserve">. Mensalmente é monitorado e avaliado a variação do consumo </w:t>
      </w:r>
      <w:r w:rsidR="000043AC" w:rsidRPr="001D6250">
        <w:t>d</w:t>
      </w:r>
      <w:r w:rsidR="00FD2698" w:rsidRPr="001D6250">
        <w:t>e cada</w:t>
      </w:r>
      <w:r w:rsidR="000043AC" w:rsidRPr="001D6250">
        <w:t xml:space="preserve"> edifício</w:t>
      </w:r>
      <w:r w:rsidRPr="001D6250">
        <w:t>, sendo propostas ações corretivas quando necessário.</w:t>
      </w:r>
    </w:p>
    <w:p w14:paraId="00F5E3BD" w14:textId="0CBF1392" w:rsidR="00160275" w:rsidRPr="00D42A08" w:rsidRDefault="0038119B" w:rsidP="00160275">
      <w:pPr>
        <w:spacing w:line="240" w:lineRule="auto"/>
        <w:jc w:val="both"/>
      </w:pPr>
      <w:r>
        <w:t>A</w:t>
      </w:r>
      <w:r w:rsidR="0001751C" w:rsidRPr="00D42A08">
        <w:t>s</w:t>
      </w:r>
      <w:r>
        <w:t xml:space="preserve"> tabelas e</w:t>
      </w:r>
      <w:r w:rsidR="0001751C" w:rsidRPr="00D42A08">
        <w:t xml:space="preserve"> gráficos</w:t>
      </w:r>
      <w:r w:rsidR="00160275" w:rsidRPr="00D42A08">
        <w:t xml:space="preserve"> a seguir mostra</w:t>
      </w:r>
      <w:r w:rsidR="0001751C" w:rsidRPr="00D42A08">
        <w:t>m</w:t>
      </w:r>
      <w:r w:rsidR="00160275" w:rsidRPr="00D42A08">
        <w:t xml:space="preserve"> o consumo </w:t>
      </w:r>
      <w:r w:rsidR="00E06367" w:rsidRPr="00D42A08">
        <w:t xml:space="preserve">(kWh) </w:t>
      </w:r>
      <w:r w:rsidR="00160275" w:rsidRPr="00D42A08">
        <w:t>de energia elétrica referente</w:t>
      </w:r>
      <w:r w:rsidR="0080458B" w:rsidRPr="00D42A08">
        <w:t>s a cada edificação</w:t>
      </w:r>
      <w:r w:rsidR="00EE50CE">
        <w:t>, bem como a avaliação do período monitorado.</w:t>
      </w:r>
    </w:p>
    <w:p w14:paraId="522D2C66" w14:textId="791190D6" w:rsidR="00E1557E" w:rsidRPr="001D6250" w:rsidRDefault="00C96F57" w:rsidP="00160275">
      <w:pPr>
        <w:spacing w:line="240" w:lineRule="auto"/>
        <w:jc w:val="both"/>
      </w:pPr>
      <w:r w:rsidRPr="001D6250">
        <w:t xml:space="preserve">Na </w:t>
      </w:r>
      <w:r w:rsidR="008D0CD4" w:rsidRPr="001D6250">
        <w:t xml:space="preserve">sequência são apresentadas as </w:t>
      </w:r>
      <w:r w:rsidR="00B129A7" w:rsidRPr="001D6250">
        <w:t xml:space="preserve">planilhas </w:t>
      </w:r>
      <w:r w:rsidR="00DF3470" w:rsidRPr="001D6250">
        <w:t>de dados</w:t>
      </w:r>
      <w:r w:rsidR="00227957" w:rsidRPr="001D6250">
        <w:t xml:space="preserve"> referentes à energia elétrica </w:t>
      </w:r>
      <w:r w:rsidR="001D6250">
        <w:t>para cada edificação</w:t>
      </w:r>
      <w:r w:rsidR="00BD77EB" w:rsidRPr="001D6250">
        <w:t>.</w:t>
      </w:r>
    </w:p>
    <w:p w14:paraId="63CBF90A" w14:textId="77777777" w:rsidR="00ED26A7" w:rsidRPr="00304144" w:rsidRDefault="00ED26A7" w:rsidP="00160275">
      <w:pPr>
        <w:spacing w:line="240" w:lineRule="auto"/>
        <w:jc w:val="both"/>
        <w:rPr>
          <w:color w:val="FF0000"/>
          <w:sz w:val="24"/>
          <w:szCs w:val="24"/>
        </w:rPr>
      </w:pPr>
      <w:r w:rsidRPr="00304144">
        <w:rPr>
          <w:color w:val="FF0000"/>
          <w:sz w:val="24"/>
          <w:szCs w:val="24"/>
        </w:rPr>
        <w:br w:type="page"/>
      </w:r>
    </w:p>
    <w:p w14:paraId="15A489DA" w14:textId="77777777" w:rsidR="00151503" w:rsidRPr="00304144" w:rsidRDefault="00151503" w:rsidP="00160275">
      <w:pPr>
        <w:spacing w:line="240" w:lineRule="auto"/>
        <w:jc w:val="both"/>
        <w:rPr>
          <w:color w:val="FF0000"/>
          <w:sz w:val="24"/>
          <w:szCs w:val="24"/>
        </w:rPr>
        <w:sectPr w:rsidR="00151503" w:rsidRPr="00304144" w:rsidSect="007F21FB">
          <w:pgSz w:w="11907" w:h="16840" w:orient="landscape" w:code="9"/>
          <w:pgMar w:top="1134" w:right="907" w:bottom="1701" w:left="1418" w:header="709" w:footer="709" w:gutter="0"/>
          <w:cols w:space="708"/>
          <w:docGrid w:linePitch="360"/>
        </w:sectPr>
      </w:pPr>
    </w:p>
    <w:p w14:paraId="151DA801" w14:textId="77777777" w:rsidR="0045569D" w:rsidRDefault="005B2E12" w:rsidP="003C1E4E">
      <w:pPr>
        <w:spacing w:line="240" w:lineRule="auto"/>
        <w:jc w:val="center"/>
        <w:rPr>
          <w:noProof/>
          <w:lang w:eastAsia="pt-BR"/>
        </w:rPr>
      </w:pPr>
      <w:r w:rsidRPr="005B2E12">
        <w:rPr>
          <w:noProof/>
        </w:rPr>
        <w:lastRenderedPageBreak/>
        <w:drawing>
          <wp:inline distT="0" distB="0" distL="0" distR="0" wp14:anchorId="6AC0E468" wp14:editId="09BC439A">
            <wp:extent cx="8893175" cy="4813401"/>
            <wp:effectExtent l="0" t="0" r="3175" b="635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95300" cy="4814551"/>
                    </a:xfrm>
                    <a:prstGeom prst="rect">
                      <a:avLst/>
                    </a:prstGeom>
                    <a:noFill/>
                    <a:ln>
                      <a:noFill/>
                    </a:ln>
                  </pic:spPr>
                </pic:pic>
              </a:graphicData>
            </a:graphic>
          </wp:inline>
        </w:drawing>
      </w:r>
      <w:r w:rsidR="00213D2E" w:rsidRPr="00213D2E">
        <w:rPr>
          <w:color w:val="FF0000"/>
          <w:sz w:val="24"/>
          <w:szCs w:val="24"/>
        </w:rPr>
        <w:t xml:space="preserve"> </w:t>
      </w:r>
      <w:r>
        <w:rPr>
          <w:noProof/>
          <w:lang w:eastAsia="pt-BR"/>
        </w:rPr>
        <w:t>‘</w:t>
      </w:r>
      <w:r w:rsidR="00EB19B4" w:rsidRPr="00EB19B4">
        <w:rPr>
          <w:noProof/>
        </w:rPr>
        <w:lastRenderedPageBreak/>
        <w:drawing>
          <wp:inline distT="0" distB="0" distL="0" distR="0" wp14:anchorId="125510BC" wp14:editId="5339F893">
            <wp:extent cx="8893175" cy="3906316"/>
            <wp:effectExtent l="0" t="0" r="317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911549" cy="3914387"/>
                    </a:xfrm>
                    <a:prstGeom prst="rect">
                      <a:avLst/>
                    </a:prstGeom>
                    <a:noFill/>
                    <a:ln>
                      <a:noFill/>
                    </a:ln>
                  </pic:spPr>
                </pic:pic>
              </a:graphicData>
            </a:graphic>
          </wp:inline>
        </w:drawing>
      </w:r>
    </w:p>
    <w:p w14:paraId="298C9933" w14:textId="77777777" w:rsidR="0045569D" w:rsidRDefault="0045569D" w:rsidP="003C1E4E">
      <w:pPr>
        <w:spacing w:line="240" w:lineRule="auto"/>
        <w:jc w:val="center"/>
        <w:rPr>
          <w:noProof/>
          <w:lang w:eastAsia="pt-BR"/>
        </w:rPr>
      </w:pPr>
    </w:p>
    <w:p w14:paraId="0DED8218" w14:textId="77777777" w:rsidR="0045569D" w:rsidRDefault="0045569D" w:rsidP="003C1E4E">
      <w:pPr>
        <w:spacing w:line="240" w:lineRule="auto"/>
        <w:jc w:val="center"/>
        <w:rPr>
          <w:noProof/>
          <w:lang w:eastAsia="pt-BR"/>
        </w:rPr>
      </w:pPr>
    </w:p>
    <w:p w14:paraId="21B45E3A" w14:textId="77777777" w:rsidR="0045569D" w:rsidRDefault="0045569D" w:rsidP="003C1E4E">
      <w:pPr>
        <w:spacing w:line="240" w:lineRule="auto"/>
        <w:jc w:val="center"/>
        <w:rPr>
          <w:noProof/>
          <w:lang w:eastAsia="pt-BR"/>
        </w:rPr>
      </w:pPr>
    </w:p>
    <w:p w14:paraId="628ED9D6" w14:textId="77777777" w:rsidR="0045569D" w:rsidRDefault="0045569D" w:rsidP="003C1E4E">
      <w:pPr>
        <w:spacing w:line="240" w:lineRule="auto"/>
        <w:jc w:val="center"/>
        <w:rPr>
          <w:noProof/>
          <w:lang w:eastAsia="pt-BR"/>
        </w:rPr>
      </w:pPr>
    </w:p>
    <w:p w14:paraId="694E70C6" w14:textId="77777777" w:rsidR="0045569D" w:rsidRDefault="0045569D" w:rsidP="003C1E4E">
      <w:pPr>
        <w:spacing w:line="240" w:lineRule="auto"/>
        <w:jc w:val="center"/>
        <w:rPr>
          <w:noProof/>
          <w:lang w:eastAsia="pt-BR"/>
        </w:rPr>
      </w:pPr>
    </w:p>
    <w:p w14:paraId="7CFC3848" w14:textId="1D47DF4E" w:rsidR="00EB19B4" w:rsidRDefault="00EB19B4" w:rsidP="003C1E4E">
      <w:pPr>
        <w:spacing w:line="240" w:lineRule="auto"/>
        <w:jc w:val="center"/>
        <w:rPr>
          <w:noProof/>
          <w:lang w:eastAsia="pt-BR"/>
        </w:rPr>
      </w:pPr>
      <w:r>
        <w:rPr>
          <w:noProof/>
        </w:rPr>
        <w:lastRenderedPageBreak/>
        <w:drawing>
          <wp:inline distT="0" distB="0" distL="0" distR="0" wp14:anchorId="786FE5FC" wp14:editId="6F283E1B">
            <wp:extent cx="8893175" cy="3540556"/>
            <wp:effectExtent l="0" t="0" r="3175" b="3175"/>
            <wp:docPr id="1" name="Gráfico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55DDE82" w14:textId="07CE0329" w:rsidR="00661EB1" w:rsidRDefault="00661EB1" w:rsidP="003C1E4E">
      <w:pPr>
        <w:spacing w:line="240" w:lineRule="auto"/>
        <w:jc w:val="center"/>
        <w:rPr>
          <w:noProof/>
          <w:lang w:eastAsia="pt-BR"/>
        </w:rPr>
      </w:pPr>
      <w:r w:rsidRPr="00661EB1">
        <w:rPr>
          <w:noProof/>
        </w:rPr>
        <w:lastRenderedPageBreak/>
        <w:drawing>
          <wp:inline distT="0" distB="0" distL="0" distR="0" wp14:anchorId="66E33840" wp14:editId="34EAFE35">
            <wp:extent cx="8893175" cy="4718304"/>
            <wp:effectExtent l="0" t="0" r="3175" b="635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894221" cy="4718859"/>
                    </a:xfrm>
                    <a:prstGeom prst="rect">
                      <a:avLst/>
                    </a:prstGeom>
                    <a:noFill/>
                    <a:ln>
                      <a:noFill/>
                    </a:ln>
                  </pic:spPr>
                </pic:pic>
              </a:graphicData>
            </a:graphic>
          </wp:inline>
        </w:drawing>
      </w:r>
    </w:p>
    <w:p w14:paraId="055BF4FE" w14:textId="7AA39FA9" w:rsidR="00661EB1" w:rsidRDefault="00661EB1" w:rsidP="003C1E4E">
      <w:pPr>
        <w:spacing w:line="240" w:lineRule="auto"/>
        <w:jc w:val="center"/>
        <w:rPr>
          <w:noProof/>
          <w:lang w:eastAsia="pt-BR"/>
        </w:rPr>
      </w:pPr>
    </w:p>
    <w:p w14:paraId="72310CEE" w14:textId="01BFA994" w:rsidR="00661EB1" w:rsidRDefault="00661EB1" w:rsidP="003C1E4E">
      <w:pPr>
        <w:spacing w:line="240" w:lineRule="auto"/>
        <w:jc w:val="center"/>
        <w:rPr>
          <w:noProof/>
          <w:lang w:eastAsia="pt-BR"/>
        </w:rPr>
      </w:pPr>
      <w:r w:rsidRPr="00661EB1">
        <w:rPr>
          <w:noProof/>
        </w:rPr>
        <w:lastRenderedPageBreak/>
        <w:drawing>
          <wp:inline distT="0" distB="0" distL="0" distR="0" wp14:anchorId="69352897" wp14:editId="76B0450A">
            <wp:extent cx="8892432" cy="3423513"/>
            <wp:effectExtent l="0" t="0" r="4445" b="571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922975" cy="3435272"/>
                    </a:xfrm>
                    <a:prstGeom prst="rect">
                      <a:avLst/>
                    </a:prstGeom>
                    <a:noFill/>
                    <a:ln>
                      <a:noFill/>
                    </a:ln>
                  </pic:spPr>
                </pic:pic>
              </a:graphicData>
            </a:graphic>
          </wp:inline>
        </w:drawing>
      </w:r>
    </w:p>
    <w:p w14:paraId="30D9402C" w14:textId="197FB4AD" w:rsidR="006547C0" w:rsidRDefault="006547C0" w:rsidP="003C1E4E">
      <w:pPr>
        <w:spacing w:line="240" w:lineRule="auto"/>
        <w:jc w:val="center"/>
        <w:rPr>
          <w:noProof/>
          <w:lang w:eastAsia="pt-BR"/>
        </w:rPr>
      </w:pPr>
    </w:p>
    <w:p w14:paraId="53430F69" w14:textId="4EB322AF" w:rsidR="006547C0" w:rsidRDefault="006547C0" w:rsidP="003C1E4E">
      <w:pPr>
        <w:spacing w:line="240" w:lineRule="auto"/>
        <w:jc w:val="center"/>
        <w:rPr>
          <w:noProof/>
          <w:lang w:eastAsia="pt-BR"/>
        </w:rPr>
      </w:pPr>
    </w:p>
    <w:p w14:paraId="494670DC" w14:textId="2E64873B" w:rsidR="006547C0" w:rsidRDefault="006547C0" w:rsidP="003C1E4E">
      <w:pPr>
        <w:spacing w:line="240" w:lineRule="auto"/>
        <w:jc w:val="center"/>
        <w:rPr>
          <w:noProof/>
          <w:lang w:eastAsia="pt-BR"/>
        </w:rPr>
      </w:pPr>
    </w:p>
    <w:p w14:paraId="61A4BE12" w14:textId="081C9800" w:rsidR="006547C0" w:rsidRDefault="006547C0" w:rsidP="003C1E4E">
      <w:pPr>
        <w:spacing w:line="240" w:lineRule="auto"/>
        <w:jc w:val="center"/>
        <w:rPr>
          <w:noProof/>
          <w:lang w:eastAsia="pt-BR"/>
        </w:rPr>
      </w:pPr>
    </w:p>
    <w:p w14:paraId="4BFFFB36" w14:textId="77777777" w:rsidR="006547C0" w:rsidRDefault="006547C0" w:rsidP="003C1E4E">
      <w:pPr>
        <w:spacing w:line="240" w:lineRule="auto"/>
        <w:jc w:val="center"/>
        <w:rPr>
          <w:noProof/>
          <w:lang w:eastAsia="pt-BR"/>
        </w:rPr>
      </w:pPr>
    </w:p>
    <w:p w14:paraId="1FF327D5" w14:textId="63C5FD67" w:rsidR="00121B7A" w:rsidRDefault="00661EB1" w:rsidP="003C1E4E">
      <w:pPr>
        <w:spacing w:line="240" w:lineRule="auto"/>
        <w:jc w:val="center"/>
        <w:rPr>
          <w:color w:val="FF0000"/>
          <w:sz w:val="24"/>
          <w:szCs w:val="24"/>
        </w:rPr>
      </w:pPr>
      <w:r>
        <w:rPr>
          <w:noProof/>
        </w:rPr>
        <w:lastRenderedPageBreak/>
        <w:drawing>
          <wp:inline distT="0" distB="0" distL="0" distR="0" wp14:anchorId="5115AB93" wp14:editId="471D6F5E">
            <wp:extent cx="8893175" cy="3065068"/>
            <wp:effectExtent l="0" t="0" r="3175" b="2540"/>
            <wp:docPr id="27" name="Gráfico 27">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00213D2E" w:rsidRPr="00213D2E">
        <w:rPr>
          <w:color w:val="FF0000"/>
          <w:sz w:val="24"/>
          <w:szCs w:val="24"/>
        </w:rPr>
        <w:t xml:space="preserve"> </w:t>
      </w:r>
      <w:r w:rsidR="005D7C5D" w:rsidRPr="005D7C5D">
        <w:rPr>
          <w:color w:val="FF0000"/>
          <w:sz w:val="24"/>
          <w:szCs w:val="24"/>
        </w:rPr>
        <w:t xml:space="preserve"> </w:t>
      </w:r>
    </w:p>
    <w:p w14:paraId="3D9737F4" w14:textId="709C4A5C" w:rsidR="006547C0" w:rsidRDefault="006547C0" w:rsidP="003C1E4E">
      <w:pPr>
        <w:spacing w:line="240" w:lineRule="auto"/>
        <w:jc w:val="center"/>
        <w:rPr>
          <w:color w:val="FF0000"/>
          <w:sz w:val="24"/>
          <w:szCs w:val="24"/>
        </w:rPr>
      </w:pPr>
      <w:r w:rsidRPr="006547C0">
        <w:rPr>
          <w:noProof/>
        </w:rPr>
        <w:lastRenderedPageBreak/>
        <w:drawing>
          <wp:inline distT="0" distB="0" distL="0" distR="0" wp14:anchorId="4C95F1C9" wp14:editId="07487510">
            <wp:extent cx="8893175" cy="3577132"/>
            <wp:effectExtent l="0" t="0" r="3175" b="4445"/>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898043" cy="3579090"/>
                    </a:xfrm>
                    <a:prstGeom prst="rect">
                      <a:avLst/>
                    </a:prstGeom>
                    <a:noFill/>
                    <a:ln>
                      <a:noFill/>
                    </a:ln>
                  </pic:spPr>
                </pic:pic>
              </a:graphicData>
            </a:graphic>
          </wp:inline>
        </w:drawing>
      </w:r>
    </w:p>
    <w:p w14:paraId="1C65E34D" w14:textId="64A7A4CA" w:rsidR="00265062" w:rsidRDefault="006547C0" w:rsidP="003C1E4E">
      <w:pPr>
        <w:spacing w:line="240" w:lineRule="auto"/>
        <w:jc w:val="center"/>
      </w:pPr>
      <w:r w:rsidRPr="006547C0">
        <w:rPr>
          <w:noProof/>
        </w:rPr>
        <w:lastRenderedPageBreak/>
        <w:drawing>
          <wp:inline distT="0" distB="0" distL="0" distR="0" wp14:anchorId="67C5EDC6" wp14:editId="56250B06">
            <wp:extent cx="8893175" cy="4557369"/>
            <wp:effectExtent l="0" t="0" r="3175"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895939" cy="4558785"/>
                    </a:xfrm>
                    <a:prstGeom prst="rect">
                      <a:avLst/>
                    </a:prstGeom>
                    <a:noFill/>
                    <a:ln>
                      <a:noFill/>
                    </a:ln>
                  </pic:spPr>
                </pic:pic>
              </a:graphicData>
            </a:graphic>
          </wp:inline>
        </w:drawing>
      </w:r>
      <w:r w:rsidR="00D51658" w:rsidRPr="00D51658">
        <w:rPr>
          <w:color w:val="FF0000"/>
          <w:sz w:val="24"/>
          <w:szCs w:val="24"/>
        </w:rPr>
        <w:t xml:space="preserve"> </w:t>
      </w:r>
      <w:r w:rsidR="00D51658" w:rsidRPr="00D51658">
        <w:t xml:space="preserve"> </w:t>
      </w:r>
    </w:p>
    <w:p w14:paraId="0E69C249" w14:textId="77777777" w:rsidR="006547C0" w:rsidRDefault="006547C0" w:rsidP="003C1E4E">
      <w:pPr>
        <w:spacing w:line="240" w:lineRule="auto"/>
        <w:jc w:val="center"/>
      </w:pPr>
    </w:p>
    <w:p w14:paraId="4CAC3906" w14:textId="0862968E" w:rsidR="006547C0" w:rsidRDefault="006547C0" w:rsidP="003C1E4E">
      <w:pPr>
        <w:spacing w:line="240" w:lineRule="auto"/>
        <w:jc w:val="center"/>
        <w:rPr>
          <w:color w:val="FF0000"/>
          <w:sz w:val="24"/>
          <w:szCs w:val="24"/>
        </w:rPr>
      </w:pPr>
      <w:r w:rsidRPr="006547C0">
        <w:rPr>
          <w:noProof/>
        </w:rPr>
        <w:lastRenderedPageBreak/>
        <w:drawing>
          <wp:inline distT="0" distB="0" distL="0" distR="0" wp14:anchorId="678D8E04" wp14:editId="6FB222A5">
            <wp:extent cx="8893175" cy="2596896"/>
            <wp:effectExtent l="0" t="0" r="3175"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909882" cy="2601775"/>
                    </a:xfrm>
                    <a:prstGeom prst="rect">
                      <a:avLst/>
                    </a:prstGeom>
                    <a:noFill/>
                    <a:ln>
                      <a:noFill/>
                    </a:ln>
                  </pic:spPr>
                </pic:pic>
              </a:graphicData>
            </a:graphic>
          </wp:inline>
        </w:drawing>
      </w:r>
    </w:p>
    <w:p w14:paraId="49367BFC" w14:textId="167A12BC" w:rsidR="006547C0" w:rsidRDefault="006547C0" w:rsidP="003C1E4E">
      <w:pPr>
        <w:spacing w:line="240" w:lineRule="auto"/>
        <w:jc w:val="center"/>
        <w:rPr>
          <w:color w:val="FF0000"/>
          <w:sz w:val="24"/>
          <w:szCs w:val="24"/>
        </w:rPr>
      </w:pPr>
      <w:r>
        <w:rPr>
          <w:noProof/>
        </w:rPr>
        <w:drawing>
          <wp:inline distT="0" distB="0" distL="0" distR="0" wp14:anchorId="65ABB69A" wp14:editId="14EC797D">
            <wp:extent cx="8893175" cy="2743200"/>
            <wp:effectExtent l="0" t="0" r="3175" b="0"/>
            <wp:docPr id="39" name="Gráfico 39">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42D7B14" w14:textId="1E0C0F4D" w:rsidR="0045569D" w:rsidRDefault="0045569D" w:rsidP="003C1E4E">
      <w:pPr>
        <w:spacing w:line="240" w:lineRule="auto"/>
        <w:jc w:val="center"/>
        <w:rPr>
          <w:color w:val="FF0000"/>
          <w:sz w:val="24"/>
          <w:szCs w:val="24"/>
        </w:rPr>
      </w:pPr>
      <w:r w:rsidRPr="0045569D">
        <w:rPr>
          <w:noProof/>
        </w:rPr>
        <w:lastRenderedPageBreak/>
        <w:drawing>
          <wp:inline distT="0" distB="0" distL="0" distR="0" wp14:anchorId="114626E0" wp14:editId="6FE1EEE1">
            <wp:extent cx="8893175" cy="4225925"/>
            <wp:effectExtent l="0" t="0" r="3175" b="3175"/>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893175" cy="4225925"/>
                    </a:xfrm>
                    <a:prstGeom prst="rect">
                      <a:avLst/>
                    </a:prstGeom>
                    <a:noFill/>
                    <a:ln>
                      <a:noFill/>
                    </a:ln>
                  </pic:spPr>
                </pic:pic>
              </a:graphicData>
            </a:graphic>
          </wp:inline>
        </w:drawing>
      </w:r>
    </w:p>
    <w:p w14:paraId="4FB3CABF" w14:textId="4312265A" w:rsidR="0045569D" w:rsidRDefault="0045569D" w:rsidP="003C1E4E">
      <w:pPr>
        <w:spacing w:line="240" w:lineRule="auto"/>
        <w:jc w:val="center"/>
        <w:rPr>
          <w:color w:val="FF0000"/>
          <w:sz w:val="24"/>
          <w:szCs w:val="24"/>
        </w:rPr>
      </w:pPr>
      <w:r w:rsidRPr="0045569D">
        <w:rPr>
          <w:noProof/>
        </w:rPr>
        <w:lastRenderedPageBreak/>
        <w:drawing>
          <wp:inline distT="0" distB="0" distL="0" distR="0" wp14:anchorId="5372DFE0" wp14:editId="2A3EB77E">
            <wp:extent cx="8893175" cy="3364992"/>
            <wp:effectExtent l="0" t="0" r="3175" b="6985"/>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904574" cy="3369305"/>
                    </a:xfrm>
                    <a:prstGeom prst="rect">
                      <a:avLst/>
                    </a:prstGeom>
                    <a:noFill/>
                    <a:ln>
                      <a:noFill/>
                    </a:ln>
                  </pic:spPr>
                </pic:pic>
              </a:graphicData>
            </a:graphic>
          </wp:inline>
        </w:drawing>
      </w:r>
    </w:p>
    <w:p w14:paraId="2A5632C6" w14:textId="68C4DACB" w:rsidR="0045569D" w:rsidRDefault="0045569D" w:rsidP="003C1E4E">
      <w:pPr>
        <w:spacing w:line="240" w:lineRule="auto"/>
        <w:jc w:val="center"/>
        <w:rPr>
          <w:color w:val="FF0000"/>
          <w:sz w:val="24"/>
          <w:szCs w:val="24"/>
        </w:rPr>
      </w:pPr>
      <w:r>
        <w:rPr>
          <w:noProof/>
        </w:rPr>
        <w:drawing>
          <wp:inline distT="0" distB="0" distL="0" distR="0" wp14:anchorId="630A9614" wp14:editId="424E6535">
            <wp:extent cx="8893175" cy="2077720"/>
            <wp:effectExtent l="0" t="0" r="3175" b="0"/>
            <wp:docPr id="42" name="Gráfico 42">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4360958" w14:textId="11305D8A" w:rsidR="006547C0" w:rsidRDefault="0045569D" w:rsidP="003C1E4E">
      <w:pPr>
        <w:spacing w:line="240" w:lineRule="auto"/>
        <w:jc w:val="center"/>
        <w:rPr>
          <w:color w:val="FF0000"/>
          <w:sz w:val="24"/>
          <w:szCs w:val="24"/>
        </w:rPr>
      </w:pPr>
      <w:r w:rsidRPr="0045569D">
        <w:rPr>
          <w:noProof/>
        </w:rPr>
        <w:lastRenderedPageBreak/>
        <w:drawing>
          <wp:inline distT="0" distB="0" distL="0" distR="0" wp14:anchorId="16AC9829" wp14:editId="2B07AE84">
            <wp:extent cx="8893175" cy="4268470"/>
            <wp:effectExtent l="0" t="0" r="3175"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893175" cy="4268470"/>
                    </a:xfrm>
                    <a:prstGeom prst="rect">
                      <a:avLst/>
                    </a:prstGeom>
                    <a:noFill/>
                    <a:ln>
                      <a:noFill/>
                    </a:ln>
                  </pic:spPr>
                </pic:pic>
              </a:graphicData>
            </a:graphic>
          </wp:inline>
        </w:drawing>
      </w:r>
    </w:p>
    <w:p w14:paraId="078123A5" w14:textId="2979C16B" w:rsidR="0045569D" w:rsidRDefault="0045569D" w:rsidP="003C1E4E">
      <w:pPr>
        <w:spacing w:line="240" w:lineRule="auto"/>
        <w:jc w:val="center"/>
        <w:rPr>
          <w:color w:val="FF0000"/>
          <w:sz w:val="24"/>
          <w:szCs w:val="24"/>
        </w:rPr>
      </w:pPr>
      <w:r w:rsidRPr="0045569D">
        <w:rPr>
          <w:noProof/>
        </w:rPr>
        <w:lastRenderedPageBreak/>
        <w:drawing>
          <wp:inline distT="0" distB="0" distL="0" distR="0" wp14:anchorId="2B0F604D" wp14:editId="66DC38BE">
            <wp:extent cx="8893175" cy="3108960"/>
            <wp:effectExtent l="0" t="0" r="3175"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904218" cy="3112821"/>
                    </a:xfrm>
                    <a:prstGeom prst="rect">
                      <a:avLst/>
                    </a:prstGeom>
                    <a:noFill/>
                    <a:ln>
                      <a:noFill/>
                    </a:ln>
                  </pic:spPr>
                </pic:pic>
              </a:graphicData>
            </a:graphic>
          </wp:inline>
        </w:drawing>
      </w:r>
    </w:p>
    <w:p w14:paraId="3EFDEB08" w14:textId="212385AA" w:rsidR="0045569D" w:rsidRDefault="0045569D" w:rsidP="003C1E4E">
      <w:pPr>
        <w:spacing w:line="240" w:lineRule="auto"/>
        <w:jc w:val="center"/>
        <w:rPr>
          <w:color w:val="FF0000"/>
          <w:sz w:val="24"/>
          <w:szCs w:val="24"/>
        </w:rPr>
      </w:pPr>
      <w:r>
        <w:rPr>
          <w:noProof/>
        </w:rPr>
        <w:drawing>
          <wp:inline distT="0" distB="0" distL="0" distR="0" wp14:anchorId="028008F8" wp14:editId="0456D10F">
            <wp:extent cx="8893175" cy="2077720"/>
            <wp:effectExtent l="0" t="0" r="3175" b="0"/>
            <wp:docPr id="46" name="Gráfico 46">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ACB929D" w14:textId="435489AA" w:rsidR="0045569D" w:rsidRDefault="0045569D" w:rsidP="003C1E4E">
      <w:pPr>
        <w:spacing w:line="240" w:lineRule="auto"/>
        <w:jc w:val="center"/>
        <w:rPr>
          <w:color w:val="FF0000"/>
          <w:sz w:val="24"/>
          <w:szCs w:val="24"/>
        </w:rPr>
      </w:pPr>
    </w:p>
    <w:p w14:paraId="1D3229FC" w14:textId="20168AE5" w:rsidR="0045569D" w:rsidRDefault="008C494C" w:rsidP="003C1E4E">
      <w:pPr>
        <w:spacing w:line="240" w:lineRule="auto"/>
        <w:jc w:val="center"/>
        <w:rPr>
          <w:color w:val="FF0000"/>
          <w:sz w:val="24"/>
          <w:szCs w:val="24"/>
        </w:rPr>
      </w:pPr>
      <w:r w:rsidRPr="008C494C">
        <w:rPr>
          <w:noProof/>
        </w:rPr>
        <w:lastRenderedPageBreak/>
        <w:drawing>
          <wp:inline distT="0" distB="0" distL="0" distR="0" wp14:anchorId="3D754EA5" wp14:editId="2E60B740">
            <wp:extent cx="8893175" cy="4455795"/>
            <wp:effectExtent l="0" t="0" r="3175" b="190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893175" cy="4455795"/>
                    </a:xfrm>
                    <a:prstGeom prst="rect">
                      <a:avLst/>
                    </a:prstGeom>
                    <a:noFill/>
                    <a:ln>
                      <a:noFill/>
                    </a:ln>
                  </pic:spPr>
                </pic:pic>
              </a:graphicData>
            </a:graphic>
          </wp:inline>
        </w:drawing>
      </w:r>
    </w:p>
    <w:p w14:paraId="1BDB271F" w14:textId="229A2467" w:rsidR="008C494C" w:rsidRPr="00304144" w:rsidRDefault="008C494C" w:rsidP="003C1E4E">
      <w:pPr>
        <w:spacing w:line="240" w:lineRule="auto"/>
        <w:jc w:val="center"/>
        <w:rPr>
          <w:color w:val="FF0000"/>
          <w:sz w:val="24"/>
          <w:szCs w:val="24"/>
        </w:rPr>
      </w:pPr>
      <w:r w:rsidRPr="008C494C">
        <w:rPr>
          <w:noProof/>
        </w:rPr>
        <w:lastRenderedPageBreak/>
        <w:drawing>
          <wp:inline distT="0" distB="0" distL="0" distR="0" wp14:anchorId="4DDF95DE" wp14:editId="7114BB7F">
            <wp:extent cx="8891838" cy="2721254"/>
            <wp:effectExtent l="0" t="0" r="5080" b="3175"/>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910344" cy="2726918"/>
                    </a:xfrm>
                    <a:prstGeom prst="rect">
                      <a:avLst/>
                    </a:prstGeom>
                    <a:noFill/>
                    <a:ln>
                      <a:noFill/>
                    </a:ln>
                  </pic:spPr>
                </pic:pic>
              </a:graphicData>
            </a:graphic>
          </wp:inline>
        </w:drawing>
      </w:r>
    </w:p>
    <w:p w14:paraId="4047EBF9" w14:textId="5A1CDC2A" w:rsidR="00335951" w:rsidRPr="00304144" w:rsidRDefault="007E6F0E" w:rsidP="00160275">
      <w:pPr>
        <w:spacing w:line="240" w:lineRule="auto"/>
        <w:jc w:val="both"/>
        <w:rPr>
          <w:color w:val="FF0000"/>
          <w:sz w:val="24"/>
          <w:szCs w:val="24"/>
        </w:rPr>
      </w:pPr>
      <w:r w:rsidRPr="007E6F0E">
        <w:t xml:space="preserve"> </w:t>
      </w:r>
      <w:r w:rsidR="003B059B" w:rsidRPr="003B059B">
        <w:t xml:space="preserve"> </w:t>
      </w:r>
      <w:r w:rsidR="00377C2C" w:rsidRPr="00377C2C">
        <w:t xml:space="preserve"> </w:t>
      </w:r>
      <w:r w:rsidR="00B221A5" w:rsidRPr="00B221A5">
        <w:t xml:space="preserve"> </w:t>
      </w:r>
      <w:r w:rsidR="00E1205B" w:rsidRPr="00E1205B">
        <w:t xml:space="preserve"> </w:t>
      </w:r>
      <w:r w:rsidR="005B4839" w:rsidRPr="005B4839">
        <w:t xml:space="preserve"> </w:t>
      </w:r>
      <w:r w:rsidR="004706A7" w:rsidRPr="004706A7">
        <w:t xml:space="preserve"> </w:t>
      </w:r>
      <w:r w:rsidR="00611381" w:rsidRPr="00611381">
        <w:t xml:space="preserve"> </w:t>
      </w:r>
      <w:r w:rsidR="00042777" w:rsidRPr="00042777">
        <w:t xml:space="preserve"> </w:t>
      </w:r>
    </w:p>
    <w:p w14:paraId="44512B3E" w14:textId="6191C0E1" w:rsidR="00706902" w:rsidRPr="00304144" w:rsidRDefault="008C494C" w:rsidP="00160275">
      <w:pPr>
        <w:spacing w:line="240" w:lineRule="auto"/>
        <w:jc w:val="both"/>
        <w:rPr>
          <w:color w:val="FF0000"/>
          <w:sz w:val="24"/>
          <w:szCs w:val="24"/>
        </w:rPr>
      </w:pPr>
      <w:r>
        <w:rPr>
          <w:noProof/>
        </w:rPr>
        <w:drawing>
          <wp:inline distT="0" distB="0" distL="0" distR="0" wp14:anchorId="2FA153D4" wp14:editId="46C9DBE9">
            <wp:extent cx="8893175" cy="2077720"/>
            <wp:effectExtent l="0" t="0" r="3175" b="0"/>
            <wp:docPr id="49" name="Gráfico 49">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3E144EB" w14:textId="691B10ED" w:rsidR="00335951" w:rsidRPr="00304144" w:rsidRDefault="00335951" w:rsidP="00160275">
      <w:pPr>
        <w:spacing w:line="240" w:lineRule="auto"/>
        <w:jc w:val="both"/>
        <w:rPr>
          <w:color w:val="FF0000"/>
          <w:sz w:val="24"/>
          <w:szCs w:val="24"/>
        </w:rPr>
      </w:pPr>
    </w:p>
    <w:p w14:paraId="28C4FC72" w14:textId="77777777" w:rsidR="00151503" w:rsidRPr="00304144" w:rsidRDefault="00151503" w:rsidP="00B069A5">
      <w:pPr>
        <w:rPr>
          <w:rFonts w:ascii="Times New Roman" w:hAnsi="Times New Roman" w:cs="Times New Roman"/>
          <w:color w:val="FF0000"/>
          <w:sz w:val="24"/>
          <w:szCs w:val="24"/>
        </w:rPr>
        <w:sectPr w:rsidR="00151503" w:rsidRPr="00304144" w:rsidSect="007F21FB">
          <w:pgSz w:w="16840" w:h="11907" w:code="9"/>
          <w:pgMar w:top="1418" w:right="1134" w:bottom="907" w:left="1701" w:header="709" w:footer="709" w:gutter="0"/>
          <w:cols w:space="708"/>
          <w:docGrid w:linePitch="360"/>
        </w:sectPr>
      </w:pPr>
    </w:p>
    <w:p w14:paraId="6857B22B" w14:textId="4DE9BBC0" w:rsidR="009C0C0C" w:rsidRPr="001D6250" w:rsidRDefault="009C0C0C" w:rsidP="00C7429D">
      <w:pPr>
        <w:pStyle w:val="Ttulo2"/>
      </w:pPr>
      <w:bookmarkStart w:id="29" w:name="_Toc113971763"/>
      <w:r w:rsidRPr="001D6250">
        <w:lastRenderedPageBreak/>
        <w:t>Água e Esgoto</w:t>
      </w:r>
      <w:bookmarkEnd w:id="29"/>
    </w:p>
    <w:p w14:paraId="20C4FB0B" w14:textId="77777777" w:rsidR="00B40BFC" w:rsidRPr="001D6250" w:rsidRDefault="00B40BFC" w:rsidP="00C7429D">
      <w:pPr>
        <w:pStyle w:val="Ttulo3"/>
      </w:pPr>
      <w:bookmarkStart w:id="30" w:name="_Toc113971764"/>
      <w:r w:rsidRPr="001D6250">
        <w:t>Caracterização</w:t>
      </w:r>
      <w:bookmarkEnd w:id="30"/>
    </w:p>
    <w:p w14:paraId="53D68922" w14:textId="1C93B73A" w:rsidR="009C0C0C" w:rsidRPr="001D6250" w:rsidRDefault="009C0C0C" w:rsidP="00C7429D">
      <w:pPr>
        <w:ind w:left="2" w:firstLine="1"/>
        <w:jc w:val="both"/>
        <w:rPr>
          <w:bCs/>
          <w:iCs/>
        </w:rPr>
      </w:pPr>
      <w:r w:rsidRPr="001D6250">
        <w:rPr>
          <w:bCs/>
          <w:iCs/>
        </w:rPr>
        <w:t xml:space="preserve">A água é finita, </w:t>
      </w:r>
      <w:r w:rsidR="00BE5590" w:rsidRPr="001D6250">
        <w:rPr>
          <w:bCs/>
          <w:iCs/>
        </w:rPr>
        <w:t xml:space="preserve">e </w:t>
      </w:r>
      <w:r w:rsidRPr="001D6250">
        <w:rPr>
          <w:bCs/>
          <w:iCs/>
        </w:rPr>
        <w:t xml:space="preserve">seu uso racional é </w:t>
      </w:r>
      <w:r w:rsidR="000043AC" w:rsidRPr="001D6250">
        <w:rPr>
          <w:bCs/>
          <w:iCs/>
        </w:rPr>
        <w:t xml:space="preserve">a </w:t>
      </w:r>
      <w:r w:rsidRPr="001D6250">
        <w:rPr>
          <w:bCs/>
          <w:iCs/>
        </w:rPr>
        <w:t xml:space="preserve">medida que se impõe à sociedade </w:t>
      </w:r>
      <w:r w:rsidR="00BE5590" w:rsidRPr="001D6250">
        <w:rPr>
          <w:bCs/>
          <w:iCs/>
        </w:rPr>
        <w:t>atualmente</w:t>
      </w:r>
      <w:r w:rsidRPr="001D6250">
        <w:rPr>
          <w:bCs/>
          <w:iCs/>
        </w:rPr>
        <w:t xml:space="preserve">. A utilização adequada da água é incentivada na </w:t>
      </w:r>
      <w:r w:rsidR="00BE5590" w:rsidRPr="001D6250">
        <w:rPr>
          <w:bCs/>
          <w:iCs/>
        </w:rPr>
        <w:t>I</w:t>
      </w:r>
      <w:r w:rsidRPr="001D6250">
        <w:rPr>
          <w:bCs/>
          <w:iCs/>
        </w:rPr>
        <w:t>nstituição desde 2012, quando a AGU, voluntariamente, aderiu ao Programa Esplanada Sustentável - PES. A utilização desse recurso terá uma abordagem de acompanhamento e monitoramento do consumo per capita (m</w:t>
      </w:r>
      <w:r w:rsidRPr="001D6250">
        <w:rPr>
          <w:bCs/>
          <w:iCs/>
          <w:vertAlign w:val="superscript"/>
        </w:rPr>
        <w:t>3</w:t>
      </w:r>
      <w:r w:rsidRPr="001D6250">
        <w:rPr>
          <w:bCs/>
          <w:iCs/>
        </w:rPr>
        <w:t>/pessoa) por edifício, o que permitirá ao gestor implementar ações voltadas à gestão eficiente desse recurso.</w:t>
      </w:r>
    </w:p>
    <w:p w14:paraId="091ABA2E" w14:textId="56616D1D" w:rsidR="00B40BFC" w:rsidRPr="00740E61" w:rsidRDefault="00B40BFC" w:rsidP="00C7429D">
      <w:pPr>
        <w:pStyle w:val="Ttulo3"/>
      </w:pPr>
      <w:bookmarkStart w:id="31" w:name="_Toc113971765"/>
      <w:r w:rsidRPr="00740E61">
        <w:t>Metas, dados coletados e avaliação</w:t>
      </w:r>
      <w:bookmarkEnd w:id="31"/>
    </w:p>
    <w:p w14:paraId="3FE91FD0" w14:textId="5E44A892" w:rsidR="000C087C" w:rsidRPr="00740E61" w:rsidRDefault="000C087C" w:rsidP="000C087C">
      <w:pPr>
        <w:jc w:val="both"/>
      </w:pPr>
      <w:r w:rsidRPr="00740E61">
        <w:t>Como indicador adoto</w:t>
      </w:r>
      <w:r w:rsidR="00271AEC">
        <w:t>u-s</w:t>
      </w:r>
      <w:r w:rsidR="0002718A">
        <w:t>e</w:t>
      </w:r>
      <w:r w:rsidRPr="00740E61">
        <w:t xml:space="preserve"> o </w:t>
      </w:r>
      <w:r w:rsidRPr="00740E61">
        <w:rPr>
          <w:b/>
        </w:rPr>
        <w:t>consumo de água</w:t>
      </w:r>
      <w:r w:rsidRPr="00740E61">
        <w:t>, medido em m</w:t>
      </w:r>
      <w:r w:rsidRPr="00740E61">
        <w:rPr>
          <w:vertAlign w:val="superscript"/>
        </w:rPr>
        <w:t>3</w:t>
      </w:r>
      <w:r w:rsidRPr="00740E61">
        <w:t xml:space="preserve">. A meta pactuada consiste num </w:t>
      </w:r>
      <w:r w:rsidR="00F120BD" w:rsidRPr="00740E61">
        <w:t xml:space="preserve">excepcional acréscimo </w:t>
      </w:r>
      <w:r w:rsidRPr="00740E61">
        <w:t xml:space="preserve">de </w:t>
      </w:r>
      <w:r w:rsidR="00740E61" w:rsidRPr="00740E61">
        <w:rPr>
          <w:b/>
          <w:bCs/>
        </w:rPr>
        <w:t>10</w:t>
      </w:r>
      <w:r w:rsidRPr="00740E61">
        <w:rPr>
          <w:b/>
          <w:bCs/>
        </w:rPr>
        <w:t>%</w:t>
      </w:r>
      <w:r w:rsidRPr="00740E61">
        <w:t xml:space="preserve"> em relação ao consumo do exercício de 20</w:t>
      </w:r>
      <w:r w:rsidR="00740E61" w:rsidRPr="00740E61">
        <w:t>2</w:t>
      </w:r>
      <w:r w:rsidR="00712D0E">
        <w:t>1</w:t>
      </w:r>
      <w:r w:rsidRPr="00740E61">
        <w:t xml:space="preserve">. </w:t>
      </w:r>
    </w:p>
    <w:p w14:paraId="66DC0D53" w14:textId="63124A7C" w:rsidR="007944F7" w:rsidRPr="00304144" w:rsidRDefault="000C087C" w:rsidP="00BD1D66">
      <w:pPr>
        <w:jc w:val="both"/>
        <w:rPr>
          <w:i/>
          <w:color w:val="FF0000"/>
          <w:sz w:val="24"/>
          <w:szCs w:val="24"/>
        </w:rPr>
      </w:pPr>
      <w:r w:rsidRPr="00740E61">
        <w:t>Mensalmente é monitorado e avaliado a variação do consumo d</w:t>
      </w:r>
      <w:r w:rsidR="00740E61">
        <w:t>e cada</w:t>
      </w:r>
      <w:r w:rsidRPr="00740E61">
        <w:t xml:space="preserve"> edifício, sendo propostas ações corretivas quando necessário.</w:t>
      </w:r>
    </w:p>
    <w:p w14:paraId="36862F69" w14:textId="16DEFCFE" w:rsidR="004159BA" w:rsidRPr="004159BA" w:rsidRDefault="004D67CE" w:rsidP="004159BA">
      <w:pPr>
        <w:jc w:val="both"/>
      </w:pPr>
      <w:r w:rsidRPr="00B12FE5">
        <w:t xml:space="preserve">Para o </w:t>
      </w:r>
      <w:r w:rsidR="004159BA" w:rsidRPr="004159BA">
        <w:t xml:space="preserve">Ed. Célia </w:t>
      </w:r>
      <w:proofErr w:type="spellStart"/>
      <w:r w:rsidR="004159BA" w:rsidRPr="004159BA">
        <w:t>Daux</w:t>
      </w:r>
      <w:proofErr w:type="spellEnd"/>
      <w:r w:rsidRPr="00B12FE5">
        <w:t xml:space="preserve"> devido a medição ser única para todo o </w:t>
      </w:r>
      <w:r w:rsidR="00532915" w:rsidRPr="00B12FE5">
        <w:t xml:space="preserve">prédio </w:t>
      </w:r>
      <w:r w:rsidR="0064635D" w:rsidRPr="00B12FE5">
        <w:t xml:space="preserve">não é possível </w:t>
      </w:r>
      <w:r w:rsidR="00805B14" w:rsidRPr="00B12FE5">
        <w:t xml:space="preserve">identificar o consumo das unidades da AGU. </w:t>
      </w:r>
      <w:r w:rsidR="00990C67" w:rsidRPr="00B12FE5">
        <w:t>Neste caso</w:t>
      </w:r>
      <w:r w:rsidR="00A009D6" w:rsidRPr="00B12FE5">
        <w:t xml:space="preserve"> será obtido junto</w:t>
      </w:r>
      <w:r w:rsidR="004159BA" w:rsidRPr="004159BA">
        <w:t xml:space="preserve"> a Administradora do Condomínio </w:t>
      </w:r>
      <w:r w:rsidR="00E84B9B" w:rsidRPr="00B12FE5">
        <w:t xml:space="preserve">o consumo total do prédio, para que possamos fazer um rateio pela </w:t>
      </w:r>
      <w:r w:rsidR="00175122" w:rsidRPr="00B12FE5">
        <w:t>área locada pela AGU</w:t>
      </w:r>
      <w:r w:rsidR="004159BA" w:rsidRPr="004159BA">
        <w:t>.</w:t>
      </w:r>
    </w:p>
    <w:p w14:paraId="1D77EC9E" w14:textId="77777777" w:rsidR="00151503" w:rsidRPr="00B12FE5" w:rsidRDefault="004A008D" w:rsidP="00ED3F90">
      <w:pPr>
        <w:jc w:val="both"/>
      </w:pPr>
      <w:r w:rsidRPr="00B12FE5">
        <w:t xml:space="preserve">A seguir são apresentadas as planilhas de dados referentes à água e esgoto </w:t>
      </w:r>
      <w:r w:rsidR="00C70E07" w:rsidRPr="00B12FE5">
        <w:t>para cada edificação monitorada</w:t>
      </w:r>
      <w:r w:rsidR="00343288" w:rsidRPr="00B12FE5">
        <w:t>.</w:t>
      </w:r>
      <w:r w:rsidR="00B30D3F" w:rsidRPr="00B12FE5">
        <w:br w:type="page"/>
      </w:r>
    </w:p>
    <w:p w14:paraId="2A9443C0" w14:textId="3085F0E9" w:rsidR="006B3F46" w:rsidRPr="00B12FE5" w:rsidRDefault="006B3F46" w:rsidP="00ED3F90">
      <w:pPr>
        <w:jc w:val="both"/>
        <w:sectPr w:rsidR="006B3F46" w:rsidRPr="00B12FE5" w:rsidSect="007F21FB">
          <w:pgSz w:w="11907" w:h="16840" w:orient="landscape" w:code="9"/>
          <w:pgMar w:top="1134" w:right="907" w:bottom="1701" w:left="1418" w:header="709" w:footer="709" w:gutter="0"/>
          <w:cols w:space="708"/>
          <w:docGrid w:linePitch="360"/>
        </w:sectPr>
      </w:pPr>
    </w:p>
    <w:p w14:paraId="4FFC9E2A" w14:textId="40B12865" w:rsidR="0023259C" w:rsidRDefault="0098250D" w:rsidP="00A106B6">
      <w:pPr>
        <w:jc w:val="center"/>
      </w:pPr>
      <w:bookmarkStart w:id="32" w:name="Atributos!A1:N25"/>
      <w:r w:rsidRPr="0098250D">
        <w:lastRenderedPageBreak/>
        <w:t xml:space="preserve"> </w:t>
      </w:r>
      <w:r w:rsidR="0023259C" w:rsidRPr="0023259C">
        <w:rPr>
          <w:noProof/>
        </w:rPr>
        <w:drawing>
          <wp:inline distT="0" distB="0" distL="0" distR="0" wp14:anchorId="19E2F451" wp14:editId="7333937C">
            <wp:extent cx="8893175" cy="3683000"/>
            <wp:effectExtent l="0" t="0" r="3175"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893175" cy="3683000"/>
                    </a:xfrm>
                    <a:prstGeom prst="rect">
                      <a:avLst/>
                    </a:prstGeom>
                    <a:noFill/>
                    <a:ln>
                      <a:noFill/>
                    </a:ln>
                  </pic:spPr>
                </pic:pic>
              </a:graphicData>
            </a:graphic>
          </wp:inline>
        </w:drawing>
      </w:r>
    </w:p>
    <w:p w14:paraId="676777CA" w14:textId="1D96BCA4" w:rsidR="004A09ED" w:rsidRDefault="004A09ED" w:rsidP="00A106B6">
      <w:pPr>
        <w:jc w:val="center"/>
      </w:pPr>
      <w:r w:rsidRPr="004A09ED">
        <w:rPr>
          <w:noProof/>
        </w:rPr>
        <w:lastRenderedPageBreak/>
        <w:drawing>
          <wp:inline distT="0" distB="0" distL="0" distR="0" wp14:anchorId="7C587E07" wp14:editId="448D719A">
            <wp:extent cx="8893175" cy="4103827"/>
            <wp:effectExtent l="0" t="0" r="3175"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902314" cy="4108044"/>
                    </a:xfrm>
                    <a:prstGeom prst="rect">
                      <a:avLst/>
                    </a:prstGeom>
                    <a:noFill/>
                    <a:ln>
                      <a:noFill/>
                    </a:ln>
                  </pic:spPr>
                </pic:pic>
              </a:graphicData>
            </a:graphic>
          </wp:inline>
        </w:drawing>
      </w:r>
    </w:p>
    <w:p w14:paraId="7A7DD8DC" w14:textId="77777777" w:rsidR="0023259C" w:rsidRDefault="0023259C" w:rsidP="00A106B6">
      <w:pPr>
        <w:jc w:val="center"/>
      </w:pPr>
    </w:p>
    <w:p w14:paraId="0AB5EF22" w14:textId="77777777" w:rsidR="0023259C" w:rsidRDefault="0023259C" w:rsidP="00A106B6">
      <w:pPr>
        <w:jc w:val="center"/>
      </w:pPr>
    </w:p>
    <w:p w14:paraId="06E9A3CD" w14:textId="54E5CC8F" w:rsidR="0023259C" w:rsidRDefault="00343B8F" w:rsidP="00A106B6">
      <w:pPr>
        <w:jc w:val="center"/>
      </w:pPr>
      <w:r w:rsidRPr="00343B8F">
        <w:t xml:space="preserve"> </w:t>
      </w:r>
      <w:r w:rsidR="00F2539F" w:rsidRPr="00F2539F">
        <w:t xml:space="preserve"> </w:t>
      </w:r>
    </w:p>
    <w:p w14:paraId="71ACEC73" w14:textId="6EB56A05" w:rsidR="0023259C" w:rsidRDefault="0023259C" w:rsidP="00A106B6">
      <w:pPr>
        <w:jc w:val="center"/>
      </w:pPr>
    </w:p>
    <w:p w14:paraId="12F9693E" w14:textId="389BDF83" w:rsidR="0023259C" w:rsidRDefault="0023259C" w:rsidP="00A106B6">
      <w:pPr>
        <w:jc w:val="center"/>
      </w:pPr>
      <w:r>
        <w:rPr>
          <w:noProof/>
        </w:rPr>
        <w:lastRenderedPageBreak/>
        <w:drawing>
          <wp:inline distT="0" distB="0" distL="0" distR="0" wp14:anchorId="66902FA2" wp14:editId="2367DE0D">
            <wp:extent cx="8893055" cy="3043123"/>
            <wp:effectExtent l="0" t="0" r="3810" b="5080"/>
            <wp:docPr id="53" name="Imagem 53"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m 53" descr="Gráfico, Gráfico de barras&#10;&#10;Descrição gerada automaticamente"/>
                    <pic:cNvPicPr/>
                  </pic:nvPicPr>
                  <pic:blipFill>
                    <a:blip r:embed="rId62"/>
                    <a:stretch>
                      <a:fillRect/>
                    </a:stretch>
                  </pic:blipFill>
                  <pic:spPr>
                    <a:xfrm>
                      <a:off x="0" y="0"/>
                      <a:ext cx="8945421" cy="3061042"/>
                    </a:xfrm>
                    <a:prstGeom prst="rect">
                      <a:avLst/>
                    </a:prstGeom>
                  </pic:spPr>
                </pic:pic>
              </a:graphicData>
            </a:graphic>
          </wp:inline>
        </w:drawing>
      </w:r>
    </w:p>
    <w:p w14:paraId="4EDA8625" w14:textId="0EE56690" w:rsidR="0023259C" w:rsidRDefault="0023259C" w:rsidP="00A106B6">
      <w:pPr>
        <w:jc w:val="center"/>
      </w:pPr>
      <w:r w:rsidRPr="0023259C">
        <w:rPr>
          <w:noProof/>
        </w:rPr>
        <w:drawing>
          <wp:inline distT="0" distB="0" distL="0" distR="0" wp14:anchorId="6B5060BC" wp14:editId="51EC164E">
            <wp:extent cx="8893175" cy="1585595"/>
            <wp:effectExtent l="0" t="0" r="3175"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893175" cy="1585595"/>
                    </a:xfrm>
                    <a:prstGeom prst="rect">
                      <a:avLst/>
                    </a:prstGeom>
                    <a:noFill/>
                    <a:ln>
                      <a:noFill/>
                    </a:ln>
                  </pic:spPr>
                </pic:pic>
              </a:graphicData>
            </a:graphic>
          </wp:inline>
        </w:drawing>
      </w:r>
    </w:p>
    <w:p w14:paraId="119C6946" w14:textId="47A9CCC5" w:rsidR="004C2FCC" w:rsidRDefault="004C2FCC" w:rsidP="00A106B6">
      <w:pPr>
        <w:jc w:val="center"/>
      </w:pPr>
      <w:r w:rsidRPr="004C2FCC">
        <w:rPr>
          <w:noProof/>
        </w:rPr>
        <w:lastRenderedPageBreak/>
        <w:drawing>
          <wp:inline distT="0" distB="0" distL="0" distR="0" wp14:anchorId="271DF38D" wp14:editId="0302F19F">
            <wp:extent cx="8893175" cy="4228185"/>
            <wp:effectExtent l="0" t="0" r="3175" b="127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895163" cy="4229130"/>
                    </a:xfrm>
                    <a:prstGeom prst="rect">
                      <a:avLst/>
                    </a:prstGeom>
                    <a:noFill/>
                    <a:ln>
                      <a:noFill/>
                    </a:ln>
                  </pic:spPr>
                </pic:pic>
              </a:graphicData>
            </a:graphic>
          </wp:inline>
        </w:drawing>
      </w:r>
    </w:p>
    <w:p w14:paraId="5821776F" w14:textId="16EFBD4F" w:rsidR="004A09ED" w:rsidRDefault="004A09ED" w:rsidP="00A106B6">
      <w:pPr>
        <w:jc w:val="center"/>
      </w:pPr>
    </w:p>
    <w:p w14:paraId="611A7353" w14:textId="77777777" w:rsidR="004A09ED" w:rsidRDefault="004A09ED" w:rsidP="00A106B6">
      <w:pPr>
        <w:jc w:val="center"/>
      </w:pPr>
    </w:p>
    <w:p w14:paraId="063E4D54" w14:textId="6BC445C3" w:rsidR="004A09ED" w:rsidRDefault="004A09ED" w:rsidP="00A106B6">
      <w:pPr>
        <w:jc w:val="center"/>
      </w:pPr>
      <w:r w:rsidRPr="004A09ED">
        <w:rPr>
          <w:noProof/>
        </w:rPr>
        <w:lastRenderedPageBreak/>
        <w:drawing>
          <wp:inline distT="0" distB="0" distL="0" distR="0" wp14:anchorId="42F7A89F" wp14:editId="4AD38DDA">
            <wp:extent cx="8893175" cy="3079699"/>
            <wp:effectExtent l="0" t="0" r="3175" b="6985"/>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906807" cy="3084420"/>
                    </a:xfrm>
                    <a:prstGeom prst="rect">
                      <a:avLst/>
                    </a:prstGeom>
                    <a:noFill/>
                    <a:ln>
                      <a:noFill/>
                    </a:ln>
                  </pic:spPr>
                </pic:pic>
              </a:graphicData>
            </a:graphic>
          </wp:inline>
        </w:drawing>
      </w:r>
    </w:p>
    <w:p w14:paraId="63B53177" w14:textId="3937842A" w:rsidR="004A09ED" w:rsidRDefault="004A09ED" w:rsidP="00A106B6">
      <w:pPr>
        <w:jc w:val="center"/>
      </w:pPr>
    </w:p>
    <w:p w14:paraId="21D6023F" w14:textId="2A20ED33" w:rsidR="004A09ED" w:rsidRDefault="004A09ED" w:rsidP="00A106B6">
      <w:pPr>
        <w:jc w:val="center"/>
      </w:pPr>
    </w:p>
    <w:p w14:paraId="4C388DDA" w14:textId="77777777" w:rsidR="004A09ED" w:rsidRDefault="004A09ED" w:rsidP="00A106B6">
      <w:pPr>
        <w:jc w:val="center"/>
      </w:pPr>
    </w:p>
    <w:p w14:paraId="481FB836" w14:textId="1A499865" w:rsidR="004A09ED" w:rsidRDefault="004A09ED" w:rsidP="00A106B6">
      <w:pPr>
        <w:jc w:val="center"/>
      </w:pPr>
      <w:r>
        <w:rPr>
          <w:noProof/>
        </w:rPr>
        <w:lastRenderedPageBreak/>
        <w:drawing>
          <wp:inline distT="0" distB="0" distL="0" distR="0" wp14:anchorId="5FAF418E" wp14:editId="053340CC">
            <wp:extent cx="8893175" cy="3043123"/>
            <wp:effectExtent l="0" t="0" r="3175" b="5080"/>
            <wp:docPr id="58" name="Gráfico 58">
              <a:extLst xmlns:a="http://schemas.openxmlformats.org/drawingml/2006/main">
                <a:ext uri="{FF2B5EF4-FFF2-40B4-BE49-F238E27FC236}">
                  <a16:creationId xmlns:a16="http://schemas.microsoft.com/office/drawing/2014/main" id="{B6479CB0-E490-D41F-E005-EEF06706A3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14681CB5" w14:textId="2630B35C" w:rsidR="004A09ED" w:rsidRDefault="004A09ED" w:rsidP="00A106B6">
      <w:pPr>
        <w:jc w:val="center"/>
      </w:pPr>
      <w:r w:rsidRPr="004A09ED">
        <w:rPr>
          <w:noProof/>
        </w:rPr>
        <w:drawing>
          <wp:inline distT="0" distB="0" distL="0" distR="0" wp14:anchorId="2BAC8C87" wp14:editId="1C699DDE">
            <wp:extent cx="8893175" cy="2150669"/>
            <wp:effectExtent l="0" t="0" r="3175" b="254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912392" cy="2155316"/>
                    </a:xfrm>
                    <a:prstGeom prst="rect">
                      <a:avLst/>
                    </a:prstGeom>
                    <a:noFill/>
                    <a:ln>
                      <a:noFill/>
                    </a:ln>
                  </pic:spPr>
                </pic:pic>
              </a:graphicData>
            </a:graphic>
          </wp:inline>
        </w:drawing>
      </w:r>
    </w:p>
    <w:p w14:paraId="355D9DF9" w14:textId="6A5B85A7" w:rsidR="001F5AF8" w:rsidRDefault="001F5AF8" w:rsidP="00A106B6">
      <w:pPr>
        <w:jc w:val="center"/>
      </w:pPr>
    </w:p>
    <w:p w14:paraId="54234BE1" w14:textId="0D4B679F" w:rsidR="001F5AF8" w:rsidRDefault="001F5AF8" w:rsidP="00A106B6">
      <w:pPr>
        <w:jc w:val="center"/>
      </w:pPr>
      <w:r w:rsidRPr="001F5AF8">
        <w:rPr>
          <w:noProof/>
        </w:rPr>
        <w:drawing>
          <wp:inline distT="0" distB="0" distL="0" distR="0" wp14:anchorId="734157C8" wp14:editId="4E321EFB">
            <wp:extent cx="8893175" cy="3683000"/>
            <wp:effectExtent l="0" t="0" r="3175"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893175" cy="3683000"/>
                    </a:xfrm>
                    <a:prstGeom prst="rect">
                      <a:avLst/>
                    </a:prstGeom>
                    <a:noFill/>
                    <a:ln>
                      <a:noFill/>
                    </a:ln>
                  </pic:spPr>
                </pic:pic>
              </a:graphicData>
            </a:graphic>
          </wp:inline>
        </w:drawing>
      </w:r>
    </w:p>
    <w:p w14:paraId="5BEEF689" w14:textId="77777777" w:rsidR="004A09ED" w:rsidRDefault="004A09ED" w:rsidP="00A106B6">
      <w:pPr>
        <w:jc w:val="center"/>
      </w:pPr>
    </w:p>
    <w:p w14:paraId="3CAF6DAE" w14:textId="77777777" w:rsidR="004C2FCC" w:rsidRDefault="004C2FCC" w:rsidP="00A106B6">
      <w:pPr>
        <w:jc w:val="center"/>
      </w:pPr>
    </w:p>
    <w:p w14:paraId="31155A8D" w14:textId="1B3FACB1" w:rsidR="004C2FCC" w:rsidRDefault="004C2FCC" w:rsidP="00A106B6">
      <w:pPr>
        <w:jc w:val="center"/>
      </w:pPr>
    </w:p>
    <w:p w14:paraId="74D0B121" w14:textId="77777777" w:rsidR="004C2FCC" w:rsidRDefault="004C2FCC" w:rsidP="00A106B6">
      <w:pPr>
        <w:jc w:val="center"/>
      </w:pPr>
    </w:p>
    <w:p w14:paraId="3570F567" w14:textId="73CDE164" w:rsidR="001F5AF8" w:rsidRDefault="001F5AF8" w:rsidP="00A106B6">
      <w:pPr>
        <w:jc w:val="center"/>
        <w:rPr>
          <w:color w:val="FF0000"/>
        </w:rPr>
      </w:pPr>
      <w:r w:rsidRPr="001F5AF8">
        <w:rPr>
          <w:noProof/>
        </w:rPr>
        <w:lastRenderedPageBreak/>
        <w:drawing>
          <wp:inline distT="0" distB="0" distL="0" distR="0" wp14:anchorId="60240839" wp14:editId="5090286A">
            <wp:extent cx="8890165" cy="2728569"/>
            <wp:effectExtent l="0" t="0" r="6350" b="0"/>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934457" cy="2742163"/>
                    </a:xfrm>
                    <a:prstGeom prst="rect">
                      <a:avLst/>
                    </a:prstGeom>
                    <a:noFill/>
                    <a:ln>
                      <a:noFill/>
                    </a:ln>
                  </pic:spPr>
                </pic:pic>
              </a:graphicData>
            </a:graphic>
          </wp:inline>
        </w:drawing>
      </w:r>
      <w:r w:rsidR="00F2539F" w:rsidRPr="00F2539F">
        <w:t xml:space="preserve"> </w:t>
      </w:r>
      <w:r w:rsidR="009C15C2" w:rsidRPr="009C15C2">
        <w:rPr>
          <w:color w:val="FF0000"/>
        </w:rPr>
        <w:t xml:space="preserve"> </w:t>
      </w:r>
    </w:p>
    <w:p w14:paraId="3C4CB928" w14:textId="00261E38" w:rsidR="001F5AF8" w:rsidRDefault="001F5AF8" w:rsidP="00A106B6">
      <w:pPr>
        <w:jc w:val="center"/>
        <w:rPr>
          <w:noProof/>
          <w:lang w:eastAsia="pt-BR"/>
        </w:rPr>
      </w:pPr>
      <w:r>
        <w:rPr>
          <w:noProof/>
        </w:rPr>
        <w:drawing>
          <wp:inline distT="0" distB="0" distL="0" distR="0" wp14:anchorId="5161FBA5" wp14:editId="01A0F279">
            <wp:extent cx="8893175" cy="2699308"/>
            <wp:effectExtent l="0" t="0" r="3175" b="6350"/>
            <wp:docPr id="63" name="Gráfico 63">
              <a:extLst xmlns:a="http://schemas.openxmlformats.org/drawingml/2006/main">
                <a:ext uri="{FF2B5EF4-FFF2-40B4-BE49-F238E27FC236}">
                  <a16:creationId xmlns:a16="http://schemas.microsoft.com/office/drawing/2014/main" id="{3FCDD6FC-05ED-2949-285F-F776272EC8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65308F0A" w14:textId="456B3D3B" w:rsidR="001F5AF8" w:rsidRDefault="00536B2D" w:rsidP="00A106B6">
      <w:pPr>
        <w:jc w:val="center"/>
        <w:rPr>
          <w:noProof/>
          <w:lang w:eastAsia="pt-BR"/>
        </w:rPr>
      </w:pPr>
      <w:r w:rsidRPr="00536B2D">
        <w:lastRenderedPageBreak/>
        <w:t xml:space="preserve"> </w:t>
      </w:r>
      <w:r w:rsidR="00667288" w:rsidRPr="00667288">
        <w:t xml:space="preserve"> </w:t>
      </w:r>
      <w:r w:rsidR="00C922D8" w:rsidRPr="00C922D8">
        <w:t xml:space="preserve"> </w:t>
      </w:r>
    </w:p>
    <w:p w14:paraId="0F9D3FDB" w14:textId="77777777" w:rsidR="001F5AF8" w:rsidRDefault="001F5AF8" w:rsidP="00A106B6">
      <w:pPr>
        <w:jc w:val="center"/>
        <w:rPr>
          <w:noProof/>
          <w:lang w:eastAsia="pt-BR"/>
        </w:rPr>
      </w:pPr>
    </w:p>
    <w:p w14:paraId="16A27AB4" w14:textId="77777777" w:rsidR="001F5AF8" w:rsidRDefault="001F5AF8" w:rsidP="00A106B6">
      <w:pPr>
        <w:jc w:val="center"/>
        <w:rPr>
          <w:noProof/>
          <w:lang w:eastAsia="pt-BR"/>
        </w:rPr>
      </w:pPr>
    </w:p>
    <w:p w14:paraId="4BD3CFEC" w14:textId="77777777" w:rsidR="001F5AF8" w:rsidRDefault="001F5AF8" w:rsidP="00A106B6">
      <w:pPr>
        <w:jc w:val="center"/>
      </w:pPr>
      <w:r w:rsidRPr="001F5AF8">
        <w:rPr>
          <w:noProof/>
        </w:rPr>
        <w:drawing>
          <wp:inline distT="0" distB="0" distL="0" distR="0" wp14:anchorId="1F2BD2D1" wp14:editId="790C8F62">
            <wp:extent cx="8892427" cy="4498492"/>
            <wp:effectExtent l="0" t="0" r="4445" b="0"/>
            <wp:docPr id="2006030848" name="Imagem 2006030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895204" cy="4499897"/>
                    </a:xfrm>
                    <a:prstGeom prst="rect">
                      <a:avLst/>
                    </a:prstGeom>
                    <a:noFill/>
                    <a:ln>
                      <a:noFill/>
                    </a:ln>
                  </pic:spPr>
                </pic:pic>
              </a:graphicData>
            </a:graphic>
          </wp:inline>
        </w:drawing>
      </w:r>
      <w:r w:rsidR="00CA2DB2" w:rsidRPr="00CA2DB2">
        <w:t xml:space="preserve"> </w:t>
      </w:r>
    </w:p>
    <w:p w14:paraId="16DF060A" w14:textId="11EB6747" w:rsidR="00151503" w:rsidRDefault="00A106B6" w:rsidP="005F6F89">
      <w:pPr>
        <w:jc w:val="center"/>
        <w:rPr>
          <w:color w:val="FF0000"/>
        </w:rPr>
      </w:pPr>
      <w:r w:rsidRPr="00A106B6">
        <w:lastRenderedPageBreak/>
        <w:t xml:space="preserve"> </w:t>
      </w:r>
      <w:r w:rsidR="001F5AF8" w:rsidRPr="001F5AF8">
        <w:rPr>
          <w:noProof/>
        </w:rPr>
        <w:drawing>
          <wp:inline distT="0" distB="0" distL="0" distR="0" wp14:anchorId="4D584514" wp14:editId="022DDABF">
            <wp:extent cx="8890828" cy="2567635"/>
            <wp:effectExtent l="0" t="0" r="5715" b="4445"/>
            <wp:docPr id="2006030849" name="Imagem 2006030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916576" cy="2575071"/>
                    </a:xfrm>
                    <a:prstGeom prst="rect">
                      <a:avLst/>
                    </a:prstGeom>
                    <a:noFill/>
                    <a:ln>
                      <a:noFill/>
                    </a:ln>
                  </pic:spPr>
                </pic:pic>
              </a:graphicData>
            </a:graphic>
          </wp:inline>
        </w:drawing>
      </w:r>
    </w:p>
    <w:p w14:paraId="3EBD0BF0" w14:textId="69462FDF" w:rsidR="008850DC" w:rsidRDefault="008850DC">
      <w:pPr>
        <w:rPr>
          <w:color w:val="FF0000"/>
        </w:rPr>
      </w:pPr>
      <w:r>
        <w:rPr>
          <w:noProof/>
        </w:rPr>
        <w:drawing>
          <wp:inline distT="0" distB="0" distL="0" distR="0" wp14:anchorId="44A7730D" wp14:editId="283E8BCB">
            <wp:extent cx="8893175" cy="2596896"/>
            <wp:effectExtent l="0" t="0" r="3175" b="13335"/>
            <wp:docPr id="2006030850" name="Gráfico 2006030850">
              <a:extLst xmlns:a="http://schemas.openxmlformats.org/drawingml/2006/main">
                <a:ext uri="{FF2B5EF4-FFF2-40B4-BE49-F238E27FC236}">
                  <a16:creationId xmlns:a16="http://schemas.microsoft.com/office/drawing/2014/main" id="{AD9F1708-D3E7-8325-F2D4-C5A36FCE80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39224182" w14:textId="77777777" w:rsidR="008850DC" w:rsidRDefault="008850DC">
      <w:pPr>
        <w:rPr>
          <w:color w:val="FF0000"/>
        </w:rPr>
      </w:pPr>
    </w:p>
    <w:p w14:paraId="687C1A44" w14:textId="77777777" w:rsidR="008850DC" w:rsidRDefault="008850DC">
      <w:pPr>
        <w:rPr>
          <w:color w:val="FF0000"/>
        </w:rPr>
      </w:pPr>
    </w:p>
    <w:p w14:paraId="70B50317" w14:textId="77777777" w:rsidR="008850DC" w:rsidRDefault="008850DC">
      <w:pPr>
        <w:rPr>
          <w:color w:val="FF0000"/>
        </w:rPr>
      </w:pPr>
    </w:p>
    <w:p w14:paraId="54D4AA34" w14:textId="7C0897D0" w:rsidR="008850DC" w:rsidRPr="00304144" w:rsidRDefault="008850DC">
      <w:pPr>
        <w:rPr>
          <w:color w:val="FF0000"/>
        </w:rPr>
        <w:sectPr w:rsidR="008850DC" w:rsidRPr="00304144" w:rsidSect="00D534BF">
          <w:pgSz w:w="16840" w:h="11907" w:code="9"/>
          <w:pgMar w:top="1418" w:right="1134" w:bottom="907" w:left="1701" w:header="709" w:footer="709" w:gutter="0"/>
          <w:cols w:space="708"/>
          <w:docGrid w:linePitch="360"/>
        </w:sectPr>
      </w:pPr>
    </w:p>
    <w:p w14:paraId="4712F173" w14:textId="46F174F2" w:rsidR="009C0C0C" w:rsidRPr="00CE2B4A" w:rsidRDefault="009C0C0C" w:rsidP="00C7429D">
      <w:pPr>
        <w:pStyle w:val="Ttulo2"/>
        <w:rPr>
          <w:bCs/>
          <w:iCs/>
        </w:rPr>
      </w:pPr>
      <w:bookmarkStart w:id="33" w:name="_Toc113971766"/>
      <w:bookmarkEnd w:id="32"/>
      <w:r w:rsidRPr="00CE2B4A">
        <w:lastRenderedPageBreak/>
        <w:t>Limpeza</w:t>
      </w:r>
      <w:bookmarkEnd w:id="33"/>
    </w:p>
    <w:p w14:paraId="5AC37EAE" w14:textId="77777777" w:rsidR="00B40BFC" w:rsidRPr="00CE2B4A" w:rsidRDefault="00B40BFC" w:rsidP="00C7429D">
      <w:pPr>
        <w:pStyle w:val="Ttulo3"/>
      </w:pPr>
      <w:bookmarkStart w:id="34" w:name="_Toc113971767"/>
      <w:r w:rsidRPr="00CE2B4A">
        <w:t>Caracterização</w:t>
      </w:r>
      <w:bookmarkEnd w:id="34"/>
    </w:p>
    <w:p w14:paraId="234271C2" w14:textId="344455E6" w:rsidR="009C0C0C" w:rsidRPr="00CE2B4A" w:rsidRDefault="00484D04" w:rsidP="00C7429D">
      <w:pPr>
        <w:ind w:left="2" w:firstLine="1"/>
        <w:jc w:val="both"/>
      </w:pPr>
      <w:r w:rsidRPr="00CE2B4A">
        <w:t>Os serviços de limpeza, asseio e conservação predial, permitem a obtenção das condições adequadas de salubridade e higiene. Envo</w:t>
      </w:r>
      <w:r w:rsidR="00AC40C0" w:rsidRPr="00CE2B4A">
        <w:t>lve ainda, o fornecimento de mão de obra, materiais e equipamentos em conformidade com os requisitos e condições previamente estabelecidos pela Administração. São contratados com base na área física a ser limpa, por edifícios, estabelecendo-se uma estimativa do custo por metro quadrado, observadas as peculiaridades, a produtividade, a periodicidade e a frequência de cada tipo de serviço e das condições do local, objeto da contratação.</w:t>
      </w:r>
    </w:p>
    <w:p w14:paraId="5C2665E3" w14:textId="2A68D850" w:rsidR="00B40BFC" w:rsidRPr="00F16257" w:rsidRDefault="00B40BFC" w:rsidP="00C7429D">
      <w:pPr>
        <w:pStyle w:val="Ttulo3"/>
      </w:pPr>
      <w:bookmarkStart w:id="35" w:name="_Toc113971768"/>
      <w:r w:rsidRPr="00F16257">
        <w:t>Metas, dados coletados e avaliação</w:t>
      </w:r>
      <w:bookmarkEnd w:id="35"/>
    </w:p>
    <w:p w14:paraId="383E8BD7" w14:textId="036F7254" w:rsidR="006C013F" w:rsidRPr="00F16257" w:rsidRDefault="006C013F" w:rsidP="00521D07">
      <w:pPr>
        <w:jc w:val="both"/>
      </w:pPr>
      <w:r w:rsidRPr="00F16257">
        <w:t>Para o exercício de 202</w:t>
      </w:r>
      <w:r w:rsidR="008D502E">
        <w:t>2</w:t>
      </w:r>
      <w:r w:rsidR="1AE536EA" w:rsidRPr="00F16257">
        <w:t xml:space="preserve"> </w:t>
      </w:r>
      <w:r w:rsidRPr="00F16257">
        <w:t>o indicador</w:t>
      </w:r>
      <w:r w:rsidR="00E24768" w:rsidRPr="00F16257">
        <w:t xml:space="preserve"> adotado </w:t>
      </w:r>
      <w:r w:rsidR="50BE7EDD" w:rsidRPr="00F16257">
        <w:t>foi</w:t>
      </w:r>
      <w:r w:rsidRPr="00F16257">
        <w:t>: “</w:t>
      </w:r>
      <w:r w:rsidRPr="00F16257">
        <w:rPr>
          <w:b/>
          <w:bCs/>
        </w:rPr>
        <w:t xml:space="preserve">índice de </w:t>
      </w:r>
      <w:r w:rsidR="00E24768" w:rsidRPr="00F16257">
        <w:rPr>
          <w:b/>
          <w:bCs/>
        </w:rPr>
        <w:t>material de limpeza</w:t>
      </w:r>
      <w:r w:rsidRPr="00F16257">
        <w:rPr>
          <w:b/>
          <w:bCs/>
        </w:rPr>
        <w:t>”</w:t>
      </w:r>
      <w:r w:rsidRPr="00F16257">
        <w:t xml:space="preserve"> medido em percentual (%). </w:t>
      </w:r>
      <w:r w:rsidR="6AE0C67B" w:rsidRPr="00F16257">
        <w:t>Mesmo sem</w:t>
      </w:r>
      <w:r w:rsidR="004E4074" w:rsidRPr="00F16257">
        <w:t xml:space="preserve"> dispor de uma série histórica, </w:t>
      </w:r>
      <w:r w:rsidR="1C198F1B" w:rsidRPr="00F16257">
        <w:t xml:space="preserve">visto que a pandemia prejudicou a formação </w:t>
      </w:r>
      <w:r w:rsidR="004E4074" w:rsidRPr="00F16257">
        <w:t>d</w:t>
      </w:r>
      <w:r w:rsidR="00712D0E">
        <w:t>a base</w:t>
      </w:r>
      <w:r w:rsidR="7E0D761F" w:rsidRPr="00F16257">
        <w:t xml:space="preserve">, </w:t>
      </w:r>
      <w:r w:rsidR="00712D0E">
        <w:t xml:space="preserve">tabulamos dos dados do primeiro semestre de 2022 para fazer um comparativo com o exercício de 2023. </w:t>
      </w:r>
    </w:p>
    <w:p w14:paraId="5A0E0376" w14:textId="633C7D0A" w:rsidR="00881F6D" w:rsidRPr="00F16257" w:rsidRDefault="0061053F" w:rsidP="00521D07">
      <w:pPr>
        <w:jc w:val="both"/>
      </w:pPr>
      <w:r w:rsidRPr="00F16257">
        <w:t>O ano de 202</w:t>
      </w:r>
      <w:r w:rsidR="008D502E">
        <w:t>1</w:t>
      </w:r>
      <w:r w:rsidRPr="00F16257">
        <w:t xml:space="preserve"> foi um ano atípico em razão da pandemia</w:t>
      </w:r>
      <w:r w:rsidR="00FB7166" w:rsidRPr="00F16257">
        <w:t xml:space="preserve"> da</w:t>
      </w:r>
      <w:r w:rsidRPr="00F16257">
        <w:t xml:space="preserve"> COVID-19, fato</w:t>
      </w:r>
      <w:r w:rsidR="00FB7166" w:rsidRPr="00F16257">
        <w:t xml:space="preserve"> esse</w:t>
      </w:r>
      <w:r w:rsidRPr="00F16257">
        <w:t xml:space="preserve"> que interferiu na operacionalização e fiscalização dos serviços de limpeza</w:t>
      </w:r>
      <w:r w:rsidR="73D34A51" w:rsidRPr="00F16257">
        <w:t xml:space="preserve">, gerando necessidade de adaptações nas atividades. </w:t>
      </w:r>
    </w:p>
    <w:p w14:paraId="66B8D05F" w14:textId="5204B5C9" w:rsidR="00D05780" w:rsidRPr="00F16257" w:rsidRDefault="6FB7CCE0" w:rsidP="3EDA6231">
      <w:pPr>
        <w:jc w:val="both"/>
      </w:pPr>
      <w:r w:rsidRPr="00F16257">
        <w:t>As</w:t>
      </w:r>
      <w:r w:rsidR="0061053F" w:rsidRPr="00F16257">
        <w:t xml:space="preserve"> </w:t>
      </w:r>
      <w:r w:rsidR="6D277329" w:rsidRPr="00F16257">
        <w:t>capacitações</w:t>
      </w:r>
      <w:r w:rsidR="0061053F" w:rsidRPr="00F16257">
        <w:t xml:space="preserve"> </w:t>
      </w:r>
      <w:r w:rsidR="00F66640" w:rsidRPr="00F16257">
        <w:t>d</w:t>
      </w:r>
      <w:r w:rsidR="3EAB6A9A" w:rsidRPr="00F16257">
        <w:t>a</w:t>
      </w:r>
      <w:r w:rsidR="0061053F" w:rsidRPr="00F16257">
        <w:t xml:space="preserve"> equipe terceirizada de limpeza</w:t>
      </w:r>
      <w:r w:rsidR="00F66640" w:rsidRPr="00F16257">
        <w:t>,</w:t>
      </w:r>
      <w:r w:rsidR="0061053F" w:rsidRPr="00F16257">
        <w:t xml:space="preserve"> </w:t>
      </w:r>
      <w:r w:rsidR="791B66CB" w:rsidRPr="00F16257">
        <w:t>mantiveram-se suspensas em 202</w:t>
      </w:r>
      <w:r w:rsidR="008D502E">
        <w:t>2</w:t>
      </w:r>
      <w:r w:rsidR="0061053F" w:rsidRPr="00F16257">
        <w:t xml:space="preserve">. </w:t>
      </w:r>
    </w:p>
    <w:p w14:paraId="140989A6" w14:textId="362BFA56" w:rsidR="00DF611F" w:rsidRPr="00D53B3E" w:rsidRDefault="00DF611F" w:rsidP="038D0D66">
      <w:pPr>
        <w:jc w:val="both"/>
      </w:pPr>
      <w:r w:rsidRPr="00D53B3E">
        <w:t xml:space="preserve">A seguir são apresentadas as planilhas </w:t>
      </w:r>
      <w:r w:rsidR="00712D0E">
        <w:t>de limpeza para as unidades acompanhadas</w:t>
      </w:r>
      <w:r w:rsidR="00775459">
        <w:t xml:space="preserve"> pelo PLS.</w:t>
      </w:r>
    </w:p>
    <w:p w14:paraId="5CF29A1E" w14:textId="77777777" w:rsidR="00151503" w:rsidRPr="00D53B3E" w:rsidRDefault="00151503">
      <w:pPr>
        <w:sectPr w:rsidR="00151503" w:rsidRPr="00D53B3E" w:rsidSect="00D534BF">
          <w:pgSz w:w="11907" w:h="16840" w:orient="landscape" w:code="9"/>
          <w:pgMar w:top="1134" w:right="907" w:bottom="1701" w:left="1418" w:header="709" w:footer="709" w:gutter="0"/>
          <w:cols w:space="708"/>
          <w:docGrid w:linePitch="360"/>
        </w:sectPr>
      </w:pPr>
    </w:p>
    <w:p w14:paraId="126D4ABC" w14:textId="4B5A4E24" w:rsidR="008338E6" w:rsidRDefault="008338E6" w:rsidP="001B59DE">
      <w:pPr>
        <w:jc w:val="center"/>
        <w:rPr>
          <w:color w:val="FF0000"/>
        </w:rPr>
      </w:pPr>
      <w:r w:rsidRPr="008338E6">
        <w:rPr>
          <w:color w:val="FF0000"/>
        </w:rPr>
        <w:lastRenderedPageBreak/>
        <w:t xml:space="preserve"> </w:t>
      </w:r>
      <w:r w:rsidR="00823F1E" w:rsidRPr="00823F1E">
        <w:rPr>
          <w:noProof/>
        </w:rPr>
        <w:drawing>
          <wp:inline distT="0" distB="0" distL="0" distR="0" wp14:anchorId="4408552A" wp14:editId="5D83E087">
            <wp:extent cx="8893175" cy="5135880"/>
            <wp:effectExtent l="0" t="0" r="3175" b="7620"/>
            <wp:docPr id="2006030852" name="Imagem 2006030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893175" cy="5135880"/>
                    </a:xfrm>
                    <a:prstGeom prst="rect">
                      <a:avLst/>
                    </a:prstGeom>
                    <a:noFill/>
                    <a:ln>
                      <a:noFill/>
                    </a:ln>
                  </pic:spPr>
                </pic:pic>
              </a:graphicData>
            </a:graphic>
          </wp:inline>
        </w:drawing>
      </w:r>
      <w:r w:rsidRPr="008338E6">
        <w:rPr>
          <w:color w:val="FF0000"/>
        </w:rPr>
        <w:t xml:space="preserve"> </w:t>
      </w:r>
    </w:p>
    <w:p w14:paraId="62748A80" w14:textId="1CD4B47A" w:rsidR="00823F1E" w:rsidRDefault="00823F1E" w:rsidP="001B59DE">
      <w:pPr>
        <w:jc w:val="center"/>
        <w:rPr>
          <w:color w:val="FF0000"/>
        </w:rPr>
      </w:pPr>
      <w:r w:rsidRPr="00823F1E">
        <w:rPr>
          <w:noProof/>
        </w:rPr>
        <w:lastRenderedPageBreak/>
        <w:drawing>
          <wp:inline distT="0" distB="0" distL="0" distR="0" wp14:anchorId="78D7463D" wp14:editId="782840C3">
            <wp:extent cx="8893175" cy="2838297"/>
            <wp:effectExtent l="0" t="0" r="3175" b="635"/>
            <wp:docPr id="2006030853" name="Imagem 2006030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899013" cy="2840160"/>
                    </a:xfrm>
                    <a:prstGeom prst="rect">
                      <a:avLst/>
                    </a:prstGeom>
                    <a:noFill/>
                    <a:ln>
                      <a:noFill/>
                    </a:ln>
                  </pic:spPr>
                </pic:pic>
              </a:graphicData>
            </a:graphic>
          </wp:inline>
        </w:drawing>
      </w:r>
    </w:p>
    <w:p w14:paraId="72D8FD06" w14:textId="4ACBB1BD" w:rsidR="0032374B" w:rsidRPr="00304144" w:rsidRDefault="0032374B" w:rsidP="001B59DE">
      <w:pPr>
        <w:jc w:val="center"/>
        <w:rPr>
          <w:color w:val="FF0000"/>
        </w:rPr>
      </w:pPr>
    </w:p>
    <w:p w14:paraId="59DF1B7A" w14:textId="77777777" w:rsidR="0063445D" w:rsidRDefault="0063445D" w:rsidP="001745F3">
      <w:pPr>
        <w:jc w:val="center"/>
        <w:rPr>
          <w:i/>
          <w:iCs/>
          <w:color w:val="FF0000"/>
        </w:rPr>
      </w:pPr>
    </w:p>
    <w:p w14:paraId="4BF16C32" w14:textId="77777777" w:rsidR="00180F41" w:rsidRDefault="00180F41" w:rsidP="001745F3">
      <w:pPr>
        <w:jc w:val="center"/>
        <w:rPr>
          <w:i/>
          <w:iCs/>
          <w:color w:val="FF0000"/>
        </w:rPr>
      </w:pPr>
    </w:p>
    <w:p w14:paraId="3020574A" w14:textId="77777777" w:rsidR="00180F41" w:rsidRDefault="00180F41" w:rsidP="001745F3">
      <w:pPr>
        <w:jc w:val="center"/>
        <w:rPr>
          <w:color w:val="FF0000"/>
        </w:rPr>
      </w:pPr>
      <w:r w:rsidRPr="00180F41">
        <w:rPr>
          <w:noProof/>
        </w:rPr>
        <w:lastRenderedPageBreak/>
        <w:drawing>
          <wp:inline distT="0" distB="0" distL="0" distR="0" wp14:anchorId="3C6E39B8" wp14:editId="128614AE">
            <wp:extent cx="8893175" cy="4991100"/>
            <wp:effectExtent l="0" t="0" r="3175"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893175" cy="4991100"/>
                    </a:xfrm>
                    <a:prstGeom prst="rect">
                      <a:avLst/>
                    </a:prstGeom>
                    <a:noFill/>
                    <a:ln>
                      <a:noFill/>
                    </a:ln>
                  </pic:spPr>
                </pic:pic>
              </a:graphicData>
            </a:graphic>
          </wp:inline>
        </w:drawing>
      </w:r>
    </w:p>
    <w:p w14:paraId="10038D72" w14:textId="77777777" w:rsidR="00180F41" w:rsidRDefault="00180F41" w:rsidP="001745F3">
      <w:pPr>
        <w:jc w:val="center"/>
        <w:rPr>
          <w:color w:val="FF0000"/>
        </w:rPr>
      </w:pPr>
    </w:p>
    <w:p w14:paraId="2D2C3929" w14:textId="77777777" w:rsidR="00180F41" w:rsidRDefault="00180F41" w:rsidP="001745F3">
      <w:pPr>
        <w:jc w:val="center"/>
        <w:rPr>
          <w:color w:val="FF0000"/>
        </w:rPr>
      </w:pPr>
      <w:r w:rsidRPr="00180F41">
        <w:rPr>
          <w:noProof/>
        </w:rPr>
        <w:lastRenderedPageBreak/>
        <w:drawing>
          <wp:inline distT="0" distB="0" distL="0" distR="0" wp14:anchorId="28E81C67" wp14:editId="151B8FF4">
            <wp:extent cx="8892775" cy="3972153"/>
            <wp:effectExtent l="0" t="0" r="3810" b="952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900835" cy="3975753"/>
                    </a:xfrm>
                    <a:prstGeom prst="rect">
                      <a:avLst/>
                    </a:prstGeom>
                    <a:noFill/>
                    <a:ln>
                      <a:noFill/>
                    </a:ln>
                  </pic:spPr>
                </pic:pic>
              </a:graphicData>
            </a:graphic>
          </wp:inline>
        </w:drawing>
      </w:r>
    </w:p>
    <w:p w14:paraId="6696F038" w14:textId="77777777" w:rsidR="00180F41" w:rsidRDefault="00180F41" w:rsidP="001745F3">
      <w:pPr>
        <w:jc w:val="center"/>
        <w:rPr>
          <w:color w:val="FF0000"/>
        </w:rPr>
      </w:pPr>
    </w:p>
    <w:p w14:paraId="269D5CA2" w14:textId="1477370A" w:rsidR="00180F41" w:rsidRDefault="00180F41" w:rsidP="001745F3">
      <w:pPr>
        <w:jc w:val="center"/>
        <w:rPr>
          <w:color w:val="FF0000"/>
        </w:rPr>
      </w:pPr>
      <w:r w:rsidRPr="00180F41">
        <w:rPr>
          <w:noProof/>
        </w:rPr>
        <w:lastRenderedPageBreak/>
        <w:drawing>
          <wp:inline distT="0" distB="0" distL="0" distR="0" wp14:anchorId="10374A72" wp14:editId="04E9B2A6">
            <wp:extent cx="8893175" cy="5224780"/>
            <wp:effectExtent l="0" t="0" r="3175"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893175" cy="5224780"/>
                    </a:xfrm>
                    <a:prstGeom prst="rect">
                      <a:avLst/>
                    </a:prstGeom>
                    <a:noFill/>
                    <a:ln>
                      <a:noFill/>
                    </a:ln>
                  </pic:spPr>
                </pic:pic>
              </a:graphicData>
            </a:graphic>
          </wp:inline>
        </w:drawing>
      </w:r>
    </w:p>
    <w:p w14:paraId="3C873EF8" w14:textId="3ADD53C0" w:rsidR="00180F41" w:rsidRDefault="00180F41" w:rsidP="001745F3">
      <w:pPr>
        <w:jc w:val="center"/>
        <w:rPr>
          <w:color w:val="FF0000"/>
        </w:rPr>
      </w:pPr>
      <w:r w:rsidRPr="00180F41">
        <w:rPr>
          <w:noProof/>
        </w:rPr>
        <w:lastRenderedPageBreak/>
        <w:drawing>
          <wp:inline distT="0" distB="0" distL="0" distR="0" wp14:anchorId="7C95C2E5" wp14:editId="279283F7">
            <wp:extent cx="8893175" cy="3343046"/>
            <wp:effectExtent l="0" t="0" r="3175"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901891" cy="3346322"/>
                    </a:xfrm>
                    <a:prstGeom prst="rect">
                      <a:avLst/>
                    </a:prstGeom>
                    <a:noFill/>
                    <a:ln>
                      <a:noFill/>
                    </a:ln>
                  </pic:spPr>
                </pic:pic>
              </a:graphicData>
            </a:graphic>
          </wp:inline>
        </w:drawing>
      </w:r>
    </w:p>
    <w:p w14:paraId="57E2CF5B" w14:textId="7D16BC45" w:rsidR="00180F41" w:rsidRDefault="00180F41" w:rsidP="001745F3">
      <w:pPr>
        <w:jc w:val="center"/>
        <w:rPr>
          <w:color w:val="FF0000"/>
        </w:rPr>
      </w:pPr>
    </w:p>
    <w:p w14:paraId="6C419F25" w14:textId="3812EB3E" w:rsidR="00180F41" w:rsidRDefault="00180F41" w:rsidP="001745F3">
      <w:pPr>
        <w:jc w:val="center"/>
        <w:rPr>
          <w:color w:val="FF0000"/>
        </w:rPr>
      </w:pPr>
      <w:r w:rsidRPr="00180F41">
        <w:rPr>
          <w:noProof/>
        </w:rPr>
        <w:lastRenderedPageBreak/>
        <w:drawing>
          <wp:inline distT="0" distB="0" distL="0" distR="0" wp14:anchorId="3996367A" wp14:editId="17F89FB0">
            <wp:extent cx="8893175" cy="5191760"/>
            <wp:effectExtent l="0" t="0" r="3175" b="889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893175" cy="5191760"/>
                    </a:xfrm>
                    <a:prstGeom prst="rect">
                      <a:avLst/>
                    </a:prstGeom>
                    <a:noFill/>
                    <a:ln>
                      <a:noFill/>
                    </a:ln>
                  </pic:spPr>
                </pic:pic>
              </a:graphicData>
            </a:graphic>
          </wp:inline>
        </w:drawing>
      </w:r>
    </w:p>
    <w:p w14:paraId="48D78E3A" w14:textId="20E3E1D2" w:rsidR="00180F41" w:rsidRDefault="00180F41" w:rsidP="001745F3">
      <w:pPr>
        <w:jc w:val="center"/>
        <w:rPr>
          <w:color w:val="FF0000"/>
        </w:rPr>
      </w:pPr>
    </w:p>
    <w:p w14:paraId="615AF534" w14:textId="0554138A" w:rsidR="00180F41" w:rsidRDefault="00180F41" w:rsidP="001745F3">
      <w:pPr>
        <w:jc w:val="center"/>
        <w:rPr>
          <w:color w:val="FF0000"/>
        </w:rPr>
      </w:pPr>
      <w:r w:rsidRPr="00180F41">
        <w:rPr>
          <w:noProof/>
        </w:rPr>
        <w:lastRenderedPageBreak/>
        <w:drawing>
          <wp:inline distT="0" distB="0" distL="0" distR="0" wp14:anchorId="32F1C0F2" wp14:editId="425B13B0">
            <wp:extent cx="8893175" cy="3079699"/>
            <wp:effectExtent l="0" t="0" r="3175" b="698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901571" cy="3082607"/>
                    </a:xfrm>
                    <a:prstGeom prst="rect">
                      <a:avLst/>
                    </a:prstGeom>
                    <a:noFill/>
                    <a:ln>
                      <a:noFill/>
                    </a:ln>
                  </pic:spPr>
                </pic:pic>
              </a:graphicData>
            </a:graphic>
          </wp:inline>
        </w:drawing>
      </w:r>
    </w:p>
    <w:p w14:paraId="331B8195" w14:textId="77777777" w:rsidR="00180F41" w:rsidRDefault="00180F41" w:rsidP="001745F3">
      <w:pPr>
        <w:jc w:val="center"/>
        <w:rPr>
          <w:color w:val="FF0000"/>
        </w:rPr>
      </w:pPr>
    </w:p>
    <w:p w14:paraId="47421810" w14:textId="77777777" w:rsidR="00180F41" w:rsidRDefault="00180F41" w:rsidP="001745F3">
      <w:pPr>
        <w:jc w:val="center"/>
        <w:rPr>
          <w:color w:val="FF0000"/>
        </w:rPr>
      </w:pPr>
      <w:r w:rsidRPr="00180F41">
        <w:rPr>
          <w:noProof/>
        </w:rPr>
        <w:lastRenderedPageBreak/>
        <w:drawing>
          <wp:inline distT="0" distB="0" distL="0" distR="0" wp14:anchorId="33949E84" wp14:editId="7FDA904D">
            <wp:extent cx="8893175" cy="5107940"/>
            <wp:effectExtent l="0" t="0" r="3175"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893175" cy="5107940"/>
                    </a:xfrm>
                    <a:prstGeom prst="rect">
                      <a:avLst/>
                    </a:prstGeom>
                    <a:noFill/>
                    <a:ln>
                      <a:noFill/>
                    </a:ln>
                  </pic:spPr>
                </pic:pic>
              </a:graphicData>
            </a:graphic>
          </wp:inline>
        </w:drawing>
      </w:r>
    </w:p>
    <w:p w14:paraId="5808A5F6" w14:textId="77777777" w:rsidR="00180F41" w:rsidRDefault="00180F41" w:rsidP="001745F3">
      <w:pPr>
        <w:jc w:val="center"/>
        <w:rPr>
          <w:color w:val="FF0000"/>
        </w:rPr>
      </w:pPr>
    </w:p>
    <w:p w14:paraId="4A331155" w14:textId="77777777" w:rsidR="00180F41" w:rsidRDefault="00180F41" w:rsidP="001745F3">
      <w:pPr>
        <w:jc w:val="center"/>
        <w:rPr>
          <w:color w:val="FF0000"/>
        </w:rPr>
      </w:pPr>
      <w:r w:rsidRPr="00180F41">
        <w:rPr>
          <w:noProof/>
        </w:rPr>
        <w:lastRenderedPageBreak/>
        <w:drawing>
          <wp:inline distT="0" distB="0" distL="0" distR="0" wp14:anchorId="19D1955B" wp14:editId="1586B901">
            <wp:extent cx="8893175" cy="3313785"/>
            <wp:effectExtent l="0" t="0" r="3175" b="127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897700" cy="3315471"/>
                    </a:xfrm>
                    <a:prstGeom prst="rect">
                      <a:avLst/>
                    </a:prstGeom>
                    <a:noFill/>
                    <a:ln>
                      <a:noFill/>
                    </a:ln>
                  </pic:spPr>
                </pic:pic>
              </a:graphicData>
            </a:graphic>
          </wp:inline>
        </w:drawing>
      </w:r>
    </w:p>
    <w:p w14:paraId="75B5DEDB" w14:textId="77777777" w:rsidR="006E41A9" w:rsidRDefault="006E41A9" w:rsidP="001745F3">
      <w:pPr>
        <w:jc w:val="center"/>
        <w:rPr>
          <w:color w:val="FF0000"/>
        </w:rPr>
      </w:pPr>
    </w:p>
    <w:p w14:paraId="0703FE9A" w14:textId="77777777" w:rsidR="006E41A9" w:rsidRDefault="006E41A9" w:rsidP="001745F3">
      <w:pPr>
        <w:jc w:val="center"/>
        <w:rPr>
          <w:color w:val="FF0000"/>
        </w:rPr>
      </w:pPr>
      <w:r w:rsidRPr="006E41A9">
        <w:rPr>
          <w:noProof/>
        </w:rPr>
        <w:lastRenderedPageBreak/>
        <w:drawing>
          <wp:inline distT="0" distB="0" distL="0" distR="0" wp14:anchorId="6F2009F6" wp14:editId="5F1B2953">
            <wp:extent cx="8893175" cy="5080000"/>
            <wp:effectExtent l="0" t="0" r="3175" b="635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893175" cy="5080000"/>
                    </a:xfrm>
                    <a:prstGeom prst="rect">
                      <a:avLst/>
                    </a:prstGeom>
                    <a:noFill/>
                    <a:ln>
                      <a:noFill/>
                    </a:ln>
                  </pic:spPr>
                </pic:pic>
              </a:graphicData>
            </a:graphic>
          </wp:inline>
        </w:drawing>
      </w:r>
    </w:p>
    <w:p w14:paraId="3CECFE4E" w14:textId="77777777" w:rsidR="006E41A9" w:rsidRDefault="006E41A9" w:rsidP="001745F3">
      <w:pPr>
        <w:jc w:val="center"/>
        <w:rPr>
          <w:color w:val="FF0000"/>
        </w:rPr>
      </w:pPr>
    </w:p>
    <w:p w14:paraId="7665E5D0" w14:textId="5219BC0C" w:rsidR="006E41A9" w:rsidRPr="00180F41" w:rsidRDefault="006E41A9" w:rsidP="001745F3">
      <w:pPr>
        <w:jc w:val="center"/>
        <w:rPr>
          <w:color w:val="FF0000"/>
        </w:rPr>
        <w:sectPr w:rsidR="006E41A9" w:rsidRPr="00180F41" w:rsidSect="00D534BF">
          <w:pgSz w:w="16840" w:h="11907" w:code="9"/>
          <w:pgMar w:top="1418" w:right="1134" w:bottom="907" w:left="1701" w:header="709" w:footer="709" w:gutter="0"/>
          <w:cols w:space="708"/>
          <w:docGrid w:linePitch="360"/>
        </w:sectPr>
      </w:pPr>
      <w:r w:rsidRPr="006E41A9">
        <w:rPr>
          <w:noProof/>
        </w:rPr>
        <w:lastRenderedPageBreak/>
        <w:drawing>
          <wp:inline distT="0" distB="0" distL="0" distR="0" wp14:anchorId="2070A3A5" wp14:editId="2D831CA0">
            <wp:extent cx="8893175" cy="3364992"/>
            <wp:effectExtent l="0" t="0" r="3175" b="6985"/>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898450" cy="3366988"/>
                    </a:xfrm>
                    <a:prstGeom prst="rect">
                      <a:avLst/>
                    </a:prstGeom>
                    <a:noFill/>
                    <a:ln>
                      <a:noFill/>
                    </a:ln>
                  </pic:spPr>
                </pic:pic>
              </a:graphicData>
            </a:graphic>
          </wp:inline>
        </w:drawing>
      </w:r>
    </w:p>
    <w:p w14:paraId="1ED720C2" w14:textId="4CB3EC69" w:rsidR="009C0C0C" w:rsidRPr="000E304C" w:rsidRDefault="009C0C0C" w:rsidP="00C7429D">
      <w:pPr>
        <w:pStyle w:val="Ttulo2"/>
        <w:rPr>
          <w:bCs/>
          <w:iCs/>
        </w:rPr>
      </w:pPr>
      <w:bookmarkStart w:id="36" w:name="_Toc113971769"/>
      <w:r w:rsidRPr="000E304C">
        <w:lastRenderedPageBreak/>
        <w:t>Segurança</w:t>
      </w:r>
      <w:bookmarkEnd w:id="36"/>
    </w:p>
    <w:p w14:paraId="413A57C2" w14:textId="77777777" w:rsidR="00B40BFC" w:rsidRPr="000E304C" w:rsidRDefault="00B40BFC" w:rsidP="00C7429D">
      <w:pPr>
        <w:pStyle w:val="Ttulo3"/>
      </w:pPr>
      <w:bookmarkStart w:id="37" w:name="_Toc113971770"/>
      <w:r w:rsidRPr="000E304C">
        <w:t>Caracterização</w:t>
      </w:r>
      <w:bookmarkEnd w:id="37"/>
    </w:p>
    <w:p w14:paraId="6D20CFF7" w14:textId="5AE070DC" w:rsidR="009C0C0C" w:rsidRPr="00304144" w:rsidRDefault="00B350AE" w:rsidP="00C7429D">
      <w:pPr>
        <w:ind w:left="2" w:firstLine="1"/>
        <w:jc w:val="both"/>
        <w:rPr>
          <w:color w:val="FF0000"/>
        </w:rPr>
      </w:pPr>
      <w:r w:rsidRPr="000E304C">
        <w:t>O serviço de vigilância</w:t>
      </w:r>
      <w:r w:rsidR="00C94B77" w:rsidRPr="000E304C">
        <w:t xml:space="preserve"> é responsável pela guarda e segurança do patrimônio público, membros, servidores,</w:t>
      </w:r>
      <w:r w:rsidR="00C94B77" w:rsidRPr="0094056D">
        <w:t xml:space="preserve"> prestadores de serviços e visitantes. </w:t>
      </w:r>
      <w:r w:rsidR="00F43566" w:rsidRPr="0094056D">
        <w:t>O foco principal desse tema será o mapeamento</w:t>
      </w:r>
      <w:r w:rsidR="0092063B" w:rsidRPr="0094056D">
        <w:t xml:space="preserve"> da execução</w:t>
      </w:r>
      <w:r w:rsidR="00A87A3A" w:rsidRPr="0094056D">
        <w:t xml:space="preserve"> dos serviços contratados por meio do registro de ocorrências registrados nos sistemas de </w:t>
      </w:r>
      <w:r w:rsidR="0094056D" w:rsidRPr="0094056D">
        <w:t xml:space="preserve">gestão e controle </w:t>
      </w:r>
      <w:r w:rsidR="0094056D" w:rsidRPr="00A87CF7">
        <w:t>contratuais.</w:t>
      </w:r>
      <w:r w:rsidR="00F43566" w:rsidRPr="00A87CF7">
        <w:t xml:space="preserve"> O acompanhamento mensal seguirá a mesma metodologia</w:t>
      </w:r>
      <w:r w:rsidR="00311E90" w:rsidRPr="00A87CF7">
        <w:t xml:space="preserve"> de acompanhamento dos demais temas, permitindo assim </w:t>
      </w:r>
      <w:r w:rsidR="006A51F3" w:rsidRPr="00A87CF7">
        <w:t>monitorar os registros contratuais</w:t>
      </w:r>
      <w:r w:rsidR="00311E90" w:rsidRPr="00A87CF7">
        <w:t xml:space="preserve">, em decorrência </w:t>
      </w:r>
      <w:r w:rsidR="00755E7B" w:rsidRPr="00A87CF7">
        <w:t>de falhas na execução</w:t>
      </w:r>
      <w:r w:rsidR="00A87CF7" w:rsidRPr="00A87CF7">
        <w:t>.</w:t>
      </w:r>
    </w:p>
    <w:p w14:paraId="6673086E" w14:textId="121A42F1" w:rsidR="00B40BFC" w:rsidRPr="005E3D54" w:rsidRDefault="00B40BFC" w:rsidP="00C7429D">
      <w:pPr>
        <w:pStyle w:val="Ttulo3"/>
      </w:pPr>
      <w:bookmarkStart w:id="38" w:name="_Toc113971771"/>
      <w:r w:rsidRPr="005E3D54">
        <w:t>Metas, dados coletados e avaliação</w:t>
      </w:r>
      <w:bookmarkEnd w:id="38"/>
    </w:p>
    <w:p w14:paraId="5AEA2F4D" w14:textId="77777777" w:rsidR="00A169A3" w:rsidRDefault="00251243" w:rsidP="005417A0">
      <w:pPr>
        <w:jc w:val="both"/>
      </w:pPr>
      <w:r w:rsidRPr="005417A0">
        <w:t>O</w:t>
      </w:r>
      <w:r w:rsidR="00C15878">
        <w:t>s</w:t>
      </w:r>
      <w:r w:rsidRPr="005417A0">
        <w:t xml:space="preserve"> indicador</w:t>
      </w:r>
      <w:r w:rsidR="00C15878">
        <w:t>es</w:t>
      </w:r>
      <w:r w:rsidRPr="005417A0">
        <w:t xml:space="preserve"> a ser</w:t>
      </w:r>
      <w:r w:rsidR="00C15878">
        <w:t>em</w:t>
      </w:r>
      <w:r w:rsidRPr="005417A0">
        <w:t xml:space="preserve"> monitorado</w:t>
      </w:r>
      <w:r w:rsidR="00C732A6">
        <w:t>s</w:t>
      </w:r>
      <w:r w:rsidR="0087555D" w:rsidRPr="005417A0">
        <w:t xml:space="preserve"> </w:t>
      </w:r>
      <w:r w:rsidR="00C732A6">
        <w:t>são</w:t>
      </w:r>
      <w:r w:rsidR="0087555D" w:rsidRPr="005417A0">
        <w:t xml:space="preserve"> </w:t>
      </w:r>
      <w:r w:rsidR="005417A0" w:rsidRPr="005417A0">
        <w:t>o</w:t>
      </w:r>
      <w:r w:rsidR="0087555D" w:rsidRPr="005417A0">
        <w:t xml:space="preserve"> </w:t>
      </w:r>
      <w:r w:rsidR="00ED2ACB" w:rsidRPr="005417A0">
        <w:rPr>
          <w:b/>
        </w:rPr>
        <w:t>“</w:t>
      </w:r>
      <w:r w:rsidR="00A87CF7" w:rsidRPr="005417A0">
        <w:rPr>
          <w:b/>
        </w:rPr>
        <w:t>índice de ocorrências em contratos de vigilância orgânica/eletrônica</w:t>
      </w:r>
      <w:r w:rsidR="00ED2ACB" w:rsidRPr="00C732A6">
        <w:rPr>
          <w:bCs/>
        </w:rPr>
        <w:t>”</w:t>
      </w:r>
      <w:r w:rsidR="00C732A6" w:rsidRPr="00C732A6">
        <w:rPr>
          <w:bCs/>
        </w:rPr>
        <w:t xml:space="preserve"> e o</w:t>
      </w:r>
      <w:r w:rsidR="00C732A6">
        <w:rPr>
          <w:b/>
        </w:rPr>
        <w:t xml:space="preserve"> </w:t>
      </w:r>
      <w:r w:rsidR="00C732A6" w:rsidRPr="005417A0">
        <w:rPr>
          <w:b/>
        </w:rPr>
        <w:t xml:space="preserve">“índice de ocorrências em contratos de </w:t>
      </w:r>
      <w:r w:rsidR="00C732A6">
        <w:rPr>
          <w:b/>
        </w:rPr>
        <w:t>portaria</w:t>
      </w:r>
      <w:r w:rsidR="00C732A6" w:rsidRPr="005417A0">
        <w:rPr>
          <w:b/>
        </w:rPr>
        <w:t>/</w:t>
      </w:r>
      <w:r w:rsidR="00C732A6">
        <w:rPr>
          <w:b/>
        </w:rPr>
        <w:t>recepção</w:t>
      </w:r>
      <w:r w:rsidR="00C732A6" w:rsidRPr="005417A0">
        <w:rPr>
          <w:b/>
        </w:rPr>
        <w:t>”</w:t>
      </w:r>
      <w:r w:rsidR="004A1DA4" w:rsidRPr="005417A0">
        <w:t xml:space="preserve">. </w:t>
      </w:r>
    </w:p>
    <w:p w14:paraId="74D8A978" w14:textId="515F2AC1" w:rsidR="007D71D8" w:rsidRPr="00304144" w:rsidRDefault="00A169A3" w:rsidP="005417A0">
      <w:pPr>
        <w:jc w:val="both"/>
        <w:rPr>
          <w:color w:val="FF0000"/>
        </w:rPr>
      </w:pPr>
      <w:r>
        <w:t>O objetivo</w:t>
      </w:r>
      <w:r w:rsidR="002D427B">
        <w:t xml:space="preserve"> destes indicadores </w:t>
      </w:r>
      <w:r w:rsidR="0043790B">
        <w:t>é m</w:t>
      </w:r>
      <w:r w:rsidR="007D32F3" w:rsidRPr="007D32F3">
        <w:t>edir a execução do serviço contratado por meio do registro de ocorrências no sistema Co</w:t>
      </w:r>
      <w:r w:rsidR="000B081F">
        <w:t>mprasnet</w:t>
      </w:r>
      <w:r w:rsidR="00C209B0">
        <w:t>, além de</w:t>
      </w:r>
      <w:r w:rsidR="001A7D7B">
        <w:t xml:space="preserve"> </w:t>
      </w:r>
      <w:r w:rsidR="007D32F3" w:rsidRPr="007D32F3">
        <w:t>estimula</w:t>
      </w:r>
      <w:r w:rsidR="00401186">
        <w:t>r</w:t>
      </w:r>
      <w:r w:rsidR="00214565">
        <w:t xml:space="preserve"> os registros</w:t>
      </w:r>
      <w:r w:rsidR="00F44C5D">
        <w:t xml:space="preserve"> por parte da fiscalização </w:t>
      </w:r>
      <w:r w:rsidR="00CA02C7">
        <w:t>dos contratos.</w:t>
      </w:r>
    </w:p>
    <w:p w14:paraId="776922F5" w14:textId="77777777" w:rsidR="002D11AC" w:rsidRPr="005E3D54" w:rsidRDefault="00D063BD" w:rsidP="002D11AC">
      <w:pPr>
        <w:jc w:val="both"/>
      </w:pPr>
      <w:r w:rsidRPr="005E3D54">
        <w:t xml:space="preserve">Quanto ao contrato de recepção, </w:t>
      </w:r>
      <w:r w:rsidR="002D11AC" w:rsidRPr="005E3D54">
        <w:t xml:space="preserve">com o advento da pandemia, </w:t>
      </w:r>
      <w:r w:rsidRPr="005E3D54">
        <w:t>foi adotado o regime de revezamento entre os terceirizados tendo em vista a redução de atendimento ao público e ao regime de teletrabalho adotado pelo quadro administrativo e jurídico da instituição.</w:t>
      </w:r>
    </w:p>
    <w:p w14:paraId="335769A7" w14:textId="69276C1C" w:rsidR="00D063BD" w:rsidRDefault="690B483D" w:rsidP="002D11AC">
      <w:pPr>
        <w:jc w:val="both"/>
      </w:pPr>
      <w:r w:rsidRPr="00D818CA">
        <w:t>Além de reforçar as orientações</w:t>
      </w:r>
      <w:r w:rsidR="1D295E2D" w:rsidRPr="00D818CA">
        <w:t xml:space="preserve"> quanto aos cuidados </w:t>
      </w:r>
      <w:r w:rsidR="769A7BF0" w:rsidRPr="00D818CA">
        <w:t>na</w:t>
      </w:r>
      <w:r w:rsidR="1D295E2D" w:rsidRPr="00D818CA">
        <w:t xml:space="preserve"> prevenção de contaminação</w:t>
      </w:r>
      <w:r w:rsidR="25CA37D7" w:rsidRPr="00D818CA">
        <w:t xml:space="preserve"> pelo Coronavírus, f</w:t>
      </w:r>
      <w:r w:rsidR="2E6C9A39" w:rsidRPr="00D818CA">
        <w:t>oram</w:t>
      </w:r>
      <w:r w:rsidR="00D063BD" w:rsidRPr="00D818CA">
        <w:t xml:space="preserve"> fornecidos aos colaboradores da empresa máscaras e álcool em gel para resguardar sua saúde no </w:t>
      </w:r>
      <w:r w:rsidR="00D063BD" w:rsidRPr="005E3D54">
        <w:t xml:space="preserve">momento de contato com os visitantes. A higienização de crachás após uso também foi </w:t>
      </w:r>
      <w:r w:rsidR="2E6C9A39">
        <w:t>adotad</w:t>
      </w:r>
      <w:r w:rsidR="3E4DF409" w:rsidRPr="005B0C25">
        <w:t>a</w:t>
      </w:r>
      <w:r w:rsidR="00D063BD" w:rsidRPr="005E3D54">
        <w:t xml:space="preserve"> como parte da rotina do recepcionista.</w:t>
      </w:r>
    </w:p>
    <w:p w14:paraId="10B28CB9" w14:textId="03EE41BF" w:rsidR="009C0C0C" w:rsidRPr="00F7467C" w:rsidRDefault="009C0C0C" w:rsidP="00C7429D">
      <w:pPr>
        <w:pStyle w:val="Ttulo2"/>
      </w:pPr>
      <w:bookmarkStart w:id="39" w:name="_Toc113971772"/>
      <w:r w:rsidRPr="00F7467C">
        <w:t>Gestão de Resíduos Sólidos</w:t>
      </w:r>
      <w:bookmarkEnd w:id="39"/>
    </w:p>
    <w:p w14:paraId="684DFEF0" w14:textId="77777777" w:rsidR="00B40BFC" w:rsidRPr="00F7467C" w:rsidRDefault="00B40BFC" w:rsidP="00C7429D">
      <w:pPr>
        <w:pStyle w:val="Ttulo3"/>
      </w:pPr>
      <w:bookmarkStart w:id="40" w:name="_Toc113971773"/>
      <w:r w:rsidRPr="00F7467C">
        <w:t>Caracterização</w:t>
      </w:r>
      <w:bookmarkEnd w:id="40"/>
    </w:p>
    <w:p w14:paraId="0031C72C" w14:textId="53AB6F40" w:rsidR="009C0C0C" w:rsidRPr="00F7467C" w:rsidRDefault="009C0C0C" w:rsidP="00C7429D">
      <w:pPr>
        <w:ind w:left="2" w:firstLine="1"/>
        <w:jc w:val="both"/>
        <w:rPr>
          <w:bCs/>
          <w:iCs/>
        </w:rPr>
      </w:pPr>
      <w:r w:rsidRPr="00F7467C">
        <w:rPr>
          <w:bCs/>
          <w:iCs/>
        </w:rPr>
        <w:t>A gestão de resíduos sólidos é o conjunto de atividades integradas que buscam soluções com vistas a redução da geração do resíduo, o aprimoramento das práticas de manejo e reciclagem e da destinação ambientalmente adequada dos rejeitos. Compreende atividades como estudo do ciclo de vida, especificação dos itens considerando, a utilização de materiais recicláveis e a presença de substâncias tóxicas na composição do produto. A Coleta Seletiva, a Coleta Seletiva Solidária, a Logística Reversa são importantes instrumentos para aprimoramento da gestão dos resíduos na AGU.</w:t>
      </w:r>
    </w:p>
    <w:p w14:paraId="37EB29B2" w14:textId="7B94EA55" w:rsidR="00B40BFC" w:rsidRPr="00F7467C" w:rsidRDefault="00B40BFC" w:rsidP="00C7429D">
      <w:pPr>
        <w:pStyle w:val="Ttulo3"/>
      </w:pPr>
      <w:bookmarkStart w:id="41" w:name="_Toc113971774"/>
      <w:r w:rsidRPr="00F7467C">
        <w:t>Metas, dados coletados e avaliação</w:t>
      </w:r>
      <w:bookmarkEnd w:id="41"/>
    </w:p>
    <w:p w14:paraId="7D18EE31" w14:textId="77777777" w:rsidR="00303575" w:rsidRDefault="004A0D73" w:rsidP="004A0D73">
      <w:pPr>
        <w:jc w:val="both"/>
      </w:pPr>
      <w:r w:rsidRPr="005417A0">
        <w:t>O</w:t>
      </w:r>
      <w:r>
        <w:t>s</w:t>
      </w:r>
      <w:r w:rsidRPr="005417A0">
        <w:t xml:space="preserve"> indicador</w:t>
      </w:r>
      <w:r>
        <w:t>es</w:t>
      </w:r>
      <w:r w:rsidRPr="005417A0">
        <w:t xml:space="preserve"> a ser</w:t>
      </w:r>
      <w:r>
        <w:t>em</w:t>
      </w:r>
      <w:r w:rsidRPr="005417A0">
        <w:t xml:space="preserve"> monitorado</w:t>
      </w:r>
      <w:r>
        <w:t>s</w:t>
      </w:r>
      <w:r w:rsidRPr="005417A0">
        <w:t xml:space="preserve"> </w:t>
      </w:r>
      <w:r>
        <w:t>são</w:t>
      </w:r>
      <w:r w:rsidRPr="005417A0">
        <w:t xml:space="preserve"> o </w:t>
      </w:r>
      <w:r w:rsidRPr="005417A0">
        <w:rPr>
          <w:b/>
        </w:rPr>
        <w:t>“</w:t>
      </w:r>
      <w:r w:rsidR="00AC5A7A" w:rsidRPr="00AC5A7A">
        <w:rPr>
          <w:b/>
          <w:bCs/>
        </w:rPr>
        <w:t>Índice de descarte de papel destinado as cooperativas X papel A4 requisitado</w:t>
      </w:r>
      <w:r w:rsidRPr="00C732A6">
        <w:rPr>
          <w:bCs/>
        </w:rPr>
        <w:t>” e o</w:t>
      </w:r>
      <w:r>
        <w:rPr>
          <w:b/>
        </w:rPr>
        <w:t xml:space="preserve"> </w:t>
      </w:r>
      <w:r w:rsidRPr="005417A0">
        <w:rPr>
          <w:b/>
        </w:rPr>
        <w:t>“</w:t>
      </w:r>
      <w:r w:rsidR="0060249B">
        <w:rPr>
          <w:b/>
        </w:rPr>
        <w:t>m</w:t>
      </w:r>
      <w:r w:rsidR="0060249B" w:rsidRPr="0060249B">
        <w:rPr>
          <w:b/>
        </w:rPr>
        <w:t>aterial reciclável destinado às cooperativas</w:t>
      </w:r>
      <w:r w:rsidRPr="005417A0">
        <w:rPr>
          <w:b/>
        </w:rPr>
        <w:t>”</w:t>
      </w:r>
      <w:r w:rsidRPr="005417A0">
        <w:t xml:space="preserve">. </w:t>
      </w:r>
    </w:p>
    <w:p w14:paraId="127B4712" w14:textId="1BC49510" w:rsidR="004A0D73" w:rsidRPr="00304144" w:rsidRDefault="00356876" w:rsidP="004A0D73">
      <w:pPr>
        <w:jc w:val="both"/>
        <w:rPr>
          <w:color w:val="FF0000"/>
        </w:rPr>
      </w:pPr>
      <w:r>
        <w:lastRenderedPageBreak/>
        <w:t>O objetivo do primeiro é estimular o descarte correto</w:t>
      </w:r>
      <w:r w:rsidR="00A14115">
        <w:t xml:space="preserve"> do papel gerado no dia a dia pelas impressoras, gerando o máximo aproveitamento do resíduo.</w:t>
      </w:r>
      <w:r w:rsidR="00BA2D96">
        <w:t xml:space="preserve"> </w:t>
      </w:r>
      <w:r w:rsidR="003779A4">
        <w:t>Já o segundo</w:t>
      </w:r>
      <w:r w:rsidR="00BA2D96">
        <w:t xml:space="preserve"> tem como objetivo </w:t>
      </w:r>
      <w:r w:rsidR="00F245D8">
        <w:t xml:space="preserve">incentivar e </w:t>
      </w:r>
      <w:r w:rsidR="00BA2D96">
        <w:t>monitorar</w:t>
      </w:r>
      <w:r>
        <w:t xml:space="preserve"> </w:t>
      </w:r>
      <w:r w:rsidR="00F245D8">
        <w:t>o descarte correto dos demais recicláveis.</w:t>
      </w:r>
    </w:p>
    <w:p w14:paraId="09E9B55D" w14:textId="384C5D8A" w:rsidR="00521D07" w:rsidRPr="006B76D4" w:rsidRDefault="00521D07" w:rsidP="00677F2D">
      <w:pPr>
        <w:jc w:val="both"/>
      </w:pPr>
      <w:r w:rsidRPr="006B76D4">
        <w:t xml:space="preserve">Manteve-se a atenção </w:t>
      </w:r>
      <w:r w:rsidR="008F6AB1" w:rsidRPr="006B76D4">
        <w:t>a</w:t>
      </w:r>
      <w:r w:rsidRPr="006B76D4">
        <w:t xml:space="preserve">o descarte de resíduos sólidos recicláveis em geral, </w:t>
      </w:r>
      <w:r w:rsidR="00161437" w:rsidRPr="006B76D4">
        <w:t xml:space="preserve">no que tange a separação deles, tais </w:t>
      </w:r>
      <w:r w:rsidRPr="006B76D4">
        <w:t>como vidros, alumínio, plásticos e papelão, entre outros.</w:t>
      </w:r>
      <w:r w:rsidR="455FD0D1" w:rsidRPr="006B76D4">
        <w:t xml:space="preserve"> Para o exercício</w:t>
      </w:r>
      <w:r w:rsidR="00D86309" w:rsidRPr="006B76D4">
        <w:t xml:space="preserve"> de 202</w:t>
      </w:r>
      <w:r w:rsidR="005B0C25">
        <w:t>2</w:t>
      </w:r>
      <w:r w:rsidR="455FD0D1" w:rsidRPr="006B76D4">
        <w:t xml:space="preserve"> foi estipulada meta de </w:t>
      </w:r>
      <w:r w:rsidR="005B0C25">
        <w:t>&gt;5</w:t>
      </w:r>
      <w:r w:rsidR="455FD0D1" w:rsidRPr="006B76D4">
        <w:t xml:space="preserve">% para o </w:t>
      </w:r>
      <w:r w:rsidR="00876196" w:rsidRPr="006B76D4">
        <w:t>í</w:t>
      </w:r>
      <w:r w:rsidR="455FD0D1" w:rsidRPr="006B76D4">
        <w:t xml:space="preserve">ndice de </w:t>
      </w:r>
      <w:r w:rsidR="00876196" w:rsidRPr="006B76D4">
        <w:t>m</w:t>
      </w:r>
      <w:r w:rsidR="455FD0D1" w:rsidRPr="006B76D4">
        <w:t xml:space="preserve">aterial reciclável destinado às cooperativas para </w:t>
      </w:r>
      <w:r w:rsidR="00876196" w:rsidRPr="006B76D4">
        <w:t>o ed. Sede</w:t>
      </w:r>
      <w:r w:rsidR="455FD0D1" w:rsidRPr="006B76D4">
        <w:t>. Demais Unidades</w:t>
      </w:r>
      <w:r w:rsidR="60FEE5FB" w:rsidRPr="006B76D4">
        <w:t xml:space="preserve"> ainda sem histórico anterior, </w:t>
      </w:r>
      <w:r w:rsidR="008758A2" w:rsidRPr="006B76D4">
        <w:t>serão monitoradas</w:t>
      </w:r>
      <w:r w:rsidR="60FEE5FB" w:rsidRPr="006B76D4">
        <w:t xml:space="preserve"> este ano </w:t>
      </w:r>
      <w:r w:rsidR="008758A2" w:rsidRPr="006B76D4">
        <w:t xml:space="preserve">de forma a se obter </w:t>
      </w:r>
      <w:r w:rsidR="006B76D4" w:rsidRPr="006B76D4">
        <w:t xml:space="preserve">uma série histórica a </w:t>
      </w:r>
      <w:r w:rsidR="60FEE5FB" w:rsidRPr="006B76D4">
        <w:t>ser utilizad</w:t>
      </w:r>
      <w:r w:rsidR="006B76D4" w:rsidRPr="006B76D4">
        <w:t>a</w:t>
      </w:r>
      <w:r w:rsidR="60FEE5FB" w:rsidRPr="006B76D4">
        <w:t xml:space="preserve"> para </w:t>
      </w:r>
      <w:r w:rsidR="2653A46C" w:rsidRPr="006B76D4">
        <w:t>formação</w:t>
      </w:r>
      <w:r w:rsidR="60FEE5FB" w:rsidRPr="006B76D4">
        <w:t xml:space="preserve"> de </w:t>
      </w:r>
      <w:r w:rsidR="01DB9E81" w:rsidRPr="006B76D4">
        <w:t>meta para o ano seguinte.</w:t>
      </w:r>
    </w:p>
    <w:p w14:paraId="1A1EF9F7" w14:textId="7FCE4486" w:rsidR="003E478E" w:rsidRPr="001B0993" w:rsidRDefault="002D315F" w:rsidP="00521D07">
      <w:pPr>
        <w:jc w:val="both"/>
      </w:pPr>
      <w:r w:rsidRPr="00D53B3E">
        <w:t xml:space="preserve">A seguir são apresentadas as planilhas </w:t>
      </w:r>
      <w:r>
        <w:t>com os dados monitorados</w:t>
      </w:r>
      <w:r w:rsidR="001B0993" w:rsidRPr="001B0993">
        <w:t>.</w:t>
      </w:r>
    </w:p>
    <w:p w14:paraId="57FB493E" w14:textId="65D5D8BB" w:rsidR="002E4538" w:rsidRDefault="002E4538">
      <w:pPr>
        <w:rPr>
          <w:color w:val="FF0000"/>
        </w:rPr>
      </w:pPr>
      <w:r>
        <w:rPr>
          <w:color w:val="FF0000"/>
        </w:rPr>
        <w:br w:type="page"/>
      </w:r>
    </w:p>
    <w:p w14:paraId="56544A31" w14:textId="77777777" w:rsidR="008C3075" w:rsidRDefault="008C3075" w:rsidP="00521D07">
      <w:pPr>
        <w:jc w:val="both"/>
        <w:rPr>
          <w:color w:val="FF0000"/>
        </w:rPr>
        <w:sectPr w:rsidR="008C3075" w:rsidSect="00D0483C">
          <w:pgSz w:w="11907" w:h="16840" w:orient="landscape" w:code="9"/>
          <w:pgMar w:top="1134" w:right="907" w:bottom="1701" w:left="1418" w:header="709" w:footer="709" w:gutter="0"/>
          <w:cols w:space="708"/>
          <w:docGrid w:linePitch="360"/>
        </w:sectPr>
      </w:pPr>
    </w:p>
    <w:p w14:paraId="23C8C07B" w14:textId="77777777" w:rsidR="002F2765" w:rsidRDefault="00654429" w:rsidP="00521D07">
      <w:pPr>
        <w:jc w:val="both"/>
        <w:rPr>
          <w:color w:val="FF0000"/>
        </w:rPr>
      </w:pPr>
      <w:r w:rsidRPr="00654429">
        <w:lastRenderedPageBreak/>
        <w:t xml:space="preserve"> </w:t>
      </w:r>
      <w:r w:rsidR="00823F1E" w:rsidRPr="00823F1E">
        <w:rPr>
          <w:noProof/>
        </w:rPr>
        <w:drawing>
          <wp:inline distT="0" distB="0" distL="0" distR="0" wp14:anchorId="7B8FDF5F" wp14:editId="1BB308A9">
            <wp:extent cx="8893175" cy="4964430"/>
            <wp:effectExtent l="0" t="0" r="3175" b="7620"/>
            <wp:docPr id="2006030855" name="Imagem 2006030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893175" cy="4964430"/>
                    </a:xfrm>
                    <a:prstGeom prst="rect">
                      <a:avLst/>
                    </a:prstGeom>
                    <a:noFill/>
                    <a:ln>
                      <a:noFill/>
                    </a:ln>
                  </pic:spPr>
                </pic:pic>
              </a:graphicData>
            </a:graphic>
          </wp:inline>
        </w:drawing>
      </w:r>
      <w:r w:rsidR="006C5125" w:rsidRPr="00353BDE">
        <w:t xml:space="preserve"> </w:t>
      </w:r>
      <w:r w:rsidR="007B2B39" w:rsidRPr="007B2B39">
        <w:t xml:space="preserve"> </w:t>
      </w:r>
      <w:r w:rsidR="00230783" w:rsidRPr="00230783">
        <w:t xml:space="preserve"> </w:t>
      </w:r>
      <w:r w:rsidR="00353BDE" w:rsidRPr="00353BDE">
        <w:t xml:space="preserve"> </w:t>
      </w:r>
      <w:r w:rsidR="004E0A4F" w:rsidRPr="004E0A4F">
        <w:t xml:space="preserve"> </w:t>
      </w:r>
      <w:r w:rsidR="00806B57" w:rsidRPr="00806B57">
        <w:rPr>
          <w:color w:val="FF0000"/>
        </w:rPr>
        <w:t xml:space="preserve"> </w:t>
      </w:r>
    </w:p>
    <w:p w14:paraId="25177630" w14:textId="77777777" w:rsidR="002F2765" w:rsidRDefault="002F2765" w:rsidP="00521D07">
      <w:pPr>
        <w:jc w:val="both"/>
        <w:rPr>
          <w:color w:val="FF0000"/>
        </w:rPr>
      </w:pPr>
    </w:p>
    <w:p w14:paraId="2FDC353A" w14:textId="5FA88DF9" w:rsidR="00E35493" w:rsidRDefault="00E35493" w:rsidP="00521D07">
      <w:pPr>
        <w:jc w:val="both"/>
        <w:rPr>
          <w:color w:val="FF0000"/>
        </w:rPr>
      </w:pPr>
      <w:r w:rsidRPr="00E35493">
        <w:rPr>
          <w:color w:val="FF0000"/>
        </w:rPr>
        <w:lastRenderedPageBreak/>
        <w:t xml:space="preserve"> </w:t>
      </w:r>
      <w:r w:rsidR="002F2765" w:rsidRPr="002F2765">
        <w:rPr>
          <w:noProof/>
        </w:rPr>
        <w:drawing>
          <wp:inline distT="0" distB="0" distL="0" distR="0" wp14:anchorId="1C9529DA" wp14:editId="65AF0011">
            <wp:extent cx="8893175" cy="5427980"/>
            <wp:effectExtent l="0" t="0" r="3175" b="1270"/>
            <wp:docPr id="2006030857" name="Imagem 2006030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893175" cy="5427980"/>
                    </a:xfrm>
                    <a:prstGeom prst="rect">
                      <a:avLst/>
                    </a:prstGeom>
                    <a:noFill/>
                    <a:ln>
                      <a:noFill/>
                    </a:ln>
                  </pic:spPr>
                </pic:pic>
              </a:graphicData>
            </a:graphic>
          </wp:inline>
        </w:drawing>
      </w:r>
    </w:p>
    <w:p w14:paraId="5D9D9790" w14:textId="77777777" w:rsidR="00033ACA" w:rsidRDefault="00033ACA" w:rsidP="00521D07">
      <w:pPr>
        <w:jc w:val="both"/>
        <w:rPr>
          <w:noProof/>
          <w:lang w:eastAsia="pt-BR"/>
        </w:rPr>
      </w:pPr>
    </w:p>
    <w:p w14:paraId="70AEC987" w14:textId="7C0D1E3A" w:rsidR="002F2765" w:rsidRPr="00304144" w:rsidRDefault="002F2765" w:rsidP="00521D07">
      <w:pPr>
        <w:jc w:val="both"/>
        <w:rPr>
          <w:color w:val="FF0000"/>
        </w:rPr>
        <w:sectPr w:rsidR="002F2765" w:rsidRPr="00304144" w:rsidSect="00114F69">
          <w:pgSz w:w="16840" w:h="11907" w:code="9"/>
          <w:pgMar w:top="1418" w:right="1134" w:bottom="907" w:left="1701" w:header="709" w:footer="709" w:gutter="0"/>
          <w:cols w:space="708"/>
          <w:docGrid w:linePitch="360"/>
        </w:sectPr>
      </w:pPr>
      <w:r w:rsidRPr="002F2765">
        <w:rPr>
          <w:noProof/>
        </w:rPr>
        <w:drawing>
          <wp:inline distT="0" distB="0" distL="0" distR="0" wp14:anchorId="500EC2DE" wp14:editId="07A80F53">
            <wp:extent cx="8893175" cy="2215515"/>
            <wp:effectExtent l="0" t="0" r="3175" b="0"/>
            <wp:docPr id="2006030858" name="Imagem 2006030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893175" cy="2215515"/>
                    </a:xfrm>
                    <a:prstGeom prst="rect">
                      <a:avLst/>
                    </a:prstGeom>
                    <a:noFill/>
                    <a:ln>
                      <a:noFill/>
                    </a:ln>
                  </pic:spPr>
                </pic:pic>
              </a:graphicData>
            </a:graphic>
          </wp:inline>
        </w:drawing>
      </w:r>
    </w:p>
    <w:p w14:paraId="494C52CD" w14:textId="2CF39A7A" w:rsidR="000C297A" w:rsidRPr="008E09FC" w:rsidRDefault="000C297A" w:rsidP="00C7429D">
      <w:pPr>
        <w:pStyle w:val="Ttulo2"/>
        <w:rPr>
          <w:sz w:val="22"/>
          <w:szCs w:val="22"/>
        </w:rPr>
      </w:pPr>
      <w:bookmarkStart w:id="42" w:name="_Toc113971775"/>
      <w:r w:rsidRPr="008E09FC">
        <w:lastRenderedPageBreak/>
        <w:t>Material de Consumo</w:t>
      </w:r>
      <w:bookmarkEnd w:id="42"/>
    </w:p>
    <w:p w14:paraId="605B4B8D" w14:textId="77777777" w:rsidR="00B40BFC" w:rsidRPr="008E09FC" w:rsidRDefault="00B40BFC" w:rsidP="00C7429D">
      <w:pPr>
        <w:pStyle w:val="Ttulo3"/>
      </w:pPr>
      <w:bookmarkStart w:id="43" w:name="_Toc113971776"/>
      <w:r w:rsidRPr="008E09FC">
        <w:t>Caracterização</w:t>
      </w:r>
      <w:bookmarkEnd w:id="43"/>
    </w:p>
    <w:p w14:paraId="30302E6C" w14:textId="61EB0279" w:rsidR="00861E78" w:rsidRPr="008E09FC" w:rsidRDefault="00357271" w:rsidP="00C7429D">
      <w:pPr>
        <w:jc w:val="both"/>
      </w:pPr>
      <w:r w:rsidRPr="008E09FC">
        <w:t xml:space="preserve">A aquisição de material de consumo na AGU segue orientações contidas no Manual de Gestão de Suprimentos e </w:t>
      </w:r>
      <w:r w:rsidR="0093655F" w:rsidRPr="008E09FC">
        <w:t>n</w:t>
      </w:r>
      <w:r w:rsidRPr="008E09FC">
        <w:t>o G</w:t>
      </w:r>
      <w:r w:rsidR="0093655F" w:rsidRPr="008E09FC">
        <w:t>uia Nacional de Licitações Sustentáveis</w:t>
      </w:r>
      <w:r w:rsidR="00B83FBF" w:rsidRPr="008E09FC">
        <w:t xml:space="preserve"> - CGU</w:t>
      </w:r>
      <w:r w:rsidRPr="008E09FC">
        <w:t>, o</w:t>
      </w:r>
      <w:r w:rsidR="00B83FBF" w:rsidRPr="008E09FC">
        <w:t>s</w:t>
      </w:r>
      <w:r w:rsidRPr="008E09FC">
        <w:t xml:space="preserve"> qua</w:t>
      </w:r>
      <w:r w:rsidR="00B83FBF" w:rsidRPr="008E09FC">
        <w:t>is</w:t>
      </w:r>
      <w:r w:rsidRPr="008E09FC">
        <w:t xml:space="preserve"> orienta</w:t>
      </w:r>
      <w:r w:rsidR="00B83FBF" w:rsidRPr="008E09FC">
        <w:t>m</w:t>
      </w:r>
      <w:r w:rsidRPr="008E09FC">
        <w:t xml:space="preserve"> e padroniza</w:t>
      </w:r>
      <w:r w:rsidR="00B83FBF" w:rsidRPr="008E09FC">
        <w:t>m</w:t>
      </w:r>
      <w:r w:rsidRPr="008E09FC">
        <w:t xml:space="preserve"> rotinas e procedimentos de gestão, permitindo a evidenciação e a transparência dos atos, desde o planejamento das aquisições até a movimentação de entrada e saída dos materiais de consumo dos Almoxarifados, considerando os critérios de sustentabilidade.</w:t>
      </w:r>
    </w:p>
    <w:p w14:paraId="06A4B33E" w14:textId="7141E85A" w:rsidR="00B40BFC" w:rsidRPr="008E09FC" w:rsidRDefault="00F22AA7" w:rsidP="00C7429D">
      <w:pPr>
        <w:jc w:val="both"/>
      </w:pPr>
      <w:r w:rsidRPr="008E09FC">
        <w:t>O</w:t>
      </w:r>
      <w:r w:rsidR="009C0C0C" w:rsidRPr="008E09FC">
        <w:t>s</w:t>
      </w:r>
      <w:r w:rsidRPr="008E09FC">
        <w:t xml:space="preserve"> indicador</w:t>
      </w:r>
      <w:r w:rsidR="009C0C0C" w:rsidRPr="008E09FC">
        <w:t>es</w:t>
      </w:r>
      <w:r w:rsidRPr="008E09FC">
        <w:t xml:space="preserve"> adotado</w:t>
      </w:r>
      <w:r w:rsidR="009C0C0C" w:rsidRPr="008E09FC">
        <w:t>s</w:t>
      </w:r>
      <w:r w:rsidRPr="008E09FC">
        <w:t xml:space="preserve"> para o monitoramento desse tema </w:t>
      </w:r>
      <w:r w:rsidR="008A1DEE" w:rsidRPr="008E09FC">
        <w:t>são</w:t>
      </w:r>
      <w:r w:rsidR="00C26F0E" w:rsidRPr="008E09FC">
        <w:t>:</w:t>
      </w:r>
      <w:r w:rsidRPr="008E09FC">
        <w:t xml:space="preserve"> </w:t>
      </w:r>
      <w:r w:rsidR="009C0C0C" w:rsidRPr="008E09FC">
        <w:rPr>
          <w:b/>
        </w:rPr>
        <w:t>índice de itens adquiridos p</w:t>
      </w:r>
      <w:r w:rsidR="00AF279B" w:rsidRPr="008E09FC">
        <w:rPr>
          <w:b/>
        </w:rPr>
        <w:t xml:space="preserve">elo </w:t>
      </w:r>
      <w:r w:rsidR="008E09FC" w:rsidRPr="008E09FC">
        <w:rPr>
          <w:b/>
        </w:rPr>
        <w:t xml:space="preserve">almoxarifado </w:t>
      </w:r>
      <w:r w:rsidR="00443D4D" w:rsidRPr="008E09FC">
        <w:rPr>
          <w:b/>
        </w:rPr>
        <w:t>virtual</w:t>
      </w:r>
      <w:r w:rsidR="00443D4D" w:rsidRPr="008E09FC">
        <w:t>,</w:t>
      </w:r>
      <w:r w:rsidR="3A875074">
        <w:t xml:space="preserve"> cuja meta ficou estipulada em </w:t>
      </w:r>
      <w:r w:rsidR="00334E24">
        <w:t>&gt;5</w:t>
      </w:r>
      <w:r w:rsidR="3A875074">
        <w:t xml:space="preserve">% para todas as unidades que aderiram ao </w:t>
      </w:r>
      <w:r w:rsidR="7E53601B">
        <w:t>PLS</w:t>
      </w:r>
      <w:r w:rsidR="3A875074">
        <w:t xml:space="preserve"> 2021 </w:t>
      </w:r>
      <w:r w:rsidR="009C0C0C" w:rsidRPr="008E09FC">
        <w:t xml:space="preserve">e o </w:t>
      </w:r>
      <w:r w:rsidR="009C0C0C" w:rsidRPr="008E09FC">
        <w:rPr>
          <w:b/>
        </w:rPr>
        <w:t>índice de impressão</w:t>
      </w:r>
      <w:r w:rsidR="0979DEC1" w:rsidRPr="038D0D66">
        <w:rPr>
          <w:b/>
          <w:bCs/>
        </w:rPr>
        <w:t xml:space="preserve">, </w:t>
      </w:r>
      <w:r w:rsidR="69E5280B">
        <w:t>com</w:t>
      </w:r>
      <w:r w:rsidR="0979DEC1">
        <w:t xml:space="preserve"> meta </w:t>
      </w:r>
      <w:r w:rsidR="1C235F8C">
        <w:t>de</w:t>
      </w:r>
      <w:r w:rsidR="55EF5DF4">
        <w:t xml:space="preserve"> </w:t>
      </w:r>
      <w:r w:rsidR="00334E24">
        <w:t>&gt;1</w:t>
      </w:r>
      <w:r w:rsidR="55EF5DF4">
        <w:t>% para a SADRS</w:t>
      </w:r>
      <w:r>
        <w:t>.</w:t>
      </w:r>
      <w:r w:rsidR="243057C4">
        <w:t xml:space="preserve"> As demais unidades terão 202</w:t>
      </w:r>
      <w:r w:rsidR="001D3B69">
        <w:t>2</w:t>
      </w:r>
      <w:r w:rsidR="243057C4">
        <w:t xml:space="preserve"> como base para meta futura</w:t>
      </w:r>
      <w:r w:rsidRPr="008E09FC">
        <w:t>.</w:t>
      </w:r>
    </w:p>
    <w:p w14:paraId="2C872C77" w14:textId="77777777" w:rsidR="00521D07" w:rsidRPr="00FB3A50" w:rsidRDefault="00B40BFC" w:rsidP="00C7429D">
      <w:pPr>
        <w:pStyle w:val="Ttulo3"/>
      </w:pPr>
      <w:bookmarkStart w:id="44" w:name="_Toc113971777"/>
      <w:r w:rsidRPr="00FB3A50">
        <w:t>Metas, dados coletados e avaliação</w:t>
      </w:r>
      <w:bookmarkEnd w:id="44"/>
    </w:p>
    <w:p w14:paraId="21ABA93D" w14:textId="372D7184" w:rsidR="001427B5" w:rsidRPr="00FB3A50" w:rsidRDefault="00E8662B" w:rsidP="00521D07">
      <w:pPr>
        <w:jc w:val="both"/>
      </w:pPr>
      <w:r w:rsidRPr="00FB3A50">
        <w:t xml:space="preserve">Para </w:t>
      </w:r>
      <w:r w:rsidR="000C2722" w:rsidRPr="00FB3A50">
        <w:t>a obtenção do índice de impressão</w:t>
      </w:r>
      <w:r w:rsidR="00CA727E" w:rsidRPr="00FB3A50">
        <w:t xml:space="preserve"> foi utilizada a série histórica monitorada para o </w:t>
      </w:r>
      <w:r w:rsidR="61957AF0">
        <w:t>E</w:t>
      </w:r>
      <w:r w:rsidR="00CA727E">
        <w:t>d</w:t>
      </w:r>
      <w:r w:rsidR="00CA727E" w:rsidRPr="00FB3A50">
        <w:t>. Sede</w:t>
      </w:r>
      <w:r w:rsidR="00A8500F" w:rsidRPr="00FB3A50">
        <w:t xml:space="preserve">. Para os demais edifícios, por não haver esta série histórica registrada, </w:t>
      </w:r>
      <w:r w:rsidR="00F10967" w:rsidRPr="00FB3A50">
        <w:t>está se buscando monitorar os consumos mensais</w:t>
      </w:r>
      <w:r w:rsidR="00B72840" w:rsidRPr="00FB3A50">
        <w:t xml:space="preserve"> através do contrato de Outsourcing</w:t>
      </w:r>
      <w:r w:rsidR="00334E24">
        <w:t>.</w:t>
      </w:r>
    </w:p>
    <w:p w14:paraId="366E05C8" w14:textId="5031256A" w:rsidR="003E4668" w:rsidRPr="00FB3A50" w:rsidRDefault="000C2722" w:rsidP="00521D07">
      <w:pPr>
        <w:jc w:val="both"/>
      </w:pPr>
      <w:r w:rsidRPr="00FB3A50">
        <w:t xml:space="preserve"> </w:t>
      </w:r>
      <w:r w:rsidR="00870ECF" w:rsidRPr="00FB3A50">
        <w:t xml:space="preserve">Para o </w:t>
      </w:r>
      <w:r w:rsidR="6EF52D6E">
        <w:t>E</w:t>
      </w:r>
      <w:r w:rsidR="00870ECF">
        <w:t>d</w:t>
      </w:r>
      <w:r w:rsidR="00870ECF" w:rsidRPr="00FB3A50">
        <w:t>. Sede</w:t>
      </w:r>
      <w:r w:rsidR="008F0011" w:rsidRPr="00FB3A50">
        <w:t xml:space="preserve"> os valores obtidos foram </w:t>
      </w:r>
      <w:r w:rsidR="005954C3">
        <w:t>3</w:t>
      </w:r>
      <w:r w:rsidR="00334E24">
        <w:t>1.520</w:t>
      </w:r>
      <w:r w:rsidR="00B94552" w:rsidRPr="00FB3A50">
        <w:t xml:space="preserve"> impressões </w:t>
      </w:r>
      <w:r w:rsidR="005954C3">
        <w:t xml:space="preserve">no </w:t>
      </w:r>
      <w:r w:rsidR="00334E24">
        <w:t>primeiro semestre de 2022</w:t>
      </w:r>
      <w:r w:rsidR="00CA2B19" w:rsidRPr="00FB3A50">
        <w:t xml:space="preserve">. Aqui cabem duas observações: </w:t>
      </w:r>
      <w:r w:rsidR="00C11992" w:rsidRPr="00FB3A50">
        <w:t xml:space="preserve">a) o número de impressões não traduz o número de folhas </w:t>
      </w:r>
      <w:r w:rsidR="0055373A" w:rsidRPr="00FB3A50">
        <w:t xml:space="preserve">utilizadas, visto que muitas vezes </w:t>
      </w:r>
      <w:r w:rsidR="00D51A44" w:rsidRPr="00FB3A50">
        <w:t xml:space="preserve">a </w:t>
      </w:r>
      <w:r w:rsidR="0055373A" w:rsidRPr="00FB3A50">
        <w:t xml:space="preserve">impressão </w:t>
      </w:r>
      <w:r w:rsidR="00D51A44" w:rsidRPr="00FB3A50">
        <w:t xml:space="preserve">é feita </w:t>
      </w:r>
      <w:r w:rsidR="0055373A" w:rsidRPr="00FB3A50">
        <w:t xml:space="preserve">em ambos os lados da folha; b) a queda </w:t>
      </w:r>
      <w:r w:rsidR="00C115C6" w:rsidRPr="00FB3A50">
        <w:t>continuada</w:t>
      </w:r>
      <w:r w:rsidR="0055373A" w:rsidRPr="00FB3A50">
        <w:t xml:space="preserve"> no número de impressão </w:t>
      </w:r>
      <w:r w:rsidR="00853178" w:rsidRPr="00FB3A50">
        <w:t>de 202</w:t>
      </w:r>
      <w:r w:rsidR="00334E24">
        <w:t>2</w:t>
      </w:r>
      <w:r w:rsidR="00853178" w:rsidRPr="00FB3A50">
        <w:t xml:space="preserve"> justifica-se pel</w:t>
      </w:r>
      <w:r w:rsidR="002B0332" w:rsidRPr="00FB3A50">
        <w:t xml:space="preserve">a </w:t>
      </w:r>
      <w:r w:rsidR="00C115C6" w:rsidRPr="00FB3A50">
        <w:t>continuidade</w:t>
      </w:r>
      <w:r w:rsidR="000E68D2" w:rsidRPr="00FB3A50">
        <w:t xml:space="preserve"> do</w:t>
      </w:r>
      <w:r w:rsidR="002B0332" w:rsidRPr="00FB3A50">
        <w:t xml:space="preserve"> trabalho remoto excepcional em face à pandemia da Covid-19</w:t>
      </w:r>
      <w:r w:rsidR="005954C3">
        <w:t>.</w:t>
      </w:r>
    </w:p>
    <w:p w14:paraId="526030DE" w14:textId="4E6E49BF" w:rsidR="001A470E" w:rsidRPr="00FB3A50" w:rsidRDefault="001A470E" w:rsidP="00FB3A50">
      <w:pPr>
        <w:jc w:val="center"/>
      </w:pPr>
    </w:p>
    <w:p w14:paraId="3776DD65" w14:textId="311D389C" w:rsidR="00E16A84" w:rsidRDefault="00334E24" w:rsidP="004A7A55">
      <w:pPr>
        <w:jc w:val="center"/>
        <w:rPr>
          <w:color w:val="FF0000"/>
        </w:rPr>
      </w:pPr>
      <w:r w:rsidRPr="00334E24">
        <w:rPr>
          <w:noProof/>
        </w:rPr>
        <w:lastRenderedPageBreak/>
        <w:drawing>
          <wp:inline distT="0" distB="0" distL="0" distR="0" wp14:anchorId="06EE7316" wp14:editId="00984EA8">
            <wp:extent cx="8893175" cy="4899660"/>
            <wp:effectExtent l="0" t="0" r="3175"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893175" cy="4899660"/>
                    </a:xfrm>
                    <a:prstGeom prst="rect">
                      <a:avLst/>
                    </a:prstGeom>
                    <a:noFill/>
                    <a:ln>
                      <a:noFill/>
                    </a:ln>
                  </pic:spPr>
                </pic:pic>
              </a:graphicData>
            </a:graphic>
          </wp:inline>
        </w:drawing>
      </w:r>
      <w:r w:rsidR="000C1A5C" w:rsidRPr="00304144">
        <w:rPr>
          <w:color w:val="FF0000"/>
        </w:rPr>
        <w:t xml:space="preserve"> </w:t>
      </w:r>
    </w:p>
    <w:p w14:paraId="49118613" w14:textId="40786E80" w:rsidR="00334E24" w:rsidRDefault="00334E24" w:rsidP="004A7A55">
      <w:pPr>
        <w:jc w:val="center"/>
        <w:rPr>
          <w:color w:val="FF0000"/>
        </w:rPr>
      </w:pPr>
    </w:p>
    <w:p w14:paraId="6733F964" w14:textId="23156433" w:rsidR="00334E24" w:rsidRDefault="00334E24" w:rsidP="004A7A55">
      <w:pPr>
        <w:jc w:val="center"/>
        <w:rPr>
          <w:color w:val="FF0000"/>
          <w:sz w:val="24"/>
          <w:szCs w:val="24"/>
        </w:rPr>
      </w:pPr>
      <w:r w:rsidRPr="00334E24">
        <w:rPr>
          <w:noProof/>
        </w:rPr>
        <w:lastRenderedPageBreak/>
        <w:drawing>
          <wp:inline distT="0" distB="0" distL="0" distR="0" wp14:anchorId="064BF04F" wp14:editId="2586CD27">
            <wp:extent cx="8863965" cy="6084570"/>
            <wp:effectExtent l="0" t="0" r="0"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863965" cy="6084570"/>
                    </a:xfrm>
                    <a:prstGeom prst="rect">
                      <a:avLst/>
                    </a:prstGeom>
                    <a:noFill/>
                    <a:ln>
                      <a:noFill/>
                    </a:ln>
                  </pic:spPr>
                </pic:pic>
              </a:graphicData>
            </a:graphic>
          </wp:inline>
        </w:drawing>
      </w:r>
    </w:p>
    <w:p w14:paraId="06B1B440" w14:textId="48D11C17" w:rsidR="00334E24" w:rsidRDefault="00334E24" w:rsidP="004A7A55">
      <w:pPr>
        <w:jc w:val="center"/>
        <w:rPr>
          <w:color w:val="FF0000"/>
          <w:sz w:val="24"/>
          <w:szCs w:val="24"/>
        </w:rPr>
      </w:pPr>
    </w:p>
    <w:p w14:paraId="192F6E75" w14:textId="4BAD38A6" w:rsidR="00334E24" w:rsidRDefault="00334E24" w:rsidP="004A7A55">
      <w:pPr>
        <w:jc w:val="center"/>
        <w:rPr>
          <w:color w:val="FF0000"/>
          <w:sz w:val="24"/>
          <w:szCs w:val="24"/>
        </w:rPr>
      </w:pPr>
    </w:p>
    <w:p w14:paraId="4F631058" w14:textId="4FB31E31" w:rsidR="00334E24" w:rsidRPr="00304144" w:rsidRDefault="00334E24" w:rsidP="004A7A55">
      <w:pPr>
        <w:jc w:val="center"/>
        <w:rPr>
          <w:color w:val="FF0000"/>
          <w:sz w:val="24"/>
          <w:szCs w:val="24"/>
        </w:rPr>
      </w:pPr>
      <w:r>
        <w:rPr>
          <w:noProof/>
          <w:color w:val="FF0000"/>
          <w:sz w:val="24"/>
          <w:szCs w:val="24"/>
        </w:rPr>
        <w:drawing>
          <wp:inline distT="0" distB="0" distL="0" distR="0" wp14:anchorId="7F3B451C" wp14:editId="7DADAB79">
            <wp:extent cx="9238867" cy="3321427"/>
            <wp:effectExtent l="0" t="0" r="635" b="0"/>
            <wp:docPr id="2006030856" name="Imagem 2006030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276559" cy="3334978"/>
                    </a:xfrm>
                    <a:prstGeom prst="rect">
                      <a:avLst/>
                    </a:prstGeom>
                    <a:noFill/>
                  </pic:spPr>
                </pic:pic>
              </a:graphicData>
            </a:graphic>
          </wp:inline>
        </w:drawing>
      </w:r>
    </w:p>
    <w:p w14:paraId="4C52C287" w14:textId="6E0E2E90" w:rsidR="00EB3691" w:rsidRPr="00304144" w:rsidRDefault="00A44A49" w:rsidP="00521D07">
      <w:pPr>
        <w:jc w:val="both"/>
        <w:rPr>
          <w:color w:val="FF0000"/>
          <w:sz w:val="24"/>
          <w:szCs w:val="24"/>
        </w:rPr>
        <w:sectPr w:rsidR="00EB3691" w:rsidRPr="00304144" w:rsidSect="000176C3">
          <w:pgSz w:w="16840" w:h="11907" w:code="9"/>
          <w:pgMar w:top="1418" w:right="1134" w:bottom="907" w:left="1701" w:header="709" w:footer="709" w:gutter="0"/>
          <w:cols w:space="708"/>
          <w:docGrid w:linePitch="360"/>
        </w:sectPr>
      </w:pPr>
      <w:r w:rsidRPr="00A44A49">
        <w:rPr>
          <w:color w:val="FF0000"/>
          <w:sz w:val="24"/>
          <w:szCs w:val="24"/>
        </w:rPr>
        <w:t xml:space="preserve"> </w:t>
      </w:r>
    </w:p>
    <w:p w14:paraId="3278DD76" w14:textId="0FC6003E" w:rsidR="00500B7D" w:rsidRPr="00304144" w:rsidRDefault="00500B7D" w:rsidP="00E16A84">
      <w:pPr>
        <w:jc w:val="center"/>
        <w:rPr>
          <w:color w:val="FF0000"/>
        </w:rPr>
      </w:pPr>
    </w:p>
    <w:p w14:paraId="41B8E7AE" w14:textId="3CBEBB6E" w:rsidR="009C0C0C" w:rsidRPr="00BE17FE" w:rsidRDefault="009C0C0C" w:rsidP="00C7429D">
      <w:pPr>
        <w:pStyle w:val="Ttulo2"/>
        <w:rPr>
          <w:bCs/>
          <w:iCs/>
        </w:rPr>
      </w:pPr>
      <w:bookmarkStart w:id="45" w:name="Atributos!A1:M22"/>
      <w:bookmarkStart w:id="46" w:name="Dados!A1:Q48"/>
      <w:bookmarkStart w:id="47" w:name="_Toc113971778"/>
      <w:bookmarkEnd w:id="45"/>
      <w:bookmarkEnd w:id="46"/>
      <w:r w:rsidRPr="00BE17FE">
        <w:t>Manutenção Predial</w:t>
      </w:r>
      <w:bookmarkEnd w:id="47"/>
    </w:p>
    <w:p w14:paraId="1EB9D2A3" w14:textId="77777777" w:rsidR="00B40BFC" w:rsidRPr="00BE17FE" w:rsidRDefault="00B40BFC" w:rsidP="00C7429D">
      <w:pPr>
        <w:pStyle w:val="Ttulo3"/>
      </w:pPr>
      <w:bookmarkStart w:id="48" w:name="_Toc113971779"/>
      <w:r w:rsidRPr="00BE17FE">
        <w:t>Caracterização</w:t>
      </w:r>
      <w:bookmarkEnd w:id="48"/>
    </w:p>
    <w:p w14:paraId="527E941C" w14:textId="347A91EF" w:rsidR="00E443F4" w:rsidRPr="00BE17FE" w:rsidRDefault="009C0C0C" w:rsidP="00C7429D">
      <w:pPr>
        <w:ind w:left="2" w:firstLine="1"/>
        <w:jc w:val="both"/>
      </w:pPr>
      <w:r w:rsidRPr="00BE17FE">
        <w:t xml:space="preserve">A </w:t>
      </w:r>
      <w:r w:rsidR="005D34AC" w:rsidRPr="00BE17FE">
        <w:t>prática de locação de edifícios para alo</w:t>
      </w:r>
      <w:r w:rsidR="0089598A">
        <w:t>cação</w:t>
      </w:r>
      <w:r w:rsidR="005D34AC" w:rsidRPr="00BE17FE">
        <w:t xml:space="preserve"> dos membros</w:t>
      </w:r>
      <w:r w:rsidR="00AB2566" w:rsidRPr="00BE17FE">
        <w:t xml:space="preserve"> e servidores da AGU tem possibilitado a escolha de imóveis</w:t>
      </w:r>
      <w:r w:rsidR="009A6744" w:rsidRPr="00BE17FE">
        <w:t xml:space="preserve"> que atendam os critérios de sustentabilidade contidos no Caderno de Especificações Técnicas da AGU.</w:t>
      </w:r>
    </w:p>
    <w:p w14:paraId="550B254C" w14:textId="77777777" w:rsidR="00E443F4" w:rsidRPr="00BE17FE" w:rsidRDefault="00E443F4" w:rsidP="00C7429D">
      <w:pPr>
        <w:ind w:left="2" w:firstLine="1"/>
        <w:jc w:val="both"/>
      </w:pPr>
      <w:r w:rsidRPr="00BE17FE">
        <w:t>Ademais, o Programa Instalações Eficientes e Sustentáveis – IES faz o mapeamento e classificação dos imóveis ocupados pela AGU em todo o território nacional, permitindo a priorização de investimentos para as adequações mínimas necessárias ao bom funcionamento da Instituição.</w:t>
      </w:r>
    </w:p>
    <w:p w14:paraId="50B72E82" w14:textId="71E932D4" w:rsidR="00F22AA7" w:rsidRPr="00BE17FE" w:rsidRDefault="00E443F4" w:rsidP="00C7429D">
      <w:pPr>
        <w:ind w:left="2" w:firstLine="1"/>
        <w:jc w:val="both"/>
      </w:pPr>
      <w:r w:rsidRPr="00BE17FE">
        <w:t>Os contratos de manutenção predial permitem ao gestor a adoção de manutenção preventiva dos imóveis</w:t>
      </w:r>
      <w:r w:rsidR="00ED26B7" w:rsidRPr="00BE17FE">
        <w:t xml:space="preserve"> da União, </w:t>
      </w:r>
      <w:r w:rsidR="00BA684B" w:rsidRPr="00BE17FE">
        <w:t xml:space="preserve">priorização da adaptação no sistema de fornecimento de água, do sistema elétrico, </w:t>
      </w:r>
      <w:r w:rsidR="00E94A80">
        <w:t xml:space="preserve">visando </w:t>
      </w:r>
      <w:r w:rsidR="00BA684B" w:rsidRPr="00BE17FE">
        <w:t>tornar a edificação mais sustentável.</w:t>
      </w:r>
      <w:r w:rsidR="009C0C0C" w:rsidRPr="00BE17FE" w:rsidDel="009C0C0C">
        <w:rPr>
          <w:rFonts w:ascii="Calibri" w:hAnsi="Calibri" w:cs="Calibri"/>
          <w:sz w:val="40"/>
          <w:szCs w:val="40"/>
        </w:rPr>
        <w:t xml:space="preserve"> </w:t>
      </w:r>
    </w:p>
    <w:p w14:paraId="7C532BEE" w14:textId="1C58FF70" w:rsidR="00B40BFC" w:rsidRPr="00D52353" w:rsidRDefault="00B40BFC" w:rsidP="00C7429D">
      <w:pPr>
        <w:pStyle w:val="Ttulo3"/>
      </w:pPr>
      <w:bookmarkStart w:id="49" w:name="_Toc113971780"/>
      <w:r w:rsidRPr="00D52353">
        <w:t>Metas, dados coletados e avaliação</w:t>
      </w:r>
      <w:bookmarkEnd w:id="49"/>
    </w:p>
    <w:p w14:paraId="69CA8727" w14:textId="6ADFDA85" w:rsidR="00A10D40" w:rsidRDefault="00B96EEE" w:rsidP="11905938">
      <w:pPr>
        <w:jc w:val="both"/>
      </w:pPr>
      <w:r>
        <w:t>Com a</w:t>
      </w:r>
      <w:r w:rsidR="00805EB9" w:rsidRPr="00D52353">
        <w:t xml:space="preserve"> implanta</w:t>
      </w:r>
      <w:r>
        <w:t>ção</w:t>
      </w:r>
      <w:r w:rsidR="00805EB9" w:rsidRPr="00D52353">
        <w:t xml:space="preserve"> </w:t>
      </w:r>
      <w:r>
        <w:t>d</w:t>
      </w:r>
      <w:r w:rsidR="00805EB9" w:rsidRPr="00D52353">
        <w:t xml:space="preserve">o plano de manutenção preventiva nas instalações, pretende-se obter uma redução das manutenções corretivas, emergenciais e reformas, as quais geralmente implicam num maior impacto negativo, tanto em custo, quanto no bem-estar do </w:t>
      </w:r>
      <w:r w:rsidR="00C8797B" w:rsidRPr="00D52353">
        <w:t>público-alvo</w:t>
      </w:r>
      <w:r w:rsidR="00805EB9" w:rsidRPr="00D52353">
        <w:t xml:space="preserve"> no ambiente de trabalho. </w:t>
      </w:r>
    </w:p>
    <w:p w14:paraId="5888CF6C" w14:textId="6FB5D2BF" w:rsidR="00811DC7" w:rsidRPr="00226059" w:rsidRDefault="00811DC7" w:rsidP="11905938">
      <w:pPr>
        <w:jc w:val="both"/>
      </w:pPr>
      <w:r w:rsidRPr="00226059">
        <w:t>Mesmo com a pandemia da Covid-19, as atividades de manutenção predial prossegu</w:t>
      </w:r>
      <w:r w:rsidR="00B96EEE">
        <w:t>em</w:t>
      </w:r>
      <w:r w:rsidRPr="00226059">
        <w:t xml:space="preserve">, com todos os cuidados de </w:t>
      </w:r>
      <w:r w:rsidR="005B2496" w:rsidRPr="00226059">
        <w:t>distanciamento que a situação exigia.</w:t>
      </w:r>
    </w:p>
    <w:p w14:paraId="051EB8BC" w14:textId="77777777" w:rsidR="009D1513" w:rsidRPr="009D1513" w:rsidRDefault="008053A5" w:rsidP="009D1513">
      <w:pPr>
        <w:jc w:val="both"/>
        <w:rPr>
          <w:b/>
        </w:rPr>
        <w:sectPr w:rsidR="009D1513" w:rsidRPr="009D1513" w:rsidSect="000460F4">
          <w:pgSz w:w="11907" w:h="16840" w:orient="landscape" w:code="9"/>
          <w:pgMar w:top="1134" w:right="907" w:bottom="1701" w:left="1418" w:header="709" w:footer="709" w:gutter="0"/>
          <w:cols w:space="708"/>
          <w:docGrid w:linePitch="360"/>
        </w:sectPr>
      </w:pPr>
      <w:r w:rsidRPr="0098343B">
        <w:t xml:space="preserve">Os indicadores monitorados </w:t>
      </w:r>
      <w:r w:rsidR="00CD0BBD" w:rsidRPr="0098343B">
        <w:t xml:space="preserve">neste ano </w:t>
      </w:r>
      <w:r w:rsidR="00D16C2B" w:rsidRPr="0098343B">
        <w:t>são</w:t>
      </w:r>
      <w:r w:rsidRPr="0098343B">
        <w:t xml:space="preserve"> o </w:t>
      </w:r>
      <w:r w:rsidRPr="0098343B">
        <w:rPr>
          <w:b/>
        </w:rPr>
        <w:t xml:space="preserve">“índice de </w:t>
      </w:r>
      <w:r w:rsidR="00D16C2B" w:rsidRPr="0098343B">
        <w:rPr>
          <w:b/>
        </w:rPr>
        <w:t>demandas</w:t>
      </w:r>
      <w:r w:rsidRPr="0098343B">
        <w:rPr>
          <w:b/>
        </w:rPr>
        <w:t xml:space="preserve"> </w:t>
      </w:r>
      <w:r w:rsidR="001C1DA0" w:rsidRPr="0098343B">
        <w:rPr>
          <w:b/>
        </w:rPr>
        <w:t>atendid</w:t>
      </w:r>
      <w:r w:rsidR="00D16C2B" w:rsidRPr="0098343B">
        <w:rPr>
          <w:b/>
        </w:rPr>
        <w:t>a</w:t>
      </w:r>
      <w:r w:rsidR="001C1DA0" w:rsidRPr="0098343B">
        <w:rPr>
          <w:b/>
        </w:rPr>
        <w:t>s</w:t>
      </w:r>
      <w:r w:rsidR="0098343B" w:rsidRPr="0098343B">
        <w:rPr>
          <w:b/>
        </w:rPr>
        <w:t xml:space="preserve"> por contrato de manutenção</w:t>
      </w:r>
      <w:r w:rsidRPr="0098343B">
        <w:rPr>
          <w:b/>
        </w:rPr>
        <w:t>”</w:t>
      </w:r>
      <w:r w:rsidR="003E26D8" w:rsidRPr="0098343B">
        <w:t xml:space="preserve"> e</w:t>
      </w:r>
      <w:r w:rsidR="005A1427" w:rsidRPr="0098343B">
        <w:t xml:space="preserve"> o</w:t>
      </w:r>
      <w:r w:rsidR="003E26D8" w:rsidRPr="0098343B">
        <w:t xml:space="preserve"> </w:t>
      </w:r>
      <w:r w:rsidR="003E26D8" w:rsidRPr="0098343B">
        <w:rPr>
          <w:b/>
        </w:rPr>
        <w:t>“</w:t>
      </w:r>
      <w:r w:rsidR="005A1427" w:rsidRPr="0098343B">
        <w:rPr>
          <w:b/>
        </w:rPr>
        <w:t>custeio com manutenção predial</w:t>
      </w:r>
      <w:r w:rsidR="003E26D8" w:rsidRPr="0098343B">
        <w:rPr>
          <w:b/>
        </w:rPr>
        <w:t>”</w:t>
      </w:r>
      <w:r w:rsidR="009D1513">
        <w:rPr>
          <w:b/>
        </w:rPr>
        <w:t>.</w:t>
      </w:r>
      <w:r w:rsidR="00F6199D">
        <w:rPr>
          <w:b/>
        </w:rPr>
        <w:t xml:space="preserve"> </w:t>
      </w:r>
      <w:r w:rsidR="00F6199D" w:rsidRPr="00CF6B75">
        <w:rPr>
          <w:bCs/>
        </w:rPr>
        <w:t>O</w:t>
      </w:r>
      <w:r w:rsidR="00CF6B75">
        <w:rPr>
          <w:bCs/>
        </w:rPr>
        <w:t xml:space="preserve"> primeiro indicador visa </w:t>
      </w:r>
      <w:r w:rsidR="00B32D09">
        <w:rPr>
          <w:bCs/>
        </w:rPr>
        <w:t>monitorar</w:t>
      </w:r>
      <w:r w:rsidR="00010F9D">
        <w:rPr>
          <w:bCs/>
        </w:rPr>
        <w:t xml:space="preserve"> a abrangência do </w:t>
      </w:r>
      <w:r w:rsidR="006D3B43">
        <w:rPr>
          <w:bCs/>
        </w:rPr>
        <w:t xml:space="preserve">atual contrato de manutenção, enquanto </w:t>
      </w:r>
      <w:r w:rsidR="00E728C2">
        <w:rPr>
          <w:bCs/>
        </w:rPr>
        <w:t>o segundo analisa a evolução do custeio</w:t>
      </w:r>
      <w:r w:rsidR="005E5E4B">
        <w:rPr>
          <w:bCs/>
        </w:rPr>
        <w:t xml:space="preserve"> com a manutenção predial.</w:t>
      </w:r>
    </w:p>
    <w:p w14:paraId="30C1EAC1" w14:textId="31A8EE36" w:rsidR="00837F85" w:rsidRDefault="00837F85" w:rsidP="0097678E">
      <w:pPr>
        <w:jc w:val="center"/>
        <w:rPr>
          <w:color w:val="FF0000"/>
        </w:rPr>
      </w:pPr>
      <w:r w:rsidRPr="00837F85">
        <w:rPr>
          <w:noProof/>
        </w:rPr>
        <w:lastRenderedPageBreak/>
        <w:drawing>
          <wp:inline distT="0" distB="0" distL="0" distR="0" wp14:anchorId="61065E3F" wp14:editId="6FDB0AAB">
            <wp:extent cx="8893175" cy="4535170"/>
            <wp:effectExtent l="0" t="0" r="3175" b="0"/>
            <wp:docPr id="2006030854" name="Imagem 2006030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893175" cy="4535170"/>
                    </a:xfrm>
                    <a:prstGeom prst="rect">
                      <a:avLst/>
                    </a:prstGeom>
                    <a:noFill/>
                    <a:ln>
                      <a:noFill/>
                    </a:ln>
                  </pic:spPr>
                </pic:pic>
              </a:graphicData>
            </a:graphic>
          </wp:inline>
        </w:drawing>
      </w:r>
    </w:p>
    <w:p w14:paraId="38C75433" w14:textId="08478161" w:rsidR="00837F85" w:rsidRDefault="00837F85" w:rsidP="0097678E">
      <w:pPr>
        <w:jc w:val="center"/>
        <w:rPr>
          <w:color w:val="FF0000"/>
        </w:rPr>
      </w:pPr>
      <w:r w:rsidRPr="00837F85">
        <w:rPr>
          <w:noProof/>
        </w:rPr>
        <w:lastRenderedPageBreak/>
        <w:drawing>
          <wp:inline distT="0" distB="0" distL="0" distR="0" wp14:anchorId="1C5E31A7" wp14:editId="2DC96D63">
            <wp:extent cx="8893175" cy="5326380"/>
            <wp:effectExtent l="0" t="0" r="3175" b="7620"/>
            <wp:docPr id="2006030859" name="Imagem 2006030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893175" cy="5326380"/>
                    </a:xfrm>
                    <a:prstGeom prst="rect">
                      <a:avLst/>
                    </a:prstGeom>
                    <a:noFill/>
                    <a:ln>
                      <a:noFill/>
                    </a:ln>
                  </pic:spPr>
                </pic:pic>
              </a:graphicData>
            </a:graphic>
          </wp:inline>
        </w:drawing>
      </w:r>
    </w:p>
    <w:p w14:paraId="3A3B172B" w14:textId="42088780" w:rsidR="00837F85" w:rsidRDefault="00837F85" w:rsidP="0097678E">
      <w:pPr>
        <w:jc w:val="center"/>
        <w:rPr>
          <w:color w:val="FF0000"/>
        </w:rPr>
      </w:pPr>
      <w:r>
        <w:rPr>
          <w:noProof/>
        </w:rPr>
        <w:lastRenderedPageBreak/>
        <w:drawing>
          <wp:inline distT="0" distB="0" distL="0" distR="0" wp14:anchorId="5A9D9B64" wp14:editId="682EEF54">
            <wp:extent cx="8893175" cy="3861435"/>
            <wp:effectExtent l="0" t="0" r="3175" b="5715"/>
            <wp:docPr id="2006030860" name="Gráfico 2006030860">
              <a:extLst xmlns:a="http://schemas.openxmlformats.org/drawingml/2006/main">
                <a:ext uri="{FF2B5EF4-FFF2-40B4-BE49-F238E27FC236}">
                  <a16:creationId xmlns:a16="http://schemas.microsoft.com/office/drawing/2014/main" id="{7D35B5A0-E4B5-4D50-B95B-44136A0452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5C431177" w14:textId="1401E583" w:rsidR="006A0A14" w:rsidRDefault="006A0A14" w:rsidP="0097678E">
      <w:pPr>
        <w:jc w:val="center"/>
        <w:rPr>
          <w:color w:val="FF0000"/>
        </w:rPr>
      </w:pPr>
    </w:p>
    <w:p w14:paraId="27CE9FEB" w14:textId="66ABFA33" w:rsidR="006A0A14" w:rsidRDefault="006A0A14" w:rsidP="0097678E">
      <w:pPr>
        <w:jc w:val="center"/>
        <w:rPr>
          <w:color w:val="FF0000"/>
        </w:rPr>
      </w:pPr>
      <w:r w:rsidRPr="006A0A14">
        <w:rPr>
          <w:noProof/>
        </w:rPr>
        <w:lastRenderedPageBreak/>
        <w:drawing>
          <wp:inline distT="0" distB="0" distL="0" distR="0" wp14:anchorId="280E2335" wp14:editId="242E21B0">
            <wp:extent cx="8893175" cy="4535170"/>
            <wp:effectExtent l="0" t="0" r="3175" b="0"/>
            <wp:docPr id="2006030861" name="Imagem 2006030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893175" cy="4535170"/>
                    </a:xfrm>
                    <a:prstGeom prst="rect">
                      <a:avLst/>
                    </a:prstGeom>
                    <a:noFill/>
                    <a:ln>
                      <a:noFill/>
                    </a:ln>
                  </pic:spPr>
                </pic:pic>
              </a:graphicData>
            </a:graphic>
          </wp:inline>
        </w:drawing>
      </w:r>
    </w:p>
    <w:p w14:paraId="6EAA6292" w14:textId="55373E94" w:rsidR="006A0A14" w:rsidRDefault="006A0A14" w:rsidP="0097678E">
      <w:pPr>
        <w:jc w:val="center"/>
        <w:rPr>
          <w:color w:val="FF0000"/>
        </w:rPr>
      </w:pPr>
    </w:p>
    <w:p w14:paraId="436895FF" w14:textId="0A4500E0" w:rsidR="006A0A14" w:rsidRDefault="006A0A14" w:rsidP="0097678E">
      <w:pPr>
        <w:jc w:val="center"/>
        <w:rPr>
          <w:color w:val="FF0000"/>
        </w:rPr>
      </w:pPr>
      <w:r w:rsidRPr="006A0A14">
        <w:rPr>
          <w:noProof/>
        </w:rPr>
        <w:lastRenderedPageBreak/>
        <w:drawing>
          <wp:inline distT="0" distB="0" distL="0" distR="0" wp14:anchorId="4E139443" wp14:editId="134316FC">
            <wp:extent cx="8893175" cy="5326380"/>
            <wp:effectExtent l="0" t="0" r="3175" b="7620"/>
            <wp:docPr id="2006030862" name="Imagem 2006030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893175" cy="5326380"/>
                    </a:xfrm>
                    <a:prstGeom prst="rect">
                      <a:avLst/>
                    </a:prstGeom>
                    <a:noFill/>
                    <a:ln>
                      <a:noFill/>
                    </a:ln>
                  </pic:spPr>
                </pic:pic>
              </a:graphicData>
            </a:graphic>
          </wp:inline>
        </w:drawing>
      </w:r>
    </w:p>
    <w:p w14:paraId="143F375E" w14:textId="7D8DC901" w:rsidR="006A0A14" w:rsidRDefault="006A0A14" w:rsidP="0097678E">
      <w:pPr>
        <w:jc w:val="center"/>
        <w:rPr>
          <w:color w:val="FF0000"/>
        </w:rPr>
      </w:pPr>
      <w:r>
        <w:rPr>
          <w:noProof/>
        </w:rPr>
        <w:lastRenderedPageBreak/>
        <w:drawing>
          <wp:inline distT="0" distB="0" distL="0" distR="0" wp14:anchorId="43652738" wp14:editId="671AD7CB">
            <wp:extent cx="8893175" cy="3861435"/>
            <wp:effectExtent l="0" t="0" r="3175" b="5715"/>
            <wp:docPr id="2006030863" name="Gráfico 2006030863">
              <a:extLst xmlns:a="http://schemas.openxmlformats.org/drawingml/2006/main">
                <a:ext uri="{FF2B5EF4-FFF2-40B4-BE49-F238E27FC236}">
                  <a16:creationId xmlns:a16="http://schemas.microsoft.com/office/drawing/2014/main" id="{7D35B5A0-E4B5-4D50-B95B-44136A0452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1E09939D" w14:textId="23763121" w:rsidR="002D40CD" w:rsidRDefault="002D40CD" w:rsidP="0097678E">
      <w:pPr>
        <w:jc w:val="center"/>
        <w:rPr>
          <w:color w:val="FF0000"/>
        </w:rPr>
      </w:pPr>
    </w:p>
    <w:p w14:paraId="2E32B645" w14:textId="440FDE97" w:rsidR="002D40CD" w:rsidRDefault="002D40CD" w:rsidP="0097678E">
      <w:pPr>
        <w:jc w:val="center"/>
        <w:rPr>
          <w:color w:val="FF0000"/>
        </w:rPr>
      </w:pPr>
    </w:p>
    <w:p w14:paraId="2FDB2484" w14:textId="0514B7BF" w:rsidR="00DE06EF" w:rsidRDefault="00DE06EF" w:rsidP="0097678E">
      <w:pPr>
        <w:jc w:val="center"/>
        <w:rPr>
          <w:color w:val="FF0000"/>
        </w:rPr>
      </w:pPr>
    </w:p>
    <w:p w14:paraId="06D9BB0F" w14:textId="69E9E96A" w:rsidR="00DE06EF" w:rsidRDefault="00DE06EF" w:rsidP="0097678E">
      <w:pPr>
        <w:jc w:val="center"/>
        <w:rPr>
          <w:color w:val="FF0000"/>
        </w:rPr>
      </w:pPr>
    </w:p>
    <w:p w14:paraId="4DAC85D6" w14:textId="6E974605" w:rsidR="00DE06EF" w:rsidRDefault="00DE06EF" w:rsidP="0097678E">
      <w:pPr>
        <w:jc w:val="center"/>
        <w:rPr>
          <w:color w:val="FF0000"/>
        </w:rPr>
      </w:pPr>
    </w:p>
    <w:p w14:paraId="0CD4FC7F" w14:textId="28519D88" w:rsidR="00F733D0" w:rsidRDefault="00DE06EF" w:rsidP="00777E35">
      <w:pPr>
        <w:jc w:val="center"/>
        <w:rPr>
          <w:bCs/>
          <w:iCs/>
        </w:rPr>
      </w:pPr>
      <w:r>
        <w:rPr>
          <w:rStyle w:val="normaltextrun"/>
          <w:rFonts w:ascii="Calibri" w:hAnsi="Calibri" w:cs="Calibri"/>
          <w:shd w:val="clear" w:color="auto" w:fill="FFFFFF"/>
        </w:rPr>
        <w:lastRenderedPageBreak/>
        <w:t> A expectativa para 202</w:t>
      </w:r>
      <w:r>
        <w:rPr>
          <w:rStyle w:val="normaltextrun"/>
          <w:rFonts w:ascii="Calibri" w:hAnsi="Calibri" w:cs="Calibri"/>
          <w:shd w:val="clear" w:color="auto" w:fill="FFFFFF"/>
        </w:rPr>
        <w:t>2</w:t>
      </w:r>
      <w:r>
        <w:rPr>
          <w:rStyle w:val="normaltextrun"/>
          <w:rFonts w:ascii="Calibri" w:hAnsi="Calibri" w:cs="Calibri"/>
          <w:shd w:val="clear" w:color="auto" w:fill="FFFFFF"/>
        </w:rPr>
        <w:t xml:space="preserve"> é de amadurecimento de alguns indicadores</w:t>
      </w:r>
      <w:r>
        <w:rPr>
          <w:rStyle w:val="normaltextrun"/>
          <w:rFonts w:ascii="Calibri" w:hAnsi="Calibri" w:cs="Calibri"/>
          <w:shd w:val="clear" w:color="auto" w:fill="FFFFFF"/>
        </w:rPr>
        <w:t xml:space="preserve"> e também a expansão dos índices para outras unidades</w:t>
      </w:r>
      <w:r>
        <w:rPr>
          <w:rStyle w:val="normaltextrun"/>
          <w:rFonts w:ascii="Calibri" w:hAnsi="Calibri" w:cs="Calibri"/>
          <w:shd w:val="clear" w:color="auto" w:fill="FFFFFF"/>
        </w:rPr>
        <w:t xml:space="preserve"> </w:t>
      </w:r>
      <w:r>
        <w:rPr>
          <w:rStyle w:val="normaltextrun"/>
          <w:rFonts w:ascii="Calibri" w:hAnsi="Calibri" w:cs="Calibri"/>
          <w:shd w:val="clear" w:color="auto" w:fill="FFFFFF"/>
        </w:rPr>
        <w:t xml:space="preserve">fazendo que o PLS tenha uma abrangência mais significativa dentro da </w:t>
      </w:r>
      <w:r w:rsidR="00237C41">
        <w:rPr>
          <w:rStyle w:val="normaltextrun"/>
          <w:rFonts w:ascii="Calibri" w:hAnsi="Calibri" w:cs="Calibri"/>
          <w:shd w:val="clear" w:color="auto" w:fill="FFFFFF"/>
        </w:rPr>
        <w:t>organização e que possa cada vez mais ser utilizado como ferramenta de subsidio nas contratações de serviços e materiais nas unidades.</w:t>
      </w:r>
    </w:p>
    <w:p w14:paraId="3AE8E80F" w14:textId="72296BA1" w:rsidR="00521D07" w:rsidRDefault="00521D07" w:rsidP="00777E35">
      <w:pPr>
        <w:jc w:val="center"/>
        <w:rPr>
          <w:bCs/>
          <w:iCs/>
        </w:rPr>
      </w:pPr>
    </w:p>
    <w:p w14:paraId="59926EA2" w14:textId="4A62EAE6" w:rsidR="006C3E6F" w:rsidRDefault="006C3E6F" w:rsidP="00777E35">
      <w:pPr>
        <w:jc w:val="center"/>
        <w:rPr>
          <w:bCs/>
          <w:iCs/>
        </w:rPr>
      </w:pPr>
      <w:r w:rsidRPr="006C3E6F">
        <w:rPr>
          <w:bCs/>
          <w:iCs/>
        </w:rPr>
        <w:t xml:space="preserve"> </w:t>
      </w:r>
    </w:p>
    <w:sectPr w:rsidR="006C3E6F" w:rsidSect="00B76D5E">
      <w:pgSz w:w="16840" w:h="11907" w:code="9"/>
      <w:pgMar w:top="1418" w:right="1134" w:bottom="90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8848A7" w14:textId="77777777" w:rsidR="003A7160" w:rsidRDefault="003A7160" w:rsidP="007C4DEC">
      <w:pPr>
        <w:spacing w:after="0" w:line="240" w:lineRule="auto"/>
      </w:pPr>
      <w:r>
        <w:separator/>
      </w:r>
    </w:p>
  </w:endnote>
  <w:endnote w:type="continuationSeparator" w:id="0">
    <w:p w14:paraId="1AE6C4F0" w14:textId="77777777" w:rsidR="003A7160" w:rsidRDefault="003A7160" w:rsidP="007C4DEC">
      <w:pPr>
        <w:spacing w:after="0" w:line="240" w:lineRule="auto"/>
      </w:pPr>
      <w:r>
        <w:continuationSeparator/>
      </w:r>
    </w:p>
  </w:endnote>
  <w:endnote w:type="continuationNotice" w:id="1">
    <w:p w14:paraId="70BA1CFE" w14:textId="77777777" w:rsidR="003A7160" w:rsidRDefault="003A716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Univers 57 Condensed">
    <w:altName w:val="Calibri"/>
    <w:panose1 w:val="00000000000000000000"/>
    <w:charset w:val="00"/>
    <w:family w:val="swiss"/>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Bebas Neue">
    <w:altName w:val="Bebas Neue"/>
    <w:charset w:val="00"/>
    <w:family w:val="swiss"/>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828680"/>
      <w:docPartObj>
        <w:docPartGallery w:val="Page Numbers (Bottom of Page)"/>
        <w:docPartUnique/>
      </w:docPartObj>
    </w:sdtPr>
    <w:sdtEndPr/>
    <w:sdtContent>
      <w:sdt>
        <w:sdtPr>
          <w:id w:val="-268635681"/>
          <w:docPartObj>
            <w:docPartGallery w:val="Page Numbers (Bottom of Page)"/>
            <w:docPartUnique/>
          </w:docPartObj>
        </w:sdtPr>
        <w:sdtEndPr>
          <w:rPr>
            <w:sz w:val="48"/>
            <w:szCs w:val="48"/>
          </w:rPr>
        </w:sdtEndPr>
        <w:sdtContent>
          <w:p w14:paraId="50BE49BC" w14:textId="7EB9594B" w:rsidR="005954C3" w:rsidRDefault="005954C3" w:rsidP="00C22576">
            <w:pPr>
              <w:pStyle w:val="Rodap"/>
              <w:pBdr>
                <w:top w:val="single" w:sz="4" w:space="1" w:color="auto"/>
              </w:pBdr>
              <w:jc w:val="right"/>
            </w:pPr>
            <w:r w:rsidRPr="00F1231C">
              <w:rPr>
                <w:color w:val="525252"/>
                <w:sz w:val="48"/>
                <w:szCs w:val="48"/>
              </w:rPr>
              <w:fldChar w:fldCharType="begin"/>
            </w:r>
            <w:r w:rsidRPr="00F1231C">
              <w:rPr>
                <w:color w:val="525252"/>
                <w:sz w:val="48"/>
                <w:szCs w:val="48"/>
              </w:rPr>
              <w:instrText>PAGE   \* MERGEFORMAT</w:instrText>
            </w:r>
            <w:r w:rsidRPr="00F1231C">
              <w:rPr>
                <w:color w:val="525252"/>
                <w:sz w:val="48"/>
                <w:szCs w:val="48"/>
              </w:rPr>
              <w:fldChar w:fldCharType="separate"/>
            </w:r>
            <w:r w:rsidR="00421E2F">
              <w:rPr>
                <w:noProof/>
                <w:color w:val="525252"/>
                <w:sz w:val="48"/>
                <w:szCs w:val="48"/>
              </w:rPr>
              <w:t>4</w:t>
            </w:r>
            <w:r w:rsidRPr="00F1231C">
              <w:rPr>
                <w:color w:val="525252"/>
                <w:sz w:val="48"/>
                <w:szCs w:val="48"/>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7946725"/>
      <w:docPartObj>
        <w:docPartGallery w:val="Page Numbers (Bottom of Page)"/>
        <w:docPartUnique/>
      </w:docPartObj>
    </w:sdtPr>
    <w:sdtEndPr/>
    <w:sdtContent>
      <w:sdt>
        <w:sdtPr>
          <w:id w:val="1448964363"/>
          <w:docPartObj>
            <w:docPartGallery w:val="Page Numbers (Bottom of Page)"/>
            <w:docPartUnique/>
          </w:docPartObj>
        </w:sdtPr>
        <w:sdtEndPr>
          <w:rPr>
            <w:sz w:val="48"/>
            <w:szCs w:val="48"/>
          </w:rPr>
        </w:sdtEndPr>
        <w:sdtContent>
          <w:p w14:paraId="13578CC4" w14:textId="64E4E5D7" w:rsidR="005954C3" w:rsidRDefault="005954C3" w:rsidP="00691004">
            <w:pPr>
              <w:pStyle w:val="Rodap"/>
              <w:pBdr>
                <w:top w:val="single" w:sz="4" w:space="1" w:color="auto"/>
              </w:pBdr>
              <w:jc w:val="right"/>
            </w:pPr>
            <w:r w:rsidRPr="00F1231C">
              <w:rPr>
                <w:color w:val="525252"/>
                <w:sz w:val="48"/>
                <w:szCs w:val="48"/>
              </w:rPr>
              <w:fldChar w:fldCharType="begin"/>
            </w:r>
            <w:r w:rsidRPr="00F1231C">
              <w:rPr>
                <w:color w:val="525252"/>
                <w:sz w:val="48"/>
                <w:szCs w:val="48"/>
              </w:rPr>
              <w:instrText>PAGE   \* MERGEFORMAT</w:instrText>
            </w:r>
            <w:r w:rsidRPr="00F1231C">
              <w:rPr>
                <w:color w:val="525252"/>
                <w:sz w:val="48"/>
                <w:szCs w:val="48"/>
              </w:rPr>
              <w:fldChar w:fldCharType="separate"/>
            </w:r>
            <w:r w:rsidR="00421E2F">
              <w:rPr>
                <w:noProof/>
                <w:color w:val="525252"/>
                <w:sz w:val="48"/>
                <w:szCs w:val="48"/>
              </w:rPr>
              <w:t>91</w:t>
            </w:r>
            <w:r w:rsidRPr="00F1231C">
              <w:rPr>
                <w:color w:val="525252"/>
                <w:sz w:val="48"/>
                <w:szCs w:val="48"/>
              </w:rPr>
              <w:fldChar w:fldCharType="end"/>
            </w:r>
          </w:p>
          <w:p w14:paraId="5E898CCF" w14:textId="7B6AFECF" w:rsidR="005954C3" w:rsidRDefault="003A7160" w:rsidP="00C22576">
            <w:pPr>
              <w:pStyle w:val="Rodap"/>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792D39" w14:textId="77777777" w:rsidR="003A7160" w:rsidRDefault="003A7160" w:rsidP="007C4DEC">
      <w:pPr>
        <w:spacing w:after="0" w:line="240" w:lineRule="auto"/>
      </w:pPr>
      <w:r>
        <w:separator/>
      </w:r>
    </w:p>
  </w:footnote>
  <w:footnote w:type="continuationSeparator" w:id="0">
    <w:p w14:paraId="2583F0E1" w14:textId="77777777" w:rsidR="003A7160" w:rsidRDefault="003A7160" w:rsidP="007C4DEC">
      <w:pPr>
        <w:spacing w:after="0" w:line="240" w:lineRule="auto"/>
      </w:pPr>
      <w:r>
        <w:continuationSeparator/>
      </w:r>
    </w:p>
  </w:footnote>
  <w:footnote w:type="continuationNotice" w:id="1">
    <w:p w14:paraId="4C535660" w14:textId="77777777" w:rsidR="003A7160" w:rsidRDefault="003A7160">
      <w:pPr>
        <w:spacing w:after="0" w:line="240" w:lineRule="auto"/>
      </w:pPr>
    </w:p>
  </w:footnote>
  <w:footnote w:id="2">
    <w:p w14:paraId="29DA0FC8" w14:textId="6A4750A5" w:rsidR="005954C3" w:rsidRDefault="005954C3">
      <w:pPr>
        <w:pStyle w:val="Textodenotaderodap"/>
      </w:pPr>
      <w:r>
        <w:rPr>
          <w:rStyle w:val="Refdenotaderodap"/>
        </w:rPr>
        <w:footnoteRef/>
      </w:r>
      <w:r>
        <w:t xml:space="preserve"> Para os edifícios que não possuem série histórica de dados monitorados em 202</w:t>
      </w:r>
      <w:r w:rsidR="00A75454">
        <w:t>1</w:t>
      </w:r>
    </w:p>
  </w:footnote>
  <w:footnote w:id="3">
    <w:p w14:paraId="48DEF460" w14:textId="62C3CD1A" w:rsidR="005954C3" w:rsidRPr="00872F6B" w:rsidRDefault="005954C3">
      <w:pPr>
        <w:pStyle w:val="Textodenotaderodap"/>
      </w:pPr>
      <w:r>
        <w:rPr>
          <w:rStyle w:val="Refdenotaderodap"/>
        </w:rPr>
        <w:footnoteRef/>
      </w:r>
      <w:r>
        <w:t xml:space="preserve"> </w:t>
      </w:r>
      <w:r w:rsidRPr="00872F6B">
        <w:t>Os edifícios que não possuem série histórica terão seus dados monitorados para estabelecimento de meta futura.</w:t>
      </w:r>
    </w:p>
  </w:footnote>
  <w:footnote w:id="4">
    <w:p w14:paraId="508D0C8F" w14:textId="69E9D7C0" w:rsidR="005954C3" w:rsidRPr="00872F6B" w:rsidRDefault="005954C3">
      <w:pPr>
        <w:pStyle w:val="Textodenotaderodap"/>
        <w:rPr>
          <w:rFonts w:ascii="Calibri" w:eastAsia="Calibri" w:hAnsi="Calibri" w:cs="Calibri"/>
        </w:rPr>
      </w:pPr>
      <w:r w:rsidRPr="00872F6B">
        <w:rPr>
          <w:rStyle w:val="Refdenotaderodap"/>
        </w:rPr>
        <w:footnoteRef/>
      </w:r>
      <w:r w:rsidRPr="00872F6B">
        <w:t xml:space="preserve">  </w:t>
      </w:r>
      <w:r w:rsidRPr="00872F6B">
        <w:rPr>
          <w:rFonts w:ascii="Calibri" w:eastAsia="Calibri" w:hAnsi="Calibri" w:cs="Calibri"/>
        </w:rPr>
        <w:t>Os edifícios que não possuem série histórica terão seus dados monitorados para estabelecimento de meta futura.</w:t>
      </w:r>
    </w:p>
  </w:footnote>
  <w:footnote w:id="5">
    <w:p w14:paraId="6B32088C" w14:textId="403DF179" w:rsidR="005954C3" w:rsidRPr="00872F6B" w:rsidRDefault="005954C3">
      <w:pPr>
        <w:pStyle w:val="Textodenotaderodap"/>
      </w:pPr>
      <w:r w:rsidRPr="00872F6B">
        <w:rPr>
          <w:rStyle w:val="Refdenotaderodap"/>
        </w:rPr>
        <w:footnoteRef/>
      </w:r>
      <w:r w:rsidRPr="00872F6B">
        <w:t xml:space="preserve"> Os edifícios que não possuem série histórica terão seus dados monitorados para estabelecimento de meta futura.</w:t>
      </w:r>
    </w:p>
  </w:footnote>
  <w:footnote w:id="6">
    <w:p w14:paraId="5A96760C" w14:textId="5427F11D" w:rsidR="005954C3" w:rsidRDefault="005954C3">
      <w:pPr>
        <w:pStyle w:val="Textodenotaderodap"/>
        <w:rPr>
          <w:rFonts w:ascii="Calibri" w:eastAsia="Calibri" w:hAnsi="Calibri" w:cs="Calibri"/>
          <w:color w:val="FF0000"/>
        </w:rPr>
      </w:pPr>
      <w:r>
        <w:rPr>
          <w:rStyle w:val="Refdenotaderodap"/>
        </w:rPr>
        <w:footnoteRef/>
      </w:r>
      <w:r>
        <w:t xml:space="preserve"> </w:t>
      </w:r>
      <w:r w:rsidRPr="004C510D">
        <w:rPr>
          <w:rFonts w:ascii="Calibri" w:eastAsia="Calibri" w:hAnsi="Calibri" w:cs="Calibri"/>
        </w:rPr>
        <w:t>Os edifícios que não possuem série histórica terão seus dados monitorados para estabelecimento de meta futura.</w:t>
      </w:r>
    </w:p>
  </w:footnote>
  <w:footnote w:id="7">
    <w:p w14:paraId="13B77D1E" w14:textId="2449E7B7" w:rsidR="005954C3" w:rsidRDefault="005954C3">
      <w:pPr>
        <w:pStyle w:val="Textodenotaderodap"/>
      </w:pPr>
      <w:r>
        <w:rPr>
          <w:rStyle w:val="Refdenotaderodap"/>
        </w:rPr>
        <w:footnoteRef/>
      </w:r>
      <w:r>
        <w:t xml:space="preserve"> A SAD/RS não possui contratos de copeiragem.</w:t>
      </w:r>
    </w:p>
  </w:footnote>
  <w:footnote w:id="8">
    <w:p w14:paraId="31FE3833" w14:textId="1173956F" w:rsidR="005954C3" w:rsidRDefault="005954C3">
      <w:pPr>
        <w:pStyle w:val="Textodenotaderodap"/>
        <w:rPr>
          <w:color w:val="FF0000"/>
        </w:rPr>
      </w:pPr>
      <w:r w:rsidRPr="00E75B35">
        <w:rPr>
          <w:rStyle w:val="Refdenotaderodap"/>
        </w:rPr>
        <w:footnoteRef/>
      </w:r>
      <w:r w:rsidRPr="00E75B35">
        <w:t xml:space="preserve"> Os edifícios que não possuem série histórica terão seus dados monitorados para estabelecimento de meta futura.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965"/>
      <w:gridCol w:w="3965"/>
      <w:gridCol w:w="3965"/>
    </w:tblGrid>
    <w:tr w:rsidR="005954C3" w14:paraId="0D0BA016" w14:textId="77777777" w:rsidTr="00C22576">
      <w:tc>
        <w:tcPr>
          <w:tcW w:w="3965" w:type="dxa"/>
        </w:tcPr>
        <w:p w14:paraId="260F7EE9" w14:textId="55F905FE" w:rsidR="005954C3" w:rsidRDefault="005954C3" w:rsidP="00C22576">
          <w:pPr>
            <w:pStyle w:val="Cabealho"/>
            <w:ind w:left="-115"/>
          </w:pPr>
        </w:p>
      </w:tc>
      <w:tc>
        <w:tcPr>
          <w:tcW w:w="3965" w:type="dxa"/>
        </w:tcPr>
        <w:p w14:paraId="02EE71F5" w14:textId="31BAFC3D" w:rsidR="005954C3" w:rsidRDefault="005954C3" w:rsidP="00C22576">
          <w:pPr>
            <w:pStyle w:val="Cabealho"/>
            <w:jc w:val="center"/>
          </w:pPr>
        </w:p>
      </w:tc>
      <w:tc>
        <w:tcPr>
          <w:tcW w:w="3965" w:type="dxa"/>
        </w:tcPr>
        <w:p w14:paraId="167A382A" w14:textId="0C797C53" w:rsidR="005954C3" w:rsidRDefault="005954C3" w:rsidP="00C22576">
          <w:pPr>
            <w:pStyle w:val="Cabealho"/>
            <w:ind w:right="-115"/>
            <w:jc w:val="right"/>
          </w:pPr>
        </w:p>
      </w:tc>
    </w:tr>
  </w:tbl>
  <w:p w14:paraId="2EEE844B" w14:textId="6AD7E087" w:rsidR="005954C3" w:rsidRDefault="005954C3">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05954C3" w14:paraId="7C0D5138" w14:textId="77777777" w:rsidTr="00C22576">
      <w:tc>
        <w:tcPr>
          <w:tcW w:w="3020" w:type="dxa"/>
        </w:tcPr>
        <w:p w14:paraId="0AB10952" w14:textId="2E4D75DA" w:rsidR="005954C3" w:rsidRDefault="005954C3" w:rsidP="00C22576">
          <w:pPr>
            <w:pStyle w:val="Cabealho"/>
            <w:ind w:left="-115"/>
          </w:pPr>
        </w:p>
      </w:tc>
      <w:tc>
        <w:tcPr>
          <w:tcW w:w="3020" w:type="dxa"/>
        </w:tcPr>
        <w:p w14:paraId="36835235" w14:textId="61BC7FAB" w:rsidR="005954C3" w:rsidRDefault="005954C3" w:rsidP="00C22576">
          <w:pPr>
            <w:pStyle w:val="Cabealho"/>
            <w:jc w:val="center"/>
          </w:pPr>
        </w:p>
      </w:tc>
      <w:tc>
        <w:tcPr>
          <w:tcW w:w="3020" w:type="dxa"/>
        </w:tcPr>
        <w:p w14:paraId="2201A4DF" w14:textId="0DF08808" w:rsidR="005954C3" w:rsidRDefault="005954C3" w:rsidP="00C22576">
          <w:pPr>
            <w:pStyle w:val="Cabealho"/>
            <w:ind w:right="-115"/>
            <w:jc w:val="right"/>
          </w:pPr>
        </w:p>
      </w:tc>
    </w:tr>
  </w:tbl>
  <w:p w14:paraId="4C354B50" w14:textId="5D2E83F2" w:rsidR="005954C3" w:rsidRDefault="005954C3">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2D659" w14:textId="77777777" w:rsidR="005954C3" w:rsidRDefault="005954C3">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B53A5" w14:textId="77777777" w:rsidR="005954C3" w:rsidRDefault="005954C3">
    <w:pPr>
      <w:pStyle w:val="Cabealh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8C91D" w14:textId="77777777" w:rsidR="005954C3" w:rsidRDefault="005954C3">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461E96"/>
    <w:multiLevelType w:val="hybridMultilevel"/>
    <w:tmpl w:val="CF84A0C0"/>
    <w:lvl w:ilvl="0" w:tplc="5B460FB6">
      <w:start w:val="1"/>
      <w:numFmt w:val="lowerLetter"/>
      <w:lvlText w:val="%1)"/>
      <w:lvlJc w:val="left"/>
      <w:pPr>
        <w:ind w:left="720" w:hanging="360"/>
      </w:pPr>
      <w:rPr>
        <w:rFonts w:asciiTheme="minorHAnsi" w:hAnsiTheme="minorHAnsi" w:hint="default"/>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4A58619A"/>
    <w:multiLevelType w:val="hybridMultilevel"/>
    <w:tmpl w:val="229ABC92"/>
    <w:lvl w:ilvl="0" w:tplc="DD7A4AB8">
      <w:start w:val="1"/>
      <w:numFmt w:val="lowerLetter"/>
      <w:lvlText w:val="%1)"/>
      <w:lvlJc w:val="left"/>
      <w:pPr>
        <w:ind w:left="720" w:hanging="360"/>
      </w:pPr>
      <w:rPr>
        <w:rFonts w:asciiTheme="minorHAnsi" w:hAnsiTheme="minorHAnsi" w:hint="default"/>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5A391399"/>
    <w:multiLevelType w:val="hybridMultilevel"/>
    <w:tmpl w:val="0ACEDC3A"/>
    <w:lvl w:ilvl="0" w:tplc="0416000F">
      <w:start w:val="1"/>
      <w:numFmt w:val="decimal"/>
      <w:lvlText w:val="%1."/>
      <w:lvlJc w:val="left"/>
      <w:pPr>
        <w:ind w:left="721" w:hanging="360"/>
      </w:pPr>
    </w:lvl>
    <w:lvl w:ilvl="1" w:tplc="04160019" w:tentative="1">
      <w:start w:val="1"/>
      <w:numFmt w:val="lowerLetter"/>
      <w:lvlText w:val="%2."/>
      <w:lvlJc w:val="left"/>
      <w:pPr>
        <w:ind w:left="1441" w:hanging="360"/>
      </w:pPr>
    </w:lvl>
    <w:lvl w:ilvl="2" w:tplc="0416001B" w:tentative="1">
      <w:start w:val="1"/>
      <w:numFmt w:val="lowerRoman"/>
      <w:lvlText w:val="%3."/>
      <w:lvlJc w:val="right"/>
      <w:pPr>
        <w:ind w:left="2161" w:hanging="180"/>
      </w:pPr>
    </w:lvl>
    <w:lvl w:ilvl="3" w:tplc="0416000F" w:tentative="1">
      <w:start w:val="1"/>
      <w:numFmt w:val="decimal"/>
      <w:lvlText w:val="%4."/>
      <w:lvlJc w:val="left"/>
      <w:pPr>
        <w:ind w:left="2881" w:hanging="360"/>
      </w:pPr>
    </w:lvl>
    <w:lvl w:ilvl="4" w:tplc="04160019" w:tentative="1">
      <w:start w:val="1"/>
      <w:numFmt w:val="lowerLetter"/>
      <w:lvlText w:val="%5."/>
      <w:lvlJc w:val="left"/>
      <w:pPr>
        <w:ind w:left="3601" w:hanging="360"/>
      </w:pPr>
    </w:lvl>
    <w:lvl w:ilvl="5" w:tplc="0416001B" w:tentative="1">
      <w:start w:val="1"/>
      <w:numFmt w:val="lowerRoman"/>
      <w:lvlText w:val="%6."/>
      <w:lvlJc w:val="right"/>
      <w:pPr>
        <w:ind w:left="4321" w:hanging="180"/>
      </w:pPr>
    </w:lvl>
    <w:lvl w:ilvl="6" w:tplc="0416000F" w:tentative="1">
      <w:start w:val="1"/>
      <w:numFmt w:val="decimal"/>
      <w:lvlText w:val="%7."/>
      <w:lvlJc w:val="left"/>
      <w:pPr>
        <w:ind w:left="5041" w:hanging="360"/>
      </w:pPr>
    </w:lvl>
    <w:lvl w:ilvl="7" w:tplc="04160019" w:tentative="1">
      <w:start w:val="1"/>
      <w:numFmt w:val="lowerLetter"/>
      <w:lvlText w:val="%8."/>
      <w:lvlJc w:val="left"/>
      <w:pPr>
        <w:ind w:left="5761" w:hanging="360"/>
      </w:pPr>
    </w:lvl>
    <w:lvl w:ilvl="8" w:tplc="0416001B" w:tentative="1">
      <w:start w:val="1"/>
      <w:numFmt w:val="lowerRoman"/>
      <w:lvlText w:val="%9."/>
      <w:lvlJc w:val="right"/>
      <w:pPr>
        <w:ind w:left="6481" w:hanging="180"/>
      </w:pPr>
    </w:lvl>
  </w:abstractNum>
  <w:abstractNum w:abstractNumId="3" w15:restartNumberingAfterBreak="0">
    <w:nsid w:val="5BBD1C65"/>
    <w:multiLevelType w:val="hybridMultilevel"/>
    <w:tmpl w:val="2820BC6A"/>
    <w:lvl w:ilvl="0" w:tplc="04160017">
      <w:start w:val="1"/>
      <w:numFmt w:val="lowerLetter"/>
      <w:lvlText w:val="%1)"/>
      <w:lvlJc w:val="left"/>
      <w:pPr>
        <w:ind w:left="721" w:hanging="360"/>
      </w:pPr>
    </w:lvl>
    <w:lvl w:ilvl="1" w:tplc="04160019" w:tentative="1">
      <w:start w:val="1"/>
      <w:numFmt w:val="lowerLetter"/>
      <w:lvlText w:val="%2."/>
      <w:lvlJc w:val="left"/>
      <w:pPr>
        <w:ind w:left="1441" w:hanging="360"/>
      </w:pPr>
    </w:lvl>
    <w:lvl w:ilvl="2" w:tplc="0416001B" w:tentative="1">
      <w:start w:val="1"/>
      <w:numFmt w:val="lowerRoman"/>
      <w:lvlText w:val="%3."/>
      <w:lvlJc w:val="right"/>
      <w:pPr>
        <w:ind w:left="2161" w:hanging="180"/>
      </w:pPr>
    </w:lvl>
    <w:lvl w:ilvl="3" w:tplc="0416000F" w:tentative="1">
      <w:start w:val="1"/>
      <w:numFmt w:val="decimal"/>
      <w:lvlText w:val="%4."/>
      <w:lvlJc w:val="left"/>
      <w:pPr>
        <w:ind w:left="2881" w:hanging="360"/>
      </w:pPr>
    </w:lvl>
    <w:lvl w:ilvl="4" w:tplc="04160019" w:tentative="1">
      <w:start w:val="1"/>
      <w:numFmt w:val="lowerLetter"/>
      <w:lvlText w:val="%5."/>
      <w:lvlJc w:val="left"/>
      <w:pPr>
        <w:ind w:left="3601" w:hanging="360"/>
      </w:pPr>
    </w:lvl>
    <w:lvl w:ilvl="5" w:tplc="0416001B" w:tentative="1">
      <w:start w:val="1"/>
      <w:numFmt w:val="lowerRoman"/>
      <w:lvlText w:val="%6."/>
      <w:lvlJc w:val="right"/>
      <w:pPr>
        <w:ind w:left="4321" w:hanging="180"/>
      </w:pPr>
    </w:lvl>
    <w:lvl w:ilvl="6" w:tplc="0416000F" w:tentative="1">
      <w:start w:val="1"/>
      <w:numFmt w:val="decimal"/>
      <w:lvlText w:val="%7."/>
      <w:lvlJc w:val="left"/>
      <w:pPr>
        <w:ind w:left="5041" w:hanging="360"/>
      </w:pPr>
    </w:lvl>
    <w:lvl w:ilvl="7" w:tplc="04160019" w:tentative="1">
      <w:start w:val="1"/>
      <w:numFmt w:val="lowerLetter"/>
      <w:lvlText w:val="%8."/>
      <w:lvlJc w:val="left"/>
      <w:pPr>
        <w:ind w:left="5761" w:hanging="360"/>
      </w:pPr>
    </w:lvl>
    <w:lvl w:ilvl="8" w:tplc="0416001B" w:tentative="1">
      <w:start w:val="1"/>
      <w:numFmt w:val="lowerRoman"/>
      <w:lvlText w:val="%9."/>
      <w:lvlJc w:val="right"/>
      <w:pPr>
        <w:ind w:left="6481" w:hanging="180"/>
      </w:pPr>
    </w:lvl>
  </w:abstractNum>
  <w:abstractNum w:abstractNumId="4" w15:restartNumberingAfterBreak="0">
    <w:nsid w:val="74105E8B"/>
    <w:multiLevelType w:val="hybridMultilevel"/>
    <w:tmpl w:val="25023278"/>
    <w:lvl w:ilvl="0" w:tplc="B4E2FAB0">
      <w:start w:val="1"/>
      <w:numFmt w:val="lowerLetter"/>
      <w:lvlText w:val="%1)"/>
      <w:lvlJc w:val="left"/>
      <w:pPr>
        <w:ind w:left="720" w:hanging="360"/>
      </w:pPr>
      <w:rPr>
        <w:rFonts w:asciiTheme="minorHAnsi" w:hAnsiTheme="minorHAnsi" w:hint="default"/>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291133729">
    <w:abstractNumId w:val="1"/>
  </w:num>
  <w:num w:numId="2" w16cid:durableId="966591200">
    <w:abstractNumId w:val="0"/>
  </w:num>
  <w:num w:numId="3" w16cid:durableId="1668048305">
    <w:abstractNumId w:val="4"/>
  </w:num>
  <w:num w:numId="4" w16cid:durableId="1015767589">
    <w:abstractNumId w:val="3"/>
  </w:num>
  <w:num w:numId="5" w16cid:durableId="188836169">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ocumentProtection w:edit="readOnly" w:formatting="1" w:enforcement="0"/>
  <w:defaultTabStop w:val="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0062"/>
    <w:rsid w:val="00000166"/>
    <w:rsid w:val="00000668"/>
    <w:rsid w:val="00002215"/>
    <w:rsid w:val="00002345"/>
    <w:rsid w:val="00002797"/>
    <w:rsid w:val="00002D48"/>
    <w:rsid w:val="000035AC"/>
    <w:rsid w:val="00003CE9"/>
    <w:rsid w:val="00003CF1"/>
    <w:rsid w:val="00003D81"/>
    <w:rsid w:val="00003DFF"/>
    <w:rsid w:val="00003FE3"/>
    <w:rsid w:val="00004360"/>
    <w:rsid w:val="000043AC"/>
    <w:rsid w:val="00004568"/>
    <w:rsid w:val="00004D6E"/>
    <w:rsid w:val="00004DF8"/>
    <w:rsid w:val="000052EC"/>
    <w:rsid w:val="000056AB"/>
    <w:rsid w:val="0000581E"/>
    <w:rsid w:val="0000592C"/>
    <w:rsid w:val="00005BCB"/>
    <w:rsid w:val="00006B17"/>
    <w:rsid w:val="00006DC9"/>
    <w:rsid w:val="0000767A"/>
    <w:rsid w:val="000077F9"/>
    <w:rsid w:val="000079CC"/>
    <w:rsid w:val="00007BF0"/>
    <w:rsid w:val="00010382"/>
    <w:rsid w:val="0001049C"/>
    <w:rsid w:val="00010668"/>
    <w:rsid w:val="000107B5"/>
    <w:rsid w:val="00010814"/>
    <w:rsid w:val="00010F9D"/>
    <w:rsid w:val="0001100D"/>
    <w:rsid w:val="0001148C"/>
    <w:rsid w:val="000116BD"/>
    <w:rsid w:val="000118B1"/>
    <w:rsid w:val="00011EAB"/>
    <w:rsid w:val="00012036"/>
    <w:rsid w:val="000130BE"/>
    <w:rsid w:val="000137ED"/>
    <w:rsid w:val="000138A8"/>
    <w:rsid w:val="000144FB"/>
    <w:rsid w:val="00014738"/>
    <w:rsid w:val="00014C9D"/>
    <w:rsid w:val="00014CBB"/>
    <w:rsid w:val="00014FA2"/>
    <w:rsid w:val="00015421"/>
    <w:rsid w:val="00015897"/>
    <w:rsid w:val="00015B7D"/>
    <w:rsid w:val="00016147"/>
    <w:rsid w:val="000163AA"/>
    <w:rsid w:val="0001656A"/>
    <w:rsid w:val="000169DF"/>
    <w:rsid w:val="00016A28"/>
    <w:rsid w:val="0001715B"/>
    <w:rsid w:val="0001751C"/>
    <w:rsid w:val="000176C3"/>
    <w:rsid w:val="00017984"/>
    <w:rsid w:val="00017A53"/>
    <w:rsid w:val="00017A7B"/>
    <w:rsid w:val="000203B3"/>
    <w:rsid w:val="0002065F"/>
    <w:rsid w:val="00020B2A"/>
    <w:rsid w:val="000211B3"/>
    <w:rsid w:val="00021258"/>
    <w:rsid w:val="00021643"/>
    <w:rsid w:val="0002175B"/>
    <w:rsid w:val="00022C6B"/>
    <w:rsid w:val="00022EB4"/>
    <w:rsid w:val="000231BD"/>
    <w:rsid w:val="00023A83"/>
    <w:rsid w:val="0002453F"/>
    <w:rsid w:val="000246A7"/>
    <w:rsid w:val="000246CD"/>
    <w:rsid w:val="0002563D"/>
    <w:rsid w:val="00027145"/>
    <w:rsid w:val="0002718A"/>
    <w:rsid w:val="00027697"/>
    <w:rsid w:val="00027832"/>
    <w:rsid w:val="00027B5B"/>
    <w:rsid w:val="00027C15"/>
    <w:rsid w:val="00027E4F"/>
    <w:rsid w:val="00030450"/>
    <w:rsid w:val="00030738"/>
    <w:rsid w:val="00030966"/>
    <w:rsid w:val="00030F1C"/>
    <w:rsid w:val="00031183"/>
    <w:rsid w:val="000316F5"/>
    <w:rsid w:val="000319D8"/>
    <w:rsid w:val="00031DAF"/>
    <w:rsid w:val="00031F22"/>
    <w:rsid w:val="00032CDE"/>
    <w:rsid w:val="00032D0A"/>
    <w:rsid w:val="000331BC"/>
    <w:rsid w:val="00033335"/>
    <w:rsid w:val="0003364B"/>
    <w:rsid w:val="000336FF"/>
    <w:rsid w:val="00033A30"/>
    <w:rsid w:val="00033ACA"/>
    <w:rsid w:val="00034133"/>
    <w:rsid w:val="00035B86"/>
    <w:rsid w:val="00035E5F"/>
    <w:rsid w:val="00036142"/>
    <w:rsid w:val="00036465"/>
    <w:rsid w:val="0003694D"/>
    <w:rsid w:val="0003750D"/>
    <w:rsid w:val="00037EFE"/>
    <w:rsid w:val="00040598"/>
    <w:rsid w:val="00040F95"/>
    <w:rsid w:val="00041CA6"/>
    <w:rsid w:val="00042087"/>
    <w:rsid w:val="000421E6"/>
    <w:rsid w:val="0004258B"/>
    <w:rsid w:val="00042777"/>
    <w:rsid w:val="00042B40"/>
    <w:rsid w:val="00042C85"/>
    <w:rsid w:val="00043FD2"/>
    <w:rsid w:val="000447CC"/>
    <w:rsid w:val="000447FC"/>
    <w:rsid w:val="000448FE"/>
    <w:rsid w:val="000460F4"/>
    <w:rsid w:val="0004658E"/>
    <w:rsid w:val="00050497"/>
    <w:rsid w:val="0005052A"/>
    <w:rsid w:val="00050665"/>
    <w:rsid w:val="000506F0"/>
    <w:rsid w:val="00050B0A"/>
    <w:rsid w:val="00050DB0"/>
    <w:rsid w:val="00052172"/>
    <w:rsid w:val="0005379B"/>
    <w:rsid w:val="000538C4"/>
    <w:rsid w:val="00053987"/>
    <w:rsid w:val="00053AD4"/>
    <w:rsid w:val="00054326"/>
    <w:rsid w:val="0005497A"/>
    <w:rsid w:val="0005604D"/>
    <w:rsid w:val="000563D6"/>
    <w:rsid w:val="0005649E"/>
    <w:rsid w:val="00057344"/>
    <w:rsid w:val="000575E9"/>
    <w:rsid w:val="00057604"/>
    <w:rsid w:val="000579BA"/>
    <w:rsid w:val="000579E6"/>
    <w:rsid w:val="0005ACE7"/>
    <w:rsid w:val="00060188"/>
    <w:rsid w:val="00060370"/>
    <w:rsid w:val="00060AE0"/>
    <w:rsid w:val="000615C6"/>
    <w:rsid w:val="0006258A"/>
    <w:rsid w:val="00062BDD"/>
    <w:rsid w:val="00062EAC"/>
    <w:rsid w:val="00062EE7"/>
    <w:rsid w:val="00063021"/>
    <w:rsid w:val="00063532"/>
    <w:rsid w:val="00063794"/>
    <w:rsid w:val="00063DAA"/>
    <w:rsid w:val="00063E63"/>
    <w:rsid w:val="0006401B"/>
    <w:rsid w:val="00064041"/>
    <w:rsid w:val="00064366"/>
    <w:rsid w:val="00064526"/>
    <w:rsid w:val="00064A19"/>
    <w:rsid w:val="0006561D"/>
    <w:rsid w:val="00065692"/>
    <w:rsid w:val="00065ABE"/>
    <w:rsid w:val="00065BFE"/>
    <w:rsid w:val="00065D93"/>
    <w:rsid w:val="00066153"/>
    <w:rsid w:val="00066F9A"/>
    <w:rsid w:val="000670A9"/>
    <w:rsid w:val="00067321"/>
    <w:rsid w:val="000700CD"/>
    <w:rsid w:val="00070363"/>
    <w:rsid w:val="000717D6"/>
    <w:rsid w:val="00071975"/>
    <w:rsid w:val="0007283B"/>
    <w:rsid w:val="00072920"/>
    <w:rsid w:val="00072A84"/>
    <w:rsid w:val="00072BAC"/>
    <w:rsid w:val="00073142"/>
    <w:rsid w:val="000738D4"/>
    <w:rsid w:val="0007571B"/>
    <w:rsid w:val="00075F5D"/>
    <w:rsid w:val="000763EE"/>
    <w:rsid w:val="00076683"/>
    <w:rsid w:val="000766FC"/>
    <w:rsid w:val="00076BD4"/>
    <w:rsid w:val="00076D48"/>
    <w:rsid w:val="00077802"/>
    <w:rsid w:val="00077973"/>
    <w:rsid w:val="000808BC"/>
    <w:rsid w:val="00080D2B"/>
    <w:rsid w:val="0008152E"/>
    <w:rsid w:val="000817AB"/>
    <w:rsid w:val="00081960"/>
    <w:rsid w:val="00081CA8"/>
    <w:rsid w:val="00082007"/>
    <w:rsid w:val="00082450"/>
    <w:rsid w:val="00082F64"/>
    <w:rsid w:val="000832C4"/>
    <w:rsid w:val="00083381"/>
    <w:rsid w:val="00083788"/>
    <w:rsid w:val="0008393B"/>
    <w:rsid w:val="00083DEE"/>
    <w:rsid w:val="000842C6"/>
    <w:rsid w:val="00084EB7"/>
    <w:rsid w:val="0008511A"/>
    <w:rsid w:val="00085551"/>
    <w:rsid w:val="000858E4"/>
    <w:rsid w:val="00085F49"/>
    <w:rsid w:val="00086146"/>
    <w:rsid w:val="00086623"/>
    <w:rsid w:val="00086C9E"/>
    <w:rsid w:val="00087389"/>
    <w:rsid w:val="0008761C"/>
    <w:rsid w:val="00087788"/>
    <w:rsid w:val="00087C98"/>
    <w:rsid w:val="000902C6"/>
    <w:rsid w:val="00090EB0"/>
    <w:rsid w:val="00091327"/>
    <w:rsid w:val="0009139B"/>
    <w:rsid w:val="00092361"/>
    <w:rsid w:val="00092528"/>
    <w:rsid w:val="0009281A"/>
    <w:rsid w:val="00092BDA"/>
    <w:rsid w:val="00092DDF"/>
    <w:rsid w:val="000937F9"/>
    <w:rsid w:val="00093A9D"/>
    <w:rsid w:val="00093F7F"/>
    <w:rsid w:val="00094338"/>
    <w:rsid w:val="000944E5"/>
    <w:rsid w:val="00094BA5"/>
    <w:rsid w:val="00094CDD"/>
    <w:rsid w:val="00094F36"/>
    <w:rsid w:val="0009561F"/>
    <w:rsid w:val="00095919"/>
    <w:rsid w:val="00095D3D"/>
    <w:rsid w:val="00095E68"/>
    <w:rsid w:val="00096A3F"/>
    <w:rsid w:val="00096BF3"/>
    <w:rsid w:val="00096E96"/>
    <w:rsid w:val="00097123"/>
    <w:rsid w:val="000974AD"/>
    <w:rsid w:val="000975F6"/>
    <w:rsid w:val="00097A10"/>
    <w:rsid w:val="00097A58"/>
    <w:rsid w:val="00097D63"/>
    <w:rsid w:val="000A0F54"/>
    <w:rsid w:val="000A1435"/>
    <w:rsid w:val="000A173D"/>
    <w:rsid w:val="000A1D7E"/>
    <w:rsid w:val="000A1E5E"/>
    <w:rsid w:val="000A20E0"/>
    <w:rsid w:val="000A224B"/>
    <w:rsid w:val="000A24B0"/>
    <w:rsid w:val="000A25AD"/>
    <w:rsid w:val="000A2F14"/>
    <w:rsid w:val="000A32BF"/>
    <w:rsid w:val="000A330A"/>
    <w:rsid w:val="000A382B"/>
    <w:rsid w:val="000A38B9"/>
    <w:rsid w:val="000A3BBE"/>
    <w:rsid w:val="000A3EA3"/>
    <w:rsid w:val="000A4EEC"/>
    <w:rsid w:val="000A5360"/>
    <w:rsid w:val="000A54B8"/>
    <w:rsid w:val="000A5AF0"/>
    <w:rsid w:val="000A65BD"/>
    <w:rsid w:val="000A6E40"/>
    <w:rsid w:val="000A6F5E"/>
    <w:rsid w:val="000A74CE"/>
    <w:rsid w:val="000A7512"/>
    <w:rsid w:val="000A7A38"/>
    <w:rsid w:val="000A7AA8"/>
    <w:rsid w:val="000A7BA3"/>
    <w:rsid w:val="000A7C00"/>
    <w:rsid w:val="000B02EC"/>
    <w:rsid w:val="000B081F"/>
    <w:rsid w:val="000B17E7"/>
    <w:rsid w:val="000B1D8A"/>
    <w:rsid w:val="000B2C80"/>
    <w:rsid w:val="000B2C97"/>
    <w:rsid w:val="000B3422"/>
    <w:rsid w:val="000B37AE"/>
    <w:rsid w:val="000B3C57"/>
    <w:rsid w:val="000B4999"/>
    <w:rsid w:val="000B4D86"/>
    <w:rsid w:val="000B4F79"/>
    <w:rsid w:val="000B54CE"/>
    <w:rsid w:val="000B56AB"/>
    <w:rsid w:val="000B5D78"/>
    <w:rsid w:val="000B5F38"/>
    <w:rsid w:val="000B67BB"/>
    <w:rsid w:val="000B6947"/>
    <w:rsid w:val="000B6A88"/>
    <w:rsid w:val="000B70E1"/>
    <w:rsid w:val="000B7C8A"/>
    <w:rsid w:val="000C0605"/>
    <w:rsid w:val="000C0780"/>
    <w:rsid w:val="000C0866"/>
    <w:rsid w:val="000C087C"/>
    <w:rsid w:val="000C08CA"/>
    <w:rsid w:val="000C1446"/>
    <w:rsid w:val="000C1775"/>
    <w:rsid w:val="000C1A5C"/>
    <w:rsid w:val="000C1B2D"/>
    <w:rsid w:val="000C2722"/>
    <w:rsid w:val="000C297A"/>
    <w:rsid w:val="000C2AFA"/>
    <w:rsid w:val="000C2B63"/>
    <w:rsid w:val="000C2BB6"/>
    <w:rsid w:val="000C2E7F"/>
    <w:rsid w:val="000C35E5"/>
    <w:rsid w:val="000C393C"/>
    <w:rsid w:val="000C4237"/>
    <w:rsid w:val="000C4766"/>
    <w:rsid w:val="000C47CF"/>
    <w:rsid w:val="000C499D"/>
    <w:rsid w:val="000C57BF"/>
    <w:rsid w:val="000C5961"/>
    <w:rsid w:val="000C5BF2"/>
    <w:rsid w:val="000C5E2A"/>
    <w:rsid w:val="000C63A7"/>
    <w:rsid w:val="000D0614"/>
    <w:rsid w:val="000D15D5"/>
    <w:rsid w:val="000D1713"/>
    <w:rsid w:val="000D1DD0"/>
    <w:rsid w:val="000D1F43"/>
    <w:rsid w:val="000D1F6F"/>
    <w:rsid w:val="000D2D5B"/>
    <w:rsid w:val="000D30E2"/>
    <w:rsid w:val="000D3AB0"/>
    <w:rsid w:val="000D3EA7"/>
    <w:rsid w:val="000D493E"/>
    <w:rsid w:val="000D551C"/>
    <w:rsid w:val="000D664B"/>
    <w:rsid w:val="000D66CD"/>
    <w:rsid w:val="000D683A"/>
    <w:rsid w:val="000D6D1E"/>
    <w:rsid w:val="000D74B1"/>
    <w:rsid w:val="000D774C"/>
    <w:rsid w:val="000D7D99"/>
    <w:rsid w:val="000E0B24"/>
    <w:rsid w:val="000E0B45"/>
    <w:rsid w:val="000E0C7F"/>
    <w:rsid w:val="000E15A3"/>
    <w:rsid w:val="000E1F89"/>
    <w:rsid w:val="000E1FE3"/>
    <w:rsid w:val="000E22FB"/>
    <w:rsid w:val="000E304C"/>
    <w:rsid w:val="000E3220"/>
    <w:rsid w:val="000E37F1"/>
    <w:rsid w:val="000E3E30"/>
    <w:rsid w:val="000E452A"/>
    <w:rsid w:val="000E4B16"/>
    <w:rsid w:val="000E4B25"/>
    <w:rsid w:val="000E4C43"/>
    <w:rsid w:val="000E5111"/>
    <w:rsid w:val="000E5193"/>
    <w:rsid w:val="000E576E"/>
    <w:rsid w:val="000E68D2"/>
    <w:rsid w:val="000E7547"/>
    <w:rsid w:val="000E768F"/>
    <w:rsid w:val="000E7958"/>
    <w:rsid w:val="000E7C92"/>
    <w:rsid w:val="000E7CB7"/>
    <w:rsid w:val="000E7DF7"/>
    <w:rsid w:val="000F004C"/>
    <w:rsid w:val="000F0A4E"/>
    <w:rsid w:val="000F0F3C"/>
    <w:rsid w:val="000F1758"/>
    <w:rsid w:val="000F1E51"/>
    <w:rsid w:val="000F25CA"/>
    <w:rsid w:val="000F2713"/>
    <w:rsid w:val="000F296D"/>
    <w:rsid w:val="000F2F4B"/>
    <w:rsid w:val="000F304C"/>
    <w:rsid w:val="000F3541"/>
    <w:rsid w:val="000F3928"/>
    <w:rsid w:val="000F392C"/>
    <w:rsid w:val="000F4588"/>
    <w:rsid w:val="000F4F35"/>
    <w:rsid w:val="000F5323"/>
    <w:rsid w:val="000F5515"/>
    <w:rsid w:val="000F5572"/>
    <w:rsid w:val="000F5964"/>
    <w:rsid w:val="000F61DA"/>
    <w:rsid w:val="000F6615"/>
    <w:rsid w:val="000F6840"/>
    <w:rsid w:val="000F69DB"/>
    <w:rsid w:val="000F6B40"/>
    <w:rsid w:val="000F6C3F"/>
    <w:rsid w:val="000F72FA"/>
    <w:rsid w:val="000F739B"/>
    <w:rsid w:val="000F73D1"/>
    <w:rsid w:val="000F7470"/>
    <w:rsid w:val="000F7E91"/>
    <w:rsid w:val="000F7EA9"/>
    <w:rsid w:val="001001E3"/>
    <w:rsid w:val="00100201"/>
    <w:rsid w:val="0010078F"/>
    <w:rsid w:val="0010122D"/>
    <w:rsid w:val="00101998"/>
    <w:rsid w:val="00101CD2"/>
    <w:rsid w:val="00102282"/>
    <w:rsid w:val="0010250D"/>
    <w:rsid w:val="00102952"/>
    <w:rsid w:val="00102B0A"/>
    <w:rsid w:val="00102C05"/>
    <w:rsid w:val="001039EB"/>
    <w:rsid w:val="001059C1"/>
    <w:rsid w:val="00105A9D"/>
    <w:rsid w:val="00105D99"/>
    <w:rsid w:val="001060D7"/>
    <w:rsid w:val="001063C6"/>
    <w:rsid w:val="00106675"/>
    <w:rsid w:val="0010673F"/>
    <w:rsid w:val="001067E8"/>
    <w:rsid w:val="00106F86"/>
    <w:rsid w:val="00107438"/>
    <w:rsid w:val="00107E53"/>
    <w:rsid w:val="001101FB"/>
    <w:rsid w:val="0011049F"/>
    <w:rsid w:val="001105C8"/>
    <w:rsid w:val="00110842"/>
    <w:rsid w:val="0011185F"/>
    <w:rsid w:val="00111A40"/>
    <w:rsid w:val="00111CD1"/>
    <w:rsid w:val="00111E22"/>
    <w:rsid w:val="00112022"/>
    <w:rsid w:val="00112129"/>
    <w:rsid w:val="0011237A"/>
    <w:rsid w:val="001126C9"/>
    <w:rsid w:val="001129B5"/>
    <w:rsid w:val="00112B5A"/>
    <w:rsid w:val="00112C8D"/>
    <w:rsid w:val="0011355B"/>
    <w:rsid w:val="00113DC5"/>
    <w:rsid w:val="00113DDE"/>
    <w:rsid w:val="00113EA4"/>
    <w:rsid w:val="00114A65"/>
    <w:rsid w:val="00114F69"/>
    <w:rsid w:val="00115104"/>
    <w:rsid w:val="001153BE"/>
    <w:rsid w:val="001158A8"/>
    <w:rsid w:val="00115DBB"/>
    <w:rsid w:val="001160C5"/>
    <w:rsid w:val="00116E72"/>
    <w:rsid w:val="00117989"/>
    <w:rsid w:val="00117996"/>
    <w:rsid w:val="00117DED"/>
    <w:rsid w:val="001200CC"/>
    <w:rsid w:val="00121261"/>
    <w:rsid w:val="001217A1"/>
    <w:rsid w:val="0012181E"/>
    <w:rsid w:val="00121851"/>
    <w:rsid w:val="00121B7A"/>
    <w:rsid w:val="00121D1D"/>
    <w:rsid w:val="00122F95"/>
    <w:rsid w:val="00123090"/>
    <w:rsid w:val="0012318B"/>
    <w:rsid w:val="00123473"/>
    <w:rsid w:val="00123D63"/>
    <w:rsid w:val="00123E19"/>
    <w:rsid w:val="00123FEF"/>
    <w:rsid w:val="00125810"/>
    <w:rsid w:val="00125BCB"/>
    <w:rsid w:val="00126D63"/>
    <w:rsid w:val="001272C9"/>
    <w:rsid w:val="00127780"/>
    <w:rsid w:val="00127AD2"/>
    <w:rsid w:val="00130FEE"/>
    <w:rsid w:val="00131265"/>
    <w:rsid w:val="0013157E"/>
    <w:rsid w:val="00131895"/>
    <w:rsid w:val="00131B31"/>
    <w:rsid w:val="00131C36"/>
    <w:rsid w:val="00131C7D"/>
    <w:rsid w:val="00132094"/>
    <w:rsid w:val="0013232A"/>
    <w:rsid w:val="00132BE2"/>
    <w:rsid w:val="00132F6F"/>
    <w:rsid w:val="00133096"/>
    <w:rsid w:val="00133C02"/>
    <w:rsid w:val="001343FC"/>
    <w:rsid w:val="001345BB"/>
    <w:rsid w:val="00134A99"/>
    <w:rsid w:val="001354B5"/>
    <w:rsid w:val="00135BCC"/>
    <w:rsid w:val="00135BDC"/>
    <w:rsid w:val="00135CFC"/>
    <w:rsid w:val="00136125"/>
    <w:rsid w:val="001361AE"/>
    <w:rsid w:val="0013627E"/>
    <w:rsid w:val="001364B0"/>
    <w:rsid w:val="00136CF5"/>
    <w:rsid w:val="00136F66"/>
    <w:rsid w:val="00137069"/>
    <w:rsid w:val="001374D9"/>
    <w:rsid w:val="00137E23"/>
    <w:rsid w:val="00137F4D"/>
    <w:rsid w:val="00137F7E"/>
    <w:rsid w:val="0014010B"/>
    <w:rsid w:val="00140658"/>
    <w:rsid w:val="001407E0"/>
    <w:rsid w:val="00140AEB"/>
    <w:rsid w:val="0014149D"/>
    <w:rsid w:val="001427B5"/>
    <w:rsid w:val="001427C8"/>
    <w:rsid w:val="00142C85"/>
    <w:rsid w:val="00142D6C"/>
    <w:rsid w:val="00143F77"/>
    <w:rsid w:val="001445D8"/>
    <w:rsid w:val="00144972"/>
    <w:rsid w:val="00144C15"/>
    <w:rsid w:val="0014557A"/>
    <w:rsid w:val="00145581"/>
    <w:rsid w:val="001455F6"/>
    <w:rsid w:val="0014584B"/>
    <w:rsid w:val="00145C74"/>
    <w:rsid w:val="00145E4D"/>
    <w:rsid w:val="0014635C"/>
    <w:rsid w:val="001466AC"/>
    <w:rsid w:val="001469F8"/>
    <w:rsid w:val="001470F3"/>
    <w:rsid w:val="0014728D"/>
    <w:rsid w:val="0014763E"/>
    <w:rsid w:val="001477BD"/>
    <w:rsid w:val="001478AE"/>
    <w:rsid w:val="001479FE"/>
    <w:rsid w:val="00150473"/>
    <w:rsid w:val="001507AA"/>
    <w:rsid w:val="001508BC"/>
    <w:rsid w:val="00150C29"/>
    <w:rsid w:val="00151503"/>
    <w:rsid w:val="00151D8D"/>
    <w:rsid w:val="0015225B"/>
    <w:rsid w:val="001522B6"/>
    <w:rsid w:val="00152AAA"/>
    <w:rsid w:val="00152F25"/>
    <w:rsid w:val="00152FCC"/>
    <w:rsid w:val="001532D8"/>
    <w:rsid w:val="001534C0"/>
    <w:rsid w:val="001536CD"/>
    <w:rsid w:val="001541C1"/>
    <w:rsid w:val="00154838"/>
    <w:rsid w:val="001548C2"/>
    <w:rsid w:val="00154C03"/>
    <w:rsid w:val="00154CDB"/>
    <w:rsid w:val="00155424"/>
    <w:rsid w:val="00155607"/>
    <w:rsid w:val="00155B50"/>
    <w:rsid w:val="00155C8A"/>
    <w:rsid w:val="001560D6"/>
    <w:rsid w:val="001561E2"/>
    <w:rsid w:val="00156281"/>
    <w:rsid w:val="001568AF"/>
    <w:rsid w:val="00157619"/>
    <w:rsid w:val="00157EF1"/>
    <w:rsid w:val="00160275"/>
    <w:rsid w:val="0016051C"/>
    <w:rsid w:val="0016084E"/>
    <w:rsid w:val="001609D1"/>
    <w:rsid w:val="001610BF"/>
    <w:rsid w:val="00161437"/>
    <w:rsid w:val="00161471"/>
    <w:rsid w:val="00161E9D"/>
    <w:rsid w:val="00161EAC"/>
    <w:rsid w:val="0016211D"/>
    <w:rsid w:val="0016289E"/>
    <w:rsid w:val="00162BC5"/>
    <w:rsid w:val="00163CD6"/>
    <w:rsid w:val="00163CDD"/>
    <w:rsid w:val="0016408C"/>
    <w:rsid w:val="001641E4"/>
    <w:rsid w:val="001654B5"/>
    <w:rsid w:val="001659D3"/>
    <w:rsid w:val="00165FDE"/>
    <w:rsid w:val="001661A6"/>
    <w:rsid w:val="001664B3"/>
    <w:rsid w:val="001666D7"/>
    <w:rsid w:val="00166FE9"/>
    <w:rsid w:val="001670A8"/>
    <w:rsid w:val="001674C1"/>
    <w:rsid w:val="0016780D"/>
    <w:rsid w:val="001707F4"/>
    <w:rsid w:val="001709CC"/>
    <w:rsid w:val="00170F8E"/>
    <w:rsid w:val="00171A34"/>
    <w:rsid w:val="0017203D"/>
    <w:rsid w:val="001726E2"/>
    <w:rsid w:val="00172AD1"/>
    <w:rsid w:val="00172BCA"/>
    <w:rsid w:val="00172F1C"/>
    <w:rsid w:val="001732B4"/>
    <w:rsid w:val="00173488"/>
    <w:rsid w:val="001745F3"/>
    <w:rsid w:val="00174840"/>
    <w:rsid w:val="00175122"/>
    <w:rsid w:val="0017574E"/>
    <w:rsid w:val="00176123"/>
    <w:rsid w:val="00176189"/>
    <w:rsid w:val="00176804"/>
    <w:rsid w:val="00176D87"/>
    <w:rsid w:val="00177289"/>
    <w:rsid w:val="00177831"/>
    <w:rsid w:val="00177869"/>
    <w:rsid w:val="00177C15"/>
    <w:rsid w:val="00177FC2"/>
    <w:rsid w:val="00180154"/>
    <w:rsid w:val="00180F41"/>
    <w:rsid w:val="001815D6"/>
    <w:rsid w:val="00181A79"/>
    <w:rsid w:val="001820FB"/>
    <w:rsid w:val="00182100"/>
    <w:rsid w:val="00182203"/>
    <w:rsid w:val="00182D07"/>
    <w:rsid w:val="00182F1F"/>
    <w:rsid w:val="0018376B"/>
    <w:rsid w:val="001856D3"/>
    <w:rsid w:val="0018617C"/>
    <w:rsid w:val="0018682B"/>
    <w:rsid w:val="00186869"/>
    <w:rsid w:val="00186DAF"/>
    <w:rsid w:val="001875A8"/>
    <w:rsid w:val="00187607"/>
    <w:rsid w:val="00187755"/>
    <w:rsid w:val="0019006E"/>
    <w:rsid w:val="001905CA"/>
    <w:rsid w:val="00190873"/>
    <w:rsid w:val="00190DA5"/>
    <w:rsid w:val="001918C4"/>
    <w:rsid w:val="00192986"/>
    <w:rsid w:val="00192B27"/>
    <w:rsid w:val="00193433"/>
    <w:rsid w:val="00193492"/>
    <w:rsid w:val="00193942"/>
    <w:rsid w:val="00193E36"/>
    <w:rsid w:val="00194046"/>
    <w:rsid w:val="00194407"/>
    <w:rsid w:val="00194732"/>
    <w:rsid w:val="00194808"/>
    <w:rsid w:val="00194DA1"/>
    <w:rsid w:val="00195C79"/>
    <w:rsid w:val="00196097"/>
    <w:rsid w:val="00196640"/>
    <w:rsid w:val="001970D9"/>
    <w:rsid w:val="001974C8"/>
    <w:rsid w:val="00197584"/>
    <w:rsid w:val="00197900"/>
    <w:rsid w:val="00197EDA"/>
    <w:rsid w:val="001A07E2"/>
    <w:rsid w:val="001A082A"/>
    <w:rsid w:val="001A1294"/>
    <w:rsid w:val="001A1913"/>
    <w:rsid w:val="001A196A"/>
    <w:rsid w:val="001A38AE"/>
    <w:rsid w:val="001A43AE"/>
    <w:rsid w:val="001A46D7"/>
    <w:rsid w:val="001A470E"/>
    <w:rsid w:val="001A48FC"/>
    <w:rsid w:val="001A4C75"/>
    <w:rsid w:val="001A4D34"/>
    <w:rsid w:val="001A4FAD"/>
    <w:rsid w:val="001A5055"/>
    <w:rsid w:val="001A529F"/>
    <w:rsid w:val="001A61BB"/>
    <w:rsid w:val="001A698F"/>
    <w:rsid w:val="001A6A7D"/>
    <w:rsid w:val="001A6C3B"/>
    <w:rsid w:val="001A6ED7"/>
    <w:rsid w:val="001A7692"/>
    <w:rsid w:val="001A7C06"/>
    <w:rsid w:val="001A7D27"/>
    <w:rsid w:val="001A7D7B"/>
    <w:rsid w:val="001B0214"/>
    <w:rsid w:val="001B0993"/>
    <w:rsid w:val="001B0E88"/>
    <w:rsid w:val="001B1AC8"/>
    <w:rsid w:val="001B1C3B"/>
    <w:rsid w:val="001B20CA"/>
    <w:rsid w:val="001B34C7"/>
    <w:rsid w:val="001B3B19"/>
    <w:rsid w:val="001B3B9B"/>
    <w:rsid w:val="001B3DD7"/>
    <w:rsid w:val="001B42C7"/>
    <w:rsid w:val="001B433F"/>
    <w:rsid w:val="001B4720"/>
    <w:rsid w:val="001B4D95"/>
    <w:rsid w:val="001B4DFD"/>
    <w:rsid w:val="001B4FF6"/>
    <w:rsid w:val="001B505C"/>
    <w:rsid w:val="001B59DE"/>
    <w:rsid w:val="001B6069"/>
    <w:rsid w:val="001B609E"/>
    <w:rsid w:val="001B6426"/>
    <w:rsid w:val="001B6611"/>
    <w:rsid w:val="001B6BC4"/>
    <w:rsid w:val="001B6FE9"/>
    <w:rsid w:val="001B74B8"/>
    <w:rsid w:val="001B7D68"/>
    <w:rsid w:val="001C08F1"/>
    <w:rsid w:val="001C0962"/>
    <w:rsid w:val="001C0A7B"/>
    <w:rsid w:val="001C137B"/>
    <w:rsid w:val="001C13D8"/>
    <w:rsid w:val="001C1A54"/>
    <w:rsid w:val="001C1DA0"/>
    <w:rsid w:val="001C1E5C"/>
    <w:rsid w:val="001C216B"/>
    <w:rsid w:val="001C2203"/>
    <w:rsid w:val="001C29B0"/>
    <w:rsid w:val="001C2A39"/>
    <w:rsid w:val="001C34C4"/>
    <w:rsid w:val="001C3A48"/>
    <w:rsid w:val="001C3A51"/>
    <w:rsid w:val="001C3B90"/>
    <w:rsid w:val="001C3BEE"/>
    <w:rsid w:val="001C3D4A"/>
    <w:rsid w:val="001C401D"/>
    <w:rsid w:val="001C40BE"/>
    <w:rsid w:val="001C41A6"/>
    <w:rsid w:val="001C4264"/>
    <w:rsid w:val="001C439C"/>
    <w:rsid w:val="001C44B7"/>
    <w:rsid w:val="001C4508"/>
    <w:rsid w:val="001C4740"/>
    <w:rsid w:val="001C56AF"/>
    <w:rsid w:val="001C5844"/>
    <w:rsid w:val="001C596A"/>
    <w:rsid w:val="001C59F5"/>
    <w:rsid w:val="001C5B32"/>
    <w:rsid w:val="001C5EBE"/>
    <w:rsid w:val="001C69AE"/>
    <w:rsid w:val="001C6A30"/>
    <w:rsid w:val="001C6EDB"/>
    <w:rsid w:val="001C7CD3"/>
    <w:rsid w:val="001C7E22"/>
    <w:rsid w:val="001D01B3"/>
    <w:rsid w:val="001D05D7"/>
    <w:rsid w:val="001D1823"/>
    <w:rsid w:val="001D1890"/>
    <w:rsid w:val="001D1CE5"/>
    <w:rsid w:val="001D1E85"/>
    <w:rsid w:val="001D2122"/>
    <w:rsid w:val="001D29DF"/>
    <w:rsid w:val="001D2F9D"/>
    <w:rsid w:val="001D309B"/>
    <w:rsid w:val="001D3B69"/>
    <w:rsid w:val="001D3C09"/>
    <w:rsid w:val="001D48AF"/>
    <w:rsid w:val="001D547D"/>
    <w:rsid w:val="001D5789"/>
    <w:rsid w:val="001D5BB6"/>
    <w:rsid w:val="001D5F72"/>
    <w:rsid w:val="001D6250"/>
    <w:rsid w:val="001D6618"/>
    <w:rsid w:val="001D6BE4"/>
    <w:rsid w:val="001D6CF0"/>
    <w:rsid w:val="001D71C2"/>
    <w:rsid w:val="001D757A"/>
    <w:rsid w:val="001E0375"/>
    <w:rsid w:val="001E0DC6"/>
    <w:rsid w:val="001E11AF"/>
    <w:rsid w:val="001E123E"/>
    <w:rsid w:val="001E18F4"/>
    <w:rsid w:val="001E1C68"/>
    <w:rsid w:val="001E24FA"/>
    <w:rsid w:val="001E255E"/>
    <w:rsid w:val="001E26C7"/>
    <w:rsid w:val="001E2B22"/>
    <w:rsid w:val="001E362A"/>
    <w:rsid w:val="001E3856"/>
    <w:rsid w:val="001E3FB1"/>
    <w:rsid w:val="001E47EB"/>
    <w:rsid w:val="001E4A0F"/>
    <w:rsid w:val="001E4E33"/>
    <w:rsid w:val="001E4F70"/>
    <w:rsid w:val="001E5074"/>
    <w:rsid w:val="001E52FE"/>
    <w:rsid w:val="001E5ACB"/>
    <w:rsid w:val="001E5D33"/>
    <w:rsid w:val="001E5D3A"/>
    <w:rsid w:val="001E65E7"/>
    <w:rsid w:val="001E68C1"/>
    <w:rsid w:val="001E6D8F"/>
    <w:rsid w:val="001E6F55"/>
    <w:rsid w:val="001E71F6"/>
    <w:rsid w:val="001E73FA"/>
    <w:rsid w:val="001F0267"/>
    <w:rsid w:val="001F031C"/>
    <w:rsid w:val="001F065E"/>
    <w:rsid w:val="001F07DB"/>
    <w:rsid w:val="001F08F8"/>
    <w:rsid w:val="001F0A9A"/>
    <w:rsid w:val="001F12B3"/>
    <w:rsid w:val="001F13A8"/>
    <w:rsid w:val="001F1828"/>
    <w:rsid w:val="001F1ECF"/>
    <w:rsid w:val="001F2262"/>
    <w:rsid w:val="001F26B0"/>
    <w:rsid w:val="001F2CB9"/>
    <w:rsid w:val="001F2D14"/>
    <w:rsid w:val="001F2D4C"/>
    <w:rsid w:val="001F2DDE"/>
    <w:rsid w:val="001F3435"/>
    <w:rsid w:val="001F3597"/>
    <w:rsid w:val="001F36C8"/>
    <w:rsid w:val="001F36F9"/>
    <w:rsid w:val="001F396E"/>
    <w:rsid w:val="001F3A11"/>
    <w:rsid w:val="001F3A13"/>
    <w:rsid w:val="001F3BC4"/>
    <w:rsid w:val="001F3D81"/>
    <w:rsid w:val="001F41A3"/>
    <w:rsid w:val="001F43EA"/>
    <w:rsid w:val="001F47FB"/>
    <w:rsid w:val="001F4BF6"/>
    <w:rsid w:val="001F5022"/>
    <w:rsid w:val="001F5647"/>
    <w:rsid w:val="001F56CA"/>
    <w:rsid w:val="001F5AF8"/>
    <w:rsid w:val="001F5CA0"/>
    <w:rsid w:val="001F633D"/>
    <w:rsid w:val="001F6B09"/>
    <w:rsid w:val="001F6F71"/>
    <w:rsid w:val="001F79AD"/>
    <w:rsid w:val="001F7E8E"/>
    <w:rsid w:val="0020015E"/>
    <w:rsid w:val="002012FF"/>
    <w:rsid w:val="00201673"/>
    <w:rsid w:val="002020C0"/>
    <w:rsid w:val="002020C8"/>
    <w:rsid w:val="002022AD"/>
    <w:rsid w:val="002022D4"/>
    <w:rsid w:val="002027A3"/>
    <w:rsid w:val="00202C29"/>
    <w:rsid w:val="00202FDD"/>
    <w:rsid w:val="00203637"/>
    <w:rsid w:val="00203943"/>
    <w:rsid w:val="00203E99"/>
    <w:rsid w:val="002045F2"/>
    <w:rsid w:val="00204A73"/>
    <w:rsid w:val="00204DCE"/>
    <w:rsid w:val="00204E6E"/>
    <w:rsid w:val="00204F46"/>
    <w:rsid w:val="002050A9"/>
    <w:rsid w:val="00205680"/>
    <w:rsid w:val="00205AD6"/>
    <w:rsid w:val="00205B72"/>
    <w:rsid w:val="00205D5A"/>
    <w:rsid w:val="00206004"/>
    <w:rsid w:val="00206072"/>
    <w:rsid w:val="0020625D"/>
    <w:rsid w:val="0020628B"/>
    <w:rsid w:val="0020676D"/>
    <w:rsid w:val="00206770"/>
    <w:rsid w:val="00206974"/>
    <w:rsid w:val="00206DAC"/>
    <w:rsid w:val="00206FE5"/>
    <w:rsid w:val="002077F6"/>
    <w:rsid w:val="00210144"/>
    <w:rsid w:val="00210267"/>
    <w:rsid w:val="00210C34"/>
    <w:rsid w:val="00210CE3"/>
    <w:rsid w:val="00210DFC"/>
    <w:rsid w:val="0021118E"/>
    <w:rsid w:val="00211CDE"/>
    <w:rsid w:val="00212141"/>
    <w:rsid w:val="0021234B"/>
    <w:rsid w:val="00212F00"/>
    <w:rsid w:val="00213895"/>
    <w:rsid w:val="00213D2E"/>
    <w:rsid w:val="00213DF7"/>
    <w:rsid w:val="00214013"/>
    <w:rsid w:val="00214068"/>
    <w:rsid w:val="00214565"/>
    <w:rsid w:val="002145DA"/>
    <w:rsid w:val="00214A8B"/>
    <w:rsid w:val="00214C54"/>
    <w:rsid w:val="002151B5"/>
    <w:rsid w:val="00215254"/>
    <w:rsid w:val="00215306"/>
    <w:rsid w:val="00215C54"/>
    <w:rsid w:val="002165AB"/>
    <w:rsid w:val="0021683A"/>
    <w:rsid w:val="00216BA8"/>
    <w:rsid w:val="00216BAE"/>
    <w:rsid w:val="00216F18"/>
    <w:rsid w:val="00220CDD"/>
    <w:rsid w:val="0022139F"/>
    <w:rsid w:val="0022180E"/>
    <w:rsid w:val="00221B21"/>
    <w:rsid w:val="00221B48"/>
    <w:rsid w:val="002225F7"/>
    <w:rsid w:val="00222841"/>
    <w:rsid w:val="00223625"/>
    <w:rsid w:val="002238DE"/>
    <w:rsid w:val="002243C9"/>
    <w:rsid w:val="0022454B"/>
    <w:rsid w:val="00224CE9"/>
    <w:rsid w:val="0022509A"/>
    <w:rsid w:val="002252DA"/>
    <w:rsid w:val="00225E0F"/>
    <w:rsid w:val="00225F8F"/>
    <w:rsid w:val="00226059"/>
    <w:rsid w:val="00226BD2"/>
    <w:rsid w:val="00226E57"/>
    <w:rsid w:val="0022724F"/>
    <w:rsid w:val="00227776"/>
    <w:rsid w:val="00227957"/>
    <w:rsid w:val="00227A65"/>
    <w:rsid w:val="00230083"/>
    <w:rsid w:val="00230291"/>
    <w:rsid w:val="00230334"/>
    <w:rsid w:val="002304EC"/>
    <w:rsid w:val="00230783"/>
    <w:rsid w:val="00230B24"/>
    <w:rsid w:val="00231EDA"/>
    <w:rsid w:val="00231EF6"/>
    <w:rsid w:val="00232266"/>
    <w:rsid w:val="002324B3"/>
    <w:rsid w:val="0023259C"/>
    <w:rsid w:val="002325D0"/>
    <w:rsid w:val="0023265D"/>
    <w:rsid w:val="00232670"/>
    <w:rsid w:val="00232E7E"/>
    <w:rsid w:val="00232F67"/>
    <w:rsid w:val="00233AB5"/>
    <w:rsid w:val="00233BD5"/>
    <w:rsid w:val="00233CCC"/>
    <w:rsid w:val="00233E7E"/>
    <w:rsid w:val="00234097"/>
    <w:rsid w:val="002343AF"/>
    <w:rsid w:val="002343CB"/>
    <w:rsid w:val="00234451"/>
    <w:rsid w:val="00234A40"/>
    <w:rsid w:val="00234B5B"/>
    <w:rsid w:val="002355D4"/>
    <w:rsid w:val="002355E7"/>
    <w:rsid w:val="00235764"/>
    <w:rsid w:val="00235AE1"/>
    <w:rsid w:val="00235EBD"/>
    <w:rsid w:val="00235F85"/>
    <w:rsid w:val="0023611B"/>
    <w:rsid w:val="002362FB"/>
    <w:rsid w:val="00236B2A"/>
    <w:rsid w:val="002374F8"/>
    <w:rsid w:val="002375FE"/>
    <w:rsid w:val="00237C41"/>
    <w:rsid w:val="002408FD"/>
    <w:rsid w:val="00240912"/>
    <w:rsid w:val="00241574"/>
    <w:rsid w:val="002418A3"/>
    <w:rsid w:val="00241940"/>
    <w:rsid w:val="00241BA2"/>
    <w:rsid w:val="0024262A"/>
    <w:rsid w:val="0024272A"/>
    <w:rsid w:val="00242FFA"/>
    <w:rsid w:val="002430FF"/>
    <w:rsid w:val="0024310F"/>
    <w:rsid w:val="002437FA"/>
    <w:rsid w:val="002438DF"/>
    <w:rsid w:val="00244422"/>
    <w:rsid w:val="00244A5D"/>
    <w:rsid w:val="00244D58"/>
    <w:rsid w:val="00244E1C"/>
    <w:rsid w:val="002452F1"/>
    <w:rsid w:val="00246226"/>
    <w:rsid w:val="00246341"/>
    <w:rsid w:val="00246403"/>
    <w:rsid w:val="00246502"/>
    <w:rsid w:val="00246BC3"/>
    <w:rsid w:val="00246D89"/>
    <w:rsid w:val="0024726D"/>
    <w:rsid w:val="002475CA"/>
    <w:rsid w:val="00247AEF"/>
    <w:rsid w:val="002500B9"/>
    <w:rsid w:val="00250840"/>
    <w:rsid w:val="00250B11"/>
    <w:rsid w:val="00250C0F"/>
    <w:rsid w:val="00251243"/>
    <w:rsid w:val="002513ED"/>
    <w:rsid w:val="002518EA"/>
    <w:rsid w:val="00251E0C"/>
    <w:rsid w:val="0025206A"/>
    <w:rsid w:val="00252A72"/>
    <w:rsid w:val="0025380E"/>
    <w:rsid w:val="00253D2B"/>
    <w:rsid w:val="00254045"/>
    <w:rsid w:val="00254C4B"/>
    <w:rsid w:val="00254F8F"/>
    <w:rsid w:val="00255543"/>
    <w:rsid w:val="0025569D"/>
    <w:rsid w:val="0025580C"/>
    <w:rsid w:val="00255E1E"/>
    <w:rsid w:val="00256CE9"/>
    <w:rsid w:val="002579C4"/>
    <w:rsid w:val="00260326"/>
    <w:rsid w:val="00260787"/>
    <w:rsid w:val="00260906"/>
    <w:rsid w:val="002611B0"/>
    <w:rsid w:val="00261215"/>
    <w:rsid w:val="00263E0C"/>
    <w:rsid w:val="00264ED5"/>
    <w:rsid w:val="00264FFF"/>
    <w:rsid w:val="00265062"/>
    <w:rsid w:val="0026518B"/>
    <w:rsid w:val="002651D8"/>
    <w:rsid w:val="00265595"/>
    <w:rsid w:val="00265E4B"/>
    <w:rsid w:val="00265E4C"/>
    <w:rsid w:val="00265E8E"/>
    <w:rsid w:val="00266071"/>
    <w:rsid w:val="00266603"/>
    <w:rsid w:val="002666B6"/>
    <w:rsid w:val="00266B9A"/>
    <w:rsid w:val="002708C3"/>
    <w:rsid w:val="00270B65"/>
    <w:rsid w:val="00270F62"/>
    <w:rsid w:val="00271021"/>
    <w:rsid w:val="002711D7"/>
    <w:rsid w:val="00271215"/>
    <w:rsid w:val="002715E3"/>
    <w:rsid w:val="00271AEC"/>
    <w:rsid w:val="00271F80"/>
    <w:rsid w:val="0027288F"/>
    <w:rsid w:val="002728B7"/>
    <w:rsid w:val="00272B9C"/>
    <w:rsid w:val="002736AF"/>
    <w:rsid w:val="00273F92"/>
    <w:rsid w:val="002746CD"/>
    <w:rsid w:val="00274747"/>
    <w:rsid w:val="00274CDF"/>
    <w:rsid w:val="00275A2C"/>
    <w:rsid w:val="00275FBA"/>
    <w:rsid w:val="00276333"/>
    <w:rsid w:val="002764DA"/>
    <w:rsid w:val="0027686F"/>
    <w:rsid w:val="00276C06"/>
    <w:rsid w:val="002770BF"/>
    <w:rsid w:val="00277C4D"/>
    <w:rsid w:val="00280526"/>
    <w:rsid w:val="00280CB8"/>
    <w:rsid w:val="002810C9"/>
    <w:rsid w:val="002823F2"/>
    <w:rsid w:val="002824E9"/>
    <w:rsid w:val="002829BA"/>
    <w:rsid w:val="002829EB"/>
    <w:rsid w:val="002830ED"/>
    <w:rsid w:val="00283238"/>
    <w:rsid w:val="00283297"/>
    <w:rsid w:val="002845B6"/>
    <w:rsid w:val="00284759"/>
    <w:rsid w:val="002849B9"/>
    <w:rsid w:val="00284DC2"/>
    <w:rsid w:val="00285898"/>
    <w:rsid w:val="0028590D"/>
    <w:rsid w:val="00285940"/>
    <w:rsid w:val="00285F7B"/>
    <w:rsid w:val="00286186"/>
    <w:rsid w:val="002865D5"/>
    <w:rsid w:val="00286C86"/>
    <w:rsid w:val="00286D85"/>
    <w:rsid w:val="00286E64"/>
    <w:rsid w:val="00287116"/>
    <w:rsid w:val="0028715A"/>
    <w:rsid w:val="002874A0"/>
    <w:rsid w:val="00290AC2"/>
    <w:rsid w:val="002911A9"/>
    <w:rsid w:val="00291696"/>
    <w:rsid w:val="00291EED"/>
    <w:rsid w:val="0029268C"/>
    <w:rsid w:val="002935CE"/>
    <w:rsid w:val="00293792"/>
    <w:rsid w:val="00293B59"/>
    <w:rsid w:val="00293BFE"/>
    <w:rsid w:val="00293D2A"/>
    <w:rsid w:val="002940B2"/>
    <w:rsid w:val="00294348"/>
    <w:rsid w:val="00294349"/>
    <w:rsid w:val="00294971"/>
    <w:rsid w:val="0029595F"/>
    <w:rsid w:val="0029683B"/>
    <w:rsid w:val="00296E2B"/>
    <w:rsid w:val="002971DB"/>
    <w:rsid w:val="002A0541"/>
    <w:rsid w:val="002A0699"/>
    <w:rsid w:val="002A19FC"/>
    <w:rsid w:val="002A1A6A"/>
    <w:rsid w:val="002A1B91"/>
    <w:rsid w:val="002A1FEA"/>
    <w:rsid w:val="002A266D"/>
    <w:rsid w:val="002A2858"/>
    <w:rsid w:val="002A3858"/>
    <w:rsid w:val="002A3AFC"/>
    <w:rsid w:val="002A3C23"/>
    <w:rsid w:val="002A3FF0"/>
    <w:rsid w:val="002A44BC"/>
    <w:rsid w:val="002A4866"/>
    <w:rsid w:val="002A52E4"/>
    <w:rsid w:val="002A5511"/>
    <w:rsid w:val="002A5B9B"/>
    <w:rsid w:val="002A5C57"/>
    <w:rsid w:val="002A63A9"/>
    <w:rsid w:val="002A63C0"/>
    <w:rsid w:val="002A7657"/>
    <w:rsid w:val="002A7912"/>
    <w:rsid w:val="002A7FB0"/>
    <w:rsid w:val="002B0280"/>
    <w:rsid w:val="002B0325"/>
    <w:rsid w:val="002B0332"/>
    <w:rsid w:val="002B0478"/>
    <w:rsid w:val="002B067A"/>
    <w:rsid w:val="002B07F9"/>
    <w:rsid w:val="002B08BF"/>
    <w:rsid w:val="002B0913"/>
    <w:rsid w:val="002B0B8D"/>
    <w:rsid w:val="002B0FBD"/>
    <w:rsid w:val="002B1269"/>
    <w:rsid w:val="002B17BB"/>
    <w:rsid w:val="002B1A23"/>
    <w:rsid w:val="002B1A8C"/>
    <w:rsid w:val="002B214B"/>
    <w:rsid w:val="002B38D8"/>
    <w:rsid w:val="002B3F6A"/>
    <w:rsid w:val="002B4421"/>
    <w:rsid w:val="002B4471"/>
    <w:rsid w:val="002B4C3D"/>
    <w:rsid w:val="002B50F5"/>
    <w:rsid w:val="002B57AC"/>
    <w:rsid w:val="002B58C2"/>
    <w:rsid w:val="002B5ECC"/>
    <w:rsid w:val="002B64BC"/>
    <w:rsid w:val="002B6E54"/>
    <w:rsid w:val="002B71D5"/>
    <w:rsid w:val="002B7595"/>
    <w:rsid w:val="002C0212"/>
    <w:rsid w:val="002C02C6"/>
    <w:rsid w:val="002C0822"/>
    <w:rsid w:val="002C0C28"/>
    <w:rsid w:val="002C121B"/>
    <w:rsid w:val="002C1E10"/>
    <w:rsid w:val="002C20B5"/>
    <w:rsid w:val="002C222E"/>
    <w:rsid w:val="002C2F8B"/>
    <w:rsid w:val="002C39F0"/>
    <w:rsid w:val="002C3F48"/>
    <w:rsid w:val="002C4600"/>
    <w:rsid w:val="002C4868"/>
    <w:rsid w:val="002C561F"/>
    <w:rsid w:val="002C5633"/>
    <w:rsid w:val="002C5955"/>
    <w:rsid w:val="002C600F"/>
    <w:rsid w:val="002C60DE"/>
    <w:rsid w:val="002C619D"/>
    <w:rsid w:val="002C6209"/>
    <w:rsid w:val="002C698C"/>
    <w:rsid w:val="002C6E59"/>
    <w:rsid w:val="002C6F03"/>
    <w:rsid w:val="002C7E45"/>
    <w:rsid w:val="002C7E5B"/>
    <w:rsid w:val="002D041E"/>
    <w:rsid w:val="002D075C"/>
    <w:rsid w:val="002D0FF8"/>
    <w:rsid w:val="002D11AC"/>
    <w:rsid w:val="002D1B61"/>
    <w:rsid w:val="002D2722"/>
    <w:rsid w:val="002D315F"/>
    <w:rsid w:val="002D3389"/>
    <w:rsid w:val="002D3AE0"/>
    <w:rsid w:val="002D3FA1"/>
    <w:rsid w:val="002D4017"/>
    <w:rsid w:val="002D40CD"/>
    <w:rsid w:val="002D41CC"/>
    <w:rsid w:val="002D427B"/>
    <w:rsid w:val="002D4D31"/>
    <w:rsid w:val="002D4D5C"/>
    <w:rsid w:val="002D5676"/>
    <w:rsid w:val="002D59AB"/>
    <w:rsid w:val="002D59B7"/>
    <w:rsid w:val="002D6164"/>
    <w:rsid w:val="002D713D"/>
    <w:rsid w:val="002D71DC"/>
    <w:rsid w:val="002D741C"/>
    <w:rsid w:val="002D7656"/>
    <w:rsid w:val="002D7AF9"/>
    <w:rsid w:val="002E0758"/>
    <w:rsid w:val="002E14ED"/>
    <w:rsid w:val="002E164C"/>
    <w:rsid w:val="002E1831"/>
    <w:rsid w:val="002E1CE9"/>
    <w:rsid w:val="002E24C6"/>
    <w:rsid w:val="002E25A0"/>
    <w:rsid w:val="002E2BCA"/>
    <w:rsid w:val="002E2E6A"/>
    <w:rsid w:val="002E305B"/>
    <w:rsid w:val="002E31A8"/>
    <w:rsid w:val="002E38C3"/>
    <w:rsid w:val="002E3E65"/>
    <w:rsid w:val="002E40FA"/>
    <w:rsid w:val="002E42FC"/>
    <w:rsid w:val="002E43EF"/>
    <w:rsid w:val="002E4538"/>
    <w:rsid w:val="002E4548"/>
    <w:rsid w:val="002E564A"/>
    <w:rsid w:val="002E5A49"/>
    <w:rsid w:val="002E5E61"/>
    <w:rsid w:val="002E6161"/>
    <w:rsid w:val="002E6C1A"/>
    <w:rsid w:val="002E71C2"/>
    <w:rsid w:val="002E7413"/>
    <w:rsid w:val="002F0435"/>
    <w:rsid w:val="002F0B2E"/>
    <w:rsid w:val="002F0CB6"/>
    <w:rsid w:val="002F2192"/>
    <w:rsid w:val="002F2765"/>
    <w:rsid w:val="002F2D54"/>
    <w:rsid w:val="002F2F70"/>
    <w:rsid w:val="002F31A8"/>
    <w:rsid w:val="002F415D"/>
    <w:rsid w:val="002F4A69"/>
    <w:rsid w:val="002F4B37"/>
    <w:rsid w:val="002F4BB9"/>
    <w:rsid w:val="002F4C3B"/>
    <w:rsid w:val="002F4C6D"/>
    <w:rsid w:val="002F4DC1"/>
    <w:rsid w:val="002F5969"/>
    <w:rsid w:val="002F59B2"/>
    <w:rsid w:val="002F5A33"/>
    <w:rsid w:val="002F5FA7"/>
    <w:rsid w:val="002F6017"/>
    <w:rsid w:val="002F65BB"/>
    <w:rsid w:val="002F67CB"/>
    <w:rsid w:val="002F6859"/>
    <w:rsid w:val="002F73B6"/>
    <w:rsid w:val="002F7787"/>
    <w:rsid w:val="002F77A1"/>
    <w:rsid w:val="00300097"/>
    <w:rsid w:val="0030032D"/>
    <w:rsid w:val="003009DF"/>
    <w:rsid w:val="00300F6B"/>
    <w:rsid w:val="0030111A"/>
    <w:rsid w:val="003016A3"/>
    <w:rsid w:val="00301D5B"/>
    <w:rsid w:val="00301EEC"/>
    <w:rsid w:val="003029C5"/>
    <w:rsid w:val="00302B0E"/>
    <w:rsid w:val="0030300F"/>
    <w:rsid w:val="0030314D"/>
    <w:rsid w:val="00303575"/>
    <w:rsid w:val="003035AA"/>
    <w:rsid w:val="003039FF"/>
    <w:rsid w:val="00303E7F"/>
    <w:rsid w:val="0030410C"/>
    <w:rsid w:val="00304144"/>
    <w:rsid w:val="00306172"/>
    <w:rsid w:val="0030711A"/>
    <w:rsid w:val="0030736D"/>
    <w:rsid w:val="0030756E"/>
    <w:rsid w:val="00307CFA"/>
    <w:rsid w:val="00310B1D"/>
    <w:rsid w:val="00310F1C"/>
    <w:rsid w:val="00310F8F"/>
    <w:rsid w:val="00311090"/>
    <w:rsid w:val="003110F3"/>
    <w:rsid w:val="003115FC"/>
    <w:rsid w:val="00311A04"/>
    <w:rsid w:val="00311B4A"/>
    <w:rsid w:val="00311E90"/>
    <w:rsid w:val="00312048"/>
    <w:rsid w:val="003128C2"/>
    <w:rsid w:val="003131F1"/>
    <w:rsid w:val="003139F0"/>
    <w:rsid w:val="00313D49"/>
    <w:rsid w:val="00313DCA"/>
    <w:rsid w:val="00313FA1"/>
    <w:rsid w:val="0031446A"/>
    <w:rsid w:val="0031468F"/>
    <w:rsid w:val="0031469F"/>
    <w:rsid w:val="00314761"/>
    <w:rsid w:val="00314FFE"/>
    <w:rsid w:val="0031504F"/>
    <w:rsid w:val="00315191"/>
    <w:rsid w:val="0031602B"/>
    <w:rsid w:val="00316123"/>
    <w:rsid w:val="00317C47"/>
    <w:rsid w:val="0032011D"/>
    <w:rsid w:val="003209D5"/>
    <w:rsid w:val="00320AA6"/>
    <w:rsid w:val="00320D8B"/>
    <w:rsid w:val="00321AB0"/>
    <w:rsid w:val="00321BEB"/>
    <w:rsid w:val="00322042"/>
    <w:rsid w:val="00322649"/>
    <w:rsid w:val="00322B73"/>
    <w:rsid w:val="00322E97"/>
    <w:rsid w:val="00322EDB"/>
    <w:rsid w:val="003232FB"/>
    <w:rsid w:val="0032374B"/>
    <w:rsid w:val="00323CF3"/>
    <w:rsid w:val="0032460F"/>
    <w:rsid w:val="0032477E"/>
    <w:rsid w:val="00324CEC"/>
    <w:rsid w:val="00324F0B"/>
    <w:rsid w:val="00324F35"/>
    <w:rsid w:val="003252A4"/>
    <w:rsid w:val="0032591E"/>
    <w:rsid w:val="00325B02"/>
    <w:rsid w:val="003260CA"/>
    <w:rsid w:val="003264C6"/>
    <w:rsid w:val="00326566"/>
    <w:rsid w:val="0032681D"/>
    <w:rsid w:val="0032769F"/>
    <w:rsid w:val="003278C8"/>
    <w:rsid w:val="00327FA0"/>
    <w:rsid w:val="00330967"/>
    <w:rsid w:val="00330AB7"/>
    <w:rsid w:val="0033146C"/>
    <w:rsid w:val="0033161D"/>
    <w:rsid w:val="00332BB3"/>
    <w:rsid w:val="00333010"/>
    <w:rsid w:val="00333072"/>
    <w:rsid w:val="0033369E"/>
    <w:rsid w:val="003336B0"/>
    <w:rsid w:val="00334042"/>
    <w:rsid w:val="003348EB"/>
    <w:rsid w:val="00334BBE"/>
    <w:rsid w:val="00334D5B"/>
    <w:rsid w:val="00334E24"/>
    <w:rsid w:val="00334EA2"/>
    <w:rsid w:val="00335013"/>
    <w:rsid w:val="003354D3"/>
    <w:rsid w:val="00335951"/>
    <w:rsid w:val="00335EAB"/>
    <w:rsid w:val="003368DB"/>
    <w:rsid w:val="00336A5D"/>
    <w:rsid w:val="00336F59"/>
    <w:rsid w:val="00337195"/>
    <w:rsid w:val="003371EE"/>
    <w:rsid w:val="00337398"/>
    <w:rsid w:val="003376D3"/>
    <w:rsid w:val="00337708"/>
    <w:rsid w:val="00337C36"/>
    <w:rsid w:val="00340908"/>
    <w:rsid w:val="0034098B"/>
    <w:rsid w:val="003409A3"/>
    <w:rsid w:val="003411C2"/>
    <w:rsid w:val="003422E2"/>
    <w:rsid w:val="00343288"/>
    <w:rsid w:val="0034329C"/>
    <w:rsid w:val="00343A9C"/>
    <w:rsid w:val="00343B8F"/>
    <w:rsid w:val="00344C99"/>
    <w:rsid w:val="00345977"/>
    <w:rsid w:val="00345A6C"/>
    <w:rsid w:val="003470ED"/>
    <w:rsid w:val="0034716D"/>
    <w:rsid w:val="00347AEE"/>
    <w:rsid w:val="0035005D"/>
    <w:rsid w:val="00350094"/>
    <w:rsid w:val="00350677"/>
    <w:rsid w:val="00350B09"/>
    <w:rsid w:val="00350B89"/>
    <w:rsid w:val="00350E45"/>
    <w:rsid w:val="0035114B"/>
    <w:rsid w:val="003517AC"/>
    <w:rsid w:val="003520E6"/>
    <w:rsid w:val="00352E69"/>
    <w:rsid w:val="003538C6"/>
    <w:rsid w:val="00353BDE"/>
    <w:rsid w:val="00354306"/>
    <w:rsid w:val="00354546"/>
    <w:rsid w:val="003547EC"/>
    <w:rsid w:val="00354800"/>
    <w:rsid w:val="00354962"/>
    <w:rsid w:val="00354BC5"/>
    <w:rsid w:val="00354F1B"/>
    <w:rsid w:val="00355130"/>
    <w:rsid w:val="00355E2D"/>
    <w:rsid w:val="00356207"/>
    <w:rsid w:val="003562FC"/>
    <w:rsid w:val="003563CE"/>
    <w:rsid w:val="003563E7"/>
    <w:rsid w:val="00356576"/>
    <w:rsid w:val="0035675D"/>
    <w:rsid w:val="00356876"/>
    <w:rsid w:val="00356D30"/>
    <w:rsid w:val="00357271"/>
    <w:rsid w:val="003576C0"/>
    <w:rsid w:val="0035773B"/>
    <w:rsid w:val="00357A3B"/>
    <w:rsid w:val="00360284"/>
    <w:rsid w:val="00360606"/>
    <w:rsid w:val="00360C23"/>
    <w:rsid w:val="00361C84"/>
    <w:rsid w:val="00361E8F"/>
    <w:rsid w:val="0036221C"/>
    <w:rsid w:val="00362298"/>
    <w:rsid w:val="003622CC"/>
    <w:rsid w:val="0036279C"/>
    <w:rsid w:val="00362B32"/>
    <w:rsid w:val="003630EE"/>
    <w:rsid w:val="003632BA"/>
    <w:rsid w:val="0036347B"/>
    <w:rsid w:val="00363481"/>
    <w:rsid w:val="0036371A"/>
    <w:rsid w:val="00363DE3"/>
    <w:rsid w:val="00363EE7"/>
    <w:rsid w:val="0036489C"/>
    <w:rsid w:val="00364D14"/>
    <w:rsid w:val="00364FEF"/>
    <w:rsid w:val="00365009"/>
    <w:rsid w:val="003657A2"/>
    <w:rsid w:val="00365B44"/>
    <w:rsid w:val="00365B4D"/>
    <w:rsid w:val="00365C30"/>
    <w:rsid w:val="00366BE9"/>
    <w:rsid w:val="00366FD6"/>
    <w:rsid w:val="00367ACA"/>
    <w:rsid w:val="00367AEE"/>
    <w:rsid w:val="00367E66"/>
    <w:rsid w:val="003700DE"/>
    <w:rsid w:val="0037046C"/>
    <w:rsid w:val="00370FB4"/>
    <w:rsid w:val="00371021"/>
    <w:rsid w:val="0037184C"/>
    <w:rsid w:val="0037346C"/>
    <w:rsid w:val="00374559"/>
    <w:rsid w:val="00374E64"/>
    <w:rsid w:val="00374EF3"/>
    <w:rsid w:val="00375088"/>
    <w:rsid w:val="0037548B"/>
    <w:rsid w:val="003758FF"/>
    <w:rsid w:val="0037599D"/>
    <w:rsid w:val="00377529"/>
    <w:rsid w:val="003779A4"/>
    <w:rsid w:val="00377A46"/>
    <w:rsid w:val="00377C2C"/>
    <w:rsid w:val="0038057B"/>
    <w:rsid w:val="0038081D"/>
    <w:rsid w:val="00380A5E"/>
    <w:rsid w:val="00380E62"/>
    <w:rsid w:val="00380E99"/>
    <w:rsid w:val="00380EE7"/>
    <w:rsid w:val="0038119B"/>
    <w:rsid w:val="003812EE"/>
    <w:rsid w:val="003815E3"/>
    <w:rsid w:val="003817FA"/>
    <w:rsid w:val="00381CC4"/>
    <w:rsid w:val="00381D88"/>
    <w:rsid w:val="0038218D"/>
    <w:rsid w:val="003825FE"/>
    <w:rsid w:val="00382798"/>
    <w:rsid w:val="00382C7E"/>
    <w:rsid w:val="003830A9"/>
    <w:rsid w:val="00383AC6"/>
    <w:rsid w:val="00383D37"/>
    <w:rsid w:val="00383E37"/>
    <w:rsid w:val="00384498"/>
    <w:rsid w:val="00384E3C"/>
    <w:rsid w:val="00384FB0"/>
    <w:rsid w:val="00385185"/>
    <w:rsid w:val="003858C3"/>
    <w:rsid w:val="003859B5"/>
    <w:rsid w:val="00385B14"/>
    <w:rsid w:val="00385DA5"/>
    <w:rsid w:val="00385EA5"/>
    <w:rsid w:val="00386C23"/>
    <w:rsid w:val="00386F68"/>
    <w:rsid w:val="00387202"/>
    <w:rsid w:val="00387526"/>
    <w:rsid w:val="00387983"/>
    <w:rsid w:val="00387B1F"/>
    <w:rsid w:val="00387B54"/>
    <w:rsid w:val="00387F5E"/>
    <w:rsid w:val="00390968"/>
    <w:rsid w:val="00390A55"/>
    <w:rsid w:val="00391076"/>
    <w:rsid w:val="00391194"/>
    <w:rsid w:val="003912EC"/>
    <w:rsid w:val="003916B1"/>
    <w:rsid w:val="00391B91"/>
    <w:rsid w:val="00391CD8"/>
    <w:rsid w:val="00391F7B"/>
    <w:rsid w:val="00392088"/>
    <w:rsid w:val="0039245A"/>
    <w:rsid w:val="00392B34"/>
    <w:rsid w:val="0039350B"/>
    <w:rsid w:val="0039369C"/>
    <w:rsid w:val="0039384D"/>
    <w:rsid w:val="003945CC"/>
    <w:rsid w:val="0039471A"/>
    <w:rsid w:val="003947D5"/>
    <w:rsid w:val="00394A0A"/>
    <w:rsid w:val="00394CAB"/>
    <w:rsid w:val="003950D9"/>
    <w:rsid w:val="003952D9"/>
    <w:rsid w:val="0039553E"/>
    <w:rsid w:val="00395A0A"/>
    <w:rsid w:val="00395CFC"/>
    <w:rsid w:val="00396699"/>
    <w:rsid w:val="003966E0"/>
    <w:rsid w:val="00396F16"/>
    <w:rsid w:val="0039724D"/>
    <w:rsid w:val="00397499"/>
    <w:rsid w:val="003A0037"/>
    <w:rsid w:val="003A05D6"/>
    <w:rsid w:val="003A0A7A"/>
    <w:rsid w:val="003A14D5"/>
    <w:rsid w:val="003A1BB6"/>
    <w:rsid w:val="003A2021"/>
    <w:rsid w:val="003A2705"/>
    <w:rsid w:val="003A2F0E"/>
    <w:rsid w:val="003A3584"/>
    <w:rsid w:val="003A38E6"/>
    <w:rsid w:val="003A3CC0"/>
    <w:rsid w:val="003A46FB"/>
    <w:rsid w:val="003A495F"/>
    <w:rsid w:val="003A4B29"/>
    <w:rsid w:val="003A516C"/>
    <w:rsid w:val="003A51C4"/>
    <w:rsid w:val="003A5330"/>
    <w:rsid w:val="003A557D"/>
    <w:rsid w:val="003A55DC"/>
    <w:rsid w:val="003A5728"/>
    <w:rsid w:val="003A5CAD"/>
    <w:rsid w:val="003A6735"/>
    <w:rsid w:val="003A67F1"/>
    <w:rsid w:val="003A6B6C"/>
    <w:rsid w:val="003A6C1E"/>
    <w:rsid w:val="003A6F7E"/>
    <w:rsid w:val="003A70FA"/>
    <w:rsid w:val="003A7160"/>
    <w:rsid w:val="003A74F3"/>
    <w:rsid w:val="003A7EE8"/>
    <w:rsid w:val="003B059B"/>
    <w:rsid w:val="003B0EE5"/>
    <w:rsid w:val="003B1166"/>
    <w:rsid w:val="003B1277"/>
    <w:rsid w:val="003B22ED"/>
    <w:rsid w:val="003B27F0"/>
    <w:rsid w:val="003B2DE4"/>
    <w:rsid w:val="003B323F"/>
    <w:rsid w:val="003B3431"/>
    <w:rsid w:val="003B3738"/>
    <w:rsid w:val="003B4195"/>
    <w:rsid w:val="003B4993"/>
    <w:rsid w:val="003B4A87"/>
    <w:rsid w:val="003B4F16"/>
    <w:rsid w:val="003B4F3E"/>
    <w:rsid w:val="003B4F8D"/>
    <w:rsid w:val="003B570B"/>
    <w:rsid w:val="003B5A2A"/>
    <w:rsid w:val="003B5BA5"/>
    <w:rsid w:val="003B6442"/>
    <w:rsid w:val="003B6A6F"/>
    <w:rsid w:val="003B78C0"/>
    <w:rsid w:val="003B7A06"/>
    <w:rsid w:val="003B7A7D"/>
    <w:rsid w:val="003B7EAE"/>
    <w:rsid w:val="003C1231"/>
    <w:rsid w:val="003C1490"/>
    <w:rsid w:val="003C159C"/>
    <w:rsid w:val="003C1838"/>
    <w:rsid w:val="003C1C36"/>
    <w:rsid w:val="003C1E4E"/>
    <w:rsid w:val="003C1EDB"/>
    <w:rsid w:val="003C2342"/>
    <w:rsid w:val="003C279C"/>
    <w:rsid w:val="003C2CDB"/>
    <w:rsid w:val="003C2F37"/>
    <w:rsid w:val="003C3E2B"/>
    <w:rsid w:val="003C3E9F"/>
    <w:rsid w:val="003C3F94"/>
    <w:rsid w:val="003C43C7"/>
    <w:rsid w:val="003C4406"/>
    <w:rsid w:val="003C4501"/>
    <w:rsid w:val="003C4EF8"/>
    <w:rsid w:val="003C5AF4"/>
    <w:rsid w:val="003C5FB1"/>
    <w:rsid w:val="003C6345"/>
    <w:rsid w:val="003C6599"/>
    <w:rsid w:val="003C6CAA"/>
    <w:rsid w:val="003C728B"/>
    <w:rsid w:val="003C7AA3"/>
    <w:rsid w:val="003C7B2B"/>
    <w:rsid w:val="003C7EE1"/>
    <w:rsid w:val="003D01C6"/>
    <w:rsid w:val="003D0D21"/>
    <w:rsid w:val="003D1212"/>
    <w:rsid w:val="003D14CA"/>
    <w:rsid w:val="003D2001"/>
    <w:rsid w:val="003D203A"/>
    <w:rsid w:val="003D282A"/>
    <w:rsid w:val="003D28CA"/>
    <w:rsid w:val="003D28CB"/>
    <w:rsid w:val="003D2DA7"/>
    <w:rsid w:val="003D2F16"/>
    <w:rsid w:val="003D3EEA"/>
    <w:rsid w:val="003D4147"/>
    <w:rsid w:val="003D43F5"/>
    <w:rsid w:val="003D44EE"/>
    <w:rsid w:val="003D4E67"/>
    <w:rsid w:val="003D54AB"/>
    <w:rsid w:val="003D5A53"/>
    <w:rsid w:val="003D5A9A"/>
    <w:rsid w:val="003D5BA4"/>
    <w:rsid w:val="003D6237"/>
    <w:rsid w:val="003D6826"/>
    <w:rsid w:val="003D6B7E"/>
    <w:rsid w:val="003D6F89"/>
    <w:rsid w:val="003D7109"/>
    <w:rsid w:val="003D7473"/>
    <w:rsid w:val="003D794A"/>
    <w:rsid w:val="003D7B3F"/>
    <w:rsid w:val="003D7F3D"/>
    <w:rsid w:val="003E0D90"/>
    <w:rsid w:val="003E17FF"/>
    <w:rsid w:val="003E21BE"/>
    <w:rsid w:val="003E21DD"/>
    <w:rsid w:val="003E26D8"/>
    <w:rsid w:val="003E286F"/>
    <w:rsid w:val="003E345E"/>
    <w:rsid w:val="003E3753"/>
    <w:rsid w:val="003E3BA1"/>
    <w:rsid w:val="003E3C7B"/>
    <w:rsid w:val="003E3EDF"/>
    <w:rsid w:val="003E3FC0"/>
    <w:rsid w:val="003E4668"/>
    <w:rsid w:val="003E478E"/>
    <w:rsid w:val="003E4A2B"/>
    <w:rsid w:val="003E4E20"/>
    <w:rsid w:val="003E501A"/>
    <w:rsid w:val="003E569F"/>
    <w:rsid w:val="003E5A2A"/>
    <w:rsid w:val="003E6637"/>
    <w:rsid w:val="003E663E"/>
    <w:rsid w:val="003E66B4"/>
    <w:rsid w:val="003E7058"/>
    <w:rsid w:val="003E71AB"/>
    <w:rsid w:val="003E7369"/>
    <w:rsid w:val="003E73E0"/>
    <w:rsid w:val="003E7558"/>
    <w:rsid w:val="003F0025"/>
    <w:rsid w:val="003F2854"/>
    <w:rsid w:val="003F2E2D"/>
    <w:rsid w:val="003F30D1"/>
    <w:rsid w:val="003F356D"/>
    <w:rsid w:val="003F3594"/>
    <w:rsid w:val="003F39A2"/>
    <w:rsid w:val="003F46DF"/>
    <w:rsid w:val="003F495F"/>
    <w:rsid w:val="003F4F05"/>
    <w:rsid w:val="003F52EA"/>
    <w:rsid w:val="003F5922"/>
    <w:rsid w:val="003F6193"/>
    <w:rsid w:val="003F6A33"/>
    <w:rsid w:val="003F6B59"/>
    <w:rsid w:val="003F726A"/>
    <w:rsid w:val="003F73F5"/>
    <w:rsid w:val="003F7519"/>
    <w:rsid w:val="003F7E52"/>
    <w:rsid w:val="004002E3"/>
    <w:rsid w:val="00400804"/>
    <w:rsid w:val="00400A2E"/>
    <w:rsid w:val="00401186"/>
    <w:rsid w:val="0040216C"/>
    <w:rsid w:val="0040221D"/>
    <w:rsid w:val="00402644"/>
    <w:rsid w:val="0040349B"/>
    <w:rsid w:val="00403B8F"/>
    <w:rsid w:val="00404049"/>
    <w:rsid w:val="00404637"/>
    <w:rsid w:val="004047E1"/>
    <w:rsid w:val="0040492C"/>
    <w:rsid w:val="0040501F"/>
    <w:rsid w:val="00405560"/>
    <w:rsid w:val="00405772"/>
    <w:rsid w:val="00405B91"/>
    <w:rsid w:val="00405C2F"/>
    <w:rsid w:val="00405E05"/>
    <w:rsid w:val="00406347"/>
    <w:rsid w:val="00407116"/>
    <w:rsid w:val="0040725D"/>
    <w:rsid w:val="004078E5"/>
    <w:rsid w:val="004100BC"/>
    <w:rsid w:val="00410128"/>
    <w:rsid w:val="004103D2"/>
    <w:rsid w:val="00410866"/>
    <w:rsid w:val="00410BCE"/>
    <w:rsid w:val="00410EB1"/>
    <w:rsid w:val="00411B17"/>
    <w:rsid w:val="00411B9D"/>
    <w:rsid w:val="0041285B"/>
    <w:rsid w:val="00412CD2"/>
    <w:rsid w:val="00413571"/>
    <w:rsid w:val="00413C96"/>
    <w:rsid w:val="00413E47"/>
    <w:rsid w:val="004142A6"/>
    <w:rsid w:val="004143CE"/>
    <w:rsid w:val="00414622"/>
    <w:rsid w:val="00414821"/>
    <w:rsid w:val="004148E2"/>
    <w:rsid w:val="00414D33"/>
    <w:rsid w:val="004157A3"/>
    <w:rsid w:val="004159BA"/>
    <w:rsid w:val="00415E8D"/>
    <w:rsid w:val="00415FDC"/>
    <w:rsid w:val="004160FB"/>
    <w:rsid w:val="004161A1"/>
    <w:rsid w:val="00416D45"/>
    <w:rsid w:val="00416F69"/>
    <w:rsid w:val="00417241"/>
    <w:rsid w:val="0041761B"/>
    <w:rsid w:val="0041761F"/>
    <w:rsid w:val="00417E25"/>
    <w:rsid w:val="0042082B"/>
    <w:rsid w:val="00420AD4"/>
    <w:rsid w:val="0042176A"/>
    <w:rsid w:val="00421A76"/>
    <w:rsid w:val="00421DE0"/>
    <w:rsid w:val="00421E2F"/>
    <w:rsid w:val="00421EB8"/>
    <w:rsid w:val="00422416"/>
    <w:rsid w:val="00422458"/>
    <w:rsid w:val="004227B9"/>
    <w:rsid w:val="00422A44"/>
    <w:rsid w:val="00422B24"/>
    <w:rsid w:val="00423285"/>
    <w:rsid w:val="00423E02"/>
    <w:rsid w:val="00423FD5"/>
    <w:rsid w:val="004253DC"/>
    <w:rsid w:val="004257AC"/>
    <w:rsid w:val="004257DB"/>
    <w:rsid w:val="0042599C"/>
    <w:rsid w:val="00426526"/>
    <w:rsid w:val="004266C6"/>
    <w:rsid w:val="0042671F"/>
    <w:rsid w:val="00427BA3"/>
    <w:rsid w:val="00430120"/>
    <w:rsid w:val="004303C8"/>
    <w:rsid w:val="004309FE"/>
    <w:rsid w:val="00431219"/>
    <w:rsid w:val="00431752"/>
    <w:rsid w:val="00431A1C"/>
    <w:rsid w:val="0043209D"/>
    <w:rsid w:val="00432457"/>
    <w:rsid w:val="0043334A"/>
    <w:rsid w:val="0043341A"/>
    <w:rsid w:val="00433585"/>
    <w:rsid w:val="004335A4"/>
    <w:rsid w:val="00433C33"/>
    <w:rsid w:val="00433ECA"/>
    <w:rsid w:val="00434128"/>
    <w:rsid w:val="004341D8"/>
    <w:rsid w:val="004343D1"/>
    <w:rsid w:val="0043444B"/>
    <w:rsid w:val="00434636"/>
    <w:rsid w:val="0043468F"/>
    <w:rsid w:val="00434A74"/>
    <w:rsid w:val="00435814"/>
    <w:rsid w:val="00435DA9"/>
    <w:rsid w:val="00435EF1"/>
    <w:rsid w:val="004366C5"/>
    <w:rsid w:val="00436C0B"/>
    <w:rsid w:val="00436DF8"/>
    <w:rsid w:val="00436E58"/>
    <w:rsid w:val="0043790B"/>
    <w:rsid w:val="00437A60"/>
    <w:rsid w:val="00440063"/>
    <w:rsid w:val="00440096"/>
    <w:rsid w:val="004402DB"/>
    <w:rsid w:val="00440E3C"/>
    <w:rsid w:val="0044177C"/>
    <w:rsid w:val="0044191E"/>
    <w:rsid w:val="00441B99"/>
    <w:rsid w:val="004429C2"/>
    <w:rsid w:val="0044302F"/>
    <w:rsid w:val="00443501"/>
    <w:rsid w:val="00443691"/>
    <w:rsid w:val="00443802"/>
    <w:rsid w:val="00443865"/>
    <w:rsid w:val="004439A1"/>
    <w:rsid w:val="00443AF7"/>
    <w:rsid w:val="00443C53"/>
    <w:rsid w:val="00443D4D"/>
    <w:rsid w:val="00444136"/>
    <w:rsid w:val="00444214"/>
    <w:rsid w:val="0044453D"/>
    <w:rsid w:val="00444C3B"/>
    <w:rsid w:val="0044609C"/>
    <w:rsid w:val="004460F1"/>
    <w:rsid w:val="00446C29"/>
    <w:rsid w:val="00447782"/>
    <w:rsid w:val="0045071B"/>
    <w:rsid w:val="004512AC"/>
    <w:rsid w:val="004515BA"/>
    <w:rsid w:val="00452363"/>
    <w:rsid w:val="0045275E"/>
    <w:rsid w:val="004530F3"/>
    <w:rsid w:val="00453B95"/>
    <w:rsid w:val="00453EBC"/>
    <w:rsid w:val="00453FBC"/>
    <w:rsid w:val="00454113"/>
    <w:rsid w:val="00454114"/>
    <w:rsid w:val="004544FD"/>
    <w:rsid w:val="00454D50"/>
    <w:rsid w:val="00454DE1"/>
    <w:rsid w:val="0045569D"/>
    <w:rsid w:val="004558EF"/>
    <w:rsid w:val="00456624"/>
    <w:rsid w:val="0045680F"/>
    <w:rsid w:val="00456AAB"/>
    <w:rsid w:val="00456EEB"/>
    <w:rsid w:val="00457298"/>
    <w:rsid w:val="00457385"/>
    <w:rsid w:val="0045743F"/>
    <w:rsid w:val="004577F7"/>
    <w:rsid w:val="00457827"/>
    <w:rsid w:val="0045DAD9"/>
    <w:rsid w:val="0046010F"/>
    <w:rsid w:val="0046032E"/>
    <w:rsid w:val="004604A0"/>
    <w:rsid w:val="00460C59"/>
    <w:rsid w:val="00460CFE"/>
    <w:rsid w:val="00461244"/>
    <w:rsid w:val="004618F6"/>
    <w:rsid w:val="00462009"/>
    <w:rsid w:val="00462B49"/>
    <w:rsid w:val="00462F9D"/>
    <w:rsid w:val="004634C4"/>
    <w:rsid w:val="004637D6"/>
    <w:rsid w:val="00463E04"/>
    <w:rsid w:val="00464363"/>
    <w:rsid w:val="004647C2"/>
    <w:rsid w:val="00464F0F"/>
    <w:rsid w:val="00464FEE"/>
    <w:rsid w:val="004660C6"/>
    <w:rsid w:val="00466D71"/>
    <w:rsid w:val="004676AF"/>
    <w:rsid w:val="00467EE1"/>
    <w:rsid w:val="004706A7"/>
    <w:rsid w:val="0047070D"/>
    <w:rsid w:val="00470761"/>
    <w:rsid w:val="004707F5"/>
    <w:rsid w:val="0047090B"/>
    <w:rsid w:val="00471362"/>
    <w:rsid w:val="0047141D"/>
    <w:rsid w:val="004715ED"/>
    <w:rsid w:val="00471AFB"/>
    <w:rsid w:val="00472075"/>
    <w:rsid w:val="004720C6"/>
    <w:rsid w:val="004721AC"/>
    <w:rsid w:val="004721CC"/>
    <w:rsid w:val="00472890"/>
    <w:rsid w:val="00473BEC"/>
    <w:rsid w:val="004743E8"/>
    <w:rsid w:val="0047478C"/>
    <w:rsid w:val="00474D6F"/>
    <w:rsid w:val="00474D99"/>
    <w:rsid w:val="004752DA"/>
    <w:rsid w:val="0047564B"/>
    <w:rsid w:val="00475B68"/>
    <w:rsid w:val="00475BEF"/>
    <w:rsid w:val="00475CC5"/>
    <w:rsid w:val="004771F6"/>
    <w:rsid w:val="00477974"/>
    <w:rsid w:val="00480391"/>
    <w:rsid w:val="00480530"/>
    <w:rsid w:val="00480752"/>
    <w:rsid w:val="004807C7"/>
    <w:rsid w:val="00480973"/>
    <w:rsid w:val="00480A88"/>
    <w:rsid w:val="00481773"/>
    <w:rsid w:val="00481CED"/>
    <w:rsid w:val="00482E81"/>
    <w:rsid w:val="004837B3"/>
    <w:rsid w:val="004840D0"/>
    <w:rsid w:val="00484233"/>
    <w:rsid w:val="00484A0C"/>
    <w:rsid w:val="00484D04"/>
    <w:rsid w:val="00485247"/>
    <w:rsid w:val="00485341"/>
    <w:rsid w:val="004859BA"/>
    <w:rsid w:val="00485A98"/>
    <w:rsid w:val="00485E5E"/>
    <w:rsid w:val="0048625F"/>
    <w:rsid w:val="00486D50"/>
    <w:rsid w:val="00486F2B"/>
    <w:rsid w:val="00487153"/>
    <w:rsid w:val="00487B61"/>
    <w:rsid w:val="00487B7A"/>
    <w:rsid w:val="004919B3"/>
    <w:rsid w:val="00491A7F"/>
    <w:rsid w:val="00491CA0"/>
    <w:rsid w:val="00491CEB"/>
    <w:rsid w:val="00492566"/>
    <w:rsid w:val="00493B2F"/>
    <w:rsid w:val="00493B82"/>
    <w:rsid w:val="00493CDE"/>
    <w:rsid w:val="004940B7"/>
    <w:rsid w:val="00494363"/>
    <w:rsid w:val="004943A5"/>
    <w:rsid w:val="00494682"/>
    <w:rsid w:val="00494738"/>
    <w:rsid w:val="00494EA0"/>
    <w:rsid w:val="00495569"/>
    <w:rsid w:val="004955F8"/>
    <w:rsid w:val="00495738"/>
    <w:rsid w:val="00496254"/>
    <w:rsid w:val="004973F5"/>
    <w:rsid w:val="00497E1F"/>
    <w:rsid w:val="004A008D"/>
    <w:rsid w:val="004A01FF"/>
    <w:rsid w:val="004A08E9"/>
    <w:rsid w:val="004A09B0"/>
    <w:rsid w:val="004A09ED"/>
    <w:rsid w:val="004A0D73"/>
    <w:rsid w:val="004A11B9"/>
    <w:rsid w:val="004A19B7"/>
    <w:rsid w:val="004A1DA4"/>
    <w:rsid w:val="004A200E"/>
    <w:rsid w:val="004A204A"/>
    <w:rsid w:val="004A2F7A"/>
    <w:rsid w:val="004A2FF6"/>
    <w:rsid w:val="004A305E"/>
    <w:rsid w:val="004A3813"/>
    <w:rsid w:val="004A451C"/>
    <w:rsid w:val="004A5064"/>
    <w:rsid w:val="004A58A6"/>
    <w:rsid w:val="004A5A3B"/>
    <w:rsid w:val="004A5E8E"/>
    <w:rsid w:val="004A62F4"/>
    <w:rsid w:val="004A6B0E"/>
    <w:rsid w:val="004A6D41"/>
    <w:rsid w:val="004A7317"/>
    <w:rsid w:val="004A7416"/>
    <w:rsid w:val="004A7780"/>
    <w:rsid w:val="004A792B"/>
    <w:rsid w:val="004A7A55"/>
    <w:rsid w:val="004B02CE"/>
    <w:rsid w:val="004B035D"/>
    <w:rsid w:val="004B041E"/>
    <w:rsid w:val="004B0B9C"/>
    <w:rsid w:val="004B102A"/>
    <w:rsid w:val="004B11C5"/>
    <w:rsid w:val="004B13FA"/>
    <w:rsid w:val="004B1B02"/>
    <w:rsid w:val="004B1BC8"/>
    <w:rsid w:val="004B1D0F"/>
    <w:rsid w:val="004B238F"/>
    <w:rsid w:val="004B31CB"/>
    <w:rsid w:val="004B3CD5"/>
    <w:rsid w:val="004B464A"/>
    <w:rsid w:val="004B4798"/>
    <w:rsid w:val="004B4AE5"/>
    <w:rsid w:val="004B4B55"/>
    <w:rsid w:val="004B50E4"/>
    <w:rsid w:val="004B51FA"/>
    <w:rsid w:val="004B54FC"/>
    <w:rsid w:val="004B6665"/>
    <w:rsid w:val="004B682C"/>
    <w:rsid w:val="004B6839"/>
    <w:rsid w:val="004B6A4D"/>
    <w:rsid w:val="004B7956"/>
    <w:rsid w:val="004B7D0D"/>
    <w:rsid w:val="004C007D"/>
    <w:rsid w:val="004C0434"/>
    <w:rsid w:val="004C07B2"/>
    <w:rsid w:val="004C0ABC"/>
    <w:rsid w:val="004C12E1"/>
    <w:rsid w:val="004C1B47"/>
    <w:rsid w:val="004C2FCC"/>
    <w:rsid w:val="004C339E"/>
    <w:rsid w:val="004C3F23"/>
    <w:rsid w:val="004C4356"/>
    <w:rsid w:val="004C45C6"/>
    <w:rsid w:val="004C50EF"/>
    <w:rsid w:val="004C510D"/>
    <w:rsid w:val="004C5689"/>
    <w:rsid w:val="004C57F5"/>
    <w:rsid w:val="004C5900"/>
    <w:rsid w:val="004C6552"/>
    <w:rsid w:val="004C7523"/>
    <w:rsid w:val="004C79DB"/>
    <w:rsid w:val="004C7B30"/>
    <w:rsid w:val="004D021E"/>
    <w:rsid w:val="004D06EB"/>
    <w:rsid w:val="004D0759"/>
    <w:rsid w:val="004D0D30"/>
    <w:rsid w:val="004D171A"/>
    <w:rsid w:val="004D1A39"/>
    <w:rsid w:val="004D20AD"/>
    <w:rsid w:val="004D20CA"/>
    <w:rsid w:val="004D3E13"/>
    <w:rsid w:val="004D4828"/>
    <w:rsid w:val="004D4F5E"/>
    <w:rsid w:val="004D5296"/>
    <w:rsid w:val="004D5734"/>
    <w:rsid w:val="004D5822"/>
    <w:rsid w:val="004D5B3B"/>
    <w:rsid w:val="004D5BA6"/>
    <w:rsid w:val="004D5D7F"/>
    <w:rsid w:val="004D5E69"/>
    <w:rsid w:val="004D67CE"/>
    <w:rsid w:val="004D7968"/>
    <w:rsid w:val="004D7A68"/>
    <w:rsid w:val="004D7D16"/>
    <w:rsid w:val="004E007C"/>
    <w:rsid w:val="004E0239"/>
    <w:rsid w:val="004E0327"/>
    <w:rsid w:val="004E0A4F"/>
    <w:rsid w:val="004E0B46"/>
    <w:rsid w:val="004E184D"/>
    <w:rsid w:val="004E19EC"/>
    <w:rsid w:val="004E1AEA"/>
    <w:rsid w:val="004E23A9"/>
    <w:rsid w:val="004E264B"/>
    <w:rsid w:val="004E26B6"/>
    <w:rsid w:val="004E2CD0"/>
    <w:rsid w:val="004E39AD"/>
    <w:rsid w:val="004E3A7C"/>
    <w:rsid w:val="004E3EF0"/>
    <w:rsid w:val="004E3F7F"/>
    <w:rsid w:val="004E4074"/>
    <w:rsid w:val="004E4079"/>
    <w:rsid w:val="004E416B"/>
    <w:rsid w:val="004E4867"/>
    <w:rsid w:val="004E4D40"/>
    <w:rsid w:val="004E52E1"/>
    <w:rsid w:val="004E6633"/>
    <w:rsid w:val="004E6970"/>
    <w:rsid w:val="004E6AFF"/>
    <w:rsid w:val="004E6E30"/>
    <w:rsid w:val="004E73A6"/>
    <w:rsid w:val="004E7532"/>
    <w:rsid w:val="004E7C91"/>
    <w:rsid w:val="004F03FD"/>
    <w:rsid w:val="004F04B8"/>
    <w:rsid w:val="004F0F98"/>
    <w:rsid w:val="004F10EF"/>
    <w:rsid w:val="004F13D4"/>
    <w:rsid w:val="004F147B"/>
    <w:rsid w:val="004F15C7"/>
    <w:rsid w:val="004F176C"/>
    <w:rsid w:val="004F18D9"/>
    <w:rsid w:val="004F2768"/>
    <w:rsid w:val="004F328E"/>
    <w:rsid w:val="004F3C94"/>
    <w:rsid w:val="004F404E"/>
    <w:rsid w:val="004F42DB"/>
    <w:rsid w:val="004F458B"/>
    <w:rsid w:val="004F468D"/>
    <w:rsid w:val="004F487D"/>
    <w:rsid w:val="004F4BE1"/>
    <w:rsid w:val="004F4C77"/>
    <w:rsid w:val="004F6BAF"/>
    <w:rsid w:val="004F6CEB"/>
    <w:rsid w:val="004F6FB4"/>
    <w:rsid w:val="004F7833"/>
    <w:rsid w:val="004F7FB6"/>
    <w:rsid w:val="00500616"/>
    <w:rsid w:val="00500877"/>
    <w:rsid w:val="00500B7D"/>
    <w:rsid w:val="00500E70"/>
    <w:rsid w:val="005016D6"/>
    <w:rsid w:val="00501818"/>
    <w:rsid w:val="00501980"/>
    <w:rsid w:val="005019E6"/>
    <w:rsid w:val="00501A17"/>
    <w:rsid w:val="00502041"/>
    <w:rsid w:val="005021B8"/>
    <w:rsid w:val="00502586"/>
    <w:rsid w:val="005025E3"/>
    <w:rsid w:val="00502ADD"/>
    <w:rsid w:val="00503509"/>
    <w:rsid w:val="0050382D"/>
    <w:rsid w:val="00504180"/>
    <w:rsid w:val="0050440A"/>
    <w:rsid w:val="00504789"/>
    <w:rsid w:val="005048EF"/>
    <w:rsid w:val="00505906"/>
    <w:rsid w:val="00506482"/>
    <w:rsid w:val="00507A42"/>
    <w:rsid w:val="005103A4"/>
    <w:rsid w:val="00510565"/>
    <w:rsid w:val="00511D46"/>
    <w:rsid w:val="00512093"/>
    <w:rsid w:val="00512111"/>
    <w:rsid w:val="00512BC8"/>
    <w:rsid w:val="00513281"/>
    <w:rsid w:val="005133FC"/>
    <w:rsid w:val="00513536"/>
    <w:rsid w:val="005137CC"/>
    <w:rsid w:val="00513A07"/>
    <w:rsid w:val="005147A5"/>
    <w:rsid w:val="00514ACC"/>
    <w:rsid w:val="00514C22"/>
    <w:rsid w:val="00514C80"/>
    <w:rsid w:val="005150E2"/>
    <w:rsid w:val="005156B4"/>
    <w:rsid w:val="00515951"/>
    <w:rsid w:val="00515AE0"/>
    <w:rsid w:val="00515FB7"/>
    <w:rsid w:val="005162E8"/>
    <w:rsid w:val="00520228"/>
    <w:rsid w:val="00520F2F"/>
    <w:rsid w:val="00521D07"/>
    <w:rsid w:val="005221E1"/>
    <w:rsid w:val="005223B1"/>
    <w:rsid w:val="005224A1"/>
    <w:rsid w:val="005225EC"/>
    <w:rsid w:val="0052318B"/>
    <w:rsid w:val="0052434C"/>
    <w:rsid w:val="005246BB"/>
    <w:rsid w:val="00524E40"/>
    <w:rsid w:val="00524F0A"/>
    <w:rsid w:val="00524FC3"/>
    <w:rsid w:val="00525194"/>
    <w:rsid w:val="005252F8"/>
    <w:rsid w:val="00525535"/>
    <w:rsid w:val="005261EE"/>
    <w:rsid w:val="00526489"/>
    <w:rsid w:val="00526591"/>
    <w:rsid w:val="00526DE9"/>
    <w:rsid w:val="00526EC1"/>
    <w:rsid w:val="00527206"/>
    <w:rsid w:val="00531EE1"/>
    <w:rsid w:val="00531EF3"/>
    <w:rsid w:val="00531F8D"/>
    <w:rsid w:val="00532915"/>
    <w:rsid w:val="00533D9D"/>
    <w:rsid w:val="00533ECF"/>
    <w:rsid w:val="0053426F"/>
    <w:rsid w:val="005347BD"/>
    <w:rsid w:val="00534A5B"/>
    <w:rsid w:val="0053505E"/>
    <w:rsid w:val="005351CE"/>
    <w:rsid w:val="00535231"/>
    <w:rsid w:val="0053543E"/>
    <w:rsid w:val="005354E3"/>
    <w:rsid w:val="005356B0"/>
    <w:rsid w:val="00535C17"/>
    <w:rsid w:val="00536001"/>
    <w:rsid w:val="0053682E"/>
    <w:rsid w:val="00536A2E"/>
    <w:rsid w:val="00536ACC"/>
    <w:rsid w:val="00536B2D"/>
    <w:rsid w:val="00536F7A"/>
    <w:rsid w:val="00537577"/>
    <w:rsid w:val="00541174"/>
    <w:rsid w:val="005413F5"/>
    <w:rsid w:val="0054154F"/>
    <w:rsid w:val="005417A0"/>
    <w:rsid w:val="00541981"/>
    <w:rsid w:val="00541A7F"/>
    <w:rsid w:val="00542CC4"/>
    <w:rsid w:val="00543211"/>
    <w:rsid w:val="005432A3"/>
    <w:rsid w:val="00543B68"/>
    <w:rsid w:val="005440CB"/>
    <w:rsid w:val="0054444E"/>
    <w:rsid w:val="0054461A"/>
    <w:rsid w:val="005446E4"/>
    <w:rsid w:val="00544A5F"/>
    <w:rsid w:val="00544D66"/>
    <w:rsid w:val="00545025"/>
    <w:rsid w:val="00545DC5"/>
    <w:rsid w:val="00545E14"/>
    <w:rsid w:val="0054608C"/>
    <w:rsid w:val="005466D0"/>
    <w:rsid w:val="005466ED"/>
    <w:rsid w:val="00546718"/>
    <w:rsid w:val="00546C11"/>
    <w:rsid w:val="00547012"/>
    <w:rsid w:val="00547674"/>
    <w:rsid w:val="00547800"/>
    <w:rsid w:val="0054785B"/>
    <w:rsid w:val="005507CA"/>
    <w:rsid w:val="00550911"/>
    <w:rsid w:val="00550925"/>
    <w:rsid w:val="005509AB"/>
    <w:rsid w:val="00550A07"/>
    <w:rsid w:val="00550C90"/>
    <w:rsid w:val="00550D07"/>
    <w:rsid w:val="00550ECF"/>
    <w:rsid w:val="00552612"/>
    <w:rsid w:val="00552E0B"/>
    <w:rsid w:val="00553246"/>
    <w:rsid w:val="00553260"/>
    <w:rsid w:val="0055341E"/>
    <w:rsid w:val="0055373A"/>
    <w:rsid w:val="00553984"/>
    <w:rsid w:val="00553A0C"/>
    <w:rsid w:val="00553BCF"/>
    <w:rsid w:val="00553E11"/>
    <w:rsid w:val="005547FB"/>
    <w:rsid w:val="005549A1"/>
    <w:rsid w:val="00554E5C"/>
    <w:rsid w:val="00555220"/>
    <w:rsid w:val="00555373"/>
    <w:rsid w:val="00555D01"/>
    <w:rsid w:val="00555EBA"/>
    <w:rsid w:val="00557100"/>
    <w:rsid w:val="00557321"/>
    <w:rsid w:val="005578FB"/>
    <w:rsid w:val="00560357"/>
    <w:rsid w:val="005607D2"/>
    <w:rsid w:val="00560FAC"/>
    <w:rsid w:val="005613B2"/>
    <w:rsid w:val="00561563"/>
    <w:rsid w:val="00562594"/>
    <w:rsid w:val="00562E21"/>
    <w:rsid w:val="00562F63"/>
    <w:rsid w:val="00563136"/>
    <w:rsid w:val="0056318B"/>
    <w:rsid w:val="00563F9E"/>
    <w:rsid w:val="00564545"/>
    <w:rsid w:val="005645F1"/>
    <w:rsid w:val="0056508D"/>
    <w:rsid w:val="0056538E"/>
    <w:rsid w:val="00565593"/>
    <w:rsid w:val="00565638"/>
    <w:rsid w:val="00565657"/>
    <w:rsid w:val="00565809"/>
    <w:rsid w:val="00565B4E"/>
    <w:rsid w:val="00565D2E"/>
    <w:rsid w:val="00566545"/>
    <w:rsid w:val="00566819"/>
    <w:rsid w:val="005668BC"/>
    <w:rsid w:val="00566AB1"/>
    <w:rsid w:val="00567FA7"/>
    <w:rsid w:val="0057024E"/>
    <w:rsid w:val="005709B0"/>
    <w:rsid w:val="00570B53"/>
    <w:rsid w:val="0057226E"/>
    <w:rsid w:val="00573059"/>
    <w:rsid w:val="0057345F"/>
    <w:rsid w:val="005738FF"/>
    <w:rsid w:val="00573BC0"/>
    <w:rsid w:val="00573E74"/>
    <w:rsid w:val="00573F5F"/>
    <w:rsid w:val="00574208"/>
    <w:rsid w:val="005744B5"/>
    <w:rsid w:val="0057468E"/>
    <w:rsid w:val="00574A1F"/>
    <w:rsid w:val="00574DDE"/>
    <w:rsid w:val="00575117"/>
    <w:rsid w:val="00575B88"/>
    <w:rsid w:val="00575C71"/>
    <w:rsid w:val="00575E54"/>
    <w:rsid w:val="00575ECD"/>
    <w:rsid w:val="00576007"/>
    <w:rsid w:val="00576113"/>
    <w:rsid w:val="0057642B"/>
    <w:rsid w:val="0057683C"/>
    <w:rsid w:val="00576A56"/>
    <w:rsid w:val="005774C4"/>
    <w:rsid w:val="0057765E"/>
    <w:rsid w:val="005777AA"/>
    <w:rsid w:val="00577A74"/>
    <w:rsid w:val="00577CC7"/>
    <w:rsid w:val="00577F36"/>
    <w:rsid w:val="00580484"/>
    <w:rsid w:val="0058069E"/>
    <w:rsid w:val="00580767"/>
    <w:rsid w:val="005809EB"/>
    <w:rsid w:val="00581FDD"/>
    <w:rsid w:val="00582455"/>
    <w:rsid w:val="00582689"/>
    <w:rsid w:val="00582956"/>
    <w:rsid w:val="00582BBD"/>
    <w:rsid w:val="00582DB2"/>
    <w:rsid w:val="00583852"/>
    <w:rsid w:val="00583A6D"/>
    <w:rsid w:val="0058512E"/>
    <w:rsid w:val="005856E9"/>
    <w:rsid w:val="005858EE"/>
    <w:rsid w:val="0058593A"/>
    <w:rsid w:val="00585C55"/>
    <w:rsid w:val="00586710"/>
    <w:rsid w:val="00586AF1"/>
    <w:rsid w:val="0058713F"/>
    <w:rsid w:val="00587B8C"/>
    <w:rsid w:val="00587D4C"/>
    <w:rsid w:val="00590929"/>
    <w:rsid w:val="00591710"/>
    <w:rsid w:val="00592345"/>
    <w:rsid w:val="005930B6"/>
    <w:rsid w:val="0059355C"/>
    <w:rsid w:val="005936D0"/>
    <w:rsid w:val="00593A42"/>
    <w:rsid w:val="00593CCA"/>
    <w:rsid w:val="005944CF"/>
    <w:rsid w:val="00594735"/>
    <w:rsid w:val="00594A1F"/>
    <w:rsid w:val="00594AF4"/>
    <w:rsid w:val="00594B8C"/>
    <w:rsid w:val="00594C6B"/>
    <w:rsid w:val="00594E03"/>
    <w:rsid w:val="00594F07"/>
    <w:rsid w:val="00594FE1"/>
    <w:rsid w:val="0059506B"/>
    <w:rsid w:val="005952AC"/>
    <w:rsid w:val="005954C3"/>
    <w:rsid w:val="00595536"/>
    <w:rsid w:val="00596014"/>
    <w:rsid w:val="005966E2"/>
    <w:rsid w:val="005967F9"/>
    <w:rsid w:val="00596A21"/>
    <w:rsid w:val="00596CBC"/>
    <w:rsid w:val="00597495"/>
    <w:rsid w:val="00597526"/>
    <w:rsid w:val="00597B30"/>
    <w:rsid w:val="005A07CC"/>
    <w:rsid w:val="005A0D7A"/>
    <w:rsid w:val="005A1427"/>
    <w:rsid w:val="005A1625"/>
    <w:rsid w:val="005A1BD5"/>
    <w:rsid w:val="005A283E"/>
    <w:rsid w:val="005A2A16"/>
    <w:rsid w:val="005A2FE5"/>
    <w:rsid w:val="005A3674"/>
    <w:rsid w:val="005A3AE7"/>
    <w:rsid w:val="005A45B9"/>
    <w:rsid w:val="005A45BB"/>
    <w:rsid w:val="005A4E21"/>
    <w:rsid w:val="005A5C49"/>
    <w:rsid w:val="005A6031"/>
    <w:rsid w:val="005A606B"/>
    <w:rsid w:val="005A7425"/>
    <w:rsid w:val="005A746E"/>
    <w:rsid w:val="005A7764"/>
    <w:rsid w:val="005A7EA0"/>
    <w:rsid w:val="005B00EB"/>
    <w:rsid w:val="005B0166"/>
    <w:rsid w:val="005B0327"/>
    <w:rsid w:val="005B049A"/>
    <w:rsid w:val="005B0A04"/>
    <w:rsid w:val="005B0A58"/>
    <w:rsid w:val="005B0B93"/>
    <w:rsid w:val="005B0C25"/>
    <w:rsid w:val="005B1289"/>
    <w:rsid w:val="005B1393"/>
    <w:rsid w:val="005B1421"/>
    <w:rsid w:val="005B1C26"/>
    <w:rsid w:val="005B2496"/>
    <w:rsid w:val="005B25A2"/>
    <w:rsid w:val="005B26AB"/>
    <w:rsid w:val="005B26E3"/>
    <w:rsid w:val="005B2CC0"/>
    <w:rsid w:val="005B2E12"/>
    <w:rsid w:val="005B3487"/>
    <w:rsid w:val="005B3687"/>
    <w:rsid w:val="005B3728"/>
    <w:rsid w:val="005B4152"/>
    <w:rsid w:val="005B4205"/>
    <w:rsid w:val="005B4594"/>
    <w:rsid w:val="005B478B"/>
    <w:rsid w:val="005B4839"/>
    <w:rsid w:val="005B4E16"/>
    <w:rsid w:val="005B5D5B"/>
    <w:rsid w:val="005B5E6E"/>
    <w:rsid w:val="005B6A05"/>
    <w:rsid w:val="005B6D30"/>
    <w:rsid w:val="005B6E25"/>
    <w:rsid w:val="005B7081"/>
    <w:rsid w:val="005B748B"/>
    <w:rsid w:val="005B74D5"/>
    <w:rsid w:val="005C0ACF"/>
    <w:rsid w:val="005C17C7"/>
    <w:rsid w:val="005C1B58"/>
    <w:rsid w:val="005C1E4B"/>
    <w:rsid w:val="005C23FD"/>
    <w:rsid w:val="005C261E"/>
    <w:rsid w:val="005C2861"/>
    <w:rsid w:val="005C293C"/>
    <w:rsid w:val="005C2A04"/>
    <w:rsid w:val="005C2A3F"/>
    <w:rsid w:val="005C2E96"/>
    <w:rsid w:val="005C33BC"/>
    <w:rsid w:val="005C3C11"/>
    <w:rsid w:val="005C3C5F"/>
    <w:rsid w:val="005C3D77"/>
    <w:rsid w:val="005C3EA1"/>
    <w:rsid w:val="005C3F0F"/>
    <w:rsid w:val="005C419C"/>
    <w:rsid w:val="005C42F4"/>
    <w:rsid w:val="005C4B92"/>
    <w:rsid w:val="005C518D"/>
    <w:rsid w:val="005C553A"/>
    <w:rsid w:val="005C55C7"/>
    <w:rsid w:val="005C56E9"/>
    <w:rsid w:val="005C6C5C"/>
    <w:rsid w:val="005C6D9C"/>
    <w:rsid w:val="005C6FDC"/>
    <w:rsid w:val="005C750F"/>
    <w:rsid w:val="005D006B"/>
    <w:rsid w:val="005D139D"/>
    <w:rsid w:val="005D2253"/>
    <w:rsid w:val="005D2454"/>
    <w:rsid w:val="005D2658"/>
    <w:rsid w:val="005D2C2B"/>
    <w:rsid w:val="005D34AC"/>
    <w:rsid w:val="005D3C34"/>
    <w:rsid w:val="005D42B3"/>
    <w:rsid w:val="005D4D32"/>
    <w:rsid w:val="005D5075"/>
    <w:rsid w:val="005D508D"/>
    <w:rsid w:val="005D527B"/>
    <w:rsid w:val="005D54D0"/>
    <w:rsid w:val="005D5533"/>
    <w:rsid w:val="005D55D6"/>
    <w:rsid w:val="005D59E4"/>
    <w:rsid w:val="005D60A0"/>
    <w:rsid w:val="005D626F"/>
    <w:rsid w:val="005D6513"/>
    <w:rsid w:val="005D6843"/>
    <w:rsid w:val="005D69BF"/>
    <w:rsid w:val="005D6E60"/>
    <w:rsid w:val="005D7310"/>
    <w:rsid w:val="005D778B"/>
    <w:rsid w:val="005D7A95"/>
    <w:rsid w:val="005D7B91"/>
    <w:rsid w:val="005D7C5D"/>
    <w:rsid w:val="005D7F5E"/>
    <w:rsid w:val="005D7F69"/>
    <w:rsid w:val="005E0415"/>
    <w:rsid w:val="005E04A5"/>
    <w:rsid w:val="005E074F"/>
    <w:rsid w:val="005E07AD"/>
    <w:rsid w:val="005E0DCF"/>
    <w:rsid w:val="005E0E57"/>
    <w:rsid w:val="005E178C"/>
    <w:rsid w:val="005E2323"/>
    <w:rsid w:val="005E316F"/>
    <w:rsid w:val="005E33CB"/>
    <w:rsid w:val="005E3522"/>
    <w:rsid w:val="005E3D54"/>
    <w:rsid w:val="005E40B3"/>
    <w:rsid w:val="005E4544"/>
    <w:rsid w:val="005E472C"/>
    <w:rsid w:val="005E4C5C"/>
    <w:rsid w:val="005E5083"/>
    <w:rsid w:val="005E5675"/>
    <w:rsid w:val="005E5C39"/>
    <w:rsid w:val="005E5D37"/>
    <w:rsid w:val="005E5E4B"/>
    <w:rsid w:val="005E6003"/>
    <w:rsid w:val="005E63E3"/>
    <w:rsid w:val="005E72BA"/>
    <w:rsid w:val="005E7329"/>
    <w:rsid w:val="005E7524"/>
    <w:rsid w:val="005E785B"/>
    <w:rsid w:val="005E7AB4"/>
    <w:rsid w:val="005EE577"/>
    <w:rsid w:val="005F06F6"/>
    <w:rsid w:val="005F0BE9"/>
    <w:rsid w:val="005F0F1A"/>
    <w:rsid w:val="005F1770"/>
    <w:rsid w:val="005F1844"/>
    <w:rsid w:val="005F2311"/>
    <w:rsid w:val="005F38BC"/>
    <w:rsid w:val="005F38D7"/>
    <w:rsid w:val="005F3A2E"/>
    <w:rsid w:val="005F49CC"/>
    <w:rsid w:val="005F5645"/>
    <w:rsid w:val="005F56A0"/>
    <w:rsid w:val="005F6009"/>
    <w:rsid w:val="005F631D"/>
    <w:rsid w:val="005F6363"/>
    <w:rsid w:val="005F6F89"/>
    <w:rsid w:val="005F71E3"/>
    <w:rsid w:val="005F75BD"/>
    <w:rsid w:val="00600287"/>
    <w:rsid w:val="006004DB"/>
    <w:rsid w:val="0060125C"/>
    <w:rsid w:val="00601A1D"/>
    <w:rsid w:val="00601AEE"/>
    <w:rsid w:val="0060225F"/>
    <w:rsid w:val="0060249B"/>
    <w:rsid w:val="00602C60"/>
    <w:rsid w:val="006037D1"/>
    <w:rsid w:val="006042AF"/>
    <w:rsid w:val="00604EAC"/>
    <w:rsid w:val="00605931"/>
    <w:rsid w:val="006061F7"/>
    <w:rsid w:val="00606783"/>
    <w:rsid w:val="00606958"/>
    <w:rsid w:val="006071B0"/>
    <w:rsid w:val="006074AD"/>
    <w:rsid w:val="00607803"/>
    <w:rsid w:val="00607C79"/>
    <w:rsid w:val="00607D78"/>
    <w:rsid w:val="0061030B"/>
    <w:rsid w:val="0061053F"/>
    <w:rsid w:val="00610D90"/>
    <w:rsid w:val="00610E62"/>
    <w:rsid w:val="0061112C"/>
    <w:rsid w:val="00611381"/>
    <w:rsid w:val="0061148F"/>
    <w:rsid w:val="006114EF"/>
    <w:rsid w:val="00611ACB"/>
    <w:rsid w:val="00611CBB"/>
    <w:rsid w:val="0061250A"/>
    <w:rsid w:val="00612B67"/>
    <w:rsid w:val="00612B7F"/>
    <w:rsid w:val="00612FFD"/>
    <w:rsid w:val="0061317D"/>
    <w:rsid w:val="006135C6"/>
    <w:rsid w:val="00613A42"/>
    <w:rsid w:val="006144DD"/>
    <w:rsid w:val="00615115"/>
    <w:rsid w:val="006153D9"/>
    <w:rsid w:val="00615E6A"/>
    <w:rsid w:val="00616274"/>
    <w:rsid w:val="0061679C"/>
    <w:rsid w:val="00616AE3"/>
    <w:rsid w:val="0061765F"/>
    <w:rsid w:val="0061770D"/>
    <w:rsid w:val="00617850"/>
    <w:rsid w:val="00617AA8"/>
    <w:rsid w:val="00617DCB"/>
    <w:rsid w:val="00620536"/>
    <w:rsid w:val="00621C4B"/>
    <w:rsid w:val="00621C4C"/>
    <w:rsid w:val="006221D7"/>
    <w:rsid w:val="006221DE"/>
    <w:rsid w:val="0062287D"/>
    <w:rsid w:val="006236B0"/>
    <w:rsid w:val="006237DE"/>
    <w:rsid w:val="006239F4"/>
    <w:rsid w:val="0062476A"/>
    <w:rsid w:val="00624AE3"/>
    <w:rsid w:val="00625B9B"/>
    <w:rsid w:val="00625DA1"/>
    <w:rsid w:val="00626328"/>
    <w:rsid w:val="006264CA"/>
    <w:rsid w:val="006267E4"/>
    <w:rsid w:val="006268A4"/>
    <w:rsid w:val="00626AB2"/>
    <w:rsid w:val="00626AD4"/>
    <w:rsid w:val="0062747D"/>
    <w:rsid w:val="006274D3"/>
    <w:rsid w:val="00627B5F"/>
    <w:rsid w:val="006305D7"/>
    <w:rsid w:val="006307DC"/>
    <w:rsid w:val="00630892"/>
    <w:rsid w:val="006308A8"/>
    <w:rsid w:val="00630951"/>
    <w:rsid w:val="00630E7A"/>
    <w:rsid w:val="00631705"/>
    <w:rsid w:val="00631794"/>
    <w:rsid w:val="006317CB"/>
    <w:rsid w:val="0063182E"/>
    <w:rsid w:val="00631A05"/>
    <w:rsid w:val="00631BF7"/>
    <w:rsid w:val="00632235"/>
    <w:rsid w:val="0063232C"/>
    <w:rsid w:val="0063240B"/>
    <w:rsid w:val="00632588"/>
    <w:rsid w:val="00632662"/>
    <w:rsid w:val="00632806"/>
    <w:rsid w:val="00632BC4"/>
    <w:rsid w:val="00632D5D"/>
    <w:rsid w:val="00632ECA"/>
    <w:rsid w:val="00632F2D"/>
    <w:rsid w:val="006336CD"/>
    <w:rsid w:val="0063417A"/>
    <w:rsid w:val="00634277"/>
    <w:rsid w:val="0063445D"/>
    <w:rsid w:val="00634837"/>
    <w:rsid w:val="006348D3"/>
    <w:rsid w:val="00635265"/>
    <w:rsid w:val="0063650E"/>
    <w:rsid w:val="00636EE3"/>
    <w:rsid w:val="0063747D"/>
    <w:rsid w:val="0063762B"/>
    <w:rsid w:val="00637AA2"/>
    <w:rsid w:val="0064001F"/>
    <w:rsid w:val="006401EA"/>
    <w:rsid w:val="006402CE"/>
    <w:rsid w:val="006407B8"/>
    <w:rsid w:val="00640F99"/>
    <w:rsid w:val="00641701"/>
    <w:rsid w:val="00641F36"/>
    <w:rsid w:val="006422F4"/>
    <w:rsid w:val="006423B9"/>
    <w:rsid w:val="0064244E"/>
    <w:rsid w:val="006438BE"/>
    <w:rsid w:val="00643B40"/>
    <w:rsid w:val="0064418F"/>
    <w:rsid w:val="006442E6"/>
    <w:rsid w:val="0064437C"/>
    <w:rsid w:val="00645E54"/>
    <w:rsid w:val="0064600B"/>
    <w:rsid w:val="0064635D"/>
    <w:rsid w:val="00646D01"/>
    <w:rsid w:val="00647517"/>
    <w:rsid w:val="00647529"/>
    <w:rsid w:val="0064778C"/>
    <w:rsid w:val="006510F8"/>
    <w:rsid w:val="006519E4"/>
    <w:rsid w:val="00652345"/>
    <w:rsid w:val="00653528"/>
    <w:rsid w:val="0065385C"/>
    <w:rsid w:val="00653934"/>
    <w:rsid w:val="00653AF5"/>
    <w:rsid w:val="00654429"/>
    <w:rsid w:val="006547C0"/>
    <w:rsid w:val="0065491A"/>
    <w:rsid w:val="0065498D"/>
    <w:rsid w:val="006549E8"/>
    <w:rsid w:val="006558B5"/>
    <w:rsid w:val="00655B0B"/>
    <w:rsid w:val="00656627"/>
    <w:rsid w:val="006574C5"/>
    <w:rsid w:val="00657C51"/>
    <w:rsid w:val="00657D02"/>
    <w:rsid w:val="00657DAB"/>
    <w:rsid w:val="00657F0B"/>
    <w:rsid w:val="006602EC"/>
    <w:rsid w:val="00660548"/>
    <w:rsid w:val="00661103"/>
    <w:rsid w:val="006612B6"/>
    <w:rsid w:val="00661EB1"/>
    <w:rsid w:val="00661EDB"/>
    <w:rsid w:val="00661EEF"/>
    <w:rsid w:val="00661EFB"/>
    <w:rsid w:val="006628E3"/>
    <w:rsid w:val="00662A0D"/>
    <w:rsid w:val="00662AC7"/>
    <w:rsid w:val="00662BC2"/>
    <w:rsid w:val="00662C03"/>
    <w:rsid w:val="00662EDD"/>
    <w:rsid w:val="006635A1"/>
    <w:rsid w:val="006635B7"/>
    <w:rsid w:val="006635D7"/>
    <w:rsid w:val="00663838"/>
    <w:rsid w:val="00663E2A"/>
    <w:rsid w:val="00664022"/>
    <w:rsid w:val="00664939"/>
    <w:rsid w:val="00665122"/>
    <w:rsid w:val="00665793"/>
    <w:rsid w:val="006657A9"/>
    <w:rsid w:val="00665D5B"/>
    <w:rsid w:val="006660F9"/>
    <w:rsid w:val="00666462"/>
    <w:rsid w:val="00666734"/>
    <w:rsid w:val="006668EE"/>
    <w:rsid w:val="0066693D"/>
    <w:rsid w:val="00667288"/>
    <w:rsid w:val="0066738D"/>
    <w:rsid w:val="00667469"/>
    <w:rsid w:val="00667BB9"/>
    <w:rsid w:val="00667BC6"/>
    <w:rsid w:val="00670105"/>
    <w:rsid w:val="00670307"/>
    <w:rsid w:val="00672477"/>
    <w:rsid w:val="00672586"/>
    <w:rsid w:val="0067282A"/>
    <w:rsid w:val="00672BD9"/>
    <w:rsid w:val="006730EA"/>
    <w:rsid w:val="006731C3"/>
    <w:rsid w:val="0067332E"/>
    <w:rsid w:val="00673566"/>
    <w:rsid w:val="00673A58"/>
    <w:rsid w:val="00673BC5"/>
    <w:rsid w:val="00673C39"/>
    <w:rsid w:val="00673F91"/>
    <w:rsid w:val="0067404C"/>
    <w:rsid w:val="00674645"/>
    <w:rsid w:val="006747FE"/>
    <w:rsid w:val="0067573F"/>
    <w:rsid w:val="006759A0"/>
    <w:rsid w:val="0067633B"/>
    <w:rsid w:val="0067642B"/>
    <w:rsid w:val="0067661A"/>
    <w:rsid w:val="006766BB"/>
    <w:rsid w:val="00676965"/>
    <w:rsid w:val="00677625"/>
    <w:rsid w:val="00677E9F"/>
    <w:rsid w:val="00677F2D"/>
    <w:rsid w:val="00677FE9"/>
    <w:rsid w:val="00680858"/>
    <w:rsid w:val="00680D8C"/>
    <w:rsid w:val="00681596"/>
    <w:rsid w:val="00681927"/>
    <w:rsid w:val="00681935"/>
    <w:rsid w:val="00681B80"/>
    <w:rsid w:val="00681DDC"/>
    <w:rsid w:val="00681E64"/>
    <w:rsid w:val="00681E7A"/>
    <w:rsid w:val="0068208F"/>
    <w:rsid w:val="00682296"/>
    <w:rsid w:val="00682937"/>
    <w:rsid w:val="00682B43"/>
    <w:rsid w:val="0068309A"/>
    <w:rsid w:val="0068325D"/>
    <w:rsid w:val="006837A9"/>
    <w:rsid w:val="00683C07"/>
    <w:rsid w:val="0068482B"/>
    <w:rsid w:val="00684E15"/>
    <w:rsid w:val="006855BC"/>
    <w:rsid w:val="00685959"/>
    <w:rsid w:val="006860A8"/>
    <w:rsid w:val="006862EA"/>
    <w:rsid w:val="006866C5"/>
    <w:rsid w:val="00686A3D"/>
    <w:rsid w:val="006873CD"/>
    <w:rsid w:val="00687E60"/>
    <w:rsid w:val="006902AF"/>
    <w:rsid w:val="006905F0"/>
    <w:rsid w:val="00691004"/>
    <w:rsid w:val="006910C1"/>
    <w:rsid w:val="00691625"/>
    <w:rsid w:val="006918EE"/>
    <w:rsid w:val="00691DB2"/>
    <w:rsid w:val="00691F57"/>
    <w:rsid w:val="00692731"/>
    <w:rsid w:val="006929C6"/>
    <w:rsid w:val="00692EE7"/>
    <w:rsid w:val="00692FE8"/>
    <w:rsid w:val="00693023"/>
    <w:rsid w:val="006933CC"/>
    <w:rsid w:val="00693777"/>
    <w:rsid w:val="00693E69"/>
    <w:rsid w:val="0069428D"/>
    <w:rsid w:val="00694641"/>
    <w:rsid w:val="006946AF"/>
    <w:rsid w:val="0069473E"/>
    <w:rsid w:val="00694AA0"/>
    <w:rsid w:val="00694D13"/>
    <w:rsid w:val="006953E0"/>
    <w:rsid w:val="00695697"/>
    <w:rsid w:val="006958E8"/>
    <w:rsid w:val="00695A34"/>
    <w:rsid w:val="00695D50"/>
    <w:rsid w:val="00696249"/>
    <w:rsid w:val="00696281"/>
    <w:rsid w:val="006964DE"/>
    <w:rsid w:val="00696D3D"/>
    <w:rsid w:val="0069710C"/>
    <w:rsid w:val="006974ED"/>
    <w:rsid w:val="00697746"/>
    <w:rsid w:val="006A044C"/>
    <w:rsid w:val="006A0A14"/>
    <w:rsid w:val="006A0B01"/>
    <w:rsid w:val="006A0B1F"/>
    <w:rsid w:val="006A0B99"/>
    <w:rsid w:val="006A1734"/>
    <w:rsid w:val="006A2436"/>
    <w:rsid w:val="006A25AF"/>
    <w:rsid w:val="006A284F"/>
    <w:rsid w:val="006A31F0"/>
    <w:rsid w:val="006A32AD"/>
    <w:rsid w:val="006A33B3"/>
    <w:rsid w:val="006A3D2F"/>
    <w:rsid w:val="006A3FED"/>
    <w:rsid w:val="006A4669"/>
    <w:rsid w:val="006A4702"/>
    <w:rsid w:val="006A47D3"/>
    <w:rsid w:val="006A4C26"/>
    <w:rsid w:val="006A51F3"/>
    <w:rsid w:val="006A5521"/>
    <w:rsid w:val="006A5C72"/>
    <w:rsid w:val="006A638F"/>
    <w:rsid w:val="006A6474"/>
    <w:rsid w:val="006A6798"/>
    <w:rsid w:val="006A6ABC"/>
    <w:rsid w:val="006A6E4C"/>
    <w:rsid w:val="006A6F25"/>
    <w:rsid w:val="006A6FB3"/>
    <w:rsid w:val="006A724C"/>
    <w:rsid w:val="006A77B2"/>
    <w:rsid w:val="006A7944"/>
    <w:rsid w:val="006A7D41"/>
    <w:rsid w:val="006A7D6A"/>
    <w:rsid w:val="006B091D"/>
    <w:rsid w:val="006B0ADC"/>
    <w:rsid w:val="006B0B0F"/>
    <w:rsid w:val="006B135A"/>
    <w:rsid w:val="006B1F65"/>
    <w:rsid w:val="006B2B09"/>
    <w:rsid w:val="006B36DA"/>
    <w:rsid w:val="006B3BDB"/>
    <w:rsid w:val="006B3DBD"/>
    <w:rsid w:val="006B3E25"/>
    <w:rsid w:val="006B3F46"/>
    <w:rsid w:val="006B482E"/>
    <w:rsid w:val="006B4F20"/>
    <w:rsid w:val="006B5542"/>
    <w:rsid w:val="006B57B3"/>
    <w:rsid w:val="006B6275"/>
    <w:rsid w:val="006B7682"/>
    <w:rsid w:val="006B76D4"/>
    <w:rsid w:val="006C013F"/>
    <w:rsid w:val="006C062F"/>
    <w:rsid w:val="006C0891"/>
    <w:rsid w:val="006C1CE4"/>
    <w:rsid w:val="006C1D0A"/>
    <w:rsid w:val="006C206F"/>
    <w:rsid w:val="006C27CD"/>
    <w:rsid w:val="006C2850"/>
    <w:rsid w:val="006C291D"/>
    <w:rsid w:val="006C2A21"/>
    <w:rsid w:val="006C2B11"/>
    <w:rsid w:val="006C2BC4"/>
    <w:rsid w:val="006C2C9B"/>
    <w:rsid w:val="006C2FDA"/>
    <w:rsid w:val="006C344C"/>
    <w:rsid w:val="006C3564"/>
    <w:rsid w:val="006C3E6F"/>
    <w:rsid w:val="006C3EB1"/>
    <w:rsid w:val="006C4231"/>
    <w:rsid w:val="006C45BC"/>
    <w:rsid w:val="006C471C"/>
    <w:rsid w:val="006C4938"/>
    <w:rsid w:val="006C4C45"/>
    <w:rsid w:val="006C4FF1"/>
    <w:rsid w:val="006C5068"/>
    <w:rsid w:val="006C5125"/>
    <w:rsid w:val="006C55E0"/>
    <w:rsid w:val="006C5C12"/>
    <w:rsid w:val="006C60CB"/>
    <w:rsid w:val="006C6280"/>
    <w:rsid w:val="006C6710"/>
    <w:rsid w:val="006C6753"/>
    <w:rsid w:val="006C6AF8"/>
    <w:rsid w:val="006C6C67"/>
    <w:rsid w:val="006C6EBB"/>
    <w:rsid w:val="006C7131"/>
    <w:rsid w:val="006C74A7"/>
    <w:rsid w:val="006C7E43"/>
    <w:rsid w:val="006C7EB7"/>
    <w:rsid w:val="006D04A8"/>
    <w:rsid w:val="006D051D"/>
    <w:rsid w:val="006D08D4"/>
    <w:rsid w:val="006D0A0A"/>
    <w:rsid w:val="006D177F"/>
    <w:rsid w:val="006D19D7"/>
    <w:rsid w:val="006D1F42"/>
    <w:rsid w:val="006D236F"/>
    <w:rsid w:val="006D2D79"/>
    <w:rsid w:val="006D3656"/>
    <w:rsid w:val="006D3ABA"/>
    <w:rsid w:val="006D3B43"/>
    <w:rsid w:val="006D3DF4"/>
    <w:rsid w:val="006D3F26"/>
    <w:rsid w:val="006D3F5E"/>
    <w:rsid w:val="006D42BD"/>
    <w:rsid w:val="006D43CA"/>
    <w:rsid w:val="006D442C"/>
    <w:rsid w:val="006D4C61"/>
    <w:rsid w:val="006D4CAD"/>
    <w:rsid w:val="006D5B04"/>
    <w:rsid w:val="006D6EDA"/>
    <w:rsid w:val="006E03CE"/>
    <w:rsid w:val="006E0AA8"/>
    <w:rsid w:val="006E0CC3"/>
    <w:rsid w:val="006E1565"/>
    <w:rsid w:val="006E1581"/>
    <w:rsid w:val="006E1834"/>
    <w:rsid w:val="006E1E77"/>
    <w:rsid w:val="006E240A"/>
    <w:rsid w:val="006E272C"/>
    <w:rsid w:val="006E377E"/>
    <w:rsid w:val="006E37D7"/>
    <w:rsid w:val="006E38A8"/>
    <w:rsid w:val="006E397B"/>
    <w:rsid w:val="006E3FEB"/>
    <w:rsid w:val="006E404E"/>
    <w:rsid w:val="006E41A9"/>
    <w:rsid w:val="006E4C4B"/>
    <w:rsid w:val="006E4D2B"/>
    <w:rsid w:val="006E55D4"/>
    <w:rsid w:val="006E5DE4"/>
    <w:rsid w:val="006E5DE9"/>
    <w:rsid w:val="006E61AF"/>
    <w:rsid w:val="006E6D18"/>
    <w:rsid w:val="006E726B"/>
    <w:rsid w:val="006E775F"/>
    <w:rsid w:val="006F0469"/>
    <w:rsid w:val="006F047E"/>
    <w:rsid w:val="006F0554"/>
    <w:rsid w:val="006F1124"/>
    <w:rsid w:val="006F1356"/>
    <w:rsid w:val="006F159B"/>
    <w:rsid w:val="006F1F71"/>
    <w:rsid w:val="006F20E4"/>
    <w:rsid w:val="006F282C"/>
    <w:rsid w:val="006F29CB"/>
    <w:rsid w:val="006F2DD8"/>
    <w:rsid w:val="006F4AC0"/>
    <w:rsid w:val="006F4BC9"/>
    <w:rsid w:val="006F558C"/>
    <w:rsid w:val="006F56F1"/>
    <w:rsid w:val="006F5CB7"/>
    <w:rsid w:val="006F5D45"/>
    <w:rsid w:val="006F6B3C"/>
    <w:rsid w:val="006F6E40"/>
    <w:rsid w:val="006F6F6E"/>
    <w:rsid w:val="006F7F48"/>
    <w:rsid w:val="00700476"/>
    <w:rsid w:val="007005B2"/>
    <w:rsid w:val="0070072C"/>
    <w:rsid w:val="007011E2"/>
    <w:rsid w:val="00701216"/>
    <w:rsid w:val="00701472"/>
    <w:rsid w:val="00701822"/>
    <w:rsid w:val="00701B09"/>
    <w:rsid w:val="00701CBB"/>
    <w:rsid w:val="0070216D"/>
    <w:rsid w:val="007021E4"/>
    <w:rsid w:val="00702283"/>
    <w:rsid w:val="00703384"/>
    <w:rsid w:val="007034A6"/>
    <w:rsid w:val="0070397B"/>
    <w:rsid w:val="0070491D"/>
    <w:rsid w:val="00705066"/>
    <w:rsid w:val="00705100"/>
    <w:rsid w:val="00705ACC"/>
    <w:rsid w:val="00706107"/>
    <w:rsid w:val="007062F8"/>
    <w:rsid w:val="007064F3"/>
    <w:rsid w:val="007068D8"/>
    <w:rsid w:val="00706902"/>
    <w:rsid w:val="00707277"/>
    <w:rsid w:val="0070772A"/>
    <w:rsid w:val="00707A1E"/>
    <w:rsid w:val="00707B68"/>
    <w:rsid w:val="00707BE6"/>
    <w:rsid w:val="00707C24"/>
    <w:rsid w:val="00707C59"/>
    <w:rsid w:val="00707C8C"/>
    <w:rsid w:val="00710650"/>
    <w:rsid w:val="00710A6F"/>
    <w:rsid w:val="0071120F"/>
    <w:rsid w:val="00711476"/>
    <w:rsid w:val="00711C8C"/>
    <w:rsid w:val="00712152"/>
    <w:rsid w:val="007128BC"/>
    <w:rsid w:val="00712A52"/>
    <w:rsid w:val="00712C3B"/>
    <w:rsid w:val="00712D0E"/>
    <w:rsid w:val="0071336E"/>
    <w:rsid w:val="00714321"/>
    <w:rsid w:val="007143C1"/>
    <w:rsid w:val="00714E6E"/>
    <w:rsid w:val="007151AE"/>
    <w:rsid w:val="007155BA"/>
    <w:rsid w:val="00716226"/>
    <w:rsid w:val="00716454"/>
    <w:rsid w:val="00716B48"/>
    <w:rsid w:val="007175DD"/>
    <w:rsid w:val="00717C15"/>
    <w:rsid w:val="00720075"/>
    <w:rsid w:val="00720561"/>
    <w:rsid w:val="00720AD5"/>
    <w:rsid w:val="00720B3F"/>
    <w:rsid w:val="00721419"/>
    <w:rsid w:val="00721C0F"/>
    <w:rsid w:val="00722B4F"/>
    <w:rsid w:val="00722B89"/>
    <w:rsid w:val="00723098"/>
    <w:rsid w:val="007230FB"/>
    <w:rsid w:val="0072389E"/>
    <w:rsid w:val="00723EAF"/>
    <w:rsid w:val="0072444D"/>
    <w:rsid w:val="0072468E"/>
    <w:rsid w:val="0072498B"/>
    <w:rsid w:val="00724FA9"/>
    <w:rsid w:val="007259ED"/>
    <w:rsid w:val="00726348"/>
    <w:rsid w:val="00726AC7"/>
    <w:rsid w:val="00726DA3"/>
    <w:rsid w:val="00726F19"/>
    <w:rsid w:val="007278FF"/>
    <w:rsid w:val="007303D2"/>
    <w:rsid w:val="007315EA"/>
    <w:rsid w:val="00731785"/>
    <w:rsid w:val="00731B1B"/>
    <w:rsid w:val="00731C2A"/>
    <w:rsid w:val="00732CE0"/>
    <w:rsid w:val="00732F2D"/>
    <w:rsid w:val="007335BE"/>
    <w:rsid w:val="007335F8"/>
    <w:rsid w:val="00733602"/>
    <w:rsid w:val="00733F60"/>
    <w:rsid w:val="0073407A"/>
    <w:rsid w:val="0073445E"/>
    <w:rsid w:val="0073450A"/>
    <w:rsid w:val="00734561"/>
    <w:rsid w:val="0073466C"/>
    <w:rsid w:val="00734868"/>
    <w:rsid w:val="007349B0"/>
    <w:rsid w:val="00734F8E"/>
    <w:rsid w:val="00735543"/>
    <w:rsid w:val="007357E4"/>
    <w:rsid w:val="00735EF3"/>
    <w:rsid w:val="007362BA"/>
    <w:rsid w:val="00736476"/>
    <w:rsid w:val="007364DC"/>
    <w:rsid w:val="0073657E"/>
    <w:rsid w:val="0073674E"/>
    <w:rsid w:val="007369FB"/>
    <w:rsid w:val="0073772B"/>
    <w:rsid w:val="00737A13"/>
    <w:rsid w:val="00737B84"/>
    <w:rsid w:val="00737C1E"/>
    <w:rsid w:val="007400A1"/>
    <w:rsid w:val="00740BF7"/>
    <w:rsid w:val="00740E61"/>
    <w:rsid w:val="0074139E"/>
    <w:rsid w:val="00741413"/>
    <w:rsid w:val="0074165E"/>
    <w:rsid w:val="007416AD"/>
    <w:rsid w:val="00742215"/>
    <w:rsid w:val="0074266F"/>
    <w:rsid w:val="007437B4"/>
    <w:rsid w:val="0074382B"/>
    <w:rsid w:val="00743A72"/>
    <w:rsid w:val="00743ACB"/>
    <w:rsid w:val="00743E09"/>
    <w:rsid w:val="007445E2"/>
    <w:rsid w:val="007449F7"/>
    <w:rsid w:val="00745583"/>
    <w:rsid w:val="00745CC2"/>
    <w:rsid w:val="00745D00"/>
    <w:rsid w:val="00746026"/>
    <w:rsid w:val="00746325"/>
    <w:rsid w:val="00746760"/>
    <w:rsid w:val="00746B53"/>
    <w:rsid w:val="0074767A"/>
    <w:rsid w:val="0074773C"/>
    <w:rsid w:val="007477E5"/>
    <w:rsid w:val="00747DDD"/>
    <w:rsid w:val="00747E64"/>
    <w:rsid w:val="00750BE7"/>
    <w:rsid w:val="007515B6"/>
    <w:rsid w:val="0075196E"/>
    <w:rsid w:val="00751A37"/>
    <w:rsid w:val="00751C05"/>
    <w:rsid w:val="007521AC"/>
    <w:rsid w:val="00752D41"/>
    <w:rsid w:val="007530E8"/>
    <w:rsid w:val="0075312C"/>
    <w:rsid w:val="007531C6"/>
    <w:rsid w:val="007534CC"/>
    <w:rsid w:val="00753AD8"/>
    <w:rsid w:val="00753AF7"/>
    <w:rsid w:val="00753EAD"/>
    <w:rsid w:val="007541B8"/>
    <w:rsid w:val="007548CC"/>
    <w:rsid w:val="007559BD"/>
    <w:rsid w:val="00755E7B"/>
    <w:rsid w:val="007567F1"/>
    <w:rsid w:val="00756BDA"/>
    <w:rsid w:val="007578B9"/>
    <w:rsid w:val="00757952"/>
    <w:rsid w:val="007601FB"/>
    <w:rsid w:val="00760311"/>
    <w:rsid w:val="00760538"/>
    <w:rsid w:val="007609C8"/>
    <w:rsid w:val="0076112B"/>
    <w:rsid w:val="00761725"/>
    <w:rsid w:val="007617EF"/>
    <w:rsid w:val="00761AFF"/>
    <w:rsid w:val="00761D83"/>
    <w:rsid w:val="00761DEB"/>
    <w:rsid w:val="007627A1"/>
    <w:rsid w:val="007628BF"/>
    <w:rsid w:val="00762997"/>
    <w:rsid w:val="00763270"/>
    <w:rsid w:val="00763405"/>
    <w:rsid w:val="00763782"/>
    <w:rsid w:val="00763B01"/>
    <w:rsid w:val="007640F8"/>
    <w:rsid w:val="007641B6"/>
    <w:rsid w:val="00764707"/>
    <w:rsid w:val="00764E47"/>
    <w:rsid w:val="00765477"/>
    <w:rsid w:val="00765B64"/>
    <w:rsid w:val="00765EA2"/>
    <w:rsid w:val="0076642F"/>
    <w:rsid w:val="007668AB"/>
    <w:rsid w:val="00766AC5"/>
    <w:rsid w:val="00766AE2"/>
    <w:rsid w:val="00766CD4"/>
    <w:rsid w:val="00766FF6"/>
    <w:rsid w:val="007671FD"/>
    <w:rsid w:val="00770043"/>
    <w:rsid w:val="007700F7"/>
    <w:rsid w:val="00770191"/>
    <w:rsid w:val="00770304"/>
    <w:rsid w:val="00770480"/>
    <w:rsid w:val="007709A4"/>
    <w:rsid w:val="00771E29"/>
    <w:rsid w:val="00771FF5"/>
    <w:rsid w:val="0077222A"/>
    <w:rsid w:val="007725DA"/>
    <w:rsid w:val="007727B8"/>
    <w:rsid w:val="00773066"/>
    <w:rsid w:val="00773187"/>
    <w:rsid w:val="007732E2"/>
    <w:rsid w:val="007736DE"/>
    <w:rsid w:val="007741D5"/>
    <w:rsid w:val="007741F8"/>
    <w:rsid w:val="00774415"/>
    <w:rsid w:val="00774591"/>
    <w:rsid w:val="0077461A"/>
    <w:rsid w:val="00774F0A"/>
    <w:rsid w:val="00775459"/>
    <w:rsid w:val="0077587E"/>
    <w:rsid w:val="00775FC4"/>
    <w:rsid w:val="007763A4"/>
    <w:rsid w:val="007774D4"/>
    <w:rsid w:val="00777574"/>
    <w:rsid w:val="00777A21"/>
    <w:rsid w:val="00777BC5"/>
    <w:rsid w:val="00777E35"/>
    <w:rsid w:val="007801FE"/>
    <w:rsid w:val="007802E5"/>
    <w:rsid w:val="007805FB"/>
    <w:rsid w:val="00780958"/>
    <w:rsid w:val="007809A1"/>
    <w:rsid w:val="00780F51"/>
    <w:rsid w:val="00781221"/>
    <w:rsid w:val="00781334"/>
    <w:rsid w:val="007818E8"/>
    <w:rsid w:val="00781AC2"/>
    <w:rsid w:val="007820FA"/>
    <w:rsid w:val="007827D6"/>
    <w:rsid w:val="00783027"/>
    <w:rsid w:val="007830D9"/>
    <w:rsid w:val="007832EC"/>
    <w:rsid w:val="00783882"/>
    <w:rsid w:val="00783ACF"/>
    <w:rsid w:val="00783E78"/>
    <w:rsid w:val="00783F09"/>
    <w:rsid w:val="00784C5E"/>
    <w:rsid w:val="00784CC3"/>
    <w:rsid w:val="0078515F"/>
    <w:rsid w:val="00785AA5"/>
    <w:rsid w:val="00785B02"/>
    <w:rsid w:val="0078668D"/>
    <w:rsid w:val="0078726A"/>
    <w:rsid w:val="0078726D"/>
    <w:rsid w:val="007876C4"/>
    <w:rsid w:val="00787ADD"/>
    <w:rsid w:val="00787B45"/>
    <w:rsid w:val="00787D0C"/>
    <w:rsid w:val="00787D85"/>
    <w:rsid w:val="0079004B"/>
    <w:rsid w:val="00790751"/>
    <w:rsid w:val="00790B7C"/>
    <w:rsid w:val="00791169"/>
    <w:rsid w:val="00791990"/>
    <w:rsid w:val="007923C3"/>
    <w:rsid w:val="00792661"/>
    <w:rsid w:val="00792789"/>
    <w:rsid w:val="00792940"/>
    <w:rsid w:val="00792DBD"/>
    <w:rsid w:val="00793604"/>
    <w:rsid w:val="00793C62"/>
    <w:rsid w:val="007940D7"/>
    <w:rsid w:val="007944F7"/>
    <w:rsid w:val="007948CC"/>
    <w:rsid w:val="00794B10"/>
    <w:rsid w:val="0079653B"/>
    <w:rsid w:val="00796E17"/>
    <w:rsid w:val="00797AB5"/>
    <w:rsid w:val="007A02CA"/>
    <w:rsid w:val="007A0D12"/>
    <w:rsid w:val="007A0D84"/>
    <w:rsid w:val="007A0F02"/>
    <w:rsid w:val="007A114B"/>
    <w:rsid w:val="007A1582"/>
    <w:rsid w:val="007A1B1C"/>
    <w:rsid w:val="007A223D"/>
    <w:rsid w:val="007A265F"/>
    <w:rsid w:val="007A2F23"/>
    <w:rsid w:val="007A2F24"/>
    <w:rsid w:val="007A2F68"/>
    <w:rsid w:val="007A385E"/>
    <w:rsid w:val="007A3E24"/>
    <w:rsid w:val="007A4257"/>
    <w:rsid w:val="007A44A5"/>
    <w:rsid w:val="007A4EFB"/>
    <w:rsid w:val="007A5713"/>
    <w:rsid w:val="007A5B75"/>
    <w:rsid w:val="007A5E53"/>
    <w:rsid w:val="007A6193"/>
    <w:rsid w:val="007A643B"/>
    <w:rsid w:val="007A6563"/>
    <w:rsid w:val="007A6818"/>
    <w:rsid w:val="007A7313"/>
    <w:rsid w:val="007A7403"/>
    <w:rsid w:val="007A74C8"/>
    <w:rsid w:val="007A75F6"/>
    <w:rsid w:val="007A7C7D"/>
    <w:rsid w:val="007A7E2D"/>
    <w:rsid w:val="007B01EA"/>
    <w:rsid w:val="007B06B0"/>
    <w:rsid w:val="007B08C5"/>
    <w:rsid w:val="007B14BA"/>
    <w:rsid w:val="007B1535"/>
    <w:rsid w:val="007B21EA"/>
    <w:rsid w:val="007B2B39"/>
    <w:rsid w:val="007B2C82"/>
    <w:rsid w:val="007B2E3F"/>
    <w:rsid w:val="007B2F1A"/>
    <w:rsid w:val="007B3391"/>
    <w:rsid w:val="007B3A14"/>
    <w:rsid w:val="007B3DEC"/>
    <w:rsid w:val="007B3E63"/>
    <w:rsid w:val="007B450C"/>
    <w:rsid w:val="007B466C"/>
    <w:rsid w:val="007B4F50"/>
    <w:rsid w:val="007B544C"/>
    <w:rsid w:val="007B5D9E"/>
    <w:rsid w:val="007B62B9"/>
    <w:rsid w:val="007B653D"/>
    <w:rsid w:val="007B6DE7"/>
    <w:rsid w:val="007B732E"/>
    <w:rsid w:val="007B73D3"/>
    <w:rsid w:val="007B7822"/>
    <w:rsid w:val="007C00FE"/>
    <w:rsid w:val="007C050F"/>
    <w:rsid w:val="007C0524"/>
    <w:rsid w:val="007C060B"/>
    <w:rsid w:val="007C0AEF"/>
    <w:rsid w:val="007C0EE3"/>
    <w:rsid w:val="007C1D4C"/>
    <w:rsid w:val="007C2531"/>
    <w:rsid w:val="007C2CE0"/>
    <w:rsid w:val="007C31FD"/>
    <w:rsid w:val="007C325B"/>
    <w:rsid w:val="007C3844"/>
    <w:rsid w:val="007C3C33"/>
    <w:rsid w:val="007C3FE0"/>
    <w:rsid w:val="007C48DD"/>
    <w:rsid w:val="007C4DEC"/>
    <w:rsid w:val="007C5A97"/>
    <w:rsid w:val="007C5D39"/>
    <w:rsid w:val="007C64DA"/>
    <w:rsid w:val="007C6FC5"/>
    <w:rsid w:val="007C710C"/>
    <w:rsid w:val="007C79F4"/>
    <w:rsid w:val="007C79FD"/>
    <w:rsid w:val="007C7E5D"/>
    <w:rsid w:val="007D00F1"/>
    <w:rsid w:val="007D066D"/>
    <w:rsid w:val="007D0A23"/>
    <w:rsid w:val="007D0D39"/>
    <w:rsid w:val="007D1229"/>
    <w:rsid w:val="007D1831"/>
    <w:rsid w:val="007D2F0D"/>
    <w:rsid w:val="007D3026"/>
    <w:rsid w:val="007D32F3"/>
    <w:rsid w:val="007D3A73"/>
    <w:rsid w:val="007D3C31"/>
    <w:rsid w:val="007D3CD8"/>
    <w:rsid w:val="007D43FF"/>
    <w:rsid w:val="007D463D"/>
    <w:rsid w:val="007D4939"/>
    <w:rsid w:val="007D553A"/>
    <w:rsid w:val="007D57DC"/>
    <w:rsid w:val="007D6067"/>
    <w:rsid w:val="007D60FF"/>
    <w:rsid w:val="007D626B"/>
    <w:rsid w:val="007D636B"/>
    <w:rsid w:val="007D6919"/>
    <w:rsid w:val="007D6A7D"/>
    <w:rsid w:val="007D6D0C"/>
    <w:rsid w:val="007D71D8"/>
    <w:rsid w:val="007D7233"/>
    <w:rsid w:val="007D7497"/>
    <w:rsid w:val="007D77E9"/>
    <w:rsid w:val="007E0001"/>
    <w:rsid w:val="007E0305"/>
    <w:rsid w:val="007E05EB"/>
    <w:rsid w:val="007E09E0"/>
    <w:rsid w:val="007E10BB"/>
    <w:rsid w:val="007E11FF"/>
    <w:rsid w:val="007E1210"/>
    <w:rsid w:val="007E1A37"/>
    <w:rsid w:val="007E1F2D"/>
    <w:rsid w:val="007E1F8F"/>
    <w:rsid w:val="007E2244"/>
    <w:rsid w:val="007E2305"/>
    <w:rsid w:val="007E2BD7"/>
    <w:rsid w:val="007E2CAD"/>
    <w:rsid w:val="007E34DB"/>
    <w:rsid w:val="007E3C24"/>
    <w:rsid w:val="007E4337"/>
    <w:rsid w:val="007E4865"/>
    <w:rsid w:val="007E57F7"/>
    <w:rsid w:val="007E583A"/>
    <w:rsid w:val="007E5847"/>
    <w:rsid w:val="007E5C2F"/>
    <w:rsid w:val="007E61D3"/>
    <w:rsid w:val="007E6F0E"/>
    <w:rsid w:val="007E7276"/>
    <w:rsid w:val="007E7688"/>
    <w:rsid w:val="007E7B69"/>
    <w:rsid w:val="007F0266"/>
    <w:rsid w:val="007F0FE9"/>
    <w:rsid w:val="007F1625"/>
    <w:rsid w:val="007F21FB"/>
    <w:rsid w:val="007F2454"/>
    <w:rsid w:val="007F30BA"/>
    <w:rsid w:val="007F51D1"/>
    <w:rsid w:val="007F53A7"/>
    <w:rsid w:val="007F5B22"/>
    <w:rsid w:val="007F5C4B"/>
    <w:rsid w:val="007F62AF"/>
    <w:rsid w:val="007F62D3"/>
    <w:rsid w:val="007F656F"/>
    <w:rsid w:val="007F65BA"/>
    <w:rsid w:val="007F6722"/>
    <w:rsid w:val="007F67C3"/>
    <w:rsid w:val="007F6FAA"/>
    <w:rsid w:val="007F6FD8"/>
    <w:rsid w:val="007F734E"/>
    <w:rsid w:val="007FF2D2"/>
    <w:rsid w:val="008003C8"/>
    <w:rsid w:val="00801327"/>
    <w:rsid w:val="00801AA3"/>
    <w:rsid w:val="0080239C"/>
    <w:rsid w:val="00802403"/>
    <w:rsid w:val="00802583"/>
    <w:rsid w:val="00802592"/>
    <w:rsid w:val="00802641"/>
    <w:rsid w:val="00802861"/>
    <w:rsid w:val="00802E45"/>
    <w:rsid w:val="00803773"/>
    <w:rsid w:val="00803E0F"/>
    <w:rsid w:val="0080458B"/>
    <w:rsid w:val="0080501A"/>
    <w:rsid w:val="008053A5"/>
    <w:rsid w:val="008054C2"/>
    <w:rsid w:val="008056E4"/>
    <w:rsid w:val="008057BA"/>
    <w:rsid w:val="00805B14"/>
    <w:rsid w:val="00805EB9"/>
    <w:rsid w:val="008060B8"/>
    <w:rsid w:val="0080623F"/>
    <w:rsid w:val="00806B57"/>
    <w:rsid w:val="00807414"/>
    <w:rsid w:val="008079AB"/>
    <w:rsid w:val="00807B3C"/>
    <w:rsid w:val="00810012"/>
    <w:rsid w:val="00810944"/>
    <w:rsid w:val="00810ABA"/>
    <w:rsid w:val="00810B18"/>
    <w:rsid w:val="00810CA6"/>
    <w:rsid w:val="008110C5"/>
    <w:rsid w:val="0081126E"/>
    <w:rsid w:val="008118B1"/>
    <w:rsid w:val="00811DC7"/>
    <w:rsid w:val="00812175"/>
    <w:rsid w:val="00812916"/>
    <w:rsid w:val="00813570"/>
    <w:rsid w:val="008139EB"/>
    <w:rsid w:val="00813E21"/>
    <w:rsid w:val="00813F33"/>
    <w:rsid w:val="00814FEF"/>
    <w:rsid w:val="0081537F"/>
    <w:rsid w:val="008154D7"/>
    <w:rsid w:val="008155AD"/>
    <w:rsid w:val="00815ACC"/>
    <w:rsid w:val="00815EC9"/>
    <w:rsid w:val="0081607A"/>
    <w:rsid w:val="00816DD4"/>
    <w:rsid w:val="008170EF"/>
    <w:rsid w:val="00817114"/>
    <w:rsid w:val="008172B9"/>
    <w:rsid w:val="00817489"/>
    <w:rsid w:val="00817506"/>
    <w:rsid w:val="00817977"/>
    <w:rsid w:val="008209F6"/>
    <w:rsid w:val="00820AEC"/>
    <w:rsid w:val="00820D57"/>
    <w:rsid w:val="00820E6E"/>
    <w:rsid w:val="008214F6"/>
    <w:rsid w:val="00821692"/>
    <w:rsid w:val="008217E8"/>
    <w:rsid w:val="008223A1"/>
    <w:rsid w:val="008224C2"/>
    <w:rsid w:val="00823F1E"/>
    <w:rsid w:val="008241AF"/>
    <w:rsid w:val="008245F7"/>
    <w:rsid w:val="0082506C"/>
    <w:rsid w:val="0082679E"/>
    <w:rsid w:val="008275AE"/>
    <w:rsid w:val="0083000F"/>
    <w:rsid w:val="008301EE"/>
    <w:rsid w:val="00830D66"/>
    <w:rsid w:val="00831773"/>
    <w:rsid w:val="00831C7A"/>
    <w:rsid w:val="00831F80"/>
    <w:rsid w:val="00832A47"/>
    <w:rsid w:val="00832A68"/>
    <w:rsid w:val="008330FF"/>
    <w:rsid w:val="008333E1"/>
    <w:rsid w:val="008334F9"/>
    <w:rsid w:val="00833657"/>
    <w:rsid w:val="008338E6"/>
    <w:rsid w:val="00833CA7"/>
    <w:rsid w:val="00833CED"/>
    <w:rsid w:val="00833D5B"/>
    <w:rsid w:val="00834432"/>
    <w:rsid w:val="0083477C"/>
    <w:rsid w:val="00834D71"/>
    <w:rsid w:val="008359AC"/>
    <w:rsid w:val="00835BF5"/>
    <w:rsid w:val="00835FA6"/>
    <w:rsid w:val="0083633E"/>
    <w:rsid w:val="0083649A"/>
    <w:rsid w:val="00836C30"/>
    <w:rsid w:val="00836E9B"/>
    <w:rsid w:val="008370EA"/>
    <w:rsid w:val="00837198"/>
    <w:rsid w:val="00837F85"/>
    <w:rsid w:val="0084002E"/>
    <w:rsid w:val="0084058D"/>
    <w:rsid w:val="008405EB"/>
    <w:rsid w:val="00840828"/>
    <w:rsid w:val="00840CA2"/>
    <w:rsid w:val="00840F99"/>
    <w:rsid w:val="008414C2"/>
    <w:rsid w:val="00841947"/>
    <w:rsid w:val="00841A04"/>
    <w:rsid w:val="00841C3B"/>
    <w:rsid w:val="00841E3B"/>
    <w:rsid w:val="00842096"/>
    <w:rsid w:val="00842231"/>
    <w:rsid w:val="00842FF6"/>
    <w:rsid w:val="0084337B"/>
    <w:rsid w:val="00843F0C"/>
    <w:rsid w:val="0084422F"/>
    <w:rsid w:val="0084428B"/>
    <w:rsid w:val="00844789"/>
    <w:rsid w:val="00844C44"/>
    <w:rsid w:val="00844D5B"/>
    <w:rsid w:val="00845140"/>
    <w:rsid w:val="0084514D"/>
    <w:rsid w:val="0084541D"/>
    <w:rsid w:val="00846085"/>
    <w:rsid w:val="00846AE8"/>
    <w:rsid w:val="008471C0"/>
    <w:rsid w:val="00847D0A"/>
    <w:rsid w:val="00847FD4"/>
    <w:rsid w:val="00850086"/>
    <w:rsid w:val="008503A1"/>
    <w:rsid w:val="008504A5"/>
    <w:rsid w:val="00850696"/>
    <w:rsid w:val="00850DA4"/>
    <w:rsid w:val="00850FB4"/>
    <w:rsid w:val="00851359"/>
    <w:rsid w:val="00851552"/>
    <w:rsid w:val="00851BEF"/>
    <w:rsid w:val="00851F9A"/>
    <w:rsid w:val="00852710"/>
    <w:rsid w:val="008529F2"/>
    <w:rsid w:val="00852A25"/>
    <w:rsid w:val="00852A38"/>
    <w:rsid w:val="00852DC3"/>
    <w:rsid w:val="00852E07"/>
    <w:rsid w:val="00853178"/>
    <w:rsid w:val="008539AD"/>
    <w:rsid w:val="00853A69"/>
    <w:rsid w:val="00853F64"/>
    <w:rsid w:val="0085445F"/>
    <w:rsid w:val="0085463B"/>
    <w:rsid w:val="00854952"/>
    <w:rsid w:val="00855163"/>
    <w:rsid w:val="0085574D"/>
    <w:rsid w:val="00856F00"/>
    <w:rsid w:val="0085736E"/>
    <w:rsid w:val="0085758F"/>
    <w:rsid w:val="008575B5"/>
    <w:rsid w:val="00860063"/>
    <w:rsid w:val="008601BB"/>
    <w:rsid w:val="008603D4"/>
    <w:rsid w:val="00860C4A"/>
    <w:rsid w:val="00861396"/>
    <w:rsid w:val="0086195D"/>
    <w:rsid w:val="00861B2E"/>
    <w:rsid w:val="00861E78"/>
    <w:rsid w:val="00862008"/>
    <w:rsid w:val="008625F9"/>
    <w:rsid w:val="00863980"/>
    <w:rsid w:val="00863A85"/>
    <w:rsid w:val="00863AE2"/>
    <w:rsid w:val="0086497C"/>
    <w:rsid w:val="00864C0B"/>
    <w:rsid w:val="00864CBF"/>
    <w:rsid w:val="008654EB"/>
    <w:rsid w:val="00865872"/>
    <w:rsid w:val="00865EA7"/>
    <w:rsid w:val="00866112"/>
    <w:rsid w:val="00866377"/>
    <w:rsid w:val="0086664A"/>
    <w:rsid w:val="008668EE"/>
    <w:rsid w:val="00866B21"/>
    <w:rsid w:val="00867D6B"/>
    <w:rsid w:val="00867FB0"/>
    <w:rsid w:val="008701DB"/>
    <w:rsid w:val="008708FA"/>
    <w:rsid w:val="00870EC0"/>
    <w:rsid w:val="00870ECF"/>
    <w:rsid w:val="008714E3"/>
    <w:rsid w:val="00871B2C"/>
    <w:rsid w:val="00871BA9"/>
    <w:rsid w:val="00871ED4"/>
    <w:rsid w:val="008720A9"/>
    <w:rsid w:val="00872C3B"/>
    <w:rsid w:val="00872F6B"/>
    <w:rsid w:val="00873A62"/>
    <w:rsid w:val="00873A91"/>
    <w:rsid w:val="00874A12"/>
    <w:rsid w:val="00874B5B"/>
    <w:rsid w:val="00875278"/>
    <w:rsid w:val="0087555D"/>
    <w:rsid w:val="008758A2"/>
    <w:rsid w:val="00875C7D"/>
    <w:rsid w:val="00876196"/>
    <w:rsid w:val="00876F10"/>
    <w:rsid w:val="008775D4"/>
    <w:rsid w:val="008775F2"/>
    <w:rsid w:val="00877760"/>
    <w:rsid w:val="008778A5"/>
    <w:rsid w:val="00880787"/>
    <w:rsid w:val="008808F8"/>
    <w:rsid w:val="00880925"/>
    <w:rsid w:val="00880E44"/>
    <w:rsid w:val="00881386"/>
    <w:rsid w:val="00881527"/>
    <w:rsid w:val="008818E9"/>
    <w:rsid w:val="00881CD7"/>
    <w:rsid w:val="00881F17"/>
    <w:rsid w:val="00881F6D"/>
    <w:rsid w:val="00883588"/>
    <w:rsid w:val="00883FCA"/>
    <w:rsid w:val="008846FA"/>
    <w:rsid w:val="008848A9"/>
    <w:rsid w:val="00884E72"/>
    <w:rsid w:val="008850DC"/>
    <w:rsid w:val="0088571E"/>
    <w:rsid w:val="00886D70"/>
    <w:rsid w:val="00887C50"/>
    <w:rsid w:val="00887FC3"/>
    <w:rsid w:val="0089094D"/>
    <w:rsid w:val="00890B7A"/>
    <w:rsid w:val="00890D41"/>
    <w:rsid w:val="00890D71"/>
    <w:rsid w:val="008910D9"/>
    <w:rsid w:val="008911B0"/>
    <w:rsid w:val="008917C8"/>
    <w:rsid w:val="00892262"/>
    <w:rsid w:val="00892651"/>
    <w:rsid w:val="00892FE4"/>
    <w:rsid w:val="008934DA"/>
    <w:rsid w:val="008941EB"/>
    <w:rsid w:val="0089472A"/>
    <w:rsid w:val="0089598A"/>
    <w:rsid w:val="00895A16"/>
    <w:rsid w:val="00895B9B"/>
    <w:rsid w:val="00896242"/>
    <w:rsid w:val="00896EB0"/>
    <w:rsid w:val="0089714D"/>
    <w:rsid w:val="00897712"/>
    <w:rsid w:val="00897BAE"/>
    <w:rsid w:val="008A0113"/>
    <w:rsid w:val="008A0546"/>
    <w:rsid w:val="008A092C"/>
    <w:rsid w:val="008A098D"/>
    <w:rsid w:val="008A0C0D"/>
    <w:rsid w:val="008A0C81"/>
    <w:rsid w:val="008A0DB2"/>
    <w:rsid w:val="008A1651"/>
    <w:rsid w:val="008A1DEE"/>
    <w:rsid w:val="008A212B"/>
    <w:rsid w:val="008A2417"/>
    <w:rsid w:val="008A29AC"/>
    <w:rsid w:val="008A2FB9"/>
    <w:rsid w:val="008A3310"/>
    <w:rsid w:val="008A3569"/>
    <w:rsid w:val="008A37F8"/>
    <w:rsid w:val="008A3D4C"/>
    <w:rsid w:val="008A4846"/>
    <w:rsid w:val="008A4C2B"/>
    <w:rsid w:val="008A4CCF"/>
    <w:rsid w:val="008A4DBB"/>
    <w:rsid w:val="008A5639"/>
    <w:rsid w:val="008A56DC"/>
    <w:rsid w:val="008A5BF8"/>
    <w:rsid w:val="008A5DE3"/>
    <w:rsid w:val="008A6021"/>
    <w:rsid w:val="008A606E"/>
    <w:rsid w:val="008A6097"/>
    <w:rsid w:val="008A64E0"/>
    <w:rsid w:val="008A68B3"/>
    <w:rsid w:val="008A6FAE"/>
    <w:rsid w:val="008A7E19"/>
    <w:rsid w:val="008A7F3C"/>
    <w:rsid w:val="008B01A2"/>
    <w:rsid w:val="008B0597"/>
    <w:rsid w:val="008B0668"/>
    <w:rsid w:val="008B1002"/>
    <w:rsid w:val="008B1063"/>
    <w:rsid w:val="008B11EA"/>
    <w:rsid w:val="008B179E"/>
    <w:rsid w:val="008B1894"/>
    <w:rsid w:val="008B1BC9"/>
    <w:rsid w:val="008B2201"/>
    <w:rsid w:val="008B22CF"/>
    <w:rsid w:val="008B288B"/>
    <w:rsid w:val="008B316B"/>
    <w:rsid w:val="008B3A3D"/>
    <w:rsid w:val="008B43C3"/>
    <w:rsid w:val="008B48DA"/>
    <w:rsid w:val="008B5390"/>
    <w:rsid w:val="008B5392"/>
    <w:rsid w:val="008B5A82"/>
    <w:rsid w:val="008B6056"/>
    <w:rsid w:val="008B63F2"/>
    <w:rsid w:val="008B68BD"/>
    <w:rsid w:val="008B70A3"/>
    <w:rsid w:val="008B732F"/>
    <w:rsid w:val="008B78BC"/>
    <w:rsid w:val="008B7952"/>
    <w:rsid w:val="008C01D3"/>
    <w:rsid w:val="008C02A3"/>
    <w:rsid w:val="008C0961"/>
    <w:rsid w:val="008C0B4C"/>
    <w:rsid w:val="008C0B67"/>
    <w:rsid w:val="008C15DB"/>
    <w:rsid w:val="008C1740"/>
    <w:rsid w:val="008C19EE"/>
    <w:rsid w:val="008C2590"/>
    <w:rsid w:val="008C25B4"/>
    <w:rsid w:val="008C2AC0"/>
    <w:rsid w:val="008C3075"/>
    <w:rsid w:val="008C3547"/>
    <w:rsid w:val="008C3984"/>
    <w:rsid w:val="008C4029"/>
    <w:rsid w:val="008C4311"/>
    <w:rsid w:val="008C4396"/>
    <w:rsid w:val="008C494C"/>
    <w:rsid w:val="008C4CC3"/>
    <w:rsid w:val="008C4CC9"/>
    <w:rsid w:val="008C50D0"/>
    <w:rsid w:val="008C531C"/>
    <w:rsid w:val="008C5CFC"/>
    <w:rsid w:val="008C600C"/>
    <w:rsid w:val="008C6112"/>
    <w:rsid w:val="008C63B8"/>
    <w:rsid w:val="008C643C"/>
    <w:rsid w:val="008C706B"/>
    <w:rsid w:val="008C73DB"/>
    <w:rsid w:val="008C7B13"/>
    <w:rsid w:val="008D0CD4"/>
    <w:rsid w:val="008D13F4"/>
    <w:rsid w:val="008D143F"/>
    <w:rsid w:val="008D1806"/>
    <w:rsid w:val="008D18C6"/>
    <w:rsid w:val="008D1F60"/>
    <w:rsid w:val="008D2299"/>
    <w:rsid w:val="008D229F"/>
    <w:rsid w:val="008D2332"/>
    <w:rsid w:val="008D3485"/>
    <w:rsid w:val="008D367A"/>
    <w:rsid w:val="008D3A8B"/>
    <w:rsid w:val="008D428C"/>
    <w:rsid w:val="008D502E"/>
    <w:rsid w:val="008D5593"/>
    <w:rsid w:val="008D5BAA"/>
    <w:rsid w:val="008D5F43"/>
    <w:rsid w:val="008D6367"/>
    <w:rsid w:val="008D671D"/>
    <w:rsid w:val="008D6A8B"/>
    <w:rsid w:val="008D7559"/>
    <w:rsid w:val="008D76DB"/>
    <w:rsid w:val="008D773D"/>
    <w:rsid w:val="008D7952"/>
    <w:rsid w:val="008D7E25"/>
    <w:rsid w:val="008D7F9A"/>
    <w:rsid w:val="008E09FC"/>
    <w:rsid w:val="008E0EEC"/>
    <w:rsid w:val="008E15EF"/>
    <w:rsid w:val="008E1E08"/>
    <w:rsid w:val="008E2146"/>
    <w:rsid w:val="008E21F3"/>
    <w:rsid w:val="008E2238"/>
    <w:rsid w:val="008E23FA"/>
    <w:rsid w:val="008E24A6"/>
    <w:rsid w:val="008E2535"/>
    <w:rsid w:val="008E2C03"/>
    <w:rsid w:val="008E2E46"/>
    <w:rsid w:val="008E31BD"/>
    <w:rsid w:val="008E342C"/>
    <w:rsid w:val="008E351C"/>
    <w:rsid w:val="008E3BA3"/>
    <w:rsid w:val="008E415F"/>
    <w:rsid w:val="008E41D9"/>
    <w:rsid w:val="008E442F"/>
    <w:rsid w:val="008E45C4"/>
    <w:rsid w:val="008E461E"/>
    <w:rsid w:val="008E5051"/>
    <w:rsid w:val="008E5263"/>
    <w:rsid w:val="008E5466"/>
    <w:rsid w:val="008E58CE"/>
    <w:rsid w:val="008E5B13"/>
    <w:rsid w:val="008E614A"/>
    <w:rsid w:val="008E61FB"/>
    <w:rsid w:val="008E699E"/>
    <w:rsid w:val="008E7003"/>
    <w:rsid w:val="008F0011"/>
    <w:rsid w:val="008F0202"/>
    <w:rsid w:val="008F02B0"/>
    <w:rsid w:val="008F03FC"/>
    <w:rsid w:val="008F045C"/>
    <w:rsid w:val="008F04B3"/>
    <w:rsid w:val="008F0850"/>
    <w:rsid w:val="008F0BF3"/>
    <w:rsid w:val="008F0E42"/>
    <w:rsid w:val="008F109F"/>
    <w:rsid w:val="008F19EA"/>
    <w:rsid w:val="008F1AAA"/>
    <w:rsid w:val="008F2810"/>
    <w:rsid w:val="008F28D2"/>
    <w:rsid w:val="008F2B2F"/>
    <w:rsid w:val="008F2CDB"/>
    <w:rsid w:val="008F3B71"/>
    <w:rsid w:val="008F4323"/>
    <w:rsid w:val="008F43E9"/>
    <w:rsid w:val="008F4BFD"/>
    <w:rsid w:val="008F4F34"/>
    <w:rsid w:val="008F5590"/>
    <w:rsid w:val="008F5732"/>
    <w:rsid w:val="008F5785"/>
    <w:rsid w:val="008F594F"/>
    <w:rsid w:val="008F5B14"/>
    <w:rsid w:val="008F5BCA"/>
    <w:rsid w:val="008F60FA"/>
    <w:rsid w:val="008F6241"/>
    <w:rsid w:val="008F6361"/>
    <w:rsid w:val="008F65C7"/>
    <w:rsid w:val="008F6AB1"/>
    <w:rsid w:val="008F6CA6"/>
    <w:rsid w:val="008F70B4"/>
    <w:rsid w:val="008F7E10"/>
    <w:rsid w:val="00900500"/>
    <w:rsid w:val="00900541"/>
    <w:rsid w:val="009009FB"/>
    <w:rsid w:val="00900B8F"/>
    <w:rsid w:val="00901046"/>
    <w:rsid w:val="00901BFF"/>
    <w:rsid w:val="00901F0E"/>
    <w:rsid w:val="009038CD"/>
    <w:rsid w:val="00904D1F"/>
    <w:rsid w:val="00904F62"/>
    <w:rsid w:val="0090542B"/>
    <w:rsid w:val="00905A27"/>
    <w:rsid w:val="00905A70"/>
    <w:rsid w:val="00905D48"/>
    <w:rsid w:val="00905E0D"/>
    <w:rsid w:val="00905F4A"/>
    <w:rsid w:val="00906CAA"/>
    <w:rsid w:val="0090700D"/>
    <w:rsid w:val="00907234"/>
    <w:rsid w:val="009073CA"/>
    <w:rsid w:val="0091064D"/>
    <w:rsid w:val="00910951"/>
    <w:rsid w:val="009109FE"/>
    <w:rsid w:val="00910F91"/>
    <w:rsid w:val="009111F5"/>
    <w:rsid w:val="00911659"/>
    <w:rsid w:val="00911756"/>
    <w:rsid w:val="00911CAC"/>
    <w:rsid w:val="00912273"/>
    <w:rsid w:val="009122F0"/>
    <w:rsid w:val="00912882"/>
    <w:rsid w:val="009135DB"/>
    <w:rsid w:val="00913E59"/>
    <w:rsid w:val="0091425D"/>
    <w:rsid w:val="0091454D"/>
    <w:rsid w:val="00914AC0"/>
    <w:rsid w:val="00915007"/>
    <w:rsid w:val="009154A4"/>
    <w:rsid w:val="0091579D"/>
    <w:rsid w:val="009157A8"/>
    <w:rsid w:val="009158B4"/>
    <w:rsid w:val="0091681D"/>
    <w:rsid w:val="0091789C"/>
    <w:rsid w:val="00917924"/>
    <w:rsid w:val="00917C95"/>
    <w:rsid w:val="00920088"/>
    <w:rsid w:val="0092063B"/>
    <w:rsid w:val="0092069B"/>
    <w:rsid w:val="00920DAE"/>
    <w:rsid w:val="00920F12"/>
    <w:rsid w:val="00920F72"/>
    <w:rsid w:val="0092121A"/>
    <w:rsid w:val="00921650"/>
    <w:rsid w:val="00921CCD"/>
    <w:rsid w:val="00922291"/>
    <w:rsid w:val="00922640"/>
    <w:rsid w:val="00922C8F"/>
    <w:rsid w:val="00923906"/>
    <w:rsid w:val="00923980"/>
    <w:rsid w:val="00926371"/>
    <w:rsid w:val="00926690"/>
    <w:rsid w:val="00926E07"/>
    <w:rsid w:val="00930404"/>
    <w:rsid w:val="00930AFE"/>
    <w:rsid w:val="00930FFA"/>
    <w:rsid w:val="00931072"/>
    <w:rsid w:val="0093180E"/>
    <w:rsid w:val="00931E18"/>
    <w:rsid w:val="009323D1"/>
    <w:rsid w:val="00932639"/>
    <w:rsid w:val="009328E7"/>
    <w:rsid w:val="009328F5"/>
    <w:rsid w:val="00932C49"/>
    <w:rsid w:val="00932FDE"/>
    <w:rsid w:val="00933614"/>
    <w:rsid w:val="009336FF"/>
    <w:rsid w:val="00933C72"/>
    <w:rsid w:val="00933E85"/>
    <w:rsid w:val="00934151"/>
    <w:rsid w:val="0093433E"/>
    <w:rsid w:val="009343AE"/>
    <w:rsid w:val="0093453D"/>
    <w:rsid w:val="00934789"/>
    <w:rsid w:val="00934B49"/>
    <w:rsid w:val="00935081"/>
    <w:rsid w:val="00935756"/>
    <w:rsid w:val="00935AF9"/>
    <w:rsid w:val="00935DF5"/>
    <w:rsid w:val="0093655F"/>
    <w:rsid w:val="0093667E"/>
    <w:rsid w:val="00936D58"/>
    <w:rsid w:val="00937610"/>
    <w:rsid w:val="00937EF2"/>
    <w:rsid w:val="009401DC"/>
    <w:rsid w:val="0094056D"/>
    <w:rsid w:val="009408FB"/>
    <w:rsid w:val="009409CC"/>
    <w:rsid w:val="00940B90"/>
    <w:rsid w:val="0094167A"/>
    <w:rsid w:val="00941786"/>
    <w:rsid w:val="00941A81"/>
    <w:rsid w:val="00941FD4"/>
    <w:rsid w:val="00942029"/>
    <w:rsid w:val="0094293E"/>
    <w:rsid w:val="00942D4A"/>
    <w:rsid w:val="00942EE3"/>
    <w:rsid w:val="009431DA"/>
    <w:rsid w:val="009442CC"/>
    <w:rsid w:val="009445CA"/>
    <w:rsid w:val="00945530"/>
    <w:rsid w:val="00945CB4"/>
    <w:rsid w:val="00946377"/>
    <w:rsid w:val="00946532"/>
    <w:rsid w:val="00946752"/>
    <w:rsid w:val="00946F69"/>
    <w:rsid w:val="0094718A"/>
    <w:rsid w:val="00947303"/>
    <w:rsid w:val="00947464"/>
    <w:rsid w:val="00947F68"/>
    <w:rsid w:val="00950BC8"/>
    <w:rsid w:val="009510E2"/>
    <w:rsid w:val="0095125A"/>
    <w:rsid w:val="0095128D"/>
    <w:rsid w:val="009513C1"/>
    <w:rsid w:val="00951621"/>
    <w:rsid w:val="009519AA"/>
    <w:rsid w:val="009524B7"/>
    <w:rsid w:val="00952F47"/>
    <w:rsid w:val="00953C83"/>
    <w:rsid w:val="00953FAD"/>
    <w:rsid w:val="0095400D"/>
    <w:rsid w:val="0095441D"/>
    <w:rsid w:val="0095461D"/>
    <w:rsid w:val="00954C68"/>
    <w:rsid w:val="00955FB1"/>
    <w:rsid w:val="00956039"/>
    <w:rsid w:val="0095615D"/>
    <w:rsid w:val="00956208"/>
    <w:rsid w:val="00956892"/>
    <w:rsid w:val="009575D4"/>
    <w:rsid w:val="009579AA"/>
    <w:rsid w:val="00957B0C"/>
    <w:rsid w:val="00957C02"/>
    <w:rsid w:val="009603DC"/>
    <w:rsid w:val="0096041C"/>
    <w:rsid w:val="00960644"/>
    <w:rsid w:val="009611A5"/>
    <w:rsid w:val="00961698"/>
    <w:rsid w:val="009617DF"/>
    <w:rsid w:val="009618F1"/>
    <w:rsid w:val="00961C14"/>
    <w:rsid w:val="00961EB7"/>
    <w:rsid w:val="00962062"/>
    <w:rsid w:val="009627A2"/>
    <w:rsid w:val="00962BFA"/>
    <w:rsid w:val="00962CC2"/>
    <w:rsid w:val="009638BB"/>
    <w:rsid w:val="0096391C"/>
    <w:rsid w:val="00963B08"/>
    <w:rsid w:val="00964ADA"/>
    <w:rsid w:val="00964F64"/>
    <w:rsid w:val="00965D35"/>
    <w:rsid w:val="0096621B"/>
    <w:rsid w:val="00966637"/>
    <w:rsid w:val="00967067"/>
    <w:rsid w:val="009673FF"/>
    <w:rsid w:val="0096775F"/>
    <w:rsid w:val="0096780D"/>
    <w:rsid w:val="00967C2A"/>
    <w:rsid w:val="00970BFA"/>
    <w:rsid w:val="00970C1F"/>
    <w:rsid w:val="009714CE"/>
    <w:rsid w:val="00971B26"/>
    <w:rsid w:val="00972032"/>
    <w:rsid w:val="00972055"/>
    <w:rsid w:val="0097212D"/>
    <w:rsid w:val="009721A5"/>
    <w:rsid w:val="0097272A"/>
    <w:rsid w:val="009735AD"/>
    <w:rsid w:val="009736E5"/>
    <w:rsid w:val="00973D94"/>
    <w:rsid w:val="009741E9"/>
    <w:rsid w:val="009743F2"/>
    <w:rsid w:val="0097486D"/>
    <w:rsid w:val="00975127"/>
    <w:rsid w:val="00975AFC"/>
    <w:rsid w:val="00975F2A"/>
    <w:rsid w:val="00976156"/>
    <w:rsid w:val="0097678E"/>
    <w:rsid w:val="0097679B"/>
    <w:rsid w:val="00976B93"/>
    <w:rsid w:val="00976CC9"/>
    <w:rsid w:val="009771C8"/>
    <w:rsid w:val="00977291"/>
    <w:rsid w:val="00977568"/>
    <w:rsid w:val="00977D77"/>
    <w:rsid w:val="00980729"/>
    <w:rsid w:val="0098085F"/>
    <w:rsid w:val="009818F1"/>
    <w:rsid w:val="00981AB0"/>
    <w:rsid w:val="00981D51"/>
    <w:rsid w:val="0098250D"/>
    <w:rsid w:val="00982B86"/>
    <w:rsid w:val="0098343B"/>
    <w:rsid w:val="00983D2D"/>
    <w:rsid w:val="00984180"/>
    <w:rsid w:val="00984435"/>
    <w:rsid w:val="00984D02"/>
    <w:rsid w:val="00984D75"/>
    <w:rsid w:val="00984DD7"/>
    <w:rsid w:val="00985057"/>
    <w:rsid w:val="00985153"/>
    <w:rsid w:val="0098567E"/>
    <w:rsid w:val="00985E4A"/>
    <w:rsid w:val="0098600C"/>
    <w:rsid w:val="00986573"/>
    <w:rsid w:val="009872B9"/>
    <w:rsid w:val="0098771C"/>
    <w:rsid w:val="00987FDB"/>
    <w:rsid w:val="009901EF"/>
    <w:rsid w:val="00990452"/>
    <w:rsid w:val="00990C67"/>
    <w:rsid w:val="0099126E"/>
    <w:rsid w:val="009913D0"/>
    <w:rsid w:val="00992286"/>
    <w:rsid w:val="0099291A"/>
    <w:rsid w:val="00992A99"/>
    <w:rsid w:val="00992DC9"/>
    <w:rsid w:val="0099357C"/>
    <w:rsid w:val="009942BB"/>
    <w:rsid w:val="00994DC6"/>
    <w:rsid w:val="009953C9"/>
    <w:rsid w:val="00995FF5"/>
    <w:rsid w:val="00996165"/>
    <w:rsid w:val="009967D9"/>
    <w:rsid w:val="00996938"/>
    <w:rsid w:val="00996AFB"/>
    <w:rsid w:val="00996B15"/>
    <w:rsid w:val="00996C52"/>
    <w:rsid w:val="009974F1"/>
    <w:rsid w:val="009975DA"/>
    <w:rsid w:val="009A0648"/>
    <w:rsid w:val="009A0F78"/>
    <w:rsid w:val="009A1183"/>
    <w:rsid w:val="009A11B5"/>
    <w:rsid w:val="009A1A0E"/>
    <w:rsid w:val="009A2B40"/>
    <w:rsid w:val="009A2BA9"/>
    <w:rsid w:val="009A2EB3"/>
    <w:rsid w:val="009A3AFB"/>
    <w:rsid w:val="009A3DA6"/>
    <w:rsid w:val="009A4158"/>
    <w:rsid w:val="009A46FD"/>
    <w:rsid w:val="009A48B3"/>
    <w:rsid w:val="009A51B3"/>
    <w:rsid w:val="009A532C"/>
    <w:rsid w:val="009A550E"/>
    <w:rsid w:val="009A5660"/>
    <w:rsid w:val="009A58C8"/>
    <w:rsid w:val="009A5A47"/>
    <w:rsid w:val="009A5A60"/>
    <w:rsid w:val="009A5D8A"/>
    <w:rsid w:val="009A6744"/>
    <w:rsid w:val="009A7241"/>
    <w:rsid w:val="009A7257"/>
    <w:rsid w:val="009A7DE2"/>
    <w:rsid w:val="009B0568"/>
    <w:rsid w:val="009B0700"/>
    <w:rsid w:val="009B136B"/>
    <w:rsid w:val="009B186C"/>
    <w:rsid w:val="009B2A63"/>
    <w:rsid w:val="009B3408"/>
    <w:rsid w:val="009B3EA2"/>
    <w:rsid w:val="009B4203"/>
    <w:rsid w:val="009B42DA"/>
    <w:rsid w:val="009B4615"/>
    <w:rsid w:val="009B519B"/>
    <w:rsid w:val="009B5C64"/>
    <w:rsid w:val="009B5C8F"/>
    <w:rsid w:val="009B5F85"/>
    <w:rsid w:val="009B644B"/>
    <w:rsid w:val="009B68D9"/>
    <w:rsid w:val="009B7B5B"/>
    <w:rsid w:val="009B7CD9"/>
    <w:rsid w:val="009C013B"/>
    <w:rsid w:val="009C0963"/>
    <w:rsid w:val="009C0B9E"/>
    <w:rsid w:val="009C0C0C"/>
    <w:rsid w:val="009C14F1"/>
    <w:rsid w:val="009C15C2"/>
    <w:rsid w:val="009C1784"/>
    <w:rsid w:val="009C1845"/>
    <w:rsid w:val="009C1924"/>
    <w:rsid w:val="009C1CA6"/>
    <w:rsid w:val="009C1F8A"/>
    <w:rsid w:val="009C1FA1"/>
    <w:rsid w:val="009C2845"/>
    <w:rsid w:val="009C2E78"/>
    <w:rsid w:val="009C2F2B"/>
    <w:rsid w:val="009C31D2"/>
    <w:rsid w:val="009C3F2C"/>
    <w:rsid w:val="009C4E89"/>
    <w:rsid w:val="009C570B"/>
    <w:rsid w:val="009C57CE"/>
    <w:rsid w:val="009C5DFC"/>
    <w:rsid w:val="009C5E87"/>
    <w:rsid w:val="009C5EFD"/>
    <w:rsid w:val="009C61D7"/>
    <w:rsid w:val="009C6776"/>
    <w:rsid w:val="009C6ABF"/>
    <w:rsid w:val="009C7060"/>
    <w:rsid w:val="009C7F5B"/>
    <w:rsid w:val="009D0944"/>
    <w:rsid w:val="009D1035"/>
    <w:rsid w:val="009D1513"/>
    <w:rsid w:val="009D1A7C"/>
    <w:rsid w:val="009D1E8F"/>
    <w:rsid w:val="009D34B9"/>
    <w:rsid w:val="009D364E"/>
    <w:rsid w:val="009D3E59"/>
    <w:rsid w:val="009D40D9"/>
    <w:rsid w:val="009D4756"/>
    <w:rsid w:val="009D4B66"/>
    <w:rsid w:val="009D5553"/>
    <w:rsid w:val="009D56EB"/>
    <w:rsid w:val="009D573C"/>
    <w:rsid w:val="009D6143"/>
    <w:rsid w:val="009D6488"/>
    <w:rsid w:val="009D6783"/>
    <w:rsid w:val="009D7093"/>
    <w:rsid w:val="009D72F0"/>
    <w:rsid w:val="009D7774"/>
    <w:rsid w:val="009D7A0E"/>
    <w:rsid w:val="009D7B2F"/>
    <w:rsid w:val="009D7B87"/>
    <w:rsid w:val="009D7CF8"/>
    <w:rsid w:val="009E0E14"/>
    <w:rsid w:val="009E1124"/>
    <w:rsid w:val="009E1912"/>
    <w:rsid w:val="009E197C"/>
    <w:rsid w:val="009E2492"/>
    <w:rsid w:val="009E2C96"/>
    <w:rsid w:val="009E2DF7"/>
    <w:rsid w:val="009E2E7E"/>
    <w:rsid w:val="009E2F6B"/>
    <w:rsid w:val="009E31BE"/>
    <w:rsid w:val="009E3B8E"/>
    <w:rsid w:val="009E3C51"/>
    <w:rsid w:val="009E42BF"/>
    <w:rsid w:val="009E4ACC"/>
    <w:rsid w:val="009E4ED3"/>
    <w:rsid w:val="009E6720"/>
    <w:rsid w:val="009E6C1D"/>
    <w:rsid w:val="009E6CBE"/>
    <w:rsid w:val="009E6E9A"/>
    <w:rsid w:val="009E7186"/>
    <w:rsid w:val="009E785D"/>
    <w:rsid w:val="009E7B6A"/>
    <w:rsid w:val="009E7FA4"/>
    <w:rsid w:val="009F009B"/>
    <w:rsid w:val="009F01C5"/>
    <w:rsid w:val="009F0B44"/>
    <w:rsid w:val="009F16EE"/>
    <w:rsid w:val="009F1C42"/>
    <w:rsid w:val="009F1DFC"/>
    <w:rsid w:val="009F220E"/>
    <w:rsid w:val="009F2E8E"/>
    <w:rsid w:val="009F341A"/>
    <w:rsid w:val="009F3ED7"/>
    <w:rsid w:val="009F4025"/>
    <w:rsid w:val="009F4441"/>
    <w:rsid w:val="009F444F"/>
    <w:rsid w:val="009F4622"/>
    <w:rsid w:val="009F4727"/>
    <w:rsid w:val="009F4932"/>
    <w:rsid w:val="009F4D27"/>
    <w:rsid w:val="009F4DDD"/>
    <w:rsid w:val="009F4ECF"/>
    <w:rsid w:val="009F4FD1"/>
    <w:rsid w:val="009F559B"/>
    <w:rsid w:val="009F563E"/>
    <w:rsid w:val="009F66CF"/>
    <w:rsid w:val="009F7A00"/>
    <w:rsid w:val="009F7F50"/>
    <w:rsid w:val="00A004ED"/>
    <w:rsid w:val="00A009D6"/>
    <w:rsid w:val="00A00AC0"/>
    <w:rsid w:val="00A0112D"/>
    <w:rsid w:val="00A01637"/>
    <w:rsid w:val="00A02370"/>
    <w:rsid w:val="00A02DF9"/>
    <w:rsid w:val="00A03958"/>
    <w:rsid w:val="00A03DD8"/>
    <w:rsid w:val="00A03E56"/>
    <w:rsid w:val="00A03F45"/>
    <w:rsid w:val="00A04236"/>
    <w:rsid w:val="00A04AC3"/>
    <w:rsid w:val="00A04B15"/>
    <w:rsid w:val="00A0550F"/>
    <w:rsid w:val="00A05A5A"/>
    <w:rsid w:val="00A05D2C"/>
    <w:rsid w:val="00A05DFF"/>
    <w:rsid w:val="00A062A3"/>
    <w:rsid w:val="00A06744"/>
    <w:rsid w:val="00A076FD"/>
    <w:rsid w:val="00A07B64"/>
    <w:rsid w:val="00A07D6B"/>
    <w:rsid w:val="00A106B6"/>
    <w:rsid w:val="00A10A07"/>
    <w:rsid w:val="00A10B11"/>
    <w:rsid w:val="00A10D40"/>
    <w:rsid w:val="00A117E0"/>
    <w:rsid w:val="00A1187B"/>
    <w:rsid w:val="00A11DB4"/>
    <w:rsid w:val="00A120DE"/>
    <w:rsid w:val="00A1225C"/>
    <w:rsid w:val="00A1225D"/>
    <w:rsid w:val="00A13698"/>
    <w:rsid w:val="00A139E7"/>
    <w:rsid w:val="00A13F38"/>
    <w:rsid w:val="00A140C9"/>
    <w:rsid w:val="00A140E0"/>
    <w:rsid w:val="00A14115"/>
    <w:rsid w:val="00A14529"/>
    <w:rsid w:val="00A14759"/>
    <w:rsid w:val="00A149CB"/>
    <w:rsid w:val="00A14C30"/>
    <w:rsid w:val="00A14C93"/>
    <w:rsid w:val="00A154F1"/>
    <w:rsid w:val="00A1577C"/>
    <w:rsid w:val="00A157E1"/>
    <w:rsid w:val="00A16221"/>
    <w:rsid w:val="00A165FA"/>
    <w:rsid w:val="00A167D4"/>
    <w:rsid w:val="00A16968"/>
    <w:rsid w:val="00A169A3"/>
    <w:rsid w:val="00A1762D"/>
    <w:rsid w:val="00A2021C"/>
    <w:rsid w:val="00A20543"/>
    <w:rsid w:val="00A20562"/>
    <w:rsid w:val="00A2068F"/>
    <w:rsid w:val="00A206F9"/>
    <w:rsid w:val="00A20EED"/>
    <w:rsid w:val="00A211D6"/>
    <w:rsid w:val="00A21EF0"/>
    <w:rsid w:val="00A2226B"/>
    <w:rsid w:val="00A2313E"/>
    <w:rsid w:val="00A23875"/>
    <w:rsid w:val="00A2436C"/>
    <w:rsid w:val="00A24AD1"/>
    <w:rsid w:val="00A24E07"/>
    <w:rsid w:val="00A25302"/>
    <w:rsid w:val="00A2555A"/>
    <w:rsid w:val="00A2578C"/>
    <w:rsid w:val="00A26175"/>
    <w:rsid w:val="00A264DD"/>
    <w:rsid w:val="00A2675B"/>
    <w:rsid w:val="00A276A9"/>
    <w:rsid w:val="00A276F9"/>
    <w:rsid w:val="00A278E2"/>
    <w:rsid w:val="00A27A6C"/>
    <w:rsid w:val="00A27EFC"/>
    <w:rsid w:val="00A27FD6"/>
    <w:rsid w:val="00A30C9A"/>
    <w:rsid w:val="00A30DE0"/>
    <w:rsid w:val="00A3128A"/>
    <w:rsid w:val="00A325BD"/>
    <w:rsid w:val="00A32852"/>
    <w:rsid w:val="00A3296A"/>
    <w:rsid w:val="00A33534"/>
    <w:rsid w:val="00A33BA9"/>
    <w:rsid w:val="00A33F95"/>
    <w:rsid w:val="00A3531B"/>
    <w:rsid w:val="00A3586C"/>
    <w:rsid w:val="00A35E91"/>
    <w:rsid w:val="00A35F19"/>
    <w:rsid w:val="00A36CAE"/>
    <w:rsid w:val="00A37123"/>
    <w:rsid w:val="00A37522"/>
    <w:rsid w:val="00A376C2"/>
    <w:rsid w:val="00A37E75"/>
    <w:rsid w:val="00A40481"/>
    <w:rsid w:val="00A40AA7"/>
    <w:rsid w:val="00A40C29"/>
    <w:rsid w:val="00A41380"/>
    <w:rsid w:val="00A41AE1"/>
    <w:rsid w:val="00A41C69"/>
    <w:rsid w:val="00A42184"/>
    <w:rsid w:val="00A42573"/>
    <w:rsid w:val="00A425AC"/>
    <w:rsid w:val="00A42772"/>
    <w:rsid w:val="00A427A3"/>
    <w:rsid w:val="00A430A8"/>
    <w:rsid w:val="00A4315D"/>
    <w:rsid w:val="00A439E1"/>
    <w:rsid w:val="00A43E73"/>
    <w:rsid w:val="00A4483C"/>
    <w:rsid w:val="00A44A49"/>
    <w:rsid w:val="00A44AC4"/>
    <w:rsid w:val="00A44D11"/>
    <w:rsid w:val="00A45531"/>
    <w:rsid w:val="00A45956"/>
    <w:rsid w:val="00A465E3"/>
    <w:rsid w:val="00A46846"/>
    <w:rsid w:val="00A46CB7"/>
    <w:rsid w:val="00A47C38"/>
    <w:rsid w:val="00A47EB2"/>
    <w:rsid w:val="00A509C1"/>
    <w:rsid w:val="00A511FB"/>
    <w:rsid w:val="00A51532"/>
    <w:rsid w:val="00A5170B"/>
    <w:rsid w:val="00A51792"/>
    <w:rsid w:val="00A51DC4"/>
    <w:rsid w:val="00A52666"/>
    <w:rsid w:val="00A52841"/>
    <w:rsid w:val="00A5345A"/>
    <w:rsid w:val="00A53988"/>
    <w:rsid w:val="00A53E30"/>
    <w:rsid w:val="00A541C7"/>
    <w:rsid w:val="00A544BF"/>
    <w:rsid w:val="00A544D8"/>
    <w:rsid w:val="00A54F63"/>
    <w:rsid w:val="00A556F7"/>
    <w:rsid w:val="00A5655B"/>
    <w:rsid w:val="00A56CEA"/>
    <w:rsid w:val="00A577FD"/>
    <w:rsid w:val="00A60725"/>
    <w:rsid w:val="00A60811"/>
    <w:rsid w:val="00A60BD6"/>
    <w:rsid w:val="00A61A97"/>
    <w:rsid w:val="00A61ABC"/>
    <w:rsid w:val="00A61E99"/>
    <w:rsid w:val="00A62D41"/>
    <w:rsid w:val="00A647CE"/>
    <w:rsid w:val="00A647FF"/>
    <w:rsid w:val="00A65C0B"/>
    <w:rsid w:val="00A65C1F"/>
    <w:rsid w:val="00A66133"/>
    <w:rsid w:val="00A663F5"/>
    <w:rsid w:val="00A66BB8"/>
    <w:rsid w:val="00A67057"/>
    <w:rsid w:val="00A6712E"/>
    <w:rsid w:val="00A67239"/>
    <w:rsid w:val="00A704EE"/>
    <w:rsid w:val="00A70A94"/>
    <w:rsid w:val="00A713C9"/>
    <w:rsid w:val="00A722F1"/>
    <w:rsid w:val="00A73D22"/>
    <w:rsid w:val="00A73D54"/>
    <w:rsid w:val="00A73F5B"/>
    <w:rsid w:val="00A742FC"/>
    <w:rsid w:val="00A74608"/>
    <w:rsid w:val="00A74B24"/>
    <w:rsid w:val="00A75160"/>
    <w:rsid w:val="00A75454"/>
    <w:rsid w:val="00A756A6"/>
    <w:rsid w:val="00A75CCA"/>
    <w:rsid w:val="00A7602B"/>
    <w:rsid w:val="00A7604C"/>
    <w:rsid w:val="00A763A9"/>
    <w:rsid w:val="00A769DC"/>
    <w:rsid w:val="00A76E03"/>
    <w:rsid w:val="00A7728C"/>
    <w:rsid w:val="00A7768F"/>
    <w:rsid w:val="00A778A4"/>
    <w:rsid w:val="00A77D37"/>
    <w:rsid w:val="00A77EBA"/>
    <w:rsid w:val="00A77EEF"/>
    <w:rsid w:val="00A80678"/>
    <w:rsid w:val="00A80FAF"/>
    <w:rsid w:val="00A8181C"/>
    <w:rsid w:val="00A818F8"/>
    <w:rsid w:val="00A8202B"/>
    <w:rsid w:val="00A82560"/>
    <w:rsid w:val="00A82690"/>
    <w:rsid w:val="00A827A8"/>
    <w:rsid w:val="00A830D3"/>
    <w:rsid w:val="00A83315"/>
    <w:rsid w:val="00A83927"/>
    <w:rsid w:val="00A83F31"/>
    <w:rsid w:val="00A84C4B"/>
    <w:rsid w:val="00A8500F"/>
    <w:rsid w:val="00A853D3"/>
    <w:rsid w:val="00A85B3E"/>
    <w:rsid w:val="00A85D07"/>
    <w:rsid w:val="00A85F6F"/>
    <w:rsid w:val="00A85FC0"/>
    <w:rsid w:val="00A86060"/>
    <w:rsid w:val="00A86062"/>
    <w:rsid w:val="00A8680C"/>
    <w:rsid w:val="00A8690C"/>
    <w:rsid w:val="00A86D8E"/>
    <w:rsid w:val="00A879F5"/>
    <w:rsid w:val="00A87A3A"/>
    <w:rsid w:val="00A87CF7"/>
    <w:rsid w:val="00A9001C"/>
    <w:rsid w:val="00A9113A"/>
    <w:rsid w:val="00A912B9"/>
    <w:rsid w:val="00A92170"/>
    <w:rsid w:val="00A92599"/>
    <w:rsid w:val="00A92BB7"/>
    <w:rsid w:val="00A92C53"/>
    <w:rsid w:val="00A92CE2"/>
    <w:rsid w:val="00A92D8D"/>
    <w:rsid w:val="00A93014"/>
    <w:rsid w:val="00A93227"/>
    <w:rsid w:val="00A93301"/>
    <w:rsid w:val="00A934CE"/>
    <w:rsid w:val="00A93A83"/>
    <w:rsid w:val="00A93DDC"/>
    <w:rsid w:val="00A93E45"/>
    <w:rsid w:val="00A93F07"/>
    <w:rsid w:val="00A94318"/>
    <w:rsid w:val="00A94402"/>
    <w:rsid w:val="00A94629"/>
    <w:rsid w:val="00A94CD9"/>
    <w:rsid w:val="00A94D5D"/>
    <w:rsid w:val="00A9510C"/>
    <w:rsid w:val="00A95C73"/>
    <w:rsid w:val="00A95D36"/>
    <w:rsid w:val="00A961F0"/>
    <w:rsid w:val="00A96672"/>
    <w:rsid w:val="00A969DC"/>
    <w:rsid w:val="00A9717E"/>
    <w:rsid w:val="00A975BA"/>
    <w:rsid w:val="00A977F1"/>
    <w:rsid w:val="00A97826"/>
    <w:rsid w:val="00A9A104"/>
    <w:rsid w:val="00AA06EC"/>
    <w:rsid w:val="00AA093E"/>
    <w:rsid w:val="00AA1311"/>
    <w:rsid w:val="00AA23C3"/>
    <w:rsid w:val="00AA31C7"/>
    <w:rsid w:val="00AA3C31"/>
    <w:rsid w:val="00AA3E6D"/>
    <w:rsid w:val="00AA3F4A"/>
    <w:rsid w:val="00AA4139"/>
    <w:rsid w:val="00AA478F"/>
    <w:rsid w:val="00AA4EFC"/>
    <w:rsid w:val="00AA4FBB"/>
    <w:rsid w:val="00AA50E7"/>
    <w:rsid w:val="00AA5483"/>
    <w:rsid w:val="00AA62DB"/>
    <w:rsid w:val="00AA638D"/>
    <w:rsid w:val="00AA63A6"/>
    <w:rsid w:val="00AA6807"/>
    <w:rsid w:val="00AA6958"/>
    <w:rsid w:val="00AA766D"/>
    <w:rsid w:val="00AA7748"/>
    <w:rsid w:val="00AA7A44"/>
    <w:rsid w:val="00AA7BE7"/>
    <w:rsid w:val="00AA7C0F"/>
    <w:rsid w:val="00AA7E9A"/>
    <w:rsid w:val="00AA7EC0"/>
    <w:rsid w:val="00AA7F6A"/>
    <w:rsid w:val="00AB0D7D"/>
    <w:rsid w:val="00AB1BC1"/>
    <w:rsid w:val="00AB243E"/>
    <w:rsid w:val="00AB2566"/>
    <w:rsid w:val="00AB2892"/>
    <w:rsid w:val="00AB28DD"/>
    <w:rsid w:val="00AB29F8"/>
    <w:rsid w:val="00AB2D7B"/>
    <w:rsid w:val="00AB2F3A"/>
    <w:rsid w:val="00AB3890"/>
    <w:rsid w:val="00AB396F"/>
    <w:rsid w:val="00AB3C15"/>
    <w:rsid w:val="00AB3E8F"/>
    <w:rsid w:val="00AB42F6"/>
    <w:rsid w:val="00AB4EE7"/>
    <w:rsid w:val="00AB52B3"/>
    <w:rsid w:val="00AB6218"/>
    <w:rsid w:val="00AB629C"/>
    <w:rsid w:val="00AB6614"/>
    <w:rsid w:val="00AB6A80"/>
    <w:rsid w:val="00AB6D10"/>
    <w:rsid w:val="00AB70DB"/>
    <w:rsid w:val="00AB70E2"/>
    <w:rsid w:val="00AB7276"/>
    <w:rsid w:val="00AB72C1"/>
    <w:rsid w:val="00AB739E"/>
    <w:rsid w:val="00AB74A4"/>
    <w:rsid w:val="00AB7B67"/>
    <w:rsid w:val="00AC002D"/>
    <w:rsid w:val="00AC035E"/>
    <w:rsid w:val="00AC04BA"/>
    <w:rsid w:val="00AC0651"/>
    <w:rsid w:val="00AC0A1A"/>
    <w:rsid w:val="00AC0D5C"/>
    <w:rsid w:val="00AC0D86"/>
    <w:rsid w:val="00AC158B"/>
    <w:rsid w:val="00AC189D"/>
    <w:rsid w:val="00AC1A01"/>
    <w:rsid w:val="00AC1C16"/>
    <w:rsid w:val="00AC1F87"/>
    <w:rsid w:val="00AC2067"/>
    <w:rsid w:val="00AC20EF"/>
    <w:rsid w:val="00AC36B7"/>
    <w:rsid w:val="00AC378E"/>
    <w:rsid w:val="00AC3C60"/>
    <w:rsid w:val="00AC4078"/>
    <w:rsid w:val="00AC40C0"/>
    <w:rsid w:val="00AC4911"/>
    <w:rsid w:val="00AC4CAA"/>
    <w:rsid w:val="00AC5132"/>
    <w:rsid w:val="00AC5254"/>
    <w:rsid w:val="00AC53FD"/>
    <w:rsid w:val="00AC5768"/>
    <w:rsid w:val="00AC5883"/>
    <w:rsid w:val="00AC592B"/>
    <w:rsid w:val="00AC5A7A"/>
    <w:rsid w:val="00AC5B2F"/>
    <w:rsid w:val="00AC5F2D"/>
    <w:rsid w:val="00AC6048"/>
    <w:rsid w:val="00AC631F"/>
    <w:rsid w:val="00AC6336"/>
    <w:rsid w:val="00AC64C0"/>
    <w:rsid w:val="00AC6D2F"/>
    <w:rsid w:val="00AC6EEE"/>
    <w:rsid w:val="00AC75DB"/>
    <w:rsid w:val="00AC76B3"/>
    <w:rsid w:val="00AD0359"/>
    <w:rsid w:val="00AD03C3"/>
    <w:rsid w:val="00AD0605"/>
    <w:rsid w:val="00AD0BE9"/>
    <w:rsid w:val="00AD15B4"/>
    <w:rsid w:val="00AD226B"/>
    <w:rsid w:val="00AD29FB"/>
    <w:rsid w:val="00AD2BAF"/>
    <w:rsid w:val="00AD3CAA"/>
    <w:rsid w:val="00AD3CAC"/>
    <w:rsid w:val="00AD435F"/>
    <w:rsid w:val="00AD47E6"/>
    <w:rsid w:val="00AD4F4E"/>
    <w:rsid w:val="00AD5BAC"/>
    <w:rsid w:val="00AD6272"/>
    <w:rsid w:val="00AD69A8"/>
    <w:rsid w:val="00AD723E"/>
    <w:rsid w:val="00AD7463"/>
    <w:rsid w:val="00AD7877"/>
    <w:rsid w:val="00AD7FE9"/>
    <w:rsid w:val="00AE054F"/>
    <w:rsid w:val="00AE159E"/>
    <w:rsid w:val="00AE189D"/>
    <w:rsid w:val="00AE1AC7"/>
    <w:rsid w:val="00AE262B"/>
    <w:rsid w:val="00AE26EC"/>
    <w:rsid w:val="00AE27F3"/>
    <w:rsid w:val="00AE2F51"/>
    <w:rsid w:val="00AE32A1"/>
    <w:rsid w:val="00AE3799"/>
    <w:rsid w:val="00AE390E"/>
    <w:rsid w:val="00AE3F63"/>
    <w:rsid w:val="00AE441E"/>
    <w:rsid w:val="00AE4CF4"/>
    <w:rsid w:val="00AE5C4B"/>
    <w:rsid w:val="00AE5C6A"/>
    <w:rsid w:val="00AE5CB4"/>
    <w:rsid w:val="00AE60F5"/>
    <w:rsid w:val="00AE6FA2"/>
    <w:rsid w:val="00AE70AA"/>
    <w:rsid w:val="00AE7402"/>
    <w:rsid w:val="00AE75EE"/>
    <w:rsid w:val="00AE799B"/>
    <w:rsid w:val="00AE7C50"/>
    <w:rsid w:val="00AF002D"/>
    <w:rsid w:val="00AF0243"/>
    <w:rsid w:val="00AF081B"/>
    <w:rsid w:val="00AF0AAF"/>
    <w:rsid w:val="00AF11CA"/>
    <w:rsid w:val="00AF1E1E"/>
    <w:rsid w:val="00AF1F77"/>
    <w:rsid w:val="00AF214B"/>
    <w:rsid w:val="00AF230E"/>
    <w:rsid w:val="00AF2794"/>
    <w:rsid w:val="00AF279B"/>
    <w:rsid w:val="00AF296E"/>
    <w:rsid w:val="00AF3E01"/>
    <w:rsid w:val="00AF4280"/>
    <w:rsid w:val="00AF4383"/>
    <w:rsid w:val="00AF4623"/>
    <w:rsid w:val="00AF47FE"/>
    <w:rsid w:val="00AF4B7D"/>
    <w:rsid w:val="00AF4C8D"/>
    <w:rsid w:val="00AF5064"/>
    <w:rsid w:val="00AF50F2"/>
    <w:rsid w:val="00AF5167"/>
    <w:rsid w:val="00AF5855"/>
    <w:rsid w:val="00AF5910"/>
    <w:rsid w:val="00AF62BB"/>
    <w:rsid w:val="00AF634A"/>
    <w:rsid w:val="00AF691B"/>
    <w:rsid w:val="00AF6A88"/>
    <w:rsid w:val="00AF6B0E"/>
    <w:rsid w:val="00AF6C18"/>
    <w:rsid w:val="00AF6C19"/>
    <w:rsid w:val="00AF6EF4"/>
    <w:rsid w:val="00AF7712"/>
    <w:rsid w:val="00AF7AAE"/>
    <w:rsid w:val="00B001B7"/>
    <w:rsid w:val="00B00BCE"/>
    <w:rsid w:val="00B00CE5"/>
    <w:rsid w:val="00B0116B"/>
    <w:rsid w:val="00B01B67"/>
    <w:rsid w:val="00B01BB0"/>
    <w:rsid w:val="00B01C41"/>
    <w:rsid w:val="00B02111"/>
    <w:rsid w:val="00B02D1D"/>
    <w:rsid w:val="00B03377"/>
    <w:rsid w:val="00B0339B"/>
    <w:rsid w:val="00B038AE"/>
    <w:rsid w:val="00B046D8"/>
    <w:rsid w:val="00B049A6"/>
    <w:rsid w:val="00B04BE3"/>
    <w:rsid w:val="00B0582B"/>
    <w:rsid w:val="00B05CB1"/>
    <w:rsid w:val="00B06301"/>
    <w:rsid w:val="00B063D2"/>
    <w:rsid w:val="00B0655C"/>
    <w:rsid w:val="00B066BF"/>
    <w:rsid w:val="00B069A5"/>
    <w:rsid w:val="00B078F0"/>
    <w:rsid w:val="00B07A6C"/>
    <w:rsid w:val="00B10686"/>
    <w:rsid w:val="00B10708"/>
    <w:rsid w:val="00B1085C"/>
    <w:rsid w:val="00B10E7F"/>
    <w:rsid w:val="00B11505"/>
    <w:rsid w:val="00B11D5C"/>
    <w:rsid w:val="00B12622"/>
    <w:rsid w:val="00B129A7"/>
    <w:rsid w:val="00B12A81"/>
    <w:rsid w:val="00B12FE5"/>
    <w:rsid w:val="00B133E6"/>
    <w:rsid w:val="00B1346D"/>
    <w:rsid w:val="00B1357E"/>
    <w:rsid w:val="00B13918"/>
    <w:rsid w:val="00B13B50"/>
    <w:rsid w:val="00B13C8B"/>
    <w:rsid w:val="00B140D9"/>
    <w:rsid w:val="00B14C8C"/>
    <w:rsid w:val="00B15096"/>
    <w:rsid w:val="00B153AC"/>
    <w:rsid w:val="00B16584"/>
    <w:rsid w:val="00B165DD"/>
    <w:rsid w:val="00B16698"/>
    <w:rsid w:val="00B1672C"/>
    <w:rsid w:val="00B16D42"/>
    <w:rsid w:val="00B16F01"/>
    <w:rsid w:val="00B17A4C"/>
    <w:rsid w:val="00B17B00"/>
    <w:rsid w:val="00B17E4D"/>
    <w:rsid w:val="00B20060"/>
    <w:rsid w:val="00B21393"/>
    <w:rsid w:val="00B21E0E"/>
    <w:rsid w:val="00B21E17"/>
    <w:rsid w:val="00B21F08"/>
    <w:rsid w:val="00B221A5"/>
    <w:rsid w:val="00B227B4"/>
    <w:rsid w:val="00B227F7"/>
    <w:rsid w:val="00B228B5"/>
    <w:rsid w:val="00B22AC8"/>
    <w:rsid w:val="00B22C3F"/>
    <w:rsid w:val="00B230E4"/>
    <w:rsid w:val="00B23755"/>
    <w:rsid w:val="00B24283"/>
    <w:rsid w:val="00B256F8"/>
    <w:rsid w:val="00B257FE"/>
    <w:rsid w:val="00B26268"/>
    <w:rsid w:val="00B26353"/>
    <w:rsid w:val="00B263B9"/>
    <w:rsid w:val="00B266DA"/>
    <w:rsid w:val="00B26AFE"/>
    <w:rsid w:val="00B27363"/>
    <w:rsid w:val="00B273D2"/>
    <w:rsid w:val="00B27B88"/>
    <w:rsid w:val="00B27B8F"/>
    <w:rsid w:val="00B27D50"/>
    <w:rsid w:val="00B3024F"/>
    <w:rsid w:val="00B308D7"/>
    <w:rsid w:val="00B3095C"/>
    <w:rsid w:val="00B30D3F"/>
    <w:rsid w:val="00B30F4A"/>
    <w:rsid w:val="00B3273D"/>
    <w:rsid w:val="00B327AA"/>
    <w:rsid w:val="00B32BDC"/>
    <w:rsid w:val="00B32D09"/>
    <w:rsid w:val="00B332A9"/>
    <w:rsid w:val="00B33586"/>
    <w:rsid w:val="00B339C2"/>
    <w:rsid w:val="00B34186"/>
    <w:rsid w:val="00B342B8"/>
    <w:rsid w:val="00B343DF"/>
    <w:rsid w:val="00B34A32"/>
    <w:rsid w:val="00B34F68"/>
    <w:rsid w:val="00B350AE"/>
    <w:rsid w:val="00B35121"/>
    <w:rsid w:val="00B351CB"/>
    <w:rsid w:val="00B359EB"/>
    <w:rsid w:val="00B36316"/>
    <w:rsid w:val="00B364CC"/>
    <w:rsid w:val="00B36548"/>
    <w:rsid w:val="00B367EB"/>
    <w:rsid w:val="00B3704F"/>
    <w:rsid w:val="00B3731B"/>
    <w:rsid w:val="00B375F8"/>
    <w:rsid w:val="00B37CCC"/>
    <w:rsid w:val="00B4031D"/>
    <w:rsid w:val="00B40BFC"/>
    <w:rsid w:val="00B40CFF"/>
    <w:rsid w:val="00B40DD3"/>
    <w:rsid w:val="00B40DE0"/>
    <w:rsid w:val="00B4103A"/>
    <w:rsid w:val="00B41B5E"/>
    <w:rsid w:val="00B41BE3"/>
    <w:rsid w:val="00B41E12"/>
    <w:rsid w:val="00B42083"/>
    <w:rsid w:val="00B4227A"/>
    <w:rsid w:val="00B425FC"/>
    <w:rsid w:val="00B42B5E"/>
    <w:rsid w:val="00B42CEB"/>
    <w:rsid w:val="00B42E66"/>
    <w:rsid w:val="00B43BD2"/>
    <w:rsid w:val="00B43E81"/>
    <w:rsid w:val="00B444CC"/>
    <w:rsid w:val="00B44825"/>
    <w:rsid w:val="00B44F23"/>
    <w:rsid w:val="00B45D4C"/>
    <w:rsid w:val="00B45E9F"/>
    <w:rsid w:val="00B46174"/>
    <w:rsid w:val="00B4681D"/>
    <w:rsid w:val="00B469BB"/>
    <w:rsid w:val="00B46A95"/>
    <w:rsid w:val="00B46C02"/>
    <w:rsid w:val="00B46D50"/>
    <w:rsid w:val="00B46D91"/>
    <w:rsid w:val="00B4748B"/>
    <w:rsid w:val="00B4749A"/>
    <w:rsid w:val="00B4756B"/>
    <w:rsid w:val="00B47806"/>
    <w:rsid w:val="00B47E10"/>
    <w:rsid w:val="00B50236"/>
    <w:rsid w:val="00B502FC"/>
    <w:rsid w:val="00B5105A"/>
    <w:rsid w:val="00B513F0"/>
    <w:rsid w:val="00B514A1"/>
    <w:rsid w:val="00B516BA"/>
    <w:rsid w:val="00B51D81"/>
    <w:rsid w:val="00B520D7"/>
    <w:rsid w:val="00B522FF"/>
    <w:rsid w:val="00B531A1"/>
    <w:rsid w:val="00B536E1"/>
    <w:rsid w:val="00B53DB4"/>
    <w:rsid w:val="00B54251"/>
    <w:rsid w:val="00B543F0"/>
    <w:rsid w:val="00B54715"/>
    <w:rsid w:val="00B54C1C"/>
    <w:rsid w:val="00B5528B"/>
    <w:rsid w:val="00B55EDD"/>
    <w:rsid w:val="00B562BB"/>
    <w:rsid w:val="00B562FE"/>
    <w:rsid w:val="00B56D41"/>
    <w:rsid w:val="00B56DDE"/>
    <w:rsid w:val="00B56E45"/>
    <w:rsid w:val="00B56F79"/>
    <w:rsid w:val="00B5705C"/>
    <w:rsid w:val="00B573B8"/>
    <w:rsid w:val="00B575CB"/>
    <w:rsid w:val="00B5791B"/>
    <w:rsid w:val="00B57B95"/>
    <w:rsid w:val="00B57D40"/>
    <w:rsid w:val="00B57E50"/>
    <w:rsid w:val="00B57F64"/>
    <w:rsid w:val="00B60342"/>
    <w:rsid w:val="00B606A7"/>
    <w:rsid w:val="00B612E2"/>
    <w:rsid w:val="00B6177D"/>
    <w:rsid w:val="00B62504"/>
    <w:rsid w:val="00B6257E"/>
    <w:rsid w:val="00B62F63"/>
    <w:rsid w:val="00B62FDA"/>
    <w:rsid w:val="00B63407"/>
    <w:rsid w:val="00B63FC6"/>
    <w:rsid w:val="00B64233"/>
    <w:rsid w:val="00B64352"/>
    <w:rsid w:val="00B64569"/>
    <w:rsid w:val="00B64728"/>
    <w:rsid w:val="00B652DC"/>
    <w:rsid w:val="00B65999"/>
    <w:rsid w:val="00B65F62"/>
    <w:rsid w:val="00B65FDB"/>
    <w:rsid w:val="00B66159"/>
    <w:rsid w:val="00B6649F"/>
    <w:rsid w:val="00B66513"/>
    <w:rsid w:val="00B66A1A"/>
    <w:rsid w:val="00B66D31"/>
    <w:rsid w:val="00B66DFE"/>
    <w:rsid w:val="00B67405"/>
    <w:rsid w:val="00B67CCC"/>
    <w:rsid w:val="00B705FC"/>
    <w:rsid w:val="00B711F2"/>
    <w:rsid w:val="00B71A42"/>
    <w:rsid w:val="00B72676"/>
    <w:rsid w:val="00B72840"/>
    <w:rsid w:val="00B72D3A"/>
    <w:rsid w:val="00B730F0"/>
    <w:rsid w:val="00B734DE"/>
    <w:rsid w:val="00B735CA"/>
    <w:rsid w:val="00B73623"/>
    <w:rsid w:val="00B739F0"/>
    <w:rsid w:val="00B74311"/>
    <w:rsid w:val="00B74354"/>
    <w:rsid w:val="00B74891"/>
    <w:rsid w:val="00B74A75"/>
    <w:rsid w:val="00B751DA"/>
    <w:rsid w:val="00B7575F"/>
    <w:rsid w:val="00B75FA0"/>
    <w:rsid w:val="00B76050"/>
    <w:rsid w:val="00B76398"/>
    <w:rsid w:val="00B7640F"/>
    <w:rsid w:val="00B76624"/>
    <w:rsid w:val="00B768F9"/>
    <w:rsid w:val="00B76B3F"/>
    <w:rsid w:val="00B76D5E"/>
    <w:rsid w:val="00B77311"/>
    <w:rsid w:val="00B77B4F"/>
    <w:rsid w:val="00B77B54"/>
    <w:rsid w:val="00B77DF9"/>
    <w:rsid w:val="00B77FE3"/>
    <w:rsid w:val="00B80000"/>
    <w:rsid w:val="00B80264"/>
    <w:rsid w:val="00B8034F"/>
    <w:rsid w:val="00B80ECD"/>
    <w:rsid w:val="00B811E6"/>
    <w:rsid w:val="00B81274"/>
    <w:rsid w:val="00B81579"/>
    <w:rsid w:val="00B8166B"/>
    <w:rsid w:val="00B81DF7"/>
    <w:rsid w:val="00B82102"/>
    <w:rsid w:val="00B8233E"/>
    <w:rsid w:val="00B82BA9"/>
    <w:rsid w:val="00B82C18"/>
    <w:rsid w:val="00B82EC8"/>
    <w:rsid w:val="00B82F39"/>
    <w:rsid w:val="00B83505"/>
    <w:rsid w:val="00B83F5E"/>
    <w:rsid w:val="00B83FBF"/>
    <w:rsid w:val="00B84CFF"/>
    <w:rsid w:val="00B84DB8"/>
    <w:rsid w:val="00B85641"/>
    <w:rsid w:val="00B85CB7"/>
    <w:rsid w:val="00B8605E"/>
    <w:rsid w:val="00B86095"/>
    <w:rsid w:val="00B868DC"/>
    <w:rsid w:val="00B86975"/>
    <w:rsid w:val="00B86A42"/>
    <w:rsid w:val="00B86C9F"/>
    <w:rsid w:val="00B8773D"/>
    <w:rsid w:val="00B87C8C"/>
    <w:rsid w:val="00B902AB"/>
    <w:rsid w:val="00B913E2"/>
    <w:rsid w:val="00B92581"/>
    <w:rsid w:val="00B9291A"/>
    <w:rsid w:val="00B92C6B"/>
    <w:rsid w:val="00B92E8B"/>
    <w:rsid w:val="00B93320"/>
    <w:rsid w:val="00B937EA"/>
    <w:rsid w:val="00B9395F"/>
    <w:rsid w:val="00B93BA9"/>
    <w:rsid w:val="00B94552"/>
    <w:rsid w:val="00B948FC"/>
    <w:rsid w:val="00B94B46"/>
    <w:rsid w:val="00B95143"/>
    <w:rsid w:val="00B951A3"/>
    <w:rsid w:val="00B95282"/>
    <w:rsid w:val="00B95834"/>
    <w:rsid w:val="00B964EE"/>
    <w:rsid w:val="00B96EEE"/>
    <w:rsid w:val="00B96F00"/>
    <w:rsid w:val="00B9731B"/>
    <w:rsid w:val="00B97625"/>
    <w:rsid w:val="00B976A9"/>
    <w:rsid w:val="00BA0526"/>
    <w:rsid w:val="00BA08C2"/>
    <w:rsid w:val="00BA08EF"/>
    <w:rsid w:val="00BA0A39"/>
    <w:rsid w:val="00BA0D05"/>
    <w:rsid w:val="00BA0EFC"/>
    <w:rsid w:val="00BA1F37"/>
    <w:rsid w:val="00BA23E0"/>
    <w:rsid w:val="00BA2745"/>
    <w:rsid w:val="00BA2D96"/>
    <w:rsid w:val="00BA313C"/>
    <w:rsid w:val="00BA354A"/>
    <w:rsid w:val="00BA358C"/>
    <w:rsid w:val="00BA3C9E"/>
    <w:rsid w:val="00BA3F3C"/>
    <w:rsid w:val="00BA4DCC"/>
    <w:rsid w:val="00BA4FD6"/>
    <w:rsid w:val="00BA5388"/>
    <w:rsid w:val="00BA684B"/>
    <w:rsid w:val="00BA6D44"/>
    <w:rsid w:val="00BA7B35"/>
    <w:rsid w:val="00BB0420"/>
    <w:rsid w:val="00BB09FD"/>
    <w:rsid w:val="00BB0EB4"/>
    <w:rsid w:val="00BB0FF8"/>
    <w:rsid w:val="00BB187B"/>
    <w:rsid w:val="00BB19A3"/>
    <w:rsid w:val="00BB2083"/>
    <w:rsid w:val="00BB2219"/>
    <w:rsid w:val="00BB2D01"/>
    <w:rsid w:val="00BB2D44"/>
    <w:rsid w:val="00BB2F6A"/>
    <w:rsid w:val="00BB335B"/>
    <w:rsid w:val="00BB355F"/>
    <w:rsid w:val="00BB3984"/>
    <w:rsid w:val="00BB3A4C"/>
    <w:rsid w:val="00BB3C0F"/>
    <w:rsid w:val="00BB3D88"/>
    <w:rsid w:val="00BB5ACB"/>
    <w:rsid w:val="00BB5B85"/>
    <w:rsid w:val="00BB5F0D"/>
    <w:rsid w:val="00BB5F60"/>
    <w:rsid w:val="00BB623E"/>
    <w:rsid w:val="00BB6741"/>
    <w:rsid w:val="00BB6ABE"/>
    <w:rsid w:val="00BB6ADA"/>
    <w:rsid w:val="00BB7997"/>
    <w:rsid w:val="00BC05D3"/>
    <w:rsid w:val="00BC05E1"/>
    <w:rsid w:val="00BC0751"/>
    <w:rsid w:val="00BC0B3C"/>
    <w:rsid w:val="00BC0ED5"/>
    <w:rsid w:val="00BC16BE"/>
    <w:rsid w:val="00BC19E5"/>
    <w:rsid w:val="00BC1DC9"/>
    <w:rsid w:val="00BC2086"/>
    <w:rsid w:val="00BC30D5"/>
    <w:rsid w:val="00BC3315"/>
    <w:rsid w:val="00BC33C7"/>
    <w:rsid w:val="00BC3466"/>
    <w:rsid w:val="00BC3B9D"/>
    <w:rsid w:val="00BC4904"/>
    <w:rsid w:val="00BC4FAD"/>
    <w:rsid w:val="00BC5AE5"/>
    <w:rsid w:val="00BC6071"/>
    <w:rsid w:val="00BC6719"/>
    <w:rsid w:val="00BC71BC"/>
    <w:rsid w:val="00BC7922"/>
    <w:rsid w:val="00BC7AF0"/>
    <w:rsid w:val="00BD03A7"/>
    <w:rsid w:val="00BD0843"/>
    <w:rsid w:val="00BD0A78"/>
    <w:rsid w:val="00BD0DD5"/>
    <w:rsid w:val="00BD193F"/>
    <w:rsid w:val="00BD1D66"/>
    <w:rsid w:val="00BD285C"/>
    <w:rsid w:val="00BD2920"/>
    <w:rsid w:val="00BD389F"/>
    <w:rsid w:val="00BD41E0"/>
    <w:rsid w:val="00BD43C0"/>
    <w:rsid w:val="00BD451E"/>
    <w:rsid w:val="00BD45A6"/>
    <w:rsid w:val="00BD48D7"/>
    <w:rsid w:val="00BD494E"/>
    <w:rsid w:val="00BD50CB"/>
    <w:rsid w:val="00BD57A8"/>
    <w:rsid w:val="00BD6548"/>
    <w:rsid w:val="00BD75C5"/>
    <w:rsid w:val="00BD77EB"/>
    <w:rsid w:val="00BD7B06"/>
    <w:rsid w:val="00BD7B7D"/>
    <w:rsid w:val="00BD7D79"/>
    <w:rsid w:val="00BD7DD6"/>
    <w:rsid w:val="00BE04F9"/>
    <w:rsid w:val="00BE0814"/>
    <w:rsid w:val="00BE0BA4"/>
    <w:rsid w:val="00BE0C89"/>
    <w:rsid w:val="00BE0F6C"/>
    <w:rsid w:val="00BE0FDF"/>
    <w:rsid w:val="00BE17FE"/>
    <w:rsid w:val="00BE1DD5"/>
    <w:rsid w:val="00BE1E7D"/>
    <w:rsid w:val="00BE1F10"/>
    <w:rsid w:val="00BE217A"/>
    <w:rsid w:val="00BE35D9"/>
    <w:rsid w:val="00BE39D1"/>
    <w:rsid w:val="00BE3A5D"/>
    <w:rsid w:val="00BE4771"/>
    <w:rsid w:val="00BE4BFD"/>
    <w:rsid w:val="00BE4DC0"/>
    <w:rsid w:val="00BE5378"/>
    <w:rsid w:val="00BE5590"/>
    <w:rsid w:val="00BE575A"/>
    <w:rsid w:val="00BE61D4"/>
    <w:rsid w:val="00BE6970"/>
    <w:rsid w:val="00BE7539"/>
    <w:rsid w:val="00BE7C33"/>
    <w:rsid w:val="00BE7E54"/>
    <w:rsid w:val="00BF02D6"/>
    <w:rsid w:val="00BF0594"/>
    <w:rsid w:val="00BF05B8"/>
    <w:rsid w:val="00BF06BB"/>
    <w:rsid w:val="00BF08AE"/>
    <w:rsid w:val="00BF0A41"/>
    <w:rsid w:val="00BF0F2D"/>
    <w:rsid w:val="00BF130E"/>
    <w:rsid w:val="00BF1DE8"/>
    <w:rsid w:val="00BF2599"/>
    <w:rsid w:val="00BF2C72"/>
    <w:rsid w:val="00BF2DEA"/>
    <w:rsid w:val="00BF3507"/>
    <w:rsid w:val="00BF391B"/>
    <w:rsid w:val="00BF3D8C"/>
    <w:rsid w:val="00BF408B"/>
    <w:rsid w:val="00BF4428"/>
    <w:rsid w:val="00BF4BA8"/>
    <w:rsid w:val="00BF5540"/>
    <w:rsid w:val="00BF5E68"/>
    <w:rsid w:val="00BF64CB"/>
    <w:rsid w:val="00BF6B84"/>
    <w:rsid w:val="00BF748E"/>
    <w:rsid w:val="00BF757B"/>
    <w:rsid w:val="00BF776A"/>
    <w:rsid w:val="00BF77DF"/>
    <w:rsid w:val="00BF7EB2"/>
    <w:rsid w:val="00C00870"/>
    <w:rsid w:val="00C00CD1"/>
    <w:rsid w:val="00C01ACE"/>
    <w:rsid w:val="00C01DEA"/>
    <w:rsid w:val="00C0204C"/>
    <w:rsid w:val="00C02204"/>
    <w:rsid w:val="00C027FF"/>
    <w:rsid w:val="00C028EC"/>
    <w:rsid w:val="00C02E3A"/>
    <w:rsid w:val="00C02F05"/>
    <w:rsid w:val="00C03DA8"/>
    <w:rsid w:val="00C0409A"/>
    <w:rsid w:val="00C042A4"/>
    <w:rsid w:val="00C05077"/>
    <w:rsid w:val="00C051C5"/>
    <w:rsid w:val="00C05867"/>
    <w:rsid w:val="00C063E8"/>
    <w:rsid w:val="00C06E38"/>
    <w:rsid w:val="00C0748C"/>
    <w:rsid w:val="00C07ABE"/>
    <w:rsid w:val="00C07FE8"/>
    <w:rsid w:val="00C1002C"/>
    <w:rsid w:val="00C104B9"/>
    <w:rsid w:val="00C10DA3"/>
    <w:rsid w:val="00C10E60"/>
    <w:rsid w:val="00C11224"/>
    <w:rsid w:val="00C11403"/>
    <w:rsid w:val="00C115C6"/>
    <w:rsid w:val="00C1166C"/>
    <w:rsid w:val="00C118B2"/>
    <w:rsid w:val="00C11992"/>
    <w:rsid w:val="00C11B0A"/>
    <w:rsid w:val="00C124FC"/>
    <w:rsid w:val="00C12619"/>
    <w:rsid w:val="00C12B5E"/>
    <w:rsid w:val="00C12FFF"/>
    <w:rsid w:val="00C136B5"/>
    <w:rsid w:val="00C13C61"/>
    <w:rsid w:val="00C13C84"/>
    <w:rsid w:val="00C13F87"/>
    <w:rsid w:val="00C15878"/>
    <w:rsid w:val="00C166CC"/>
    <w:rsid w:val="00C16983"/>
    <w:rsid w:val="00C169A9"/>
    <w:rsid w:val="00C16CAD"/>
    <w:rsid w:val="00C16E6B"/>
    <w:rsid w:val="00C170B8"/>
    <w:rsid w:val="00C17409"/>
    <w:rsid w:val="00C17416"/>
    <w:rsid w:val="00C17B8B"/>
    <w:rsid w:val="00C17CB8"/>
    <w:rsid w:val="00C201BA"/>
    <w:rsid w:val="00C20565"/>
    <w:rsid w:val="00C209B0"/>
    <w:rsid w:val="00C20A7E"/>
    <w:rsid w:val="00C21190"/>
    <w:rsid w:val="00C2124D"/>
    <w:rsid w:val="00C21325"/>
    <w:rsid w:val="00C2136E"/>
    <w:rsid w:val="00C21972"/>
    <w:rsid w:val="00C22576"/>
    <w:rsid w:val="00C22AC4"/>
    <w:rsid w:val="00C23011"/>
    <w:rsid w:val="00C23433"/>
    <w:rsid w:val="00C23561"/>
    <w:rsid w:val="00C237C3"/>
    <w:rsid w:val="00C239AD"/>
    <w:rsid w:val="00C2407F"/>
    <w:rsid w:val="00C243C9"/>
    <w:rsid w:val="00C24D82"/>
    <w:rsid w:val="00C25607"/>
    <w:rsid w:val="00C256BD"/>
    <w:rsid w:val="00C25994"/>
    <w:rsid w:val="00C25F2E"/>
    <w:rsid w:val="00C2605E"/>
    <w:rsid w:val="00C2621F"/>
    <w:rsid w:val="00C2685A"/>
    <w:rsid w:val="00C26F0E"/>
    <w:rsid w:val="00C271F1"/>
    <w:rsid w:val="00C27775"/>
    <w:rsid w:val="00C27B43"/>
    <w:rsid w:val="00C27F78"/>
    <w:rsid w:val="00C31045"/>
    <w:rsid w:val="00C31D7F"/>
    <w:rsid w:val="00C31EFA"/>
    <w:rsid w:val="00C31FED"/>
    <w:rsid w:val="00C32F7C"/>
    <w:rsid w:val="00C332CC"/>
    <w:rsid w:val="00C344C6"/>
    <w:rsid w:val="00C34732"/>
    <w:rsid w:val="00C3474C"/>
    <w:rsid w:val="00C34902"/>
    <w:rsid w:val="00C34985"/>
    <w:rsid w:val="00C34F95"/>
    <w:rsid w:val="00C3592F"/>
    <w:rsid w:val="00C35E05"/>
    <w:rsid w:val="00C35FA6"/>
    <w:rsid w:val="00C36311"/>
    <w:rsid w:val="00C368A2"/>
    <w:rsid w:val="00C36ADF"/>
    <w:rsid w:val="00C36D0A"/>
    <w:rsid w:val="00C36EBF"/>
    <w:rsid w:val="00C37567"/>
    <w:rsid w:val="00C37AA1"/>
    <w:rsid w:val="00C37CA1"/>
    <w:rsid w:val="00C400FB"/>
    <w:rsid w:val="00C4023A"/>
    <w:rsid w:val="00C409A6"/>
    <w:rsid w:val="00C40A84"/>
    <w:rsid w:val="00C40DD4"/>
    <w:rsid w:val="00C412C4"/>
    <w:rsid w:val="00C4141C"/>
    <w:rsid w:val="00C41CEE"/>
    <w:rsid w:val="00C41DC8"/>
    <w:rsid w:val="00C4265C"/>
    <w:rsid w:val="00C431C3"/>
    <w:rsid w:val="00C43629"/>
    <w:rsid w:val="00C4377E"/>
    <w:rsid w:val="00C43973"/>
    <w:rsid w:val="00C44361"/>
    <w:rsid w:val="00C45230"/>
    <w:rsid w:val="00C45A14"/>
    <w:rsid w:val="00C45E16"/>
    <w:rsid w:val="00C45FA0"/>
    <w:rsid w:val="00C460D6"/>
    <w:rsid w:val="00C46229"/>
    <w:rsid w:val="00C463E2"/>
    <w:rsid w:val="00C46919"/>
    <w:rsid w:val="00C47078"/>
    <w:rsid w:val="00C470A0"/>
    <w:rsid w:val="00C471C9"/>
    <w:rsid w:val="00C47732"/>
    <w:rsid w:val="00C5046E"/>
    <w:rsid w:val="00C5087F"/>
    <w:rsid w:val="00C50F99"/>
    <w:rsid w:val="00C51DDA"/>
    <w:rsid w:val="00C5216D"/>
    <w:rsid w:val="00C526E8"/>
    <w:rsid w:val="00C53517"/>
    <w:rsid w:val="00C54456"/>
    <w:rsid w:val="00C54707"/>
    <w:rsid w:val="00C54C89"/>
    <w:rsid w:val="00C5557C"/>
    <w:rsid w:val="00C5560B"/>
    <w:rsid w:val="00C55C73"/>
    <w:rsid w:val="00C565C1"/>
    <w:rsid w:val="00C56A7D"/>
    <w:rsid w:val="00C577AE"/>
    <w:rsid w:val="00C57A30"/>
    <w:rsid w:val="00C57AA6"/>
    <w:rsid w:val="00C57B0F"/>
    <w:rsid w:val="00C57BE7"/>
    <w:rsid w:val="00C57E42"/>
    <w:rsid w:val="00C60104"/>
    <w:rsid w:val="00C6070B"/>
    <w:rsid w:val="00C60E00"/>
    <w:rsid w:val="00C60FD1"/>
    <w:rsid w:val="00C628C1"/>
    <w:rsid w:val="00C62A11"/>
    <w:rsid w:val="00C635A0"/>
    <w:rsid w:val="00C63EAF"/>
    <w:rsid w:val="00C63F9A"/>
    <w:rsid w:val="00C641D5"/>
    <w:rsid w:val="00C64673"/>
    <w:rsid w:val="00C64BAD"/>
    <w:rsid w:val="00C65679"/>
    <w:rsid w:val="00C65BE3"/>
    <w:rsid w:val="00C65D7D"/>
    <w:rsid w:val="00C66265"/>
    <w:rsid w:val="00C66399"/>
    <w:rsid w:val="00C67441"/>
    <w:rsid w:val="00C676B5"/>
    <w:rsid w:val="00C677CE"/>
    <w:rsid w:val="00C67937"/>
    <w:rsid w:val="00C67AB9"/>
    <w:rsid w:val="00C67C22"/>
    <w:rsid w:val="00C701F8"/>
    <w:rsid w:val="00C702D8"/>
    <w:rsid w:val="00C70E07"/>
    <w:rsid w:val="00C718CB"/>
    <w:rsid w:val="00C7260C"/>
    <w:rsid w:val="00C727B5"/>
    <w:rsid w:val="00C727F8"/>
    <w:rsid w:val="00C72A47"/>
    <w:rsid w:val="00C72C53"/>
    <w:rsid w:val="00C72DF6"/>
    <w:rsid w:val="00C72E57"/>
    <w:rsid w:val="00C732A6"/>
    <w:rsid w:val="00C73B62"/>
    <w:rsid w:val="00C73FA3"/>
    <w:rsid w:val="00C7429D"/>
    <w:rsid w:val="00C74DEF"/>
    <w:rsid w:val="00C755A4"/>
    <w:rsid w:val="00C75C4D"/>
    <w:rsid w:val="00C75F06"/>
    <w:rsid w:val="00C7623C"/>
    <w:rsid w:val="00C76CFC"/>
    <w:rsid w:val="00C76D65"/>
    <w:rsid w:val="00C77852"/>
    <w:rsid w:val="00C779E8"/>
    <w:rsid w:val="00C77CD9"/>
    <w:rsid w:val="00C77E7F"/>
    <w:rsid w:val="00C77EEF"/>
    <w:rsid w:val="00C77F77"/>
    <w:rsid w:val="00C800FB"/>
    <w:rsid w:val="00C80114"/>
    <w:rsid w:val="00C80DA7"/>
    <w:rsid w:val="00C80E9D"/>
    <w:rsid w:val="00C81023"/>
    <w:rsid w:val="00C81212"/>
    <w:rsid w:val="00C815D2"/>
    <w:rsid w:val="00C815F2"/>
    <w:rsid w:val="00C817DC"/>
    <w:rsid w:val="00C81F31"/>
    <w:rsid w:val="00C824AB"/>
    <w:rsid w:val="00C82D33"/>
    <w:rsid w:val="00C833CC"/>
    <w:rsid w:val="00C83772"/>
    <w:rsid w:val="00C83B7D"/>
    <w:rsid w:val="00C8415D"/>
    <w:rsid w:val="00C84361"/>
    <w:rsid w:val="00C84933"/>
    <w:rsid w:val="00C85235"/>
    <w:rsid w:val="00C85427"/>
    <w:rsid w:val="00C85711"/>
    <w:rsid w:val="00C8572F"/>
    <w:rsid w:val="00C85A68"/>
    <w:rsid w:val="00C85A85"/>
    <w:rsid w:val="00C85D42"/>
    <w:rsid w:val="00C85DED"/>
    <w:rsid w:val="00C85E53"/>
    <w:rsid w:val="00C86022"/>
    <w:rsid w:val="00C860D5"/>
    <w:rsid w:val="00C865CA"/>
    <w:rsid w:val="00C86687"/>
    <w:rsid w:val="00C866C9"/>
    <w:rsid w:val="00C86CA1"/>
    <w:rsid w:val="00C8797B"/>
    <w:rsid w:val="00C87FD9"/>
    <w:rsid w:val="00C90A3D"/>
    <w:rsid w:val="00C90B5F"/>
    <w:rsid w:val="00C90D65"/>
    <w:rsid w:val="00C917D5"/>
    <w:rsid w:val="00C919A4"/>
    <w:rsid w:val="00C91B82"/>
    <w:rsid w:val="00C92087"/>
    <w:rsid w:val="00C922D8"/>
    <w:rsid w:val="00C925AC"/>
    <w:rsid w:val="00C93FD9"/>
    <w:rsid w:val="00C945FE"/>
    <w:rsid w:val="00C94B77"/>
    <w:rsid w:val="00C94C23"/>
    <w:rsid w:val="00C9548D"/>
    <w:rsid w:val="00C95E91"/>
    <w:rsid w:val="00C96979"/>
    <w:rsid w:val="00C969A9"/>
    <w:rsid w:val="00C96A7D"/>
    <w:rsid w:val="00C96C2D"/>
    <w:rsid w:val="00C96F57"/>
    <w:rsid w:val="00C9784F"/>
    <w:rsid w:val="00C97BCC"/>
    <w:rsid w:val="00CA0068"/>
    <w:rsid w:val="00CA02C7"/>
    <w:rsid w:val="00CA0602"/>
    <w:rsid w:val="00CA0A93"/>
    <w:rsid w:val="00CA0DC9"/>
    <w:rsid w:val="00CA102A"/>
    <w:rsid w:val="00CA143B"/>
    <w:rsid w:val="00CA1CED"/>
    <w:rsid w:val="00CA22A1"/>
    <w:rsid w:val="00CA2699"/>
    <w:rsid w:val="00CA2B19"/>
    <w:rsid w:val="00CA2DB2"/>
    <w:rsid w:val="00CA316B"/>
    <w:rsid w:val="00CA3277"/>
    <w:rsid w:val="00CA3A29"/>
    <w:rsid w:val="00CA450D"/>
    <w:rsid w:val="00CA4A15"/>
    <w:rsid w:val="00CA4C99"/>
    <w:rsid w:val="00CA5395"/>
    <w:rsid w:val="00CA5663"/>
    <w:rsid w:val="00CA5869"/>
    <w:rsid w:val="00CA6292"/>
    <w:rsid w:val="00CA64B9"/>
    <w:rsid w:val="00CA6E10"/>
    <w:rsid w:val="00CA727E"/>
    <w:rsid w:val="00CB0011"/>
    <w:rsid w:val="00CB03FF"/>
    <w:rsid w:val="00CB0403"/>
    <w:rsid w:val="00CB0DB7"/>
    <w:rsid w:val="00CB0DE6"/>
    <w:rsid w:val="00CB0FB0"/>
    <w:rsid w:val="00CB1463"/>
    <w:rsid w:val="00CB16C2"/>
    <w:rsid w:val="00CB19BC"/>
    <w:rsid w:val="00CB2019"/>
    <w:rsid w:val="00CB2AE2"/>
    <w:rsid w:val="00CB2C5B"/>
    <w:rsid w:val="00CB2FF5"/>
    <w:rsid w:val="00CB3437"/>
    <w:rsid w:val="00CB3670"/>
    <w:rsid w:val="00CB39F1"/>
    <w:rsid w:val="00CB3BD3"/>
    <w:rsid w:val="00CB4549"/>
    <w:rsid w:val="00CB490B"/>
    <w:rsid w:val="00CB53B6"/>
    <w:rsid w:val="00CB5458"/>
    <w:rsid w:val="00CB6195"/>
    <w:rsid w:val="00CB65E0"/>
    <w:rsid w:val="00CB7A62"/>
    <w:rsid w:val="00CB7BB9"/>
    <w:rsid w:val="00CB7CD8"/>
    <w:rsid w:val="00CC09F5"/>
    <w:rsid w:val="00CC0A36"/>
    <w:rsid w:val="00CC0EE3"/>
    <w:rsid w:val="00CC0FEE"/>
    <w:rsid w:val="00CC1D94"/>
    <w:rsid w:val="00CC2372"/>
    <w:rsid w:val="00CC2890"/>
    <w:rsid w:val="00CC29FD"/>
    <w:rsid w:val="00CC2BB0"/>
    <w:rsid w:val="00CC2C9D"/>
    <w:rsid w:val="00CC2ECD"/>
    <w:rsid w:val="00CC3052"/>
    <w:rsid w:val="00CC3564"/>
    <w:rsid w:val="00CC39F3"/>
    <w:rsid w:val="00CC4685"/>
    <w:rsid w:val="00CC4C99"/>
    <w:rsid w:val="00CC4D57"/>
    <w:rsid w:val="00CC5015"/>
    <w:rsid w:val="00CC52B2"/>
    <w:rsid w:val="00CC5EA0"/>
    <w:rsid w:val="00CC6129"/>
    <w:rsid w:val="00CC67FE"/>
    <w:rsid w:val="00CC6A22"/>
    <w:rsid w:val="00CC6BFD"/>
    <w:rsid w:val="00CC6C60"/>
    <w:rsid w:val="00CC79F7"/>
    <w:rsid w:val="00CC7D37"/>
    <w:rsid w:val="00CD0A83"/>
    <w:rsid w:val="00CD0AEB"/>
    <w:rsid w:val="00CD0BBD"/>
    <w:rsid w:val="00CD1380"/>
    <w:rsid w:val="00CD18F1"/>
    <w:rsid w:val="00CD1E0A"/>
    <w:rsid w:val="00CD1EF5"/>
    <w:rsid w:val="00CD2416"/>
    <w:rsid w:val="00CD256B"/>
    <w:rsid w:val="00CD2601"/>
    <w:rsid w:val="00CD2ACE"/>
    <w:rsid w:val="00CD2BC5"/>
    <w:rsid w:val="00CD31D9"/>
    <w:rsid w:val="00CD324E"/>
    <w:rsid w:val="00CD3465"/>
    <w:rsid w:val="00CD3798"/>
    <w:rsid w:val="00CD400B"/>
    <w:rsid w:val="00CD50F3"/>
    <w:rsid w:val="00CD56AC"/>
    <w:rsid w:val="00CD5A24"/>
    <w:rsid w:val="00CD5BCE"/>
    <w:rsid w:val="00CD5D77"/>
    <w:rsid w:val="00CD5D97"/>
    <w:rsid w:val="00CD63F8"/>
    <w:rsid w:val="00CD6668"/>
    <w:rsid w:val="00CD6745"/>
    <w:rsid w:val="00CD68AA"/>
    <w:rsid w:val="00CD6F4C"/>
    <w:rsid w:val="00CD6F9F"/>
    <w:rsid w:val="00CD733D"/>
    <w:rsid w:val="00CD7563"/>
    <w:rsid w:val="00CD7EFA"/>
    <w:rsid w:val="00CE08B4"/>
    <w:rsid w:val="00CE0993"/>
    <w:rsid w:val="00CE0C30"/>
    <w:rsid w:val="00CE0D29"/>
    <w:rsid w:val="00CE0E87"/>
    <w:rsid w:val="00CE106A"/>
    <w:rsid w:val="00CE1356"/>
    <w:rsid w:val="00CE136F"/>
    <w:rsid w:val="00CE185A"/>
    <w:rsid w:val="00CE1939"/>
    <w:rsid w:val="00CE1A26"/>
    <w:rsid w:val="00CE1BB9"/>
    <w:rsid w:val="00CE2363"/>
    <w:rsid w:val="00CE24F3"/>
    <w:rsid w:val="00CE2AD0"/>
    <w:rsid w:val="00CE2B4A"/>
    <w:rsid w:val="00CE2D8E"/>
    <w:rsid w:val="00CE3022"/>
    <w:rsid w:val="00CE322B"/>
    <w:rsid w:val="00CE42EA"/>
    <w:rsid w:val="00CE44A7"/>
    <w:rsid w:val="00CE4A03"/>
    <w:rsid w:val="00CE4B64"/>
    <w:rsid w:val="00CE4D96"/>
    <w:rsid w:val="00CE51ED"/>
    <w:rsid w:val="00CE66C9"/>
    <w:rsid w:val="00CE6759"/>
    <w:rsid w:val="00CE77C0"/>
    <w:rsid w:val="00CF0542"/>
    <w:rsid w:val="00CF056D"/>
    <w:rsid w:val="00CF0909"/>
    <w:rsid w:val="00CF119B"/>
    <w:rsid w:val="00CF1486"/>
    <w:rsid w:val="00CF17F8"/>
    <w:rsid w:val="00CF18F9"/>
    <w:rsid w:val="00CF1940"/>
    <w:rsid w:val="00CF1DE5"/>
    <w:rsid w:val="00CF2039"/>
    <w:rsid w:val="00CF21CC"/>
    <w:rsid w:val="00CF2663"/>
    <w:rsid w:val="00CF2BAC"/>
    <w:rsid w:val="00CF2D82"/>
    <w:rsid w:val="00CF2ED1"/>
    <w:rsid w:val="00CF32EB"/>
    <w:rsid w:val="00CF3B5F"/>
    <w:rsid w:val="00CF3CEF"/>
    <w:rsid w:val="00CF40DC"/>
    <w:rsid w:val="00CF437B"/>
    <w:rsid w:val="00CF439A"/>
    <w:rsid w:val="00CF481C"/>
    <w:rsid w:val="00CF4B68"/>
    <w:rsid w:val="00CF56EA"/>
    <w:rsid w:val="00CF5B5B"/>
    <w:rsid w:val="00CF66EB"/>
    <w:rsid w:val="00CF690E"/>
    <w:rsid w:val="00CF699E"/>
    <w:rsid w:val="00CF6A39"/>
    <w:rsid w:val="00CF6B75"/>
    <w:rsid w:val="00CF7A69"/>
    <w:rsid w:val="00D00419"/>
    <w:rsid w:val="00D00C8E"/>
    <w:rsid w:val="00D00CF0"/>
    <w:rsid w:val="00D00F0A"/>
    <w:rsid w:val="00D01715"/>
    <w:rsid w:val="00D01D2D"/>
    <w:rsid w:val="00D01E1A"/>
    <w:rsid w:val="00D026ED"/>
    <w:rsid w:val="00D02CAE"/>
    <w:rsid w:val="00D032D9"/>
    <w:rsid w:val="00D0375B"/>
    <w:rsid w:val="00D0460B"/>
    <w:rsid w:val="00D0483C"/>
    <w:rsid w:val="00D04F08"/>
    <w:rsid w:val="00D05780"/>
    <w:rsid w:val="00D05A9F"/>
    <w:rsid w:val="00D05C20"/>
    <w:rsid w:val="00D05C51"/>
    <w:rsid w:val="00D063BD"/>
    <w:rsid w:val="00D068DD"/>
    <w:rsid w:val="00D068E6"/>
    <w:rsid w:val="00D07691"/>
    <w:rsid w:val="00D07804"/>
    <w:rsid w:val="00D1038B"/>
    <w:rsid w:val="00D10CFF"/>
    <w:rsid w:val="00D111E3"/>
    <w:rsid w:val="00D111EF"/>
    <w:rsid w:val="00D113FC"/>
    <w:rsid w:val="00D11A6D"/>
    <w:rsid w:val="00D11BDB"/>
    <w:rsid w:val="00D125C6"/>
    <w:rsid w:val="00D1376F"/>
    <w:rsid w:val="00D1380D"/>
    <w:rsid w:val="00D13CF4"/>
    <w:rsid w:val="00D13EA8"/>
    <w:rsid w:val="00D13F77"/>
    <w:rsid w:val="00D14246"/>
    <w:rsid w:val="00D1426D"/>
    <w:rsid w:val="00D14358"/>
    <w:rsid w:val="00D14441"/>
    <w:rsid w:val="00D14540"/>
    <w:rsid w:val="00D147F8"/>
    <w:rsid w:val="00D148D8"/>
    <w:rsid w:val="00D149FB"/>
    <w:rsid w:val="00D14BDA"/>
    <w:rsid w:val="00D151F9"/>
    <w:rsid w:val="00D152DE"/>
    <w:rsid w:val="00D153FC"/>
    <w:rsid w:val="00D154EE"/>
    <w:rsid w:val="00D15B3B"/>
    <w:rsid w:val="00D15E9B"/>
    <w:rsid w:val="00D162B6"/>
    <w:rsid w:val="00D16831"/>
    <w:rsid w:val="00D16AF0"/>
    <w:rsid w:val="00D16C2B"/>
    <w:rsid w:val="00D17AF1"/>
    <w:rsid w:val="00D17B3C"/>
    <w:rsid w:val="00D20859"/>
    <w:rsid w:val="00D209DA"/>
    <w:rsid w:val="00D20B4F"/>
    <w:rsid w:val="00D21672"/>
    <w:rsid w:val="00D21F55"/>
    <w:rsid w:val="00D225D2"/>
    <w:rsid w:val="00D22B31"/>
    <w:rsid w:val="00D23B8A"/>
    <w:rsid w:val="00D245E3"/>
    <w:rsid w:val="00D24E98"/>
    <w:rsid w:val="00D24EEB"/>
    <w:rsid w:val="00D2528A"/>
    <w:rsid w:val="00D253AD"/>
    <w:rsid w:val="00D2545A"/>
    <w:rsid w:val="00D25AE4"/>
    <w:rsid w:val="00D25DDD"/>
    <w:rsid w:val="00D26063"/>
    <w:rsid w:val="00D26353"/>
    <w:rsid w:val="00D27A11"/>
    <w:rsid w:val="00D27B9B"/>
    <w:rsid w:val="00D27D11"/>
    <w:rsid w:val="00D3007B"/>
    <w:rsid w:val="00D30648"/>
    <w:rsid w:val="00D312EC"/>
    <w:rsid w:val="00D31930"/>
    <w:rsid w:val="00D32A61"/>
    <w:rsid w:val="00D33090"/>
    <w:rsid w:val="00D3357E"/>
    <w:rsid w:val="00D34352"/>
    <w:rsid w:val="00D348F7"/>
    <w:rsid w:val="00D34A51"/>
    <w:rsid w:val="00D34E14"/>
    <w:rsid w:val="00D368EF"/>
    <w:rsid w:val="00D36ED2"/>
    <w:rsid w:val="00D3784B"/>
    <w:rsid w:val="00D37996"/>
    <w:rsid w:val="00D379F6"/>
    <w:rsid w:val="00D37ACC"/>
    <w:rsid w:val="00D37D10"/>
    <w:rsid w:val="00D37FFA"/>
    <w:rsid w:val="00D40335"/>
    <w:rsid w:val="00D405E7"/>
    <w:rsid w:val="00D40DFA"/>
    <w:rsid w:val="00D40F02"/>
    <w:rsid w:val="00D4140B"/>
    <w:rsid w:val="00D4160D"/>
    <w:rsid w:val="00D41AE6"/>
    <w:rsid w:val="00D42A08"/>
    <w:rsid w:val="00D42BDB"/>
    <w:rsid w:val="00D42E42"/>
    <w:rsid w:val="00D430D7"/>
    <w:rsid w:val="00D437B6"/>
    <w:rsid w:val="00D4396F"/>
    <w:rsid w:val="00D43C64"/>
    <w:rsid w:val="00D43D4E"/>
    <w:rsid w:val="00D43F5F"/>
    <w:rsid w:val="00D442F5"/>
    <w:rsid w:val="00D4430C"/>
    <w:rsid w:val="00D445E3"/>
    <w:rsid w:val="00D4468A"/>
    <w:rsid w:val="00D447AC"/>
    <w:rsid w:val="00D44AB0"/>
    <w:rsid w:val="00D44D9F"/>
    <w:rsid w:val="00D450E1"/>
    <w:rsid w:val="00D45C4C"/>
    <w:rsid w:val="00D45CE6"/>
    <w:rsid w:val="00D46EA5"/>
    <w:rsid w:val="00D46F12"/>
    <w:rsid w:val="00D476B7"/>
    <w:rsid w:val="00D476D6"/>
    <w:rsid w:val="00D47724"/>
    <w:rsid w:val="00D47A8A"/>
    <w:rsid w:val="00D5019B"/>
    <w:rsid w:val="00D5032E"/>
    <w:rsid w:val="00D50C46"/>
    <w:rsid w:val="00D50ECF"/>
    <w:rsid w:val="00D51658"/>
    <w:rsid w:val="00D5198A"/>
    <w:rsid w:val="00D51A44"/>
    <w:rsid w:val="00D51F12"/>
    <w:rsid w:val="00D52353"/>
    <w:rsid w:val="00D5237E"/>
    <w:rsid w:val="00D527D3"/>
    <w:rsid w:val="00D529C0"/>
    <w:rsid w:val="00D529C5"/>
    <w:rsid w:val="00D52C82"/>
    <w:rsid w:val="00D534BF"/>
    <w:rsid w:val="00D53B3E"/>
    <w:rsid w:val="00D53C10"/>
    <w:rsid w:val="00D54BD1"/>
    <w:rsid w:val="00D55489"/>
    <w:rsid w:val="00D555F4"/>
    <w:rsid w:val="00D55608"/>
    <w:rsid w:val="00D55C4C"/>
    <w:rsid w:val="00D55F6E"/>
    <w:rsid w:val="00D56169"/>
    <w:rsid w:val="00D564DC"/>
    <w:rsid w:val="00D56593"/>
    <w:rsid w:val="00D56681"/>
    <w:rsid w:val="00D56976"/>
    <w:rsid w:val="00D56AA2"/>
    <w:rsid w:val="00D56CF6"/>
    <w:rsid w:val="00D56D34"/>
    <w:rsid w:val="00D57239"/>
    <w:rsid w:val="00D5729A"/>
    <w:rsid w:val="00D57592"/>
    <w:rsid w:val="00D57AF5"/>
    <w:rsid w:val="00D60248"/>
    <w:rsid w:val="00D60896"/>
    <w:rsid w:val="00D611BD"/>
    <w:rsid w:val="00D618B9"/>
    <w:rsid w:val="00D61B75"/>
    <w:rsid w:val="00D61C68"/>
    <w:rsid w:val="00D62021"/>
    <w:rsid w:val="00D625D6"/>
    <w:rsid w:val="00D62DD4"/>
    <w:rsid w:val="00D635AF"/>
    <w:rsid w:val="00D63A06"/>
    <w:rsid w:val="00D6477A"/>
    <w:rsid w:val="00D64811"/>
    <w:rsid w:val="00D64BBB"/>
    <w:rsid w:val="00D6515D"/>
    <w:rsid w:val="00D653E2"/>
    <w:rsid w:val="00D6551E"/>
    <w:rsid w:val="00D656B5"/>
    <w:rsid w:val="00D657DC"/>
    <w:rsid w:val="00D65B77"/>
    <w:rsid w:val="00D661AE"/>
    <w:rsid w:val="00D66872"/>
    <w:rsid w:val="00D669EC"/>
    <w:rsid w:val="00D66BF1"/>
    <w:rsid w:val="00D67140"/>
    <w:rsid w:val="00D67380"/>
    <w:rsid w:val="00D675B8"/>
    <w:rsid w:val="00D6797E"/>
    <w:rsid w:val="00D70052"/>
    <w:rsid w:val="00D70647"/>
    <w:rsid w:val="00D71048"/>
    <w:rsid w:val="00D71AA5"/>
    <w:rsid w:val="00D721BB"/>
    <w:rsid w:val="00D7227F"/>
    <w:rsid w:val="00D72B0F"/>
    <w:rsid w:val="00D72CF9"/>
    <w:rsid w:val="00D72D7A"/>
    <w:rsid w:val="00D72FF5"/>
    <w:rsid w:val="00D73272"/>
    <w:rsid w:val="00D732AD"/>
    <w:rsid w:val="00D732C0"/>
    <w:rsid w:val="00D7332A"/>
    <w:rsid w:val="00D73BD4"/>
    <w:rsid w:val="00D73F79"/>
    <w:rsid w:val="00D7412B"/>
    <w:rsid w:val="00D741FE"/>
    <w:rsid w:val="00D74D1C"/>
    <w:rsid w:val="00D75400"/>
    <w:rsid w:val="00D75B7F"/>
    <w:rsid w:val="00D75F6B"/>
    <w:rsid w:val="00D76089"/>
    <w:rsid w:val="00D761D1"/>
    <w:rsid w:val="00D7666C"/>
    <w:rsid w:val="00D76BDA"/>
    <w:rsid w:val="00D76F46"/>
    <w:rsid w:val="00D7723A"/>
    <w:rsid w:val="00D7772D"/>
    <w:rsid w:val="00D7792A"/>
    <w:rsid w:val="00D77A5C"/>
    <w:rsid w:val="00D801FF"/>
    <w:rsid w:val="00D808A4"/>
    <w:rsid w:val="00D8094A"/>
    <w:rsid w:val="00D80C0C"/>
    <w:rsid w:val="00D8104F"/>
    <w:rsid w:val="00D81785"/>
    <w:rsid w:val="00D818B5"/>
    <w:rsid w:val="00D818CA"/>
    <w:rsid w:val="00D81C0F"/>
    <w:rsid w:val="00D81F7A"/>
    <w:rsid w:val="00D82F13"/>
    <w:rsid w:val="00D8315C"/>
    <w:rsid w:val="00D831B4"/>
    <w:rsid w:val="00D8373A"/>
    <w:rsid w:val="00D8417B"/>
    <w:rsid w:val="00D8532B"/>
    <w:rsid w:val="00D85467"/>
    <w:rsid w:val="00D85575"/>
    <w:rsid w:val="00D85B2D"/>
    <w:rsid w:val="00D86309"/>
    <w:rsid w:val="00D86460"/>
    <w:rsid w:val="00D864E3"/>
    <w:rsid w:val="00D868BD"/>
    <w:rsid w:val="00D86CE5"/>
    <w:rsid w:val="00D86F94"/>
    <w:rsid w:val="00D87A79"/>
    <w:rsid w:val="00D90C6B"/>
    <w:rsid w:val="00D90C8A"/>
    <w:rsid w:val="00D91C4B"/>
    <w:rsid w:val="00D92990"/>
    <w:rsid w:val="00D92EE3"/>
    <w:rsid w:val="00D930BA"/>
    <w:rsid w:val="00D93178"/>
    <w:rsid w:val="00D93576"/>
    <w:rsid w:val="00D93A10"/>
    <w:rsid w:val="00D940AF"/>
    <w:rsid w:val="00D94126"/>
    <w:rsid w:val="00D94C7B"/>
    <w:rsid w:val="00D94E01"/>
    <w:rsid w:val="00D95551"/>
    <w:rsid w:val="00D959FC"/>
    <w:rsid w:val="00D96CCA"/>
    <w:rsid w:val="00D974C4"/>
    <w:rsid w:val="00D9784F"/>
    <w:rsid w:val="00D979BD"/>
    <w:rsid w:val="00D97E3D"/>
    <w:rsid w:val="00DA06DF"/>
    <w:rsid w:val="00DA07E1"/>
    <w:rsid w:val="00DA0813"/>
    <w:rsid w:val="00DA0A92"/>
    <w:rsid w:val="00DA0AB1"/>
    <w:rsid w:val="00DA0C4C"/>
    <w:rsid w:val="00DA0FBC"/>
    <w:rsid w:val="00DA1600"/>
    <w:rsid w:val="00DA189A"/>
    <w:rsid w:val="00DA23B7"/>
    <w:rsid w:val="00DA2761"/>
    <w:rsid w:val="00DA2AA1"/>
    <w:rsid w:val="00DA2D5A"/>
    <w:rsid w:val="00DA3200"/>
    <w:rsid w:val="00DA385D"/>
    <w:rsid w:val="00DA39B8"/>
    <w:rsid w:val="00DA4382"/>
    <w:rsid w:val="00DA447C"/>
    <w:rsid w:val="00DA4B9B"/>
    <w:rsid w:val="00DA4E13"/>
    <w:rsid w:val="00DA507F"/>
    <w:rsid w:val="00DA52FF"/>
    <w:rsid w:val="00DA593C"/>
    <w:rsid w:val="00DA6027"/>
    <w:rsid w:val="00DA7483"/>
    <w:rsid w:val="00DA7BA2"/>
    <w:rsid w:val="00DA7F6B"/>
    <w:rsid w:val="00DB0345"/>
    <w:rsid w:val="00DB056E"/>
    <w:rsid w:val="00DB0A57"/>
    <w:rsid w:val="00DB1581"/>
    <w:rsid w:val="00DB225D"/>
    <w:rsid w:val="00DB2895"/>
    <w:rsid w:val="00DB2C87"/>
    <w:rsid w:val="00DB32B8"/>
    <w:rsid w:val="00DB3361"/>
    <w:rsid w:val="00DB343D"/>
    <w:rsid w:val="00DB419F"/>
    <w:rsid w:val="00DB46B2"/>
    <w:rsid w:val="00DB4700"/>
    <w:rsid w:val="00DB5866"/>
    <w:rsid w:val="00DB6296"/>
    <w:rsid w:val="00DB6437"/>
    <w:rsid w:val="00DB6C63"/>
    <w:rsid w:val="00DB7081"/>
    <w:rsid w:val="00DB7450"/>
    <w:rsid w:val="00DB7717"/>
    <w:rsid w:val="00DB7756"/>
    <w:rsid w:val="00DB7787"/>
    <w:rsid w:val="00DC064A"/>
    <w:rsid w:val="00DC0AEC"/>
    <w:rsid w:val="00DC0C21"/>
    <w:rsid w:val="00DC1CF4"/>
    <w:rsid w:val="00DC22AE"/>
    <w:rsid w:val="00DC25BA"/>
    <w:rsid w:val="00DC28A6"/>
    <w:rsid w:val="00DC2AC4"/>
    <w:rsid w:val="00DC3392"/>
    <w:rsid w:val="00DC37B2"/>
    <w:rsid w:val="00DC3875"/>
    <w:rsid w:val="00DC3AD3"/>
    <w:rsid w:val="00DC4280"/>
    <w:rsid w:val="00DC42DE"/>
    <w:rsid w:val="00DC42F3"/>
    <w:rsid w:val="00DC46D1"/>
    <w:rsid w:val="00DC516E"/>
    <w:rsid w:val="00DC56D6"/>
    <w:rsid w:val="00DC59B7"/>
    <w:rsid w:val="00DC5D09"/>
    <w:rsid w:val="00DC5F16"/>
    <w:rsid w:val="00DC6FB4"/>
    <w:rsid w:val="00DC701F"/>
    <w:rsid w:val="00DC7359"/>
    <w:rsid w:val="00DC7C83"/>
    <w:rsid w:val="00DD0B51"/>
    <w:rsid w:val="00DD111D"/>
    <w:rsid w:val="00DD1588"/>
    <w:rsid w:val="00DD168A"/>
    <w:rsid w:val="00DD1B4F"/>
    <w:rsid w:val="00DD20E5"/>
    <w:rsid w:val="00DD21E4"/>
    <w:rsid w:val="00DD2765"/>
    <w:rsid w:val="00DD36D8"/>
    <w:rsid w:val="00DD4B64"/>
    <w:rsid w:val="00DD55B4"/>
    <w:rsid w:val="00DD5775"/>
    <w:rsid w:val="00DD59A5"/>
    <w:rsid w:val="00DD6DB5"/>
    <w:rsid w:val="00DD769F"/>
    <w:rsid w:val="00DE009F"/>
    <w:rsid w:val="00DE04E6"/>
    <w:rsid w:val="00DE06EF"/>
    <w:rsid w:val="00DE0C8A"/>
    <w:rsid w:val="00DE1378"/>
    <w:rsid w:val="00DE21CF"/>
    <w:rsid w:val="00DE2950"/>
    <w:rsid w:val="00DE2E83"/>
    <w:rsid w:val="00DE2EC0"/>
    <w:rsid w:val="00DE30C8"/>
    <w:rsid w:val="00DE3510"/>
    <w:rsid w:val="00DE3762"/>
    <w:rsid w:val="00DE391C"/>
    <w:rsid w:val="00DE3B35"/>
    <w:rsid w:val="00DE3F89"/>
    <w:rsid w:val="00DE44A7"/>
    <w:rsid w:val="00DE45E5"/>
    <w:rsid w:val="00DE4BE3"/>
    <w:rsid w:val="00DE4CCA"/>
    <w:rsid w:val="00DE58C3"/>
    <w:rsid w:val="00DE5B43"/>
    <w:rsid w:val="00DE628B"/>
    <w:rsid w:val="00DE62EB"/>
    <w:rsid w:val="00DE668F"/>
    <w:rsid w:val="00DE7439"/>
    <w:rsid w:val="00DE79F0"/>
    <w:rsid w:val="00DF0722"/>
    <w:rsid w:val="00DF0A81"/>
    <w:rsid w:val="00DF0B7E"/>
    <w:rsid w:val="00DF1C43"/>
    <w:rsid w:val="00DF21E7"/>
    <w:rsid w:val="00DF26FB"/>
    <w:rsid w:val="00DF2CCD"/>
    <w:rsid w:val="00DF2CDF"/>
    <w:rsid w:val="00DF33D5"/>
    <w:rsid w:val="00DF3470"/>
    <w:rsid w:val="00DF35E9"/>
    <w:rsid w:val="00DF35F0"/>
    <w:rsid w:val="00DF36BD"/>
    <w:rsid w:val="00DF38B3"/>
    <w:rsid w:val="00DF3CA9"/>
    <w:rsid w:val="00DF3D0C"/>
    <w:rsid w:val="00DF3EE9"/>
    <w:rsid w:val="00DF4639"/>
    <w:rsid w:val="00DF499D"/>
    <w:rsid w:val="00DF4C2D"/>
    <w:rsid w:val="00DF4DFE"/>
    <w:rsid w:val="00DF547F"/>
    <w:rsid w:val="00DF5B17"/>
    <w:rsid w:val="00DF5E16"/>
    <w:rsid w:val="00DF611F"/>
    <w:rsid w:val="00DF6548"/>
    <w:rsid w:val="00DF67A2"/>
    <w:rsid w:val="00DF689E"/>
    <w:rsid w:val="00DF69B3"/>
    <w:rsid w:val="00DF6A8A"/>
    <w:rsid w:val="00DF71EE"/>
    <w:rsid w:val="00DF73F6"/>
    <w:rsid w:val="00DF7549"/>
    <w:rsid w:val="00DF76AF"/>
    <w:rsid w:val="00E01188"/>
    <w:rsid w:val="00E01806"/>
    <w:rsid w:val="00E0204A"/>
    <w:rsid w:val="00E02388"/>
    <w:rsid w:val="00E02464"/>
    <w:rsid w:val="00E024FA"/>
    <w:rsid w:val="00E02746"/>
    <w:rsid w:val="00E02D2E"/>
    <w:rsid w:val="00E02D5F"/>
    <w:rsid w:val="00E032A1"/>
    <w:rsid w:val="00E03680"/>
    <w:rsid w:val="00E04CD9"/>
    <w:rsid w:val="00E051BC"/>
    <w:rsid w:val="00E056FD"/>
    <w:rsid w:val="00E0617E"/>
    <w:rsid w:val="00E06367"/>
    <w:rsid w:val="00E064FF"/>
    <w:rsid w:val="00E06891"/>
    <w:rsid w:val="00E06BF9"/>
    <w:rsid w:val="00E077B4"/>
    <w:rsid w:val="00E078BA"/>
    <w:rsid w:val="00E07B7A"/>
    <w:rsid w:val="00E1024C"/>
    <w:rsid w:val="00E10503"/>
    <w:rsid w:val="00E10725"/>
    <w:rsid w:val="00E108F9"/>
    <w:rsid w:val="00E1121F"/>
    <w:rsid w:val="00E116CE"/>
    <w:rsid w:val="00E11A80"/>
    <w:rsid w:val="00E11AA6"/>
    <w:rsid w:val="00E11FDB"/>
    <w:rsid w:val="00E1205B"/>
    <w:rsid w:val="00E12603"/>
    <w:rsid w:val="00E12E51"/>
    <w:rsid w:val="00E12F55"/>
    <w:rsid w:val="00E1304E"/>
    <w:rsid w:val="00E1312B"/>
    <w:rsid w:val="00E13153"/>
    <w:rsid w:val="00E138D6"/>
    <w:rsid w:val="00E13CCB"/>
    <w:rsid w:val="00E13D7D"/>
    <w:rsid w:val="00E13FBD"/>
    <w:rsid w:val="00E1413E"/>
    <w:rsid w:val="00E144D3"/>
    <w:rsid w:val="00E15290"/>
    <w:rsid w:val="00E153C4"/>
    <w:rsid w:val="00E1557E"/>
    <w:rsid w:val="00E15A71"/>
    <w:rsid w:val="00E15BDE"/>
    <w:rsid w:val="00E15D32"/>
    <w:rsid w:val="00E16013"/>
    <w:rsid w:val="00E16A84"/>
    <w:rsid w:val="00E201FB"/>
    <w:rsid w:val="00E20562"/>
    <w:rsid w:val="00E2112A"/>
    <w:rsid w:val="00E21A06"/>
    <w:rsid w:val="00E21CAE"/>
    <w:rsid w:val="00E21CDA"/>
    <w:rsid w:val="00E2207A"/>
    <w:rsid w:val="00E22081"/>
    <w:rsid w:val="00E22212"/>
    <w:rsid w:val="00E227DA"/>
    <w:rsid w:val="00E22D81"/>
    <w:rsid w:val="00E22D85"/>
    <w:rsid w:val="00E23403"/>
    <w:rsid w:val="00E23DA9"/>
    <w:rsid w:val="00E243E5"/>
    <w:rsid w:val="00E2450E"/>
    <w:rsid w:val="00E246D4"/>
    <w:rsid w:val="00E24768"/>
    <w:rsid w:val="00E2535D"/>
    <w:rsid w:val="00E25576"/>
    <w:rsid w:val="00E26B39"/>
    <w:rsid w:val="00E26B54"/>
    <w:rsid w:val="00E26BE1"/>
    <w:rsid w:val="00E26DA7"/>
    <w:rsid w:val="00E271BB"/>
    <w:rsid w:val="00E3034E"/>
    <w:rsid w:val="00E3107B"/>
    <w:rsid w:val="00E3120C"/>
    <w:rsid w:val="00E31394"/>
    <w:rsid w:val="00E31762"/>
    <w:rsid w:val="00E319AB"/>
    <w:rsid w:val="00E31FFA"/>
    <w:rsid w:val="00E3333C"/>
    <w:rsid w:val="00E33F56"/>
    <w:rsid w:val="00E341A8"/>
    <w:rsid w:val="00E342C9"/>
    <w:rsid w:val="00E34A51"/>
    <w:rsid w:val="00E3521B"/>
    <w:rsid w:val="00E35493"/>
    <w:rsid w:val="00E3571E"/>
    <w:rsid w:val="00E3602D"/>
    <w:rsid w:val="00E360F9"/>
    <w:rsid w:val="00E362EC"/>
    <w:rsid w:val="00E36560"/>
    <w:rsid w:val="00E3673D"/>
    <w:rsid w:val="00E36B87"/>
    <w:rsid w:val="00E401AA"/>
    <w:rsid w:val="00E402C2"/>
    <w:rsid w:val="00E41466"/>
    <w:rsid w:val="00E41601"/>
    <w:rsid w:val="00E42556"/>
    <w:rsid w:val="00E425AE"/>
    <w:rsid w:val="00E42778"/>
    <w:rsid w:val="00E42A15"/>
    <w:rsid w:val="00E42EDB"/>
    <w:rsid w:val="00E42F3C"/>
    <w:rsid w:val="00E43172"/>
    <w:rsid w:val="00E44002"/>
    <w:rsid w:val="00E44156"/>
    <w:rsid w:val="00E443F4"/>
    <w:rsid w:val="00E44C4C"/>
    <w:rsid w:val="00E45161"/>
    <w:rsid w:val="00E45608"/>
    <w:rsid w:val="00E45DEE"/>
    <w:rsid w:val="00E46449"/>
    <w:rsid w:val="00E4647C"/>
    <w:rsid w:val="00E4670B"/>
    <w:rsid w:val="00E473CA"/>
    <w:rsid w:val="00E47940"/>
    <w:rsid w:val="00E47A92"/>
    <w:rsid w:val="00E47BDF"/>
    <w:rsid w:val="00E5041B"/>
    <w:rsid w:val="00E50B6C"/>
    <w:rsid w:val="00E50C50"/>
    <w:rsid w:val="00E50CA5"/>
    <w:rsid w:val="00E510C4"/>
    <w:rsid w:val="00E511CF"/>
    <w:rsid w:val="00E5144B"/>
    <w:rsid w:val="00E530C4"/>
    <w:rsid w:val="00E531BD"/>
    <w:rsid w:val="00E53469"/>
    <w:rsid w:val="00E5447B"/>
    <w:rsid w:val="00E54495"/>
    <w:rsid w:val="00E54775"/>
    <w:rsid w:val="00E54BE7"/>
    <w:rsid w:val="00E54FCA"/>
    <w:rsid w:val="00E553E5"/>
    <w:rsid w:val="00E5558B"/>
    <w:rsid w:val="00E5565F"/>
    <w:rsid w:val="00E55687"/>
    <w:rsid w:val="00E5632D"/>
    <w:rsid w:val="00E5640B"/>
    <w:rsid w:val="00E564AD"/>
    <w:rsid w:val="00E56C55"/>
    <w:rsid w:val="00E56C8F"/>
    <w:rsid w:val="00E56E6E"/>
    <w:rsid w:val="00E573AB"/>
    <w:rsid w:val="00E57944"/>
    <w:rsid w:val="00E60058"/>
    <w:rsid w:val="00E60FB6"/>
    <w:rsid w:val="00E610ED"/>
    <w:rsid w:val="00E6157E"/>
    <w:rsid w:val="00E62042"/>
    <w:rsid w:val="00E620A0"/>
    <w:rsid w:val="00E62845"/>
    <w:rsid w:val="00E62B74"/>
    <w:rsid w:val="00E62BC8"/>
    <w:rsid w:val="00E62C1A"/>
    <w:rsid w:val="00E6316E"/>
    <w:rsid w:val="00E63835"/>
    <w:rsid w:val="00E64439"/>
    <w:rsid w:val="00E64487"/>
    <w:rsid w:val="00E64527"/>
    <w:rsid w:val="00E649B6"/>
    <w:rsid w:val="00E64AD4"/>
    <w:rsid w:val="00E657FE"/>
    <w:rsid w:val="00E65AB1"/>
    <w:rsid w:val="00E661EC"/>
    <w:rsid w:val="00E6647C"/>
    <w:rsid w:val="00E66D7A"/>
    <w:rsid w:val="00E671E0"/>
    <w:rsid w:val="00E6742A"/>
    <w:rsid w:val="00E675D7"/>
    <w:rsid w:val="00E6786D"/>
    <w:rsid w:val="00E6786F"/>
    <w:rsid w:val="00E67AF2"/>
    <w:rsid w:val="00E67BFD"/>
    <w:rsid w:val="00E7021A"/>
    <w:rsid w:val="00E7120C"/>
    <w:rsid w:val="00E7148B"/>
    <w:rsid w:val="00E7161B"/>
    <w:rsid w:val="00E717D9"/>
    <w:rsid w:val="00E71A2B"/>
    <w:rsid w:val="00E71BC6"/>
    <w:rsid w:val="00E71F16"/>
    <w:rsid w:val="00E726F3"/>
    <w:rsid w:val="00E728C2"/>
    <w:rsid w:val="00E72EC1"/>
    <w:rsid w:val="00E73429"/>
    <w:rsid w:val="00E73F3F"/>
    <w:rsid w:val="00E7448E"/>
    <w:rsid w:val="00E74B0F"/>
    <w:rsid w:val="00E75570"/>
    <w:rsid w:val="00E75B35"/>
    <w:rsid w:val="00E7620C"/>
    <w:rsid w:val="00E771A3"/>
    <w:rsid w:val="00E7780C"/>
    <w:rsid w:val="00E77B48"/>
    <w:rsid w:val="00E80ABC"/>
    <w:rsid w:val="00E80E4A"/>
    <w:rsid w:val="00E8116E"/>
    <w:rsid w:val="00E812EE"/>
    <w:rsid w:val="00E81485"/>
    <w:rsid w:val="00E81E5A"/>
    <w:rsid w:val="00E81FB2"/>
    <w:rsid w:val="00E824D9"/>
    <w:rsid w:val="00E825E4"/>
    <w:rsid w:val="00E827E7"/>
    <w:rsid w:val="00E828D0"/>
    <w:rsid w:val="00E839FE"/>
    <w:rsid w:val="00E84147"/>
    <w:rsid w:val="00E84287"/>
    <w:rsid w:val="00E84B16"/>
    <w:rsid w:val="00E84B9B"/>
    <w:rsid w:val="00E85DA3"/>
    <w:rsid w:val="00E85DA9"/>
    <w:rsid w:val="00E85FE8"/>
    <w:rsid w:val="00E860FA"/>
    <w:rsid w:val="00E861A0"/>
    <w:rsid w:val="00E86335"/>
    <w:rsid w:val="00E8662B"/>
    <w:rsid w:val="00E867AA"/>
    <w:rsid w:val="00E868A4"/>
    <w:rsid w:val="00E868E9"/>
    <w:rsid w:val="00E86912"/>
    <w:rsid w:val="00E86B80"/>
    <w:rsid w:val="00E8742C"/>
    <w:rsid w:val="00E878E5"/>
    <w:rsid w:val="00E87E55"/>
    <w:rsid w:val="00E9022C"/>
    <w:rsid w:val="00E915C1"/>
    <w:rsid w:val="00E9184B"/>
    <w:rsid w:val="00E91F3D"/>
    <w:rsid w:val="00E926FA"/>
    <w:rsid w:val="00E9326A"/>
    <w:rsid w:val="00E93506"/>
    <w:rsid w:val="00E93A4B"/>
    <w:rsid w:val="00E93F81"/>
    <w:rsid w:val="00E93FEA"/>
    <w:rsid w:val="00E94A80"/>
    <w:rsid w:val="00E94B2E"/>
    <w:rsid w:val="00E94E13"/>
    <w:rsid w:val="00E956AD"/>
    <w:rsid w:val="00E95922"/>
    <w:rsid w:val="00E95CAD"/>
    <w:rsid w:val="00E96170"/>
    <w:rsid w:val="00E96374"/>
    <w:rsid w:val="00E96613"/>
    <w:rsid w:val="00E97287"/>
    <w:rsid w:val="00E9733A"/>
    <w:rsid w:val="00E97721"/>
    <w:rsid w:val="00E97C46"/>
    <w:rsid w:val="00E97DAD"/>
    <w:rsid w:val="00EA019C"/>
    <w:rsid w:val="00EA10D3"/>
    <w:rsid w:val="00EA1408"/>
    <w:rsid w:val="00EA1943"/>
    <w:rsid w:val="00EA1D21"/>
    <w:rsid w:val="00EA2076"/>
    <w:rsid w:val="00EA209C"/>
    <w:rsid w:val="00EA29D7"/>
    <w:rsid w:val="00EA29F0"/>
    <w:rsid w:val="00EA2E0E"/>
    <w:rsid w:val="00EA3033"/>
    <w:rsid w:val="00EA306F"/>
    <w:rsid w:val="00EA31FC"/>
    <w:rsid w:val="00EA3243"/>
    <w:rsid w:val="00EA39CA"/>
    <w:rsid w:val="00EA3AAC"/>
    <w:rsid w:val="00EA3BD8"/>
    <w:rsid w:val="00EA42FF"/>
    <w:rsid w:val="00EA4C5F"/>
    <w:rsid w:val="00EA4E63"/>
    <w:rsid w:val="00EA52AC"/>
    <w:rsid w:val="00EA5592"/>
    <w:rsid w:val="00EA5742"/>
    <w:rsid w:val="00EA6079"/>
    <w:rsid w:val="00EA6370"/>
    <w:rsid w:val="00EA64E0"/>
    <w:rsid w:val="00EA699C"/>
    <w:rsid w:val="00EA6E05"/>
    <w:rsid w:val="00EA6F5F"/>
    <w:rsid w:val="00EA722B"/>
    <w:rsid w:val="00EA72B3"/>
    <w:rsid w:val="00EA745C"/>
    <w:rsid w:val="00EA7D5E"/>
    <w:rsid w:val="00EB0AAA"/>
    <w:rsid w:val="00EB17DB"/>
    <w:rsid w:val="00EB19B4"/>
    <w:rsid w:val="00EB3691"/>
    <w:rsid w:val="00EB38F2"/>
    <w:rsid w:val="00EB3993"/>
    <w:rsid w:val="00EB4BDE"/>
    <w:rsid w:val="00EB589D"/>
    <w:rsid w:val="00EB592A"/>
    <w:rsid w:val="00EB5A0C"/>
    <w:rsid w:val="00EB5DF3"/>
    <w:rsid w:val="00EB5F21"/>
    <w:rsid w:val="00EB6083"/>
    <w:rsid w:val="00EB7065"/>
    <w:rsid w:val="00EB7178"/>
    <w:rsid w:val="00EB74D6"/>
    <w:rsid w:val="00EB762B"/>
    <w:rsid w:val="00EC0578"/>
    <w:rsid w:val="00EC0901"/>
    <w:rsid w:val="00EC0CB7"/>
    <w:rsid w:val="00EC1BA4"/>
    <w:rsid w:val="00EC20BD"/>
    <w:rsid w:val="00EC22A4"/>
    <w:rsid w:val="00EC282D"/>
    <w:rsid w:val="00EC2A52"/>
    <w:rsid w:val="00EC2A9D"/>
    <w:rsid w:val="00EC31FD"/>
    <w:rsid w:val="00EC38BE"/>
    <w:rsid w:val="00EC4829"/>
    <w:rsid w:val="00EC4941"/>
    <w:rsid w:val="00EC4F00"/>
    <w:rsid w:val="00EC4FE9"/>
    <w:rsid w:val="00EC58D6"/>
    <w:rsid w:val="00EC5963"/>
    <w:rsid w:val="00EC5A47"/>
    <w:rsid w:val="00EC5AC8"/>
    <w:rsid w:val="00EC5B31"/>
    <w:rsid w:val="00EC6A4A"/>
    <w:rsid w:val="00EC6D14"/>
    <w:rsid w:val="00EC712D"/>
    <w:rsid w:val="00EC71A4"/>
    <w:rsid w:val="00EC7446"/>
    <w:rsid w:val="00ED0093"/>
    <w:rsid w:val="00ED0645"/>
    <w:rsid w:val="00ED0A99"/>
    <w:rsid w:val="00ED10A5"/>
    <w:rsid w:val="00ED1272"/>
    <w:rsid w:val="00ED206B"/>
    <w:rsid w:val="00ED23E8"/>
    <w:rsid w:val="00ED26A7"/>
    <w:rsid w:val="00ED26B7"/>
    <w:rsid w:val="00ED27B9"/>
    <w:rsid w:val="00ED27D3"/>
    <w:rsid w:val="00ED291E"/>
    <w:rsid w:val="00ED2ACB"/>
    <w:rsid w:val="00ED330A"/>
    <w:rsid w:val="00ED36C6"/>
    <w:rsid w:val="00ED3CC7"/>
    <w:rsid w:val="00ED3F69"/>
    <w:rsid w:val="00ED3F90"/>
    <w:rsid w:val="00ED45CF"/>
    <w:rsid w:val="00ED47CC"/>
    <w:rsid w:val="00ED4CD6"/>
    <w:rsid w:val="00ED4E6C"/>
    <w:rsid w:val="00ED4E6F"/>
    <w:rsid w:val="00ED516D"/>
    <w:rsid w:val="00ED54E8"/>
    <w:rsid w:val="00ED57AC"/>
    <w:rsid w:val="00ED59AA"/>
    <w:rsid w:val="00ED5D3F"/>
    <w:rsid w:val="00ED665E"/>
    <w:rsid w:val="00ED7178"/>
    <w:rsid w:val="00ED7195"/>
    <w:rsid w:val="00ED72DF"/>
    <w:rsid w:val="00ED7D55"/>
    <w:rsid w:val="00ED7F61"/>
    <w:rsid w:val="00EE00A1"/>
    <w:rsid w:val="00EE02AC"/>
    <w:rsid w:val="00EE07B2"/>
    <w:rsid w:val="00EE0F13"/>
    <w:rsid w:val="00EE1C6B"/>
    <w:rsid w:val="00EE224B"/>
    <w:rsid w:val="00EE23B2"/>
    <w:rsid w:val="00EE23C6"/>
    <w:rsid w:val="00EE29F2"/>
    <w:rsid w:val="00EE2C39"/>
    <w:rsid w:val="00EE311E"/>
    <w:rsid w:val="00EE3F1C"/>
    <w:rsid w:val="00EE402A"/>
    <w:rsid w:val="00EE421E"/>
    <w:rsid w:val="00EE50CE"/>
    <w:rsid w:val="00EE5282"/>
    <w:rsid w:val="00EE52EA"/>
    <w:rsid w:val="00EE54AE"/>
    <w:rsid w:val="00EE60B2"/>
    <w:rsid w:val="00EE7B69"/>
    <w:rsid w:val="00EE7D22"/>
    <w:rsid w:val="00EF0062"/>
    <w:rsid w:val="00EF0582"/>
    <w:rsid w:val="00EF0E33"/>
    <w:rsid w:val="00EF0F02"/>
    <w:rsid w:val="00EF10B2"/>
    <w:rsid w:val="00EF12E4"/>
    <w:rsid w:val="00EF171D"/>
    <w:rsid w:val="00EF2208"/>
    <w:rsid w:val="00EF223A"/>
    <w:rsid w:val="00EF23E0"/>
    <w:rsid w:val="00EF25AD"/>
    <w:rsid w:val="00EF3775"/>
    <w:rsid w:val="00EF4B6F"/>
    <w:rsid w:val="00EF4C1E"/>
    <w:rsid w:val="00EF5107"/>
    <w:rsid w:val="00EF52D2"/>
    <w:rsid w:val="00EF55D3"/>
    <w:rsid w:val="00EF5D09"/>
    <w:rsid w:val="00EF6C6C"/>
    <w:rsid w:val="00EF6F5A"/>
    <w:rsid w:val="00EF6FE5"/>
    <w:rsid w:val="00EF720E"/>
    <w:rsid w:val="00EF776C"/>
    <w:rsid w:val="00F00003"/>
    <w:rsid w:val="00F0006B"/>
    <w:rsid w:val="00F005F8"/>
    <w:rsid w:val="00F0087B"/>
    <w:rsid w:val="00F0097A"/>
    <w:rsid w:val="00F0133E"/>
    <w:rsid w:val="00F028CE"/>
    <w:rsid w:val="00F0303B"/>
    <w:rsid w:val="00F03D0B"/>
    <w:rsid w:val="00F03E3C"/>
    <w:rsid w:val="00F0452B"/>
    <w:rsid w:val="00F0458B"/>
    <w:rsid w:val="00F047AE"/>
    <w:rsid w:val="00F04A83"/>
    <w:rsid w:val="00F04E3F"/>
    <w:rsid w:val="00F0511F"/>
    <w:rsid w:val="00F05540"/>
    <w:rsid w:val="00F060D4"/>
    <w:rsid w:val="00F06A72"/>
    <w:rsid w:val="00F06C3D"/>
    <w:rsid w:val="00F06EA4"/>
    <w:rsid w:val="00F07137"/>
    <w:rsid w:val="00F07423"/>
    <w:rsid w:val="00F07995"/>
    <w:rsid w:val="00F07A89"/>
    <w:rsid w:val="00F1012C"/>
    <w:rsid w:val="00F10623"/>
    <w:rsid w:val="00F107BD"/>
    <w:rsid w:val="00F10816"/>
    <w:rsid w:val="00F10967"/>
    <w:rsid w:val="00F10AAE"/>
    <w:rsid w:val="00F10CB6"/>
    <w:rsid w:val="00F115BC"/>
    <w:rsid w:val="00F117B4"/>
    <w:rsid w:val="00F119E7"/>
    <w:rsid w:val="00F120BD"/>
    <w:rsid w:val="00F1231C"/>
    <w:rsid w:val="00F127E8"/>
    <w:rsid w:val="00F12941"/>
    <w:rsid w:val="00F130B6"/>
    <w:rsid w:val="00F13231"/>
    <w:rsid w:val="00F139FF"/>
    <w:rsid w:val="00F14168"/>
    <w:rsid w:val="00F143E1"/>
    <w:rsid w:val="00F14B03"/>
    <w:rsid w:val="00F15114"/>
    <w:rsid w:val="00F15A7D"/>
    <w:rsid w:val="00F15DB3"/>
    <w:rsid w:val="00F16257"/>
    <w:rsid w:val="00F1628A"/>
    <w:rsid w:val="00F164AE"/>
    <w:rsid w:val="00F167FF"/>
    <w:rsid w:val="00F16914"/>
    <w:rsid w:val="00F16E1E"/>
    <w:rsid w:val="00F17199"/>
    <w:rsid w:val="00F204BC"/>
    <w:rsid w:val="00F207D5"/>
    <w:rsid w:val="00F20A3C"/>
    <w:rsid w:val="00F20A63"/>
    <w:rsid w:val="00F21135"/>
    <w:rsid w:val="00F211C5"/>
    <w:rsid w:val="00F22723"/>
    <w:rsid w:val="00F22AA7"/>
    <w:rsid w:val="00F22ECE"/>
    <w:rsid w:val="00F22F90"/>
    <w:rsid w:val="00F239A8"/>
    <w:rsid w:val="00F24500"/>
    <w:rsid w:val="00F245D8"/>
    <w:rsid w:val="00F24D7F"/>
    <w:rsid w:val="00F2539F"/>
    <w:rsid w:val="00F2573D"/>
    <w:rsid w:val="00F257AE"/>
    <w:rsid w:val="00F25A0D"/>
    <w:rsid w:val="00F25B72"/>
    <w:rsid w:val="00F25E07"/>
    <w:rsid w:val="00F26CC6"/>
    <w:rsid w:val="00F26F03"/>
    <w:rsid w:val="00F27771"/>
    <w:rsid w:val="00F277A1"/>
    <w:rsid w:val="00F2791B"/>
    <w:rsid w:val="00F27A80"/>
    <w:rsid w:val="00F300DB"/>
    <w:rsid w:val="00F310A1"/>
    <w:rsid w:val="00F3127A"/>
    <w:rsid w:val="00F3181C"/>
    <w:rsid w:val="00F31AA6"/>
    <w:rsid w:val="00F31F77"/>
    <w:rsid w:val="00F32260"/>
    <w:rsid w:val="00F323FD"/>
    <w:rsid w:val="00F324C2"/>
    <w:rsid w:val="00F328A8"/>
    <w:rsid w:val="00F32E79"/>
    <w:rsid w:val="00F33509"/>
    <w:rsid w:val="00F3358C"/>
    <w:rsid w:val="00F33656"/>
    <w:rsid w:val="00F33F5A"/>
    <w:rsid w:val="00F34230"/>
    <w:rsid w:val="00F34B1D"/>
    <w:rsid w:val="00F34DED"/>
    <w:rsid w:val="00F3536E"/>
    <w:rsid w:val="00F355AD"/>
    <w:rsid w:val="00F356C1"/>
    <w:rsid w:val="00F357EA"/>
    <w:rsid w:val="00F35BFE"/>
    <w:rsid w:val="00F362A4"/>
    <w:rsid w:val="00F3644A"/>
    <w:rsid w:val="00F367F9"/>
    <w:rsid w:val="00F36EF1"/>
    <w:rsid w:val="00F36F16"/>
    <w:rsid w:val="00F372EC"/>
    <w:rsid w:val="00F377C2"/>
    <w:rsid w:val="00F37BF8"/>
    <w:rsid w:val="00F37D0C"/>
    <w:rsid w:val="00F37F02"/>
    <w:rsid w:val="00F4012A"/>
    <w:rsid w:val="00F40713"/>
    <w:rsid w:val="00F4091B"/>
    <w:rsid w:val="00F409A8"/>
    <w:rsid w:val="00F40B1D"/>
    <w:rsid w:val="00F40EAD"/>
    <w:rsid w:val="00F41B3A"/>
    <w:rsid w:val="00F41C15"/>
    <w:rsid w:val="00F41FF7"/>
    <w:rsid w:val="00F42AE5"/>
    <w:rsid w:val="00F43515"/>
    <w:rsid w:val="00F43566"/>
    <w:rsid w:val="00F438CA"/>
    <w:rsid w:val="00F439AA"/>
    <w:rsid w:val="00F439BD"/>
    <w:rsid w:val="00F44C5D"/>
    <w:rsid w:val="00F44F23"/>
    <w:rsid w:val="00F44F47"/>
    <w:rsid w:val="00F45280"/>
    <w:rsid w:val="00F4553D"/>
    <w:rsid w:val="00F46669"/>
    <w:rsid w:val="00F46B53"/>
    <w:rsid w:val="00F46F75"/>
    <w:rsid w:val="00F4745B"/>
    <w:rsid w:val="00F47CE3"/>
    <w:rsid w:val="00F503BF"/>
    <w:rsid w:val="00F50411"/>
    <w:rsid w:val="00F514D0"/>
    <w:rsid w:val="00F51890"/>
    <w:rsid w:val="00F5225F"/>
    <w:rsid w:val="00F525F0"/>
    <w:rsid w:val="00F52A10"/>
    <w:rsid w:val="00F52CC2"/>
    <w:rsid w:val="00F53B96"/>
    <w:rsid w:val="00F5419E"/>
    <w:rsid w:val="00F54E30"/>
    <w:rsid w:val="00F55E64"/>
    <w:rsid w:val="00F55EFF"/>
    <w:rsid w:val="00F5603A"/>
    <w:rsid w:val="00F561F7"/>
    <w:rsid w:val="00F56A41"/>
    <w:rsid w:val="00F56AA3"/>
    <w:rsid w:val="00F56CD8"/>
    <w:rsid w:val="00F57369"/>
    <w:rsid w:val="00F575E5"/>
    <w:rsid w:val="00F576B7"/>
    <w:rsid w:val="00F576FE"/>
    <w:rsid w:val="00F579C3"/>
    <w:rsid w:val="00F57A3C"/>
    <w:rsid w:val="00F57BB2"/>
    <w:rsid w:val="00F57C11"/>
    <w:rsid w:val="00F57FD2"/>
    <w:rsid w:val="00F607BF"/>
    <w:rsid w:val="00F60812"/>
    <w:rsid w:val="00F6118C"/>
    <w:rsid w:val="00F61192"/>
    <w:rsid w:val="00F61321"/>
    <w:rsid w:val="00F616DB"/>
    <w:rsid w:val="00F6199D"/>
    <w:rsid w:val="00F61EED"/>
    <w:rsid w:val="00F61FED"/>
    <w:rsid w:val="00F6214A"/>
    <w:rsid w:val="00F623AB"/>
    <w:rsid w:val="00F6284E"/>
    <w:rsid w:val="00F6296E"/>
    <w:rsid w:val="00F62EE9"/>
    <w:rsid w:val="00F62F7E"/>
    <w:rsid w:val="00F635D9"/>
    <w:rsid w:val="00F639B6"/>
    <w:rsid w:val="00F646E1"/>
    <w:rsid w:val="00F647F8"/>
    <w:rsid w:val="00F64B75"/>
    <w:rsid w:val="00F651CC"/>
    <w:rsid w:val="00F6539B"/>
    <w:rsid w:val="00F655B7"/>
    <w:rsid w:val="00F657B0"/>
    <w:rsid w:val="00F65A84"/>
    <w:rsid w:val="00F6647D"/>
    <w:rsid w:val="00F66640"/>
    <w:rsid w:val="00F667C8"/>
    <w:rsid w:val="00F66C08"/>
    <w:rsid w:val="00F66EA0"/>
    <w:rsid w:val="00F66FEE"/>
    <w:rsid w:val="00F673BB"/>
    <w:rsid w:val="00F67472"/>
    <w:rsid w:val="00F675BB"/>
    <w:rsid w:val="00F67D39"/>
    <w:rsid w:val="00F705C4"/>
    <w:rsid w:val="00F70FCF"/>
    <w:rsid w:val="00F716F9"/>
    <w:rsid w:val="00F72222"/>
    <w:rsid w:val="00F72283"/>
    <w:rsid w:val="00F72A80"/>
    <w:rsid w:val="00F72C4D"/>
    <w:rsid w:val="00F72F46"/>
    <w:rsid w:val="00F733D0"/>
    <w:rsid w:val="00F73C1E"/>
    <w:rsid w:val="00F7467C"/>
    <w:rsid w:val="00F75810"/>
    <w:rsid w:val="00F75AC0"/>
    <w:rsid w:val="00F75DFE"/>
    <w:rsid w:val="00F76AB1"/>
    <w:rsid w:val="00F76BE8"/>
    <w:rsid w:val="00F77744"/>
    <w:rsid w:val="00F77A1F"/>
    <w:rsid w:val="00F80CC1"/>
    <w:rsid w:val="00F80EAA"/>
    <w:rsid w:val="00F812F1"/>
    <w:rsid w:val="00F81D2F"/>
    <w:rsid w:val="00F8276A"/>
    <w:rsid w:val="00F830E8"/>
    <w:rsid w:val="00F8318C"/>
    <w:rsid w:val="00F83C19"/>
    <w:rsid w:val="00F83D48"/>
    <w:rsid w:val="00F83DA7"/>
    <w:rsid w:val="00F842E7"/>
    <w:rsid w:val="00F86DE7"/>
    <w:rsid w:val="00F86E0B"/>
    <w:rsid w:val="00F876DD"/>
    <w:rsid w:val="00F87D18"/>
    <w:rsid w:val="00F87E91"/>
    <w:rsid w:val="00F9094B"/>
    <w:rsid w:val="00F91423"/>
    <w:rsid w:val="00F9241C"/>
    <w:rsid w:val="00F93005"/>
    <w:rsid w:val="00F9345D"/>
    <w:rsid w:val="00F9367D"/>
    <w:rsid w:val="00F93853"/>
    <w:rsid w:val="00F942CF"/>
    <w:rsid w:val="00F9439C"/>
    <w:rsid w:val="00F944DF"/>
    <w:rsid w:val="00F94579"/>
    <w:rsid w:val="00F96136"/>
    <w:rsid w:val="00F9618F"/>
    <w:rsid w:val="00F963E3"/>
    <w:rsid w:val="00F96545"/>
    <w:rsid w:val="00F9658A"/>
    <w:rsid w:val="00F96B55"/>
    <w:rsid w:val="00F9750B"/>
    <w:rsid w:val="00F976B0"/>
    <w:rsid w:val="00FA00AE"/>
    <w:rsid w:val="00FA028F"/>
    <w:rsid w:val="00FA0F56"/>
    <w:rsid w:val="00FA2174"/>
    <w:rsid w:val="00FA2EB3"/>
    <w:rsid w:val="00FA35BD"/>
    <w:rsid w:val="00FA454F"/>
    <w:rsid w:val="00FA54DA"/>
    <w:rsid w:val="00FA5535"/>
    <w:rsid w:val="00FA5854"/>
    <w:rsid w:val="00FA5957"/>
    <w:rsid w:val="00FA598A"/>
    <w:rsid w:val="00FA5AE4"/>
    <w:rsid w:val="00FA5B30"/>
    <w:rsid w:val="00FA729C"/>
    <w:rsid w:val="00FA76A7"/>
    <w:rsid w:val="00FA7995"/>
    <w:rsid w:val="00FB0685"/>
    <w:rsid w:val="00FB0786"/>
    <w:rsid w:val="00FB083E"/>
    <w:rsid w:val="00FB0DFB"/>
    <w:rsid w:val="00FB159B"/>
    <w:rsid w:val="00FB197C"/>
    <w:rsid w:val="00FB1C3E"/>
    <w:rsid w:val="00FB283B"/>
    <w:rsid w:val="00FB296E"/>
    <w:rsid w:val="00FB2B9E"/>
    <w:rsid w:val="00FB3327"/>
    <w:rsid w:val="00FB39CF"/>
    <w:rsid w:val="00FB3A50"/>
    <w:rsid w:val="00FB3C39"/>
    <w:rsid w:val="00FB402B"/>
    <w:rsid w:val="00FB4CB0"/>
    <w:rsid w:val="00FB58DB"/>
    <w:rsid w:val="00FB5F15"/>
    <w:rsid w:val="00FB6047"/>
    <w:rsid w:val="00FB60BA"/>
    <w:rsid w:val="00FB623B"/>
    <w:rsid w:val="00FB64CA"/>
    <w:rsid w:val="00FB683A"/>
    <w:rsid w:val="00FB6DA1"/>
    <w:rsid w:val="00FB7166"/>
    <w:rsid w:val="00FC0107"/>
    <w:rsid w:val="00FC0490"/>
    <w:rsid w:val="00FC131D"/>
    <w:rsid w:val="00FC1ECF"/>
    <w:rsid w:val="00FC27E8"/>
    <w:rsid w:val="00FC34A5"/>
    <w:rsid w:val="00FC4349"/>
    <w:rsid w:val="00FC5219"/>
    <w:rsid w:val="00FC5B40"/>
    <w:rsid w:val="00FC5BE4"/>
    <w:rsid w:val="00FC6636"/>
    <w:rsid w:val="00FC678E"/>
    <w:rsid w:val="00FC6B30"/>
    <w:rsid w:val="00FC71D7"/>
    <w:rsid w:val="00FC740D"/>
    <w:rsid w:val="00FC7ACF"/>
    <w:rsid w:val="00FC7ECE"/>
    <w:rsid w:val="00FD02A3"/>
    <w:rsid w:val="00FD0637"/>
    <w:rsid w:val="00FD0E63"/>
    <w:rsid w:val="00FD112D"/>
    <w:rsid w:val="00FD14DF"/>
    <w:rsid w:val="00FD1774"/>
    <w:rsid w:val="00FD1F5E"/>
    <w:rsid w:val="00FD24AA"/>
    <w:rsid w:val="00FD2698"/>
    <w:rsid w:val="00FD27C9"/>
    <w:rsid w:val="00FD2F08"/>
    <w:rsid w:val="00FD36C6"/>
    <w:rsid w:val="00FD3A8B"/>
    <w:rsid w:val="00FD40DB"/>
    <w:rsid w:val="00FD4540"/>
    <w:rsid w:val="00FD56BF"/>
    <w:rsid w:val="00FD5D90"/>
    <w:rsid w:val="00FD5E6D"/>
    <w:rsid w:val="00FD6046"/>
    <w:rsid w:val="00FD6F29"/>
    <w:rsid w:val="00FE03B1"/>
    <w:rsid w:val="00FE05B0"/>
    <w:rsid w:val="00FE05DA"/>
    <w:rsid w:val="00FE11DD"/>
    <w:rsid w:val="00FE19A9"/>
    <w:rsid w:val="00FE1A0E"/>
    <w:rsid w:val="00FE1FE9"/>
    <w:rsid w:val="00FE2E4C"/>
    <w:rsid w:val="00FE31F1"/>
    <w:rsid w:val="00FE3E75"/>
    <w:rsid w:val="00FE43BC"/>
    <w:rsid w:val="00FE4974"/>
    <w:rsid w:val="00FE4CD9"/>
    <w:rsid w:val="00FE5210"/>
    <w:rsid w:val="00FE53AE"/>
    <w:rsid w:val="00FE5837"/>
    <w:rsid w:val="00FE598F"/>
    <w:rsid w:val="00FE66E8"/>
    <w:rsid w:val="00FE6A80"/>
    <w:rsid w:val="00FE6D1F"/>
    <w:rsid w:val="00FE7B59"/>
    <w:rsid w:val="00FE7CEA"/>
    <w:rsid w:val="00FF03ED"/>
    <w:rsid w:val="00FF0C03"/>
    <w:rsid w:val="00FF1B9F"/>
    <w:rsid w:val="00FF26C6"/>
    <w:rsid w:val="00FF27C8"/>
    <w:rsid w:val="00FF3214"/>
    <w:rsid w:val="00FF3828"/>
    <w:rsid w:val="00FF3BE4"/>
    <w:rsid w:val="00FF3C45"/>
    <w:rsid w:val="00FF466E"/>
    <w:rsid w:val="00FF5226"/>
    <w:rsid w:val="00FF5283"/>
    <w:rsid w:val="00FF52FA"/>
    <w:rsid w:val="00FF5845"/>
    <w:rsid w:val="00FF5B80"/>
    <w:rsid w:val="00FF5DE2"/>
    <w:rsid w:val="00FF6835"/>
    <w:rsid w:val="00FF69CD"/>
    <w:rsid w:val="00FF6F63"/>
    <w:rsid w:val="00FF792F"/>
    <w:rsid w:val="00FF7C9E"/>
    <w:rsid w:val="01031525"/>
    <w:rsid w:val="010F8AC5"/>
    <w:rsid w:val="01178EF4"/>
    <w:rsid w:val="012B149A"/>
    <w:rsid w:val="013DD92E"/>
    <w:rsid w:val="014EA039"/>
    <w:rsid w:val="01596D66"/>
    <w:rsid w:val="016D0C1E"/>
    <w:rsid w:val="016E2C22"/>
    <w:rsid w:val="01737A07"/>
    <w:rsid w:val="01985E13"/>
    <w:rsid w:val="01DB9E81"/>
    <w:rsid w:val="01DF149A"/>
    <w:rsid w:val="01E74B9D"/>
    <w:rsid w:val="0207E044"/>
    <w:rsid w:val="02243E5A"/>
    <w:rsid w:val="022FA17B"/>
    <w:rsid w:val="0232E588"/>
    <w:rsid w:val="0235AEE9"/>
    <w:rsid w:val="0256561F"/>
    <w:rsid w:val="0295A215"/>
    <w:rsid w:val="02A07943"/>
    <w:rsid w:val="02C294FB"/>
    <w:rsid w:val="02EA85E9"/>
    <w:rsid w:val="035E550F"/>
    <w:rsid w:val="0360A397"/>
    <w:rsid w:val="037CF13E"/>
    <w:rsid w:val="037D829B"/>
    <w:rsid w:val="038D0D66"/>
    <w:rsid w:val="03BC2395"/>
    <w:rsid w:val="03C4A8F9"/>
    <w:rsid w:val="03C587F0"/>
    <w:rsid w:val="03D2F758"/>
    <w:rsid w:val="041B2B5D"/>
    <w:rsid w:val="044DB1D8"/>
    <w:rsid w:val="0450E6D9"/>
    <w:rsid w:val="0459183E"/>
    <w:rsid w:val="04613B5C"/>
    <w:rsid w:val="0467FED4"/>
    <w:rsid w:val="047F475A"/>
    <w:rsid w:val="0483B145"/>
    <w:rsid w:val="048636EC"/>
    <w:rsid w:val="0486C7FE"/>
    <w:rsid w:val="048FC37B"/>
    <w:rsid w:val="04A9F7B3"/>
    <w:rsid w:val="04BE3675"/>
    <w:rsid w:val="04CACB36"/>
    <w:rsid w:val="04F2B60E"/>
    <w:rsid w:val="050BE405"/>
    <w:rsid w:val="050C8809"/>
    <w:rsid w:val="05308241"/>
    <w:rsid w:val="05615E69"/>
    <w:rsid w:val="057176B6"/>
    <w:rsid w:val="057D5D08"/>
    <w:rsid w:val="058A3971"/>
    <w:rsid w:val="05949F20"/>
    <w:rsid w:val="059E2BF1"/>
    <w:rsid w:val="05A7DA87"/>
    <w:rsid w:val="05CA25FD"/>
    <w:rsid w:val="05D3AA3E"/>
    <w:rsid w:val="05EE05D5"/>
    <w:rsid w:val="0607F8CC"/>
    <w:rsid w:val="061D56AD"/>
    <w:rsid w:val="06901CA2"/>
    <w:rsid w:val="06A9AE07"/>
    <w:rsid w:val="06AF82D5"/>
    <w:rsid w:val="06C7EB81"/>
    <w:rsid w:val="06DA7EF3"/>
    <w:rsid w:val="07185083"/>
    <w:rsid w:val="0723EBBD"/>
    <w:rsid w:val="0775B7A0"/>
    <w:rsid w:val="07796292"/>
    <w:rsid w:val="079C2DBF"/>
    <w:rsid w:val="07AD00F5"/>
    <w:rsid w:val="07BE3E2A"/>
    <w:rsid w:val="08033EB4"/>
    <w:rsid w:val="08057CE0"/>
    <w:rsid w:val="0821E07D"/>
    <w:rsid w:val="08706EC5"/>
    <w:rsid w:val="08DE47F7"/>
    <w:rsid w:val="08E2CB1C"/>
    <w:rsid w:val="08E5744F"/>
    <w:rsid w:val="08F4F42D"/>
    <w:rsid w:val="08FEA72E"/>
    <w:rsid w:val="0904CF85"/>
    <w:rsid w:val="090C58FF"/>
    <w:rsid w:val="091410E5"/>
    <w:rsid w:val="091CE4D9"/>
    <w:rsid w:val="092C38DD"/>
    <w:rsid w:val="092D2605"/>
    <w:rsid w:val="0937333B"/>
    <w:rsid w:val="09701E28"/>
    <w:rsid w:val="09744F51"/>
    <w:rsid w:val="0974C3B1"/>
    <w:rsid w:val="0979DEC1"/>
    <w:rsid w:val="097E5364"/>
    <w:rsid w:val="099C93E3"/>
    <w:rsid w:val="09B18F8A"/>
    <w:rsid w:val="09C57695"/>
    <w:rsid w:val="09CF3C35"/>
    <w:rsid w:val="09F495CB"/>
    <w:rsid w:val="09FA8AB6"/>
    <w:rsid w:val="0A465EE0"/>
    <w:rsid w:val="0A4D61A3"/>
    <w:rsid w:val="0A5BA7BE"/>
    <w:rsid w:val="0A5E06D7"/>
    <w:rsid w:val="0A6C4B7F"/>
    <w:rsid w:val="0A941E9B"/>
    <w:rsid w:val="0A987F51"/>
    <w:rsid w:val="0A9BAECF"/>
    <w:rsid w:val="0AA6BCDD"/>
    <w:rsid w:val="0AB419C3"/>
    <w:rsid w:val="0AB4EA84"/>
    <w:rsid w:val="0B113643"/>
    <w:rsid w:val="0B1367FF"/>
    <w:rsid w:val="0B1DEAD1"/>
    <w:rsid w:val="0B3A00FA"/>
    <w:rsid w:val="0B3E6CC4"/>
    <w:rsid w:val="0B44C1D4"/>
    <w:rsid w:val="0B49248F"/>
    <w:rsid w:val="0B695C16"/>
    <w:rsid w:val="0B69EC74"/>
    <w:rsid w:val="0B6A59B4"/>
    <w:rsid w:val="0B790E34"/>
    <w:rsid w:val="0B7F9440"/>
    <w:rsid w:val="0B8587E1"/>
    <w:rsid w:val="0B95A360"/>
    <w:rsid w:val="0B99B442"/>
    <w:rsid w:val="0BCBEAA1"/>
    <w:rsid w:val="0C125FF7"/>
    <w:rsid w:val="0C218144"/>
    <w:rsid w:val="0C3EE6C4"/>
    <w:rsid w:val="0C527AD5"/>
    <w:rsid w:val="0C723481"/>
    <w:rsid w:val="0C990004"/>
    <w:rsid w:val="0CAAB8D7"/>
    <w:rsid w:val="0CC9654C"/>
    <w:rsid w:val="0CD8EDAB"/>
    <w:rsid w:val="0CE10131"/>
    <w:rsid w:val="0CF05DAD"/>
    <w:rsid w:val="0D0557C3"/>
    <w:rsid w:val="0D14ABC4"/>
    <w:rsid w:val="0D2033AA"/>
    <w:rsid w:val="0D57A116"/>
    <w:rsid w:val="0D5B7B02"/>
    <w:rsid w:val="0D619421"/>
    <w:rsid w:val="0D85624D"/>
    <w:rsid w:val="0D9D121B"/>
    <w:rsid w:val="0DDBEE82"/>
    <w:rsid w:val="0DE707C8"/>
    <w:rsid w:val="0E00E947"/>
    <w:rsid w:val="0E4F03D5"/>
    <w:rsid w:val="0E797BA8"/>
    <w:rsid w:val="0E864140"/>
    <w:rsid w:val="0EA7F396"/>
    <w:rsid w:val="0ECD5F38"/>
    <w:rsid w:val="0ECF1283"/>
    <w:rsid w:val="0ED97E93"/>
    <w:rsid w:val="0EE33E40"/>
    <w:rsid w:val="0EFA2774"/>
    <w:rsid w:val="0F299F93"/>
    <w:rsid w:val="0F6C9677"/>
    <w:rsid w:val="0F8CA3AA"/>
    <w:rsid w:val="0F923393"/>
    <w:rsid w:val="0F961CB2"/>
    <w:rsid w:val="0F963607"/>
    <w:rsid w:val="0FB0EBF8"/>
    <w:rsid w:val="0FC1BECC"/>
    <w:rsid w:val="0FED1911"/>
    <w:rsid w:val="100E2D69"/>
    <w:rsid w:val="1034AE23"/>
    <w:rsid w:val="104663CC"/>
    <w:rsid w:val="105BF4C1"/>
    <w:rsid w:val="1063D09F"/>
    <w:rsid w:val="106BA563"/>
    <w:rsid w:val="10761D87"/>
    <w:rsid w:val="1086F90A"/>
    <w:rsid w:val="1089BB91"/>
    <w:rsid w:val="10CE7544"/>
    <w:rsid w:val="10D79C25"/>
    <w:rsid w:val="1110325D"/>
    <w:rsid w:val="113774DC"/>
    <w:rsid w:val="11456C4E"/>
    <w:rsid w:val="11503A69"/>
    <w:rsid w:val="11905938"/>
    <w:rsid w:val="1199412F"/>
    <w:rsid w:val="11DDE834"/>
    <w:rsid w:val="11DF1836"/>
    <w:rsid w:val="11E24EFE"/>
    <w:rsid w:val="11FEFCD2"/>
    <w:rsid w:val="12381648"/>
    <w:rsid w:val="1240527E"/>
    <w:rsid w:val="1242BA12"/>
    <w:rsid w:val="124CF9CE"/>
    <w:rsid w:val="127A0B1D"/>
    <w:rsid w:val="1285B207"/>
    <w:rsid w:val="129EDE49"/>
    <w:rsid w:val="12B71690"/>
    <w:rsid w:val="12CCB21D"/>
    <w:rsid w:val="12DC0184"/>
    <w:rsid w:val="12F6A666"/>
    <w:rsid w:val="132F4A2C"/>
    <w:rsid w:val="136A89B6"/>
    <w:rsid w:val="13A16BC3"/>
    <w:rsid w:val="13AAF018"/>
    <w:rsid w:val="13B11C40"/>
    <w:rsid w:val="13C9B918"/>
    <w:rsid w:val="13EB11E8"/>
    <w:rsid w:val="13F9396A"/>
    <w:rsid w:val="14087E51"/>
    <w:rsid w:val="140CA8F7"/>
    <w:rsid w:val="1447C85C"/>
    <w:rsid w:val="144D4E02"/>
    <w:rsid w:val="14677183"/>
    <w:rsid w:val="147065C0"/>
    <w:rsid w:val="14752B1D"/>
    <w:rsid w:val="14781C23"/>
    <w:rsid w:val="147E0A2A"/>
    <w:rsid w:val="147F0676"/>
    <w:rsid w:val="14AA29F2"/>
    <w:rsid w:val="14B092AC"/>
    <w:rsid w:val="14C25C59"/>
    <w:rsid w:val="14DC3D57"/>
    <w:rsid w:val="14E3F46B"/>
    <w:rsid w:val="14E4A896"/>
    <w:rsid w:val="14F5B92B"/>
    <w:rsid w:val="1502F602"/>
    <w:rsid w:val="15248D62"/>
    <w:rsid w:val="15344EE0"/>
    <w:rsid w:val="1578BC67"/>
    <w:rsid w:val="15795DEB"/>
    <w:rsid w:val="157A8B7B"/>
    <w:rsid w:val="15A4F7D9"/>
    <w:rsid w:val="15C2CD99"/>
    <w:rsid w:val="15C92B1A"/>
    <w:rsid w:val="15D96353"/>
    <w:rsid w:val="15E9731E"/>
    <w:rsid w:val="15EBAB93"/>
    <w:rsid w:val="1604FEED"/>
    <w:rsid w:val="1613F0D6"/>
    <w:rsid w:val="1633B8CB"/>
    <w:rsid w:val="163A9EF0"/>
    <w:rsid w:val="165BED4E"/>
    <w:rsid w:val="1687DD85"/>
    <w:rsid w:val="168C7DAC"/>
    <w:rsid w:val="16B996F4"/>
    <w:rsid w:val="16DBAF82"/>
    <w:rsid w:val="1706E0A4"/>
    <w:rsid w:val="170C5285"/>
    <w:rsid w:val="1713C794"/>
    <w:rsid w:val="1725143A"/>
    <w:rsid w:val="172ABC6D"/>
    <w:rsid w:val="172B4CD4"/>
    <w:rsid w:val="176C81DE"/>
    <w:rsid w:val="178221D2"/>
    <w:rsid w:val="179C4A52"/>
    <w:rsid w:val="17A82221"/>
    <w:rsid w:val="17B058AF"/>
    <w:rsid w:val="17B78535"/>
    <w:rsid w:val="17C18EDE"/>
    <w:rsid w:val="17DDAAB4"/>
    <w:rsid w:val="1817139B"/>
    <w:rsid w:val="1831BBD3"/>
    <w:rsid w:val="183DE664"/>
    <w:rsid w:val="183F2DD4"/>
    <w:rsid w:val="184167D5"/>
    <w:rsid w:val="18564457"/>
    <w:rsid w:val="1857B870"/>
    <w:rsid w:val="185B23E5"/>
    <w:rsid w:val="185CEE34"/>
    <w:rsid w:val="1884C4A3"/>
    <w:rsid w:val="189A67B4"/>
    <w:rsid w:val="18B189D8"/>
    <w:rsid w:val="18BBA3C9"/>
    <w:rsid w:val="18DD667B"/>
    <w:rsid w:val="18EBABE2"/>
    <w:rsid w:val="190B0D9A"/>
    <w:rsid w:val="191CCDAE"/>
    <w:rsid w:val="192165C2"/>
    <w:rsid w:val="192A920F"/>
    <w:rsid w:val="192D6675"/>
    <w:rsid w:val="19313096"/>
    <w:rsid w:val="1936B4C1"/>
    <w:rsid w:val="193AC689"/>
    <w:rsid w:val="1942CFE1"/>
    <w:rsid w:val="195DD1C3"/>
    <w:rsid w:val="19D9CA01"/>
    <w:rsid w:val="19DCABFC"/>
    <w:rsid w:val="19EA7464"/>
    <w:rsid w:val="19FBA179"/>
    <w:rsid w:val="1A023F8F"/>
    <w:rsid w:val="1A0ACE2A"/>
    <w:rsid w:val="1A137835"/>
    <w:rsid w:val="1A1B1B37"/>
    <w:rsid w:val="1A249970"/>
    <w:rsid w:val="1AA757BB"/>
    <w:rsid w:val="1AB5A1E6"/>
    <w:rsid w:val="1ABA52F2"/>
    <w:rsid w:val="1AC0FB25"/>
    <w:rsid w:val="1AE536EA"/>
    <w:rsid w:val="1AEFB3C4"/>
    <w:rsid w:val="1B1CCEB7"/>
    <w:rsid w:val="1B23874B"/>
    <w:rsid w:val="1B2631CA"/>
    <w:rsid w:val="1B367082"/>
    <w:rsid w:val="1B517219"/>
    <w:rsid w:val="1BA6EBF7"/>
    <w:rsid w:val="1BDA6FDF"/>
    <w:rsid w:val="1BE0DFF1"/>
    <w:rsid w:val="1BF9057E"/>
    <w:rsid w:val="1C11A88F"/>
    <w:rsid w:val="1C198F1B"/>
    <w:rsid w:val="1C235F8C"/>
    <w:rsid w:val="1C3EEDF4"/>
    <w:rsid w:val="1C645363"/>
    <w:rsid w:val="1C695D55"/>
    <w:rsid w:val="1CB48B0D"/>
    <w:rsid w:val="1CCF8070"/>
    <w:rsid w:val="1CD74EBC"/>
    <w:rsid w:val="1CE159E0"/>
    <w:rsid w:val="1CE233DE"/>
    <w:rsid w:val="1CF79E8E"/>
    <w:rsid w:val="1D1410A4"/>
    <w:rsid w:val="1D2306D7"/>
    <w:rsid w:val="1D272E4E"/>
    <w:rsid w:val="1D295E2D"/>
    <w:rsid w:val="1D34B68B"/>
    <w:rsid w:val="1D395764"/>
    <w:rsid w:val="1D4E4256"/>
    <w:rsid w:val="1D532284"/>
    <w:rsid w:val="1D927ABC"/>
    <w:rsid w:val="1D9D2241"/>
    <w:rsid w:val="1DA91F35"/>
    <w:rsid w:val="1E0066B0"/>
    <w:rsid w:val="1E13E5A8"/>
    <w:rsid w:val="1E26E4AE"/>
    <w:rsid w:val="1E5F548E"/>
    <w:rsid w:val="1E65B47F"/>
    <w:rsid w:val="1E797F0C"/>
    <w:rsid w:val="1E8F8F19"/>
    <w:rsid w:val="1E99904E"/>
    <w:rsid w:val="1E9B5E4B"/>
    <w:rsid w:val="1E9EEA62"/>
    <w:rsid w:val="1ECC2395"/>
    <w:rsid w:val="1ECEC205"/>
    <w:rsid w:val="1ED93709"/>
    <w:rsid w:val="1EEA7582"/>
    <w:rsid w:val="1EEB92F1"/>
    <w:rsid w:val="1EFB9FD3"/>
    <w:rsid w:val="1F102228"/>
    <w:rsid w:val="1F1F783C"/>
    <w:rsid w:val="1F2A26A8"/>
    <w:rsid w:val="1F481895"/>
    <w:rsid w:val="1F4BFA46"/>
    <w:rsid w:val="1F4EC860"/>
    <w:rsid w:val="1F59C604"/>
    <w:rsid w:val="1F5EA449"/>
    <w:rsid w:val="1F868776"/>
    <w:rsid w:val="1FAD9F28"/>
    <w:rsid w:val="1FDD4CBD"/>
    <w:rsid w:val="1FF1A07D"/>
    <w:rsid w:val="1FFC8DEB"/>
    <w:rsid w:val="20128F1A"/>
    <w:rsid w:val="203D521C"/>
    <w:rsid w:val="203DAAC9"/>
    <w:rsid w:val="205655E0"/>
    <w:rsid w:val="205A817D"/>
    <w:rsid w:val="205DD7BE"/>
    <w:rsid w:val="205F3E8A"/>
    <w:rsid w:val="20639A8A"/>
    <w:rsid w:val="206A206D"/>
    <w:rsid w:val="2089D439"/>
    <w:rsid w:val="20AC560E"/>
    <w:rsid w:val="20C02AF5"/>
    <w:rsid w:val="20C69313"/>
    <w:rsid w:val="20CA1B7E"/>
    <w:rsid w:val="20DF070D"/>
    <w:rsid w:val="20EC516E"/>
    <w:rsid w:val="20F3B86F"/>
    <w:rsid w:val="20F9077F"/>
    <w:rsid w:val="20FF9377"/>
    <w:rsid w:val="21204D17"/>
    <w:rsid w:val="2121869F"/>
    <w:rsid w:val="21267C6F"/>
    <w:rsid w:val="21371794"/>
    <w:rsid w:val="214A5B18"/>
    <w:rsid w:val="215C9C6E"/>
    <w:rsid w:val="21621800"/>
    <w:rsid w:val="2176C767"/>
    <w:rsid w:val="2183E482"/>
    <w:rsid w:val="21B87715"/>
    <w:rsid w:val="21B9B9FC"/>
    <w:rsid w:val="21FF3288"/>
    <w:rsid w:val="2209436D"/>
    <w:rsid w:val="221A8B56"/>
    <w:rsid w:val="222E34B5"/>
    <w:rsid w:val="22360905"/>
    <w:rsid w:val="226BDD9C"/>
    <w:rsid w:val="227FB524"/>
    <w:rsid w:val="2295E614"/>
    <w:rsid w:val="229DEF2B"/>
    <w:rsid w:val="22A7B6A1"/>
    <w:rsid w:val="22BB49D0"/>
    <w:rsid w:val="22DD873C"/>
    <w:rsid w:val="22F80BBB"/>
    <w:rsid w:val="233173D1"/>
    <w:rsid w:val="2356E2A9"/>
    <w:rsid w:val="236F4D2A"/>
    <w:rsid w:val="23808D59"/>
    <w:rsid w:val="238A9CA3"/>
    <w:rsid w:val="23B7B54B"/>
    <w:rsid w:val="23B7F461"/>
    <w:rsid w:val="23C9DCAE"/>
    <w:rsid w:val="23FCF5BB"/>
    <w:rsid w:val="240C11E5"/>
    <w:rsid w:val="2419BFE8"/>
    <w:rsid w:val="241CB4A2"/>
    <w:rsid w:val="243057C4"/>
    <w:rsid w:val="244700B2"/>
    <w:rsid w:val="2458ED6A"/>
    <w:rsid w:val="2462DEFA"/>
    <w:rsid w:val="24783617"/>
    <w:rsid w:val="24810718"/>
    <w:rsid w:val="2482916E"/>
    <w:rsid w:val="249713C9"/>
    <w:rsid w:val="249D0F3A"/>
    <w:rsid w:val="249F5349"/>
    <w:rsid w:val="24C4F4B4"/>
    <w:rsid w:val="250295D4"/>
    <w:rsid w:val="25104BDF"/>
    <w:rsid w:val="256DDA20"/>
    <w:rsid w:val="25957132"/>
    <w:rsid w:val="259F4882"/>
    <w:rsid w:val="25CA37D7"/>
    <w:rsid w:val="25E97A47"/>
    <w:rsid w:val="25EE5CBD"/>
    <w:rsid w:val="260EB69C"/>
    <w:rsid w:val="261838D9"/>
    <w:rsid w:val="261ACFBF"/>
    <w:rsid w:val="261E4DF1"/>
    <w:rsid w:val="26351DD4"/>
    <w:rsid w:val="263A2328"/>
    <w:rsid w:val="2651D789"/>
    <w:rsid w:val="2653A46C"/>
    <w:rsid w:val="265C3AC3"/>
    <w:rsid w:val="267B6473"/>
    <w:rsid w:val="2682013B"/>
    <w:rsid w:val="269587BB"/>
    <w:rsid w:val="26A40764"/>
    <w:rsid w:val="26A7E72F"/>
    <w:rsid w:val="26B3184C"/>
    <w:rsid w:val="26BA80DB"/>
    <w:rsid w:val="26E78BC5"/>
    <w:rsid w:val="2708832C"/>
    <w:rsid w:val="270B624F"/>
    <w:rsid w:val="27101AA0"/>
    <w:rsid w:val="272B400D"/>
    <w:rsid w:val="27733393"/>
    <w:rsid w:val="277C566E"/>
    <w:rsid w:val="278CD7D4"/>
    <w:rsid w:val="27AAC47C"/>
    <w:rsid w:val="27DC040F"/>
    <w:rsid w:val="27F35060"/>
    <w:rsid w:val="281505A4"/>
    <w:rsid w:val="2819F5CA"/>
    <w:rsid w:val="281B4A66"/>
    <w:rsid w:val="284591A7"/>
    <w:rsid w:val="285B2C3B"/>
    <w:rsid w:val="286140B4"/>
    <w:rsid w:val="28BD4392"/>
    <w:rsid w:val="28CC824E"/>
    <w:rsid w:val="28D54C84"/>
    <w:rsid w:val="28ED2866"/>
    <w:rsid w:val="28FF9B02"/>
    <w:rsid w:val="29045E07"/>
    <w:rsid w:val="2910A6FB"/>
    <w:rsid w:val="292586A3"/>
    <w:rsid w:val="29379617"/>
    <w:rsid w:val="29501386"/>
    <w:rsid w:val="295ECDE6"/>
    <w:rsid w:val="2994BC50"/>
    <w:rsid w:val="299A751B"/>
    <w:rsid w:val="29A427F0"/>
    <w:rsid w:val="29BE9A2B"/>
    <w:rsid w:val="29C100C3"/>
    <w:rsid w:val="29D68213"/>
    <w:rsid w:val="29D95758"/>
    <w:rsid w:val="2A14CD2A"/>
    <w:rsid w:val="2A2779CE"/>
    <w:rsid w:val="2A3CB5AE"/>
    <w:rsid w:val="2A41356F"/>
    <w:rsid w:val="2A500129"/>
    <w:rsid w:val="2A63CF98"/>
    <w:rsid w:val="2A6906B2"/>
    <w:rsid w:val="2A81AA9B"/>
    <w:rsid w:val="2A8DB540"/>
    <w:rsid w:val="2A95E87D"/>
    <w:rsid w:val="2AA38E4C"/>
    <w:rsid w:val="2AA86FB9"/>
    <w:rsid w:val="2AAC5CD1"/>
    <w:rsid w:val="2AD15AC4"/>
    <w:rsid w:val="2AD76D4C"/>
    <w:rsid w:val="2AFDF277"/>
    <w:rsid w:val="2B034F87"/>
    <w:rsid w:val="2B44ED0B"/>
    <w:rsid w:val="2B48656C"/>
    <w:rsid w:val="2B4D6FBE"/>
    <w:rsid w:val="2B6A3A5B"/>
    <w:rsid w:val="2B9EA3D4"/>
    <w:rsid w:val="2BA1345C"/>
    <w:rsid w:val="2BA7D561"/>
    <w:rsid w:val="2BB58CFA"/>
    <w:rsid w:val="2BB77AC6"/>
    <w:rsid w:val="2BB9C360"/>
    <w:rsid w:val="2BCC0F73"/>
    <w:rsid w:val="2BD7D991"/>
    <w:rsid w:val="2BD984E8"/>
    <w:rsid w:val="2C094128"/>
    <w:rsid w:val="2C2FEA0A"/>
    <w:rsid w:val="2C386DAC"/>
    <w:rsid w:val="2C5F56A4"/>
    <w:rsid w:val="2C6162C8"/>
    <w:rsid w:val="2C651C92"/>
    <w:rsid w:val="2C87B448"/>
    <w:rsid w:val="2CB21383"/>
    <w:rsid w:val="2CBD631A"/>
    <w:rsid w:val="2CC1989B"/>
    <w:rsid w:val="2CF5C226"/>
    <w:rsid w:val="2D0193B9"/>
    <w:rsid w:val="2D0AA3F3"/>
    <w:rsid w:val="2D1805B6"/>
    <w:rsid w:val="2D2191A9"/>
    <w:rsid w:val="2D32F607"/>
    <w:rsid w:val="2D43F348"/>
    <w:rsid w:val="2D46C067"/>
    <w:rsid w:val="2D4B1685"/>
    <w:rsid w:val="2D4EC092"/>
    <w:rsid w:val="2D50660C"/>
    <w:rsid w:val="2D608A41"/>
    <w:rsid w:val="2D787924"/>
    <w:rsid w:val="2D7A83B5"/>
    <w:rsid w:val="2D7C9CF6"/>
    <w:rsid w:val="2D7E0846"/>
    <w:rsid w:val="2D927A36"/>
    <w:rsid w:val="2D9E4410"/>
    <w:rsid w:val="2DAA25C4"/>
    <w:rsid w:val="2DBAF36D"/>
    <w:rsid w:val="2DF06267"/>
    <w:rsid w:val="2DF644BC"/>
    <w:rsid w:val="2E1C3126"/>
    <w:rsid w:val="2E229567"/>
    <w:rsid w:val="2E2617C9"/>
    <w:rsid w:val="2E2CD458"/>
    <w:rsid w:val="2E488345"/>
    <w:rsid w:val="2E4A0802"/>
    <w:rsid w:val="2E521133"/>
    <w:rsid w:val="2E581990"/>
    <w:rsid w:val="2E5A5F86"/>
    <w:rsid w:val="2E5E14CA"/>
    <w:rsid w:val="2E6C9A39"/>
    <w:rsid w:val="2E844839"/>
    <w:rsid w:val="2EA89688"/>
    <w:rsid w:val="2EB29C5B"/>
    <w:rsid w:val="2EB5C131"/>
    <w:rsid w:val="2EC29E07"/>
    <w:rsid w:val="2ECE21E3"/>
    <w:rsid w:val="2ECEBD8E"/>
    <w:rsid w:val="2EE1FF42"/>
    <w:rsid w:val="2EE221B6"/>
    <w:rsid w:val="2EE49ACE"/>
    <w:rsid w:val="2EF29217"/>
    <w:rsid w:val="2F084280"/>
    <w:rsid w:val="2F2785F6"/>
    <w:rsid w:val="2F27BA88"/>
    <w:rsid w:val="2F47AC7F"/>
    <w:rsid w:val="2F620FE4"/>
    <w:rsid w:val="2F9F1139"/>
    <w:rsid w:val="2FA3C3A3"/>
    <w:rsid w:val="2FA8B932"/>
    <w:rsid w:val="2FAB799B"/>
    <w:rsid w:val="2FAF6A00"/>
    <w:rsid w:val="2FCE5B9D"/>
    <w:rsid w:val="2FDC0A9F"/>
    <w:rsid w:val="2FFB64DF"/>
    <w:rsid w:val="303E13DF"/>
    <w:rsid w:val="3041E3A5"/>
    <w:rsid w:val="3056DFE2"/>
    <w:rsid w:val="305D37B1"/>
    <w:rsid w:val="30734FFB"/>
    <w:rsid w:val="307AAFCE"/>
    <w:rsid w:val="30825931"/>
    <w:rsid w:val="30A458B8"/>
    <w:rsid w:val="30AA8DE4"/>
    <w:rsid w:val="30B1CA71"/>
    <w:rsid w:val="30CA70BD"/>
    <w:rsid w:val="30D36D34"/>
    <w:rsid w:val="30DD722F"/>
    <w:rsid w:val="30E314B7"/>
    <w:rsid w:val="312AC6EF"/>
    <w:rsid w:val="312EC38A"/>
    <w:rsid w:val="3160ABDC"/>
    <w:rsid w:val="31791028"/>
    <w:rsid w:val="3201C8DE"/>
    <w:rsid w:val="321C22FC"/>
    <w:rsid w:val="32309760"/>
    <w:rsid w:val="3260E416"/>
    <w:rsid w:val="3267403B"/>
    <w:rsid w:val="329910B7"/>
    <w:rsid w:val="32A62E5A"/>
    <w:rsid w:val="32AAC4D4"/>
    <w:rsid w:val="32E5E491"/>
    <w:rsid w:val="32E9969E"/>
    <w:rsid w:val="32FFFC95"/>
    <w:rsid w:val="330BC2C9"/>
    <w:rsid w:val="332274AD"/>
    <w:rsid w:val="333305A1"/>
    <w:rsid w:val="334FD6B9"/>
    <w:rsid w:val="338B2FA5"/>
    <w:rsid w:val="338F58FA"/>
    <w:rsid w:val="33A803A6"/>
    <w:rsid w:val="33AFBFE3"/>
    <w:rsid w:val="33CAFA19"/>
    <w:rsid w:val="33D86FFE"/>
    <w:rsid w:val="33F1087E"/>
    <w:rsid w:val="33FABEB3"/>
    <w:rsid w:val="34232667"/>
    <w:rsid w:val="3429C8F1"/>
    <w:rsid w:val="34439252"/>
    <w:rsid w:val="345259A6"/>
    <w:rsid w:val="3453E05F"/>
    <w:rsid w:val="345F9925"/>
    <w:rsid w:val="3475CF93"/>
    <w:rsid w:val="347615D5"/>
    <w:rsid w:val="3488D734"/>
    <w:rsid w:val="34922B28"/>
    <w:rsid w:val="349A3B7D"/>
    <w:rsid w:val="34BCB192"/>
    <w:rsid w:val="351CF079"/>
    <w:rsid w:val="35269B5F"/>
    <w:rsid w:val="3535E687"/>
    <w:rsid w:val="356346DB"/>
    <w:rsid w:val="35729677"/>
    <w:rsid w:val="3581607F"/>
    <w:rsid w:val="35959A4B"/>
    <w:rsid w:val="35BEEC58"/>
    <w:rsid w:val="35C6F720"/>
    <w:rsid w:val="3616C361"/>
    <w:rsid w:val="363E2F9A"/>
    <w:rsid w:val="363E402C"/>
    <w:rsid w:val="36518BCA"/>
    <w:rsid w:val="368B672D"/>
    <w:rsid w:val="368E4B8C"/>
    <w:rsid w:val="36A43A15"/>
    <w:rsid w:val="36DCE692"/>
    <w:rsid w:val="3700FF34"/>
    <w:rsid w:val="372FFF4E"/>
    <w:rsid w:val="373D7EE1"/>
    <w:rsid w:val="374A1169"/>
    <w:rsid w:val="37539DA7"/>
    <w:rsid w:val="37562BA9"/>
    <w:rsid w:val="37690A30"/>
    <w:rsid w:val="37863BAC"/>
    <w:rsid w:val="37DA3DD2"/>
    <w:rsid w:val="37FAF2A4"/>
    <w:rsid w:val="381A2494"/>
    <w:rsid w:val="38222450"/>
    <w:rsid w:val="38467636"/>
    <w:rsid w:val="38540715"/>
    <w:rsid w:val="38578B55"/>
    <w:rsid w:val="385E3C21"/>
    <w:rsid w:val="385F6AE4"/>
    <w:rsid w:val="38706852"/>
    <w:rsid w:val="3877983D"/>
    <w:rsid w:val="387B5179"/>
    <w:rsid w:val="3885164B"/>
    <w:rsid w:val="38C15BA8"/>
    <w:rsid w:val="38DBF05B"/>
    <w:rsid w:val="38DE3017"/>
    <w:rsid w:val="38EA18B1"/>
    <w:rsid w:val="38F7FC2E"/>
    <w:rsid w:val="390AAA18"/>
    <w:rsid w:val="391B3AE3"/>
    <w:rsid w:val="39336837"/>
    <w:rsid w:val="3953305D"/>
    <w:rsid w:val="396306ED"/>
    <w:rsid w:val="398C19DA"/>
    <w:rsid w:val="399BFDDE"/>
    <w:rsid w:val="39BF63C4"/>
    <w:rsid w:val="39D367CB"/>
    <w:rsid w:val="39DBD0A4"/>
    <w:rsid w:val="39F041F3"/>
    <w:rsid w:val="3A0C596A"/>
    <w:rsid w:val="3A2FC3DE"/>
    <w:rsid w:val="3A36F899"/>
    <w:rsid w:val="3A520930"/>
    <w:rsid w:val="3A633291"/>
    <w:rsid w:val="3A875074"/>
    <w:rsid w:val="3A93C8B1"/>
    <w:rsid w:val="3ABA59FB"/>
    <w:rsid w:val="3AC75AD8"/>
    <w:rsid w:val="3ADF7D3B"/>
    <w:rsid w:val="3AF0449E"/>
    <w:rsid w:val="3AF5DB60"/>
    <w:rsid w:val="3AF67424"/>
    <w:rsid w:val="3AFFB062"/>
    <w:rsid w:val="3B0DC108"/>
    <w:rsid w:val="3B20C117"/>
    <w:rsid w:val="3B480557"/>
    <w:rsid w:val="3B6F14B4"/>
    <w:rsid w:val="3B7CC212"/>
    <w:rsid w:val="3B9807C5"/>
    <w:rsid w:val="3BA21893"/>
    <w:rsid w:val="3BA28406"/>
    <w:rsid w:val="3BBBF047"/>
    <w:rsid w:val="3BC1D1C6"/>
    <w:rsid w:val="3BC5B615"/>
    <w:rsid w:val="3BD0DF99"/>
    <w:rsid w:val="3BD62229"/>
    <w:rsid w:val="3BD89D19"/>
    <w:rsid w:val="3BD900B3"/>
    <w:rsid w:val="3BDE7C4D"/>
    <w:rsid w:val="3BEDD511"/>
    <w:rsid w:val="3BF8B87F"/>
    <w:rsid w:val="3C14E937"/>
    <w:rsid w:val="3C28E28C"/>
    <w:rsid w:val="3C4738F8"/>
    <w:rsid w:val="3C4CE9F2"/>
    <w:rsid w:val="3C522F99"/>
    <w:rsid w:val="3C578D50"/>
    <w:rsid w:val="3C64DE9F"/>
    <w:rsid w:val="3C89C820"/>
    <w:rsid w:val="3C91C1CC"/>
    <w:rsid w:val="3CB6CF01"/>
    <w:rsid w:val="3CCCE7D8"/>
    <w:rsid w:val="3CEBE68C"/>
    <w:rsid w:val="3CF19644"/>
    <w:rsid w:val="3D183875"/>
    <w:rsid w:val="3D1BE2AC"/>
    <w:rsid w:val="3D21A7DE"/>
    <w:rsid w:val="3D33E2BE"/>
    <w:rsid w:val="3D5CCDB2"/>
    <w:rsid w:val="3D797D07"/>
    <w:rsid w:val="3DA0BE0F"/>
    <w:rsid w:val="3DB06FF4"/>
    <w:rsid w:val="3DBFDC2A"/>
    <w:rsid w:val="3DC5C623"/>
    <w:rsid w:val="3DE29897"/>
    <w:rsid w:val="3DE33596"/>
    <w:rsid w:val="3E13BB9A"/>
    <w:rsid w:val="3E1E1E0A"/>
    <w:rsid w:val="3E4DF409"/>
    <w:rsid w:val="3E5909A1"/>
    <w:rsid w:val="3E8CB474"/>
    <w:rsid w:val="3EAAF04D"/>
    <w:rsid w:val="3EAB6A9A"/>
    <w:rsid w:val="3EB1C7CF"/>
    <w:rsid w:val="3EB57973"/>
    <w:rsid w:val="3ED7DDDF"/>
    <w:rsid w:val="3EDA6231"/>
    <w:rsid w:val="3EE197A9"/>
    <w:rsid w:val="3EE894B4"/>
    <w:rsid w:val="3EF5DCDB"/>
    <w:rsid w:val="3F06FB22"/>
    <w:rsid w:val="3F127D2F"/>
    <w:rsid w:val="3F298136"/>
    <w:rsid w:val="3F3587E8"/>
    <w:rsid w:val="3F37E3BB"/>
    <w:rsid w:val="3F3F71E9"/>
    <w:rsid w:val="3F6C9461"/>
    <w:rsid w:val="3FA0E144"/>
    <w:rsid w:val="3FA320D3"/>
    <w:rsid w:val="3FAF6988"/>
    <w:rsid w:val="3FC18049"/>
    <w:rsid w:val="3FCE89CB"/>
    <w:rsid w:val="3FD36C6D"/>
    <w:rsid w:val="3FE05EBE"/>
    <w:rsid w:val="3FEDC737"/>
    <w:rsid w:val="4011982F"/>
    <w:rsid w:val="4015DE9A"/>
    <w:rsid w:val="40561E64"/>
    <w:rsid w:val="40790724"/>
    <w:rsid w:val="409A50B3"/>
    <w:rsid w:val="409A82CE"/>
    <w:rsid w:val="40A5219C"/>
    <w:rsid w:val="40ACF5A4"/>
    <w:rsid w:val="40AE5DA5"/>
    <w:rsid w:val="40BEF102"/>
    <w:rsid w:val="40CAB7FD"/>
    <w:rsid w:val="40D5B92B"/>
    <w:rsid w:val="40E498D0"/>
    <w:rsid w:val="40E641AD"/>
    <w:rsid w:val="40EE4442"/>
    <w:rsid w:val="40F2F70F"/>
    <w:rsid w:val="40F7607D"/>
    <w:rsid w:val="412CF565"/>
    <w:rsid w:val="413077F1"/>
    <w:rsid w:val="41351C06"/>
    <w:rsid w:val="41591F55"/>
    <w:rsid w:val="417CCF0B"/>
    <w:rsid w:val="417EC166"/>
    <w:rsid w:val="41F50DB8"/>
    <w:rsid w:val="422EE296"/>
    <w:rsid w:val="42316283"/>
    <w:rsid w:val="4241FF38"/>
    <w:rsid w:val="4273564A"/>
    <w:rsid w:val="42BAB287"/>
    <w:rsid w:val="42CC1974"/>
    <w:rsid w:val="42D68637"/>
    <w:rsid w:val="42DA9572"/>
    <w:rsid w:val="42DFB8FD"/>
    <w:rsid w:val="430E2427"/>
    <w:rsid w:val="431BD63A"/>
    <w:rsid w:val="432BAD2F"/>
    <w:rsid w:val="432F61CA"/>
    <w:rsid w:val="435FF3BB"/>
    <w:rsid w:val="4371755A"/>
    <w:rsid w:val="438443B2"/>
    <w:rsid w:val="43B1A30C"/>
    <w:rsid w:val="43E50A0C"/>
    <w:rsid w:val="43F0ACDB"/>
    <w:rsid w:val="440431F6"/>
    <w:rsid w:val="440F19CE"/>
    <w:rsid w:val="44109DB5"/>
    <w:rsid w:val="44252BB1"/>
    <w:rsid w:val="4427C489"/>
    <w:rsid w:val="44287F22"/>
    <w:rsid w:val="442A0798"/>
    <w:rsid w:val="44513265"/>
    <w:rsid w:val="44823E86"/>
    <w:rsid w:val="44A983FA"/>
    <w:rsid w:val="450E3DCC"/>
    <w:rsid w:val="4519E45D"/>
    <w:rsid w:val="4522A466"/>
    <w:rsid w:val="453D23B0"/>
    <w:rsid w:val="4544ACAF"/>
    <w:rsid w:val="4545355F"/>
    <w:rsid w:val="45500B02"/>
    <w:rsid w:val="455FD0D1"/>
    <w:rsid w:val="45822AA6"/>
    <w:rsid w:val="4594126E"/>
    <w:rsid w:val="4599B226"/>
    <w:rsid w:val="459FE13B"/>
    <w:rsid w:val="45AEA605"/>
    <w:rsid w:val="45B62B38"/>
    <w:rsid w:val="45E1726B"/>
    <w:rsid w:val="45EA9EC7"/>
    <w:rsid w:val="45F03C66"/>
    <w:rsid w:val="4602A1AC"/>
    <w:rsid w:val="4638FCBD"/>
    <w:rsid w:val="463A212B"/>
    <w:rsid w:val="4642219A"/>
    <w:rsid w:val="469A02C9"/>
    <w:rsid w:val="46B9EE8F"/>
    <w:rsid w:val="46C05F85"/>
    <w:rsid w:val="46C9C101"/>
    <w:rsid w:val="46CEADCC"/>
    <w:rsid w:val="46E3207A"/>
    <w:rsid w:val="47123842"/>
    <w:rsid w:val="47372AD3"/>
    <w:rsid w:val="475BB546"/>
    <w:rsid w:val="4780CE5E"/>
    <w:rsid w:val="47B1B302"/>
    <w:rsid w:val="47B432FF"/>
    <w:rsid w:val="47B9CBDD"/>
    <w:rsid w:val="47C37D3E"/>
    <w:rsid w:val="47C474D5"/>
    <w:rsid w:val="47CC527D"/>
    <w:rsid w:val="47E57819"/>
    <w:rsid w:val="481C37AE"/>
    <w:rsid w:val="481F4C1A"/>
    <w:rsid w:val="4828A0DA"/>
    <w:rsid w:val="482FC2DE"/>
    <w:rsid w:val="4834ECE2"/>
    <w:rsid w:val="48355D1C"/>
    <w:rsid w:val="484679F5"/>
    <w:rsid w:val="48482CB2"/>
    <w:rsid w:val="484DA54D"/>
    <w:rsid w:val="484EADF0"/>
    <w:rsid w:val="4860292A"/>
    <w:rsid w:val="4861998A"/>
    <w:rsid w:val="48649C32"/>
    <w:rsid w:val="48720B13"/>
    <w:rsid w:val="48933E02"/>
    <w:rsid w:val="48AF5EF1"/>
    <w:rsid w:val="48BB254F"/>
    <w:rsid w:val="48D1E485"/>
    <w:rsid w:val="48FC7FD4"/>
    <w:rsid w:val="490D8ECD"/>
    <w:rsid w:val="4928E2A6"/>
    <w:rsid w:val="4939BD4A"/>
    <w:rsid w:val="4950CB54"/>
    <w:rsid w:val="4952FA31"/>
    <w:rsid w:val="496144F2"/>
    <w:rsid w:val="4982133C"/>
    <w:rsid w:val="49911AC5"/>
    <w:rsid w:val="49C4911D"/>
    <w:rsid w:val="49E632EB"/>
    <w:rsid w:val="49E672D4"/>
    <w:rsid w:val="4A0AFEBB"/>
    <w:rsid w:val="4A0F20E6"/>
    <w:rsid w:val="4A28F3E9"/>
    <w:rsid w:val="4A47662B"/>
    <w:rsid w:val="4A5A5F54"/>
    <w:rsid w:val="4A62012F"/>
    <w:rsid w:val="4A625ED3"/>
    <w:rsid w:val="4A7571AD"/>
    <w:rsid w:val="4A9FF9D7"/>
    <w:rsid w:val="4AAA5CB5"/>
    <w:rsid w:val="4AB15114"/>
    <w:rsid w:val="4ACFF991"/>
    <w:rsid w:val="4AD3FBD5"/>
    <w:rsid w:val="4ADC07F6"/>
    <w:rsid w:val="4AE075B2"/>
    <w:rsid w:val="4AED96D2"/>
    <w:rsid w:val="4B100D82"/>
    <w:rsid w:val="4B3C488D"/>
    <w:rsid w:val="4B44DCF3"/>
    <w:rsid w:val="4B4CFF73"/>
    <w:rsid w:val="4B4D0BFF"/>
    <w:rsid w:val="4B5E1554"/>
    <w:rsid w:val="4B7E8D01"/>
    <w:rsid w:val="4B7F83DB"/>
    <w:rsid w:val="4BBAA00E"/>
    <w:rsid w:val="4BBD02AE"/>
    <w:rsid w:val="4BD1A433"/>
    <w:rsid w:val="4BD2EFD3"/>
    <w:rsid w:val="4C093573"/>
    <w:rsid w:val="4C2ECB21"/>
    <w:rsid w:val="4C421C99"/>
    <w:rsid w:val="4C459E3B"/>
    <w:rsid w:val="4C534772"/>
    <w:rsid w:val="4C5467FD"/>
    <w:rsid w:val="4C784DF4"/>
    <w:rsid w:val="4C7A85A4"/>
    <w:rsid w:val="4C898B56"/>
    <w:rsid w:val="4CA8BAC9"/>
    <w:rsid w:val="4CB2CF4A"/>
    <w:rsid w:val="4CBCDA77"/>
    <w:rsid w:val="4CC76325"/>
    <w:rsid w:val="4CCF6748"/>
    <w:rsid w:val="4CE23764"/>
    <w:rsid w:val="4CEECC26"/>
    <w:rsid w:val="4D150789"/>
    <w:rsid w:val="4D369637"/>
    <w:rsid w:val="4D5083C5"/>
    <w:rsid w:val="4D6387F9"/>
    <w:rsid w:val="4D6E4CE5"/>
    <w:rsid w:val="4D77F234"/>
    <w:rsid w:val="4D893068"/>
    <w:rsid w:val="4D945B74"/>
    <w:rsid w:val="4D96855B"/>
    <w:rsid w:val="4DB1CB3B"/>
    <w:rsid w:val="4DB3398D"/>
    <w:rsid w:val="4DBBEE43"/>
    <w:rsid w:val="4DBFBDD2"/>
    <w:rsid w:val="4DCF60DF"/>
    <w:rsid w:val="4DF2B7EE"/>
    <w:rsid w:val="4E45AB6E"/>
    <w:rsid w:val="4E5BA243"/>
    <w:rsid w:val="4E6DA962"/>
    <w:rsid w:val="4E710AC1"/>
    <w:rsid w:val="4E832E98"/>
    <w:rsid w:val="4E84A4B1"/>
    <w:rsid w:val="4EA963FD"/>
    <w:rsid w:val="4EBDBB6A"/>
    <w:rsid w:val="4ECB4AED"/>
    <w:rsid w:val="4EF23CFE"/>
    <w:rsid w:val="4EFF63ED"/>
    <w:rsid w:val="4F11D21F"/>
    <w:rsid w:val="4F253E32"/>
    <w:rsid w:val="4F4CAC0E"/>
    <w:rsid w:val="4F6354B7"/>
    <w:rsid w:val="4F72D7CC"/>
    <w:rsid w:val="4F963F30"/>
    <w:rsid w:val="4FB58504"/>
    <w:rsid w:val="4FD762DA"/>
    <w:rsid w:val="4FF74A2D"/>
    <w:rsid w:val="4FF774C2"/>
    <w:rsid w:val="502B3757"/>
    <w:rsid w:val="502F3CA5"/>
    <w:rsid w:val="50330F7B"/>
    <w:rsid w:val="503C2F3B"/>
    <w:rsid w:val="503DE73E"/>
    <w:rsid w:val="504512AB"/>
    <w:rsid w:val="508901A3"/>
    <w:rsid w:val="50907EE5"/>
    <w:rsid w:val="5090A322"/>
    <w:rsid w:val="50AF3C44"/>
    <w:rsid w:val="50BE7EDD"/>
    <w:rsid w:val="50D36DC2"/>
    <w:rsid w:val="50DA3B49"/>
    <w:rsid w:val="50DDC2C5"/>
    <w:rsid w:val="50EA9CE6"/>
    <w:rsid w:val="50FF7686"/>
    <w:rsid w:val="51368441"/>
    <w:rsid w:val="514FBDC7"/>
    <w:rsid w:val="51500814"/>
    <w:rsid w:val="5167939D"/>
    <w:rsid w:val="516C1709"/>
    <w:rsid w:val="517D51E2"/>
    <w:rsid w:val="519A7678"/>
    <w:rsid w:val="51B0314C"/>
    <w:rsid w:val="51B9CDBA"/>
    <w:rsid w:val="51BB6585"/>
    <w:rsid w:val="51BD1836"/>
    <w:rsid w:val="51D06566"/>
    <w:rsid w:val="51D59F04"/>
    <w:rsid w:val="51EEC013"/>
    <w:rsid w:val="51FD9588"/>
    <w:rsid w:val="521DD1BA"/>
    <w:rsid w:val="521FF25E"/>
    <w:rsid w:val="52371AB0"/>
    <w:rsid w:val="52541319"/>
    <w:rsid w:val="5268FC7D"/>
    <w:rsid w:val="526DDA49"/>
    <w:rsid w:val="527C8DFE"/>
    <w:rsid w:val="527D46D5"/>
    <w:rsid w:val="527FA66F"/>
    <w:rsid w:val="52930C17"/>
    <w:rsid w:val="529D9606"/>
    <w:rsid w:val="52AFE98C"/>
    <w:rsid w:val="52DCB46F"/>
    <w:rsid w:val="52EC6F11"/>
    <w:rsid w:val="52FC1B9A"/>
    <w:rsid w:val="53062AD8"/>
    <w:rsid w:val="5326E18D"/>
    <w:rsid w:val="533DD8E2"/>
    <w:rsid w:val="5358F99B"/>
    <w:rsid w:val="5362F417"/>
    <w:rsid w:val="5377DCF2"/>
    <w:rsid w:val="53848874"/>
    <w:rsid w:val="538C416B"/>
    <w:rsid w:val="53A148CB"/>
    <w:rsid w:val="53A1AA27"/>
    <w:rsid w:val="53A82AEE"/>
    <w:rsid w:val="53B07D41"/>
    <w:rsid w:val="53DBCEFC"/>
    <w:rsid w:val="542C389C"/>
    <w:rsid w:val="5444A85F"/>
    <w:rsid w:val="544D8055"/>
    <w:rsid w:val="544EF6E9"/>
    <w:rsid w:val="546BF9F4"/>
    <w:rsid w:val="54FA11C0"/>
    <w:rsid w:val="55184418"/>
    <w:rsid w:val="553EE642"/>
    <w:rsid w:val="555F8A16"/>
    <w:rsid w:val="55635EE7"/>
    <w:rsid w:val="556C666B"/>
    <w:rsid w:val="55801505"/>
    <w:rsid w:val="5591BA3C"/>
    <w:rsid w:val="55B6875E"/>
    <w:rsid w:val="55C17F35"/>
    <w:rsid w:val="55D7F742"/>
    <w:rsid w:val="55E4C38D"/>
    <w:rsid w:val="55EF5DF4"/>
    <w:rsid w:val="55F70034"/>
    <w:rsid w:val="56356B0F"/>
    <w:rsid w:val="56435DF5"/>
    <w:rsid w:val="56457479"/>
    <w:rsid w:val="5658BEBA"/>
    <w:rsid w:val="567C814D"/>
    <w:rsid w:val="568F75A6"/>
    <w:rsid w:val="56A063DD"/>
    <w:rsid w:val="56B96E10"/>
    <w:rsid w:val="56D23B0F"/>
    <w:rsid w:val="56E58C19"/>
    <w:rsid w:val="56E5CD75"/>
    <w:rsid w:val="570CA4F0"/>
    <w:rsid w:val="574A752E"/>
    <w:rsid w:val="575DB386"/>
    <w:rsid w:val="578E3C92"/>
    <w:rsid w:val="57A813AF"/>
    <w:rsid w:val="57C82DE7"/>
    <w:rsid w:val="57F23100"/>
    <w:rsid w:val="57F4F2B3"/>
    <w:rsid w:val="57FB9F3B"/>
    <w:rsid w:val="580F7932"/>
    <w:rsid w:val="582048BE"/>
    <w:rsid w:val="582B7E5E"/>
    <w:rsid w:val="582D87D5"/>
    <w:rsid w:val="582DBEA7"/>
    <w:rsid w:val="5860E41F"/>
    <w:rsid w:val="586BC0ED"/>
    <w:rsid w:val="58907484"/>
    <w:rsid w:val="58A7D9CA"/>
    <w:rsid w:val="58B6043D"/>
    <w:rsid w:val="58D3797E"/>
    <w:rsid w:val="58F83FF9"/>
    <w:rsid w:val="590018AA"/>
    <w:rsid w:val="5912AAFE"/>
    <w:rsid w:val="5933E01D"/>
    <w:rsid w:val="596ACF96"/>
    <w:rsid w:val="596D0BD1"/>
    <w:rsid w:val="59848793"/>
    <w:rsid w:val="59C8FEE6"/>
    <w:rsid w:val="59D7DCD8"/>
    <w:rsid w:val="59E168BA"/>
    <w:rsid w:val="5A1D386E"/>
    <w:rsid w:val="5A469E88"/>
    <w:rsid w:val="5A888BFE"/>
    <w:rsid w:val="5AA5B9F3"/>
    <w:rsid w:val="5AA945DE"/>
    <w:rsid w:val="5AE474C3"/>
    <w:rsid w:val="5AEC8BFE"/>
    <w:rsid w:val="5AED5465"/>
    <w:rsid w:val="5AEF3903"/>
    <w:rsid w:val="5B08DA1F"/>
    <w:rsid w:val="5B18F89C"/>
    <w:rsid w:val="5B22C356"/>
    <w:rsid w:val="5B3591B3"/>
    <w:rsid w:val="5B8663A7"/>
    <w:rsid w:val="5B889462"/>
    <w:rsid w:val="5BAD2B19"/>
    <w:rsid w:val="5BCE07FB"/>
    <w:rsid w:val="5BE75C7F"/>
    <w:rsid w:val="5BE86C6B"/>
    <w:rsid w:val="5BEE2ADE"/>
    <w:rsid w:val="5BF3880D"/>
    <w:rsid w:val="5C2FC29D"/>
    <w:rsid w:val="5C3150C3"/>
    <w:rsid w:val="5C3CC630"/>
    <w:rsid w:val="5C47E85D"/>
    <w:rsid w:val="5C68572B"/>
    <w:rsid w:val="5CA4AC93"/>
    <w:rsid w:val="5CAC28DF"/>
    <w:rsid w:val="5CAFC01F"/>
    <w:rsid w:val="5CB2325F"/>
    <w:rsid w:val="5CBADF6B"/>
    <w:rsid w:val="5CBCD7A9"/>
    <w:rsid w:val="5CD4E02C"/>
    <w:rsid w:val="5CEC7185"/>
    <w:rsid w:val="5CF163A8"/>
    <w:rsid w:val="5D0F406C"/>
    <w:rsid w:val="5D61E373"/>
    <w:rsid w:val="5D6AF71D"/>
    <w:rsid w:val="5DCE79FB"/>
    <w:rsid w:val="5DD41701"/>
    <w:rsid w:val="5DEAAFD5"/>
    <w:rsid w:val="5DED7134"/>
    <w:rsid w:val="5DF569FD"/>
    <w:rsid w:val="5E02A830"/>
    <w:rsid w:val="5E2B1703"/>
    <w:rsid w:val="5E32CDC5"/>
    <w:rsid w:val="5E3AD657"/>
    <w:rsid w:val="5E3E7153"/>
    <w:rsid w:val="5E54F429"/>
    <w:rsid w:val="5E5A6BC2"/>
    <w:rsid w:val="5E5E14E4"/>
    <w:rsid w:val="5E7BF299"/>
    <w:rsid w:val="5E838E8D"/>
    <w:rsid w:val="5E882BE3"/>
    <w:rsid w:val="5E9C8D02"/>
    <w:rsid w:val="5E9CA870"/>
    <w:rsid w:val="5EA62EBC"/>
    <w:rsid w:val="5EC994DF"/>
    <w:rsid w:val="5F00DCF5"/>
    <w:rsid w:val="5F045179"/>
    <w:rsid w:val="5F43C0FB"/>
    <w:rsid w:val="5F491938"/>
    <w:rsid w:val="5FA4305A"/>
    <w:rsid w:val="5FA60361"/>
    <w:rsid w:val="5FA91523"/>
    <w:rsid w:val="5FACBEF5"/>
    <w:rsid w:val="5FC9FFCA"/>
    <w:rsid w:val="5FDAB1D6"/>
    <w:rsid w:val="5FE82B11"/>
    <w:rsid w:val="5FF61F54"/>
    <w:rsid w:val="5FFC3A3F"/>
    <w:rsid w:val="602B525A"/>
    <w:rsid w:val="60422BB8"/>
    <w:rsid w:val="606672CE"/>
    <w:rsid w:val="6068651A"/>
    <w:rsid w:val="607A2EA6"/>
    <w:rsid w:val="609211D2"/>
    <w:rsid w:val="60946024"/>
    <w:rsid w:val="609D5951"/>
    <w:rsid w:val="60A3797D"/>
    <w:rsid w:val="60B35399"/>
    <w:rsid w:val="60FEE5FB"/>
    <w:rsid w:val="614A26E0"/>
    <w:rsid w:val="6153A6D8"/>
    <w:rsid w:val="615CEE90"/>
    <w:rsid w:val="6163E699"/>
    <w:rsid w:val="61957AF0"/>
    <w:rsid w:val="619EDE4B"/>
    <w:rsid w:val="61ECEDCB"/>
    <w:rsid w:val="61F6DE6D"/>
    <w:rsid w:val="61F72D8A"/>
    <w:rsid w:val="621AA229"/>
    <w:rsid w:val="6257B3EC"/>
    <w:rsid w:val="6262B799"/>
    <w:rsid w:val="62818769"/>
    <w:rsid w:val="6281D81A"/>
    <w:rsid w:val="6295E93D"/>
    <w:rsid w:val="62BC28BA"/>
    <w:rsid w:val="62D0D67B"/>
    <w:rsid w:val="6326F4E3"/>
    <w:rsid w:val="6327B877"/>
    <w:rsid w:val="632A7A03"/>
    <w:rsid w:val="6339FDF5"/>
    <w:rsid w:val="634C2897"/>
    <w:rsid w:val="635FE801"/>
    <w:rsid w:val="636296D1"/>
    <w:rsid w:val="636F5EFC"/>
    <w:rsid w:val="63A05290"/>
    <w:rsid w:val="63B8CD14"/>
    <w:rsid w:val="63C5C9A3"/>
    <w:rsid w:val="63CE31E7"/>
    <w:rsid w:val="63EFE881"/>
    <w:rsid w:val="63F714D3"/>
    <w:rsid w:val="640C763A"/>
    <w:rsid w:val="641F1D97"/>
    <w:rsid w:val="643258B9"/>
    <w:rsid w:val="64721A77"/>
    <w:rsid w:val="647DA78A"/>
    <w:rsid w:val="64837806"/>
    <w:rsid w:val="648E4397"/>
    <w:rsid w:val="64A0D22E"/>
    <w:rsid w:val="64A5562E"/>
    <w:rsid w:val="64D57A24"/>
    <w:rsid w:val="64F29265"/>
    <w:rsid w:val="65287057"/>
    <w:rsid w:val="65305CE2"/>
    <w:rsid w:val="654FAA74"/>
    <w:rsid w:val="6551FC1F"/>
    <w:rsid w:val="65B316F9"/>
    <w:rsid w:val="65B6FB05"/>
    <w:rsid w:val="65BE31CC"/>
    <w:rsid w:val="65C92DE0"/>
    <w:rsid w:val="65DE232F"/>
    <w:rsid w:val="65EED87F"/>
    <w:rsid w:val="65F42E23"/>
    <w:rsid w:val="6644D149"/>
    <w:rsid w:val="664B2950"/>
    <w:rsid w:val="6669C1B7"/>
    <w:rsid w:val="6690C209"/>
    <w:rsid w:val="669B84ED"/>
    <w:rsid w:val="66A44B99"/>
    <w:rsid w:val="66B90FF0"/>
    <w:rsid w:val="66C40DE7"/>
    <w:rsid w:val="66E891AA"/>
    <w:rsid w:val="66F7F570"/>
    <w:rsid w:val="6703FCE4"/>
    <w:rsid w:val="670D6FD0"/>
    <w:rsid w:val="670E280C"/>
    <w:rsid w:val="672925C8"/>
    <w:rsid w:val="676D4A45"/>
    <w:rsid w:val="676E7935"/>
    <w:rsid w:val="6777A98C"/>
    <w:rsid w:val="678FA02B"/>
    <w:rsid w:val="679DE837"/>
    <w:rsid w:val="67A6D2E6"/>
    <w:rsid w:val="67AC4F50"/>
    <w:rsid w:val="67BFE650"/>
    <w:rsid w:val="67DF3EB6"/>
    <w:rsid w:val="681256FD"/>
    <w:rsid w:val="682D132E"/>
    <w:rsid w:val="6864D62C"/>
    <w:rsid w:val="687C6B3C"/>
    <w:rsid w:val="68A1E07E"/>
    <w:rsid w:val="68A99B8F"/>
    <w:rsid w:val="68C5EA1F"/>
    <w:rsid w:val="68D1AF2B"/>
    <w:rsid w:val="68FE222A"/>
    <w:rsid w:val="6909DC59"/>
    <w:rsid w:val="690B483D"/>
    <w:rsid w:val="690B6D92"/>
    <w:rsid w:val="6927EAA9"/>
    <w:rsid w:val="69433793"/>
    <w:rsid w:val="696FE2EB"/>
    <w:rsid w:val="697A9389"/>
    <w:rsid w:val="6999B634"/>
    <w:rsid w:val="69C14B1A"/>
    <w:rsid w:val="69E5280B"/>
    <w:rsid w:val="69EDCDD1"/>
    <w:rsid w:val="6A1D67FC"/>
    <w:rsid w:val="6A222C26"/>
    <w:rsid w:val="6AB28F71"/>
    <w:rsid w:val="6AB9AE6D"/>
    <w:rsid w:val="6AC53A71"/>
    <w:rsid w:val="6AE0C67B"/>
    <w:rsid w:val="6B1EFFFC"/>
    <w:rsid w:val="6B26F04D"/>
    <w:rsid w:val="6B4061D2"/>
    <w:rsid w:val="6B4E045A"/>
    <w:rsid w:val="6B4FC379"/>
    <w:rsid w:val="6B56D4DA"/>
    <w:rsid w:val="6B5C61D0"/>
    <w:rsid w:val="6B669A55"/>
    <w:rsid w:val="6B76384C"/>
    <w:rsid w:val="6B77D90F"/>
    <w:rsid w:val="6B874052"/>
    <w:rsid w:val="6B8EC034"/>
    <w:rsid w:val="6B9C99D2"/>
    <w:rsid w:val="6BAEE4F2"/>
    <w:rsid w:val="6BDD1164"/>
    <w:rsid w:val="6BF46F66"/>
    <w:rsid w:val="6C075B89"/>
    <w:rsid w:val="6C0E431C"/>
    <w:rsid w:val="6C0F2758"/>
    <w:rsid w:val="6C2A1B91"/>
    <w:rsid w:val="6C4E3B8C"/>
    <w:rsid w:val="6C4FB11A"/>
    <w:rsid w:val="6C54F901"/>
    <w:rsid w:val="6C5C5272"/>
    <w:rsid w:val="6C962482"/>
    <w:rsid w:val="6CA9642B"/>
    <w:rsid w:val="6CDE7F66"/>
    <w:rsid w:val="6CF71ABB"/>
    <w:rsid w:val="6CFB7A4A"/>
    <w:rsid w:val="6CFBB245"/>
    <w:rsid w:val="6D081851"/>
    <w:rsid w:val="6D277329"/>
    <w:rsid w:val="6D2AC209"/>
    <w:rsid w:val="6D2BA008"/>
    <w:rsid w:val="6D471B36"/>
    <w:rsid w:val="6DB8ACBF"/>
    <w:rsid w:val="6DB952BF"/>
    <w:rsid w:val="6DC56098"/>
    <w:rsid w:val="6DE14848"/>
    <w:rsid w:val="6DFC23D2"/>
    <w:rsid w:val="6E090CE9"/>
    <w:rsid w:val="6E0957A2"/>
    <w:rsid w:val="6E130A68"/>
    <w:rsid w:val="6E2E5C8E"/>
    <w:rsid w:val="6E44EB15"/>
    <w:rsid w:val="6EA59136"/>
    <w:rsid w:val="6EB3E3D6"/>
    <w:rsid w:val="6EB6B0BB"/>
    <w:rsid w:val="6EC865C8"/>
    <w:rsid w:val="6EDEF22F"/>
    <w:rsid w:val="6EF52D6E"/>
    <w:rsid w:val="6F07C40E"/>
    <w:rsid w:val="6F0CB62B"/>
    <w:rsid w:val="6F16F020"/>
    <w:rsid w:val="6F256540"/>
    <w:rsid w:val="6F283E27"/>
    <w:rsid w:val="6F6B9444"/>
    <w:rsid w:val="6F86AF92"/>
    <w:rsid w:val="6F87F594"/>
    <w:rsid w:val="6F8D5D2F"/>
    <w:rsid w:val="6FA22AE3"/>
    <w:rsid w:val="6FABA903"/>
    <w:rsid w:val="6FAF9AB8"/>
    <w:rsid w:val="6FB18ABC"/>
    <w:rsid w:val="6FB7CCE0"/>
    <w:rsid w:val="6FCC4973"/>
    <w:rsid w:val="6FD37FC2"/>
    <w:rsid w:val="6FD50ABB"/>
    <w:rsid w:val="6FD51341"/>
    <w:rsid w:val="70099968"/>
    <w:rsid w:val="70A83C77"/>
    <w:rsid w:val="70B042AA"/>
    <w:rsid w:val="70C1A44F"/>
    <w:rsid w:val="70CD2F75"/>
    <w:rsid w:val="70E268A0"/>
    <w:rsid w:val="7106418A"/>
    <w:rsid w:val="712898D7"/>
    <w:rsid w:val="712A8201"/>
    <w:rsid w:val="7156273D"/>
    <w:rsid w:val="715DDDD2"/>
    <w:rsid w:val="715EA881"/>
    <w:rsid w:val="716A021A"/>
    <w:rsid w:val="717D0974"/>
    <w:rsid w:val="71949C5F"/>
    <w:rsid w:val="71A4288E"/>
    <w:rsid w:val="71C5566F"/>
    <w:rsid w:val="71E872A5"/>
    <w:rsid w:val="720E6CB1"/>
    <w:rsid w:val="721099E5"/>
    <w:rsid w:val="72219602"/>
    <w:rsid w:val="722FA531"/>
    <w:rsid w:val="7256A3F8"/>
    <w:rsid w:val="72809242"/>
    <w:rsid w:val="72A1B3C0"/>
    <w:rsid w:val="72B1B9F5"/>
    <w:rsid w:val="72C379ED"/>
    <w:rsid w:val="72D9C7B5"/>
    <w:rsid w:val="72EC61A5"/>
    <w:rsid w:val="7301DC87"/>
    <w:rsid w:val="730C8598"/>
    <w:rsid w:val="7328D73F"/>
    <w:rsid w:val="73291095"/>
    <w:rsid w:val="7340CC4D"/>
    <w:rsid w:val="735187E0"/>
    <w:rsid w:val="73563A55"/>
    <w:rsid w:val="7359454B"/>
    <w:rsid w:val="738C77E1"/>
    <w:rsid w:val="738F0503"/>
    <w:rsid w:val="739DA454"/>
    <w:rsid w:val="73B55AAB"/>
    <w:rsid w:val="73C70377"/>
    <w:rsid w:val="73D34A51"/>
    <w:rsid w:val="7415023B"/>
    <w:rsid w:val="7420DB5D"/>
    <w:rsid w:val="742FB4C6"/>
    <w:rsid w:val="74493D97"/>
    <w:rsid w:val="744AF6CB"/>
    <w:rsid w:val="7471FF97"/>
    <w:rsid w:val="7494BCBE"/>
    <w:rsid w:val="749524F7"/>
    <w:rsid w:val="749A3BFA"/>
    <w:rsid w:val="74A82E81"/>
    <w:rsid w:val="74ACE63D"/>
    <w:rsid w:val="74B39AA2"/>
    <w:rsid w:val="74B864E9"/>
    <w:rsid w:val="74C1C8EE"/>
    <w:rsid w:val="74C4DB9C"/>
    <w:rsid w:val="74C5C06D"/>
    <w:rsid w:val="74E9FA00"/>
    <w:rsid w:val="75114ABF"/>
    <w:rsid w:val="7518B9DC"/>
    <w:rsid w:val="751B542A"/>
    <w:rsid w:val="7580C165"/>
    <w:rsid w:val="7594F8B8"/>
    <w:rsid w:val="759B0D42"/>
    <w:rsid w:val="75AF2AC4"/>
    <w:rsid w:val="75D437C8"/>
    <w:rsid w:val="75E47680"/>
    <w:rsid w:val="75F52DC5"/>
    <w:rsid w:val="760779DF"/>
    <w:rsid w:val="760D3F29"/>
    <w:rsid w:val="7626CAB1"/>
    <w:rsid w:val="76335769"/>
    <w:rsid w:val="76489FFE"/>
    <w:rsid w:val="7648E85B"/>
    <w:rsid w:val="7662A536"/>
    <w:rsid w:val="76872D66"/>
    <w:rsid w:val="769A7BF0"/>
    <w:rsid w:val="76A70E0C"/>
    <w:rsid w:val="76C2A4FD"/>
    <w:rsid w:val="76DA0481"/>
    <w:rsid w:val="7714227C"/>
    <w:rsid w:val="7738AEF6"/>
    <w:rsid w:val="776AE880"/>
    <w:rsid w:val="7789ED32"/>
    <w:rsid w:val="77B82646"/>
    <w:rsid w:val="77CF866C"/>
    <w:rsid w:val="77EE9709"/>
    <w:rsid w:val="77FB868D"/>
    <w:rsid w:val="77FCBA35"/>
    <w:rsid w:val="78096532"/>
    <w:rsid w:val="782D8DEF"/>
    <w:rsid w:val="783BED06"/>
    <w:rsid w:val="78769D7D"/>
    <w:rsid w:val="787C3990"/>
    <w:rsid w:val="7880583D"/>
    <w:rsid w:val="7894BC2D"/>
    <w:rsid w:val="789A7539"/>
    <w:rsid w:val="789D8367"/>
    <w:rsid w:val="78BF8C88"/>
    <w:rsid w:val="78E304FE"/>
    <w:rsid w:val="78ECC515"/>
    <w:rsid w:val="791B66CB"/>
    <w:rsid w:val="792089C0"/>
    <w:rsid w:val="794B946B"/>
    <w:rsid w:val="79524519"/>
    <w:rsid w:val="7975AD9F"/>
    <w:rsid w:val="79A4024A"/>
    <w:rsid w:val="79C2CE2E"/>
    <w:rsid w:val="79CF5283"/>
    <w:rsid w:val="79D531A4"/>
    <w:rsid w:val="79E4307F"/>
    <w:rsid w:val="79E4CB92"/>
    <w:rsid w:val="7A00C4B6"/>
    <w:rsid w:val="7A0412AE"/>
    <w:rsid w:val="7A3478AA"/>
    <w:rsid w:val="7A35B8AD"/>
    <w:rsid w:val="7A4BC5F0"/>
    <w:rsid w:val="7A6642BF"/>
    <w:rsid w:val="7A670A85"/>
    <w:rsid w:val="7A6F5A47"/>
    <w:rsid w:val="7A7A13F1"/>
    <w:rsid w:val="7A8F4241"/>
    <w:rsid w:val="7AA240FB"/>
    <w:rsid w:val="7AE22156"/>
    <w:rsid w:val="7B03746A"/>
    <w:rsid w:val="7B08BC0D"/>
    <w:rsid w:val="7B0AC52C"/>
    <w:rsid w:val="7B195588"/>
    <w:rsid w:val="7B20152A"/>
    <w:rsid w:val="7B22A136"/>
    <w:rsid w:val="7B23504F"/>
    <w:rsid w:val="7B717D17"/>
    <w:rsid w:val="7B7BD696"/>
    <w:rsid w:val="7B7F448C"/>
    <w:rsid w:val="7BA0C9C0"/>
    <w:rsid w:val="7BB681E1"/>
    <w:rsid w:val="7BC62921"/>
    <w:rsid w:val="7BFDDFDB"/>
    <w:rsid w:val="7C16B58A"/>
    <w:rsid w:val="7C29E1B0"/>
    <w:rsid w:val="7C2D519E"/>
    <w:rsid w:val="7C45A340"/>
    <w:rsid w:val="7C6CB782"/>
    <w:rsid w:val="7C701227"/>
    <w:rsid w:val="7C876984"/>
    <w:rsid w:val="7C8907B3"/>
    <w:rsid w:val="7C893A84"/>
    <w:rsid w:val="7CC378C1"/>
    <w:rsid w:val="7CD94FC4"/>
    <w:rsid w:val="7CDC8A28"/>
    <w:rsid w:val="7CF331B5"/>
    <w:rsid w:val="7D0187E9"/>
    <w:rsid w:val="7D2F55A7"/>
    <w:rsid w:val="7D5FD88F"/>
    <w:rsid w:val="7D605A6E"/>
    <w:rsid w:val="7DAE7C96"/>
    <w:rsid w:val="7DBDDD19"/>
    <w:rsid w:val="7DF77A91"/>
    <w:rsid w:val="7DFBEC2C"/>
    <w:rsid w:val="7E0D761F"/>
    <w:rsid w:val="7E28D423"/>
    <w:rsid w:val="7E53601B"/>
    <w:rsid w:val="7E6144F4"/>
    <w:rsid w:val="7E66D73C"/>
    <w:rsid w:val="7E7402DB"/>
    <w:rsid w:val="7E8DBCEF"/>
    <w:rsid w:val="7E9E0C16"/>
    <w:rsid w:val="7EEA5EE5"/>
    <w:rsid w:val="7F133E5F"/>
    <w:rsid w:val="7F42C0D2"/>
    <w:rsid w:val="7F48DD7E"/>
    <w:rsid w:val="7FABD636"/>
    <w:rsid w:val="7FB5F963"/>
    <w:rsid w:val="7FB99B79"/>
    <w:rsid w:val="7FDFE5C0"/>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AFEB60"/>
  <w15:docId w15:val="{EF6153D2-62FB-4DB5-94EB-3FDD569D1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40B3"/>
  </w:style>
  <w:style w:type="paragraph" w:styleId="Ttulo1">
    <w:name w:val="heading 1"/>
    <w:basedOn w:val="Normal"/>
    <w:next w:val="Normal"/>
    <w:link w:val="Ttulo1Char"/>
    <w:qFormat/>
    <w:rsid w:val="00F6647D"/>
    <w:pPr>
      <w:keepNext/>
      <w:keepLines/>
      <w:spacing w:before="480" w:after="0" w:line="240" w:lineRule="auto"/>
      <w:jc w:val="center"/>
      <w:outlineLvl w:val="0"/>
    </w:pPr>
    <w:rPr>
      <w:rFonts w:eastAsiaTheme="majorEastAsia" w:cstheme="majorBidi"/>
      <w:bCs/>
      <w:sz w:val="72"/>
      <w:szCs w:val="28"/>
    </w:rPr>
  </w:style>
  <w:style w:type="paragraph" w:styleId="Ttulo2">
    <w:name w:val="heading 2"/>
    <w:basedOn w:val="Normal"/>
    <w:link w:val="Ttulo2Char"/>
    <w:qFormat/>
    <w:rsid w:val="00204DCE"/>
    <w:pPr>
      <w:outlineLvl w:val="1"/>
    </w:pPr>
    <w:rPr>
      <w:rFonts w:eastAsia="Times New Roman" w:cstheme="minorHAnsi"/>
      <w:sz w:val="44"/>
      <w:szCs w:val="72"/>
      <w:lang w:eastAsia="pt-BR"/>
    </w:rPr>
  </w:style>
  <w:style w:type="paragraph" w:styleId="Ttulo3">
    <w:name w:val="heading 3"/>
    <w:basedOn w:val="Normal"/>
    <w:link w:val="Ttulo3Char"/>
    <w:qFormat/>
    <w:rsid w:val="001F6B09"/>
    <w:pPr>
      <w:spacing w:before="100" w:beforeAutospacing="1" w:after="100" w:afterAutospacing="1" w:line="240" w:lineRule="auto"/>
      <w:outlineLvl w:val="2"/>
    </w:pPr>
    <w:rPr>
      <w:rFonts w:eastAsia="Times New Roman" w:cs="Times New Roman"/>
      <w:bCs/>
      <w:sz w:val="32"/>
      <w:szCs w:val="27"/>
      <w:lang w:eastAsia="pt-BR"/>
    </w:rPr>
  </w:style>
  <w:style w:type="paragraph" w:styleId="Ttulo4">
    <w:name w:val="heading 4"/>
    <w:basedOn w:val="Normal"/>
    <w:next w:val="Normal"/>
    <w:link w:val="Ttulo4Char"/>
    <w:unhideWhenUsed/>
    <w:qFormat/>
    <w:rsid w:val="0016780D"/>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nhideWhenUsed/>
    <w:rsid w:val="00EF0062"/>
    <w:pPr>
      <w:spacing w:after="0" w:line="240" w:lineRule="auto"/>
    </w:pPr>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177FC2"/>
    <w:pPr>
      <w:tabs>
        <w:tab w:val="left" w:pos="708"/>
      </w:tabs>
      <w:suppressAutoHyphens/>
      <w:spacing w:after="0" w:line="100" w:lineRule="atLeast"/>
      <w:ind w:left="720"/>
    </w:pPr>
    <w:rPr>
      <w:rFonts w:ascii="Times New Roman" w:eastAsia="Times New Roman" w:hAnsi="Times New Roman" w:cs="Times New Roman"/>
      <w:sz w:val="20"/>
      <w:szCs w:val="20"/>
      <w:lang w:eastAsia="pt-BR"/>
    </w:rPr>
  </w:style>
  <w:style w:type="character" w:customStyle="1" w:styleId="foldclosed">
    <w:name w:val="foldclosed"/>
    <w:basedOn w:val="Fontepargpadro"/>
    <w:rsid w:val="00205680"/>
  </w:style>
  <w:style w:type="character" w:customStyle="1" w:styleId="foldopened">
    <w:name w:val="foldopened"/>
    <w:basedOn w:val="Fontepargpadro"/>
    <w:rsid w:val="00205680"/>
  </w:style>
  <w:style w:type="character" w:styleId="Hyperlink">
    <w:name w:val="Hyperlink"/>
    <w:uiPriority w:val="99"/>
    <w:unhideWhenUsed/>
    <w:rsid w:val="00EA6079"/>
    <w:rPr>
      <w:color w:val="0000FF"/>
      <w:u w:val="single"/>
    </w:rPr>
  </w:style>
  <w:style w:type="paragraph" w:styleId="Textodebalo">
    <w:name w:val="Balloon Text"/>
    <w:basedOn w:val="Normal"/>
    <w:link w:val="TextodebaloChar"/>
    <w:semiHidden/>
    <w:unhideWhenUsed/>
    <w:rsid w:val="002B126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B1269"/>
    <w:rPr>
      <w:rFonts w:ascii="Tahoma" w:hAnsi="Tahoma" w:cs="Tahoma"/>
      <w:sz w:val="16"/>
      <w:szCs w:val="16"/>
    </w:rPr>
  </w:style>
  <w:style w:type="character" w:styleId="TtulodoLivro">
    <w:name w:val="Book Title"/>
    <w:basedOn w:val="Fontepargpadro"/>
    <w:uiPriority w:val="33"/>
    <w:qFormat/>
    <w:rsid w:val="00D61B75"/>
    <w:rPr>
      <w:b/>
      <w:bCs/>
      <w:smallCaps/>
      <w:spacing w:val="5"/>
    </w:rPr>
  </w:style>
  <w:style w:type="paragraph" w:customStyle="1" w:styleId="Default">
    <w:name w:val="Default"/>
    <w:rsid w:val="001272C9"/>
    <w:pPr>
      <w:autoSpaceDE w:val="0"/>
      <w:autoSpaceDN w:val="0"/>
      <w:adjustRightInd w:val="0"/>
      <w:spacing w:after="0" w:line="240" w:lineRule="auto"/>
    </w:pPr>
    <w:rPr>
      <w:rFonts w:ascii="Calibri" w:hAnsi="Calibri" w:cs="Calibri"/>
      <w:color w:val="000000"/>
      <w:sz w:val="24"/>
      <w:szCs w:val="24"/>
    </w:rPr>
  </w:style>
  <w:style w:type="paragraph" w:styleId="Corpodetexto">
    <w:name w:val="Body Text"/>
    <w:basedOn w:val="Normal"/>
    <w:link w:val="CorpodetextoChar"/>
    <w:rsid w:val="006A638F"/>
    <w:pPr>
      <w:spacing w:before="100" w:beforeAutospacing="1" w:after="100" w:afterAutospacing="1" w:line="240" w:lineRule="auto"/>
      <w:jc w:val="both"/>
    </w:pPr>
    <w:rPr>
      <w:rFonts w:ascii="Arial" w:eastAsia="Times New Roman" w:hAnsi="Arial" w:cs="Arial"/>
      <w:sz w:val="24"/>
      <w:szCs w:val="24"/>
      <w:lang w:eastAsia="pt-BR"/>
    </w:rPr>
  </w:style>
  <w:style w:type="character" w:customStyle="1" w:styleId="CorpodetextoChar">
    <w:name w:val="Corpo de texto Char"/>
    <w:basedOn w:val="Fontepargpadro"/>
    <w:link w:val="Corpodetexto"/>
    <w:rsid w:val="006A638F"/>
    <w:rPr>
      <w:rFonts w:ascii="Arial" w:eastAsia="Times New Roman" w:hAnsi="Arial" w:cs="Arial"/>
      <w:sz w:val="24"/>
      <w:szCs w:val="24"/>
      <w:lang w:eastAsia="pt-BR"/>
    </w:rPr>
  </w:style>
  <w:style w:type="paragraph" w:styleId="Recuodecorpodetexto">
    <w:name w:val="Body Text Indent"/>
    <w:basedOn w:val="Normal"/>
    <w:link w:val="RecuodecorpodetextoChar"/>
    <w:unhideWhenUsed/>
    <w:rsid w:val="00DA06DF"/>
    <w:pPr>
      <w:spacing w:after="120"/>
      <w:ind w:left="283"/>
    </w:pPr>
  </w:style>
  <w:style w:type="character" w:customStyle="1" w:styleId="RecuodecorpodetextoChar">
    <w:name w:val="Recuo de corpo de texto Char"/>
    <w:basedOn w:val="Fontepargpadro"/>
    <w:link w:val="Recuodecorpodetexto"/>
    <w:uiPriority w:val="99"/>
    <w:semiHidden/>
    <w:rsid w:val="00DA06DF"/>
  </w:style>
  <w:style w:type="character" w:customStyle="1" w:styleId="apple-converted-space">
    <w:name w:val="apple-converted-space"/>
    <w:basedOn w:val="Fontepargpadro"/>
    <w:rsid w:val="00DA06DF"/>
  </w:style>
  <w:style w:type="table" w:styleId="Tabelacomgrade">
    <w:name w:val="Table Grid"/>
    <w:basedOn w:val="Tabelanormal"/>
    <w:uiPriority w:val="59"/>
    <w:rsid w:val="005917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basedOn w:val="Fontepargpadro"/>
    <w:link w:val="Ttulo2"/>
    <w:rsid w:val="00204DCE"/>
    <w:rPr>
      <w:rFonts w:eastAsia="Times New Roman" w:cstheme="minorHAnsi"/>
      <w:sz w:val="44"/>
      <w:szCs w:val="72"/>
      <w:lang w:eastAsia="pt-BR"/>
    </w:rPr>
  </w:style>
  <w:style w:type="character" w:customStyle="1" w:styleId="Ttulo3Char">
    <w:name w:val="Título 3 Char"/>
    <w:basedOn w:val="Fontepargpadro"/>
    <w:link w:val="Ttulo3"/>
    <w:rsid w:val="001F6B09"/>
    <w:rPr>
      <w:rFonts w:eastAsia="Times New Roman" w:cs="Times New Roman"/>
      <w:bCs/>
      <w:sz w:val="32"/>
      <w:szCs w:val="27"/>
      <w:lang w:eastAsia="pt-BR"/>
    </w:rPr>
  </w:style>
  <w:style w:type="character" w:customStyle="1" w:styleId="toctoggle">
    <w:name w:val="toctoggle"/>
    <w:basedOn w:val="Fontepargpadro"/>
    <w:rsid w:val="001067E8"/>
  </w:style>
  <w:style w:type="character" w:customStyle="1" w:styleId="tocnumber">
    <w:name w:val="tocnumber"/>
    <w:basedOn w:val="Fontepargpadro"/>
    <w:rsid w:val="001067E8"/>
  </w:style>
  <w:style w:type="character" w:customStyle="1" w:styleId="toctext">
    <w:name w:val="toctext"/>
    <w:basedOn w:val="Fontepargpadro"/>
    <w:rsid w:val="001067E8"/>
  </w:style>
  <w:style w:type="character" w:customStyle="1" w:styleId="editsection">
    <w:name w:val="editsection"/>
    <w:basedOn w:val="Fontepargpadro"/>
    <w:rsid w:val="001067E8"/>
  </w:style>
  <w:style w:type="character" w:customStyle="1" w:styleId="mw-headline">
    <w:name w:val="mw-headline"/>
    <w:basedOn w:val="Fontepargpadro"/>
    <w:rsid w:val="001067E8"/>
  </w:style>
  <w:style w:type="character" w:customStyle="1" w:styleId="paragrafo">
    <w:name w:val="paragrafo"/>
    <w:basedOn w:val="Fontepargpadro"/>
    <w:rsid w:val="00B56D41"/>
  </w:style>
  <w:style w:type="paragraph" w:styleId="Cabealho">
    <w:name w:val="header"/>
    <w:basedOn w:val="Normal"/>
    <w:link w:val="CabealhoChar"/>
    <w:unhideWhenUsed/>
    <w:rsid w:val="007C4DE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C4DEC"/>
  </w:style>
  <w:style w:type="paragraph" w:styleId="Rodap">
    <w:name w:val="footer"/>
    <w:basedOn w:val="Normal"/>
    <w:link w:val="RodapChar"/>
    <w:uiPriority w:val="99"/>
    <w:unhideWhenUsed/>
    <w:rsid w:val="007C4DEC"/>
    <w:pPr>
      <w:tabs>
        <w:tab w:val="center" w:pos="4252"/>
        <w:tab w:val="right" w:pos="8504"/>
      </w:tabs>
      <w:spacing w:after="0" w:line="240" w:lineRule="auto"/>
    </w:pPr>
  </w:style>
  <w:style w:type="character" w:customStyle="1" w:styleId="RodapChar">
    <w:name w:val="Rodapé Char"/>
    <w:basedOn w:val="Fontepargpadro"/>
    <w:link w:val="Rodap"/>
    <w:uiPriority w:val="99"/>
    <w:rsid w:val="007C4DEC"/>
  </w:style>
  <w:style w:type="character" w:customStyle="1" w:styleId="reference-text">
    <w:name w:val="reference-text"/>
    <w:basedOn w:val="Fontepargpadro"/>
    <w:rsid w:val="003A495F"/>
  </w:style>
  <w:style w:type="character" w:styleId="Forte">
    <w:name w:val="Strong"/>
    <w:basedOn w:val="Fontepargpadro"/>
    <w:uiPriority w:val="22"/>
    <w:qFormat/>
    <w:rsid w:val="002C7E45"/>
    <w:rPr>
      <w:b/>
      <w:bCs/>
    </w:rPr>
  </w:style>
  <w:style w:type="character" w:customStyle="1" w:styleId="Ttulo1Char">
    <w:name w:val="Título 1 Char"/>
    <w:basedOn w:val="Fontepargpadro"/>
    <w:link w:val="Ttulo1"/>
    <w:rsid w:val="00F6647D"/>
    <w:rPr>
      <w:rFonts w:eastAsiaTheme="majorEastAsia" w:cstheme="majorBidi"/>
      <w:bCs/>
      <w:sz w:val="72"/>
      <w:szCs w:val="28"/>
    </w:rPr>
  </w:style>
  <w:style w:type="paragraph" w:customStyle="1" w:styleId="artigo">
    <w:name w:val="artigo"/>
    <w:basedOn w:val="Normal"/>
    <w:rsid w:val="00234B5B"/>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Pa3">
    <w:name w:val="Pa3"/>
    <w:basedOn w:val="Default"/>
    <w:next w:val="Default"/>
    <w:uiPriority w:val="99"/>
    <w:rsid w:val="004660C6"/>
    <w:pPr>
      <w:spacing w:line="181" w:lineRule="atLeast"/>
    </w:pPr>
    <w:rPr>
      <w:rFonts w:ascii="Univers" w:hAnsi="Univers" w:cstheme="minorBidi"/>
      <w:color w:val="auto"/>
    </w:rPr>
  </w:style>
  <w:style w:type="paragraph" w:customStyle="1" w:styleId="Pa17">
    <w:name w:val="Pa17"/>
    <w:basedOn w:val="Default"/>
    <w:next w:val="Default"/>
    <w:uiPriority w:val="99"/>
    <w:rsid w:val="008601BB"/>
    <w:pPr>
      <w:spacing w:line="141" w:lineRule="atLeast"/>
    </w:pPr>
    <w:rPr>
      <w:rFonts w:ascii="Univers 57 Condensed" w:hAnsi="Univers 57 Condensed" w:cstheme="minorBidi"/>
      <w:color w:val="auto"/>
    </w:rPr>
  </w:style>
  <w:style w:type="paragraph" w:customStyle="1" w:styleId="bodytext2">
    <w:name w:val="bodytext2"/>
    <w:basedOn w:val="Normal"/>
    <w:rsid w:val="00643B40"/>
    <w:pPr>
      <w:spacing w:before="75" w:after="100" w:afterAutospacing="1" w:line="240" w:lineRule="auto"/>
    </w:pPr>
    <w:rPr>
      <w:rFonts w:ascii="Times New Roman" w:eastAsia="Times New Roman" w:hAnsi="Times New Roman" w:cs="Times New Roman"/>
      <w:sz w:val="24"/>
      <w:szCs w:val="24"/>
      <w:lang w:eastAsia="pt-BR"/>
    </w:rPr>
  </w:style>
  <w:style w:type="paragraph" w:customStyle="1" w:styleId="a101675">
    <w:name w:val="a101675"/>
    <w:basedOn w:val="Normal"/>
    <w:rsid w:val="006B2B09"/>
    <w:pPr>
      <w:spacing w:after="0" w:line="240" w:lineRule="auto"/>
      <w:ind w:left="2160" w:firstLine="1296"/>
      <w:jc w:val="both"/>
    </w:pPr>
    <w:rPr>
      <w:rFonts w:ascii="Tms Rmn" w:hAnsi="Tms Rmn" w:cs="Times New Roman"/>
      <w:sz w:val="24"/>
      <w:szCs w:val="24"/>
      <w:lang w:eastAsia="pt-BR"/>
    </w:rPr>
  </w:style>
  <w:style w:type="paragraph" w:customStyle="1" w:styleId="default0">
    <w:name w:val="default"/>
    <w:basedOn w:val="Normal"/>
    <w:rsid w:val="006B2B09"/>
    <w:pPr>
      <w:autoSpaceDE w:val="0"/>
      <w:autoSpaceDN w:val="0"/>
      <w:spacing w:after="0" w:line="240" w:lineRule="auto"/>
    </w:pPr>
    <w:rPr>
      <w:rFonts w:ascii="Arial" w:hAnsi="Arial" w:cs="Arial"/>
      <w:color w:val="000000"/>
      <w:sz w:val="24"/>
      <w:szCs w:val="24"/>
      <w:lang w:eastAsia="pt-BR"/>
    </w:rPr>
  </w:style>
  <w:style w:type="character" w:customStyle="1" w:styleId="fontsize12px">
    <w:name w:val="fontsize12px"/>
    <w:basedOn w:val="Fontepargpadro"/>
    <w:rsid w:val="002824E9"/>
    <w:rPr>
      <w:rFonts w:ascii="Trebuchet MS" w:hAnsi="Trebuchet MS" w:hint="default"/>
    </w:rPr>
  </w:style>
  <w:style w:type="table" w:styleId="ListaClara-nfase3">
    <w:name w:val="Light List Accent 3"/>
    <w:basedOn w:val="Tabelanormal"/>
    <w:uiPriority w:val="61"/>
    <w:rsid w:val="0068482B"/>
    <w:pPr>
      <w:spacing w:after="0" w:line="240" w:lineRule="auto"/>
    </w:pPr>
    <w:rPr>
      <w:rFonts w:eastAsiaTheme="minorEastAsia"/>
      <w:lang w:eastAsia="pt-BR"/>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elaSimples41">
    <w:name w:val="Tabela Simples 41"/>
    <w:basedOn w:val="Tabelanormal"/>
    <w:uiPriority w:val="44"/>
    <w:rsid w:val="003B127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wordwrap">
    <w:name w:val="word_wrap"/>
    <w:basedOn w:val="Fontepargpadro"/>
    <w:rsid w:val="00601A1D"/>
  </w:style>
  <w:style w:type="character" w:customStyle="1" w:styleId="word">
    <w:name w:val="word"/>
    <w:basedOn w:val="Fontepargpadro"/>
    <w:rsid w:val="00601A1D"/>
  </w:style>
  <w:style w:type="character" w:styleId="HiperlinkVisitado">
    <w:name w:val="FollowedHyperlink"/>
    <w:basedOn w:val="Fontepargpadro"/>
    <w:uiPriority w:val="99"/>
    <w:semiHidden/>
    <w:unhideWhenUsed/>
    <w:rsid w:val="00AC53FD"/>
    <w:rPr>
      <w:color w:val="800080" w:themeColor="followedHyperlink"/>
      <w:u w:val="single"/>
    </w:rPr>
  </w:style>
  <w:style w:type="character" w:styleId="Refdecomentrio">
    <w:name w:val="annotation reference"/>
    <w:basedOn w:val="Fontepargpadro"/>
    <w:uiPriority w:val="99"/>
    <w:semiHidden/>
    <w:unhideWhenUsed/>
    <w:rsid w:val="000A7AA8"/>
    <w:rPr>
      <w:sz w:val="16"/>
      <w:szCs w:val="16"/>
    </w:rPr>
  </w:style>
  <w:style w:type="paragraph" w:styleId="Textodecomentrio">
    <w:name w:val="annotation text"/>
    <w:basedOn w:val="Normal"/>
    <w:link w:val="TextodecomentrioChar"/>
    <w:uiPriority w:val="99"/>
    <w:semiHidden/>
    <w:unhideWhenUsed/>
    <w:rsid w:val="000A7AA8"/>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0A7AA8"/>
    <w:rPr>
      <w:sz w:val="20"/>
      <w:szCs w:val="20"/>
    </w:rPr>
  </w:style>
  <w:style w:type="paragraph" w:styleId="Assuntodocomentrio">
    <w:name w:val="annotation subject"/>
    <w:basedOn w:val="Textodecomentrio"/>
    <w:next w:val="Textodecomentrio"/>
    <w:link w:val="AssuntodocomentrioChar"/>
    <w:uiPriority w:val="99"/>
    <w:semiHidden/>
    <w:unhideWhenUsed/>
    <w:rsid w:val="000A7AA8"/>
    <w:rPr>
      <w:b/>
      <w:bCs/>
    </w:rPr>
  </w:style>
  <w:style w:type="character" w:customStyle="1" w:styleId="AssuntodocomentrioChar">
    <w:name w:val="Assunto do comentário Char"/>
    <w:basedOn w:val="TextodecomentrioChar"/>
    <w:link w:val="Assuntodocomentrio"/>
    <w:uiPriority w:val="99"/>
    <w:semiHidden/>
    <w:rsid w:val="000A7AA8"/>
    <w:rPr>
      <w:b/>
      <w:bCs/>
      <w:sz w:val="20"/>
      <w:szCs w:val="20"/>
    </w:rPr>
  </w:style>
  <w:style w:type="character" w:customStyle="1" w:styleId="Ttulo4Char">
    <w:name w:val="Título 4 Char"/>
    <w:basedOn w:val="Fontepargpadro"/>
    <w:link w:val="Ttulo4"/>
    <w:uiPriority w:val="9"/>
    <w:semiHidden/>
    <w:rsid w:val="0016780D"/>
    <w:rPr>
      <w:rFonts w:asciiTheme="majorHAnsi" w:eastAsiaTheme="majorEastAsia" w:hAnsiTheme="majorHAnsi" w:cstheme="majorBidi"/>
      <w:i/>
      <w:iCs/>
      <w:color w:val="365F91" w:themeColor="accent1" w:themeShade="BF"/>
    </w:rPr>
  </w:style>
  <w:style w:type="paragraph" w:styleId="Corpodetexto2">
    <w:name w:val="Body Text 2"/>
    <w:basedOn w:val="Normal"/>
    <w:link w:val="Corpodetexto2Char"/>
    <w:rsid w:val="0016780D"/>
    <w:pPr>
      <w:spacing w:after="0" w:line="240" w:lineRule="auto"/>
      <w:ind w:right="-16"/>
    </w:pPr>
    <w:rPr>
      <w:rFonts w:ascii="Arial" w:eastAsia="Times New Roman" w:hAnsi="Arial" w:cs="Arial"/>
      <w:color w:val="003366"/>
      <w:sz w:val="20"/>
      <w:szCs w:val="20"/>
      <w:lang w:eastAsia="pt-BR"/>
    </w:rPr>
  </w:style>
  <w:style w:type="character" w:customStyle="1" w:styleId="Corpodetexto2Char">
    <w:name w:val="Corpo de texto 2 Char"/>
    <w:basedOn w:val="Fontepargpadro"/>
    <w:link w:val="Corpodetexto2"/>
    <w:rsid w:val="0016780D"/>
    <w:rPr>
      <w:rFonts w:ascii="Arial" w:eastAsia="Times New Roman" w:hAnsi="Arial" w:cs="Arial"/>
      <w:color w:val="003366"/>
      <w:sz w:val="20"/>
      <w:szCs w:val="20"/>
      <w:lang w:eastAsia="pt-BR"/>
    </w:rPr>
  </w:style>
  <w:style w:type="paragraph" w:styleId="Corpodetexto3">
    <w:name w:val="Body Text 3"/>
    <w:basedOn w:val="Normal"/>
    <w:link w:val="Corpodetexto3Char"/>
    <w:rsid w:val="0016780D"/>
    <w:pPr>
      <w:spacing w:after="0" w:line="240" w:lineRule="auto"/>
      <w:jc w:val="both"/>
    </w:pPr>
    <w:rPr>
      <w:rFonts w:ascii="Arial" w:eastAsia="Times New Roman" w:hAnsi="Arial" w:cs="Arial"/>
      <w:color w:val="003366"/>
      <w:sz w:val="20"/>
      <w:szCs w:val="20"/>
      <w:lang w:eastAsia="pt-BR"/>
    </w:rPr>
  </w:style>
  <w:style w:type="character" w:customStyle="1" w:styleId="Corpodetexto3Char">
    <w:name w:val="Corpo de texto 3 Char"/>
    <w:basedOn w:val="Fontepargpadro"/>
    <w:link w:val="Corpodetexto3"/>
    <w:rsid w:val="0016780D"/>
    <w:rPr>
      <w:rFonts w:ascii="Arial" w:eastAsia="Times New Roman" w:hAnsi="Arial" w:cs="Arial"/>
      <w:color w:val="003366"/>
      <w:sz w:val="20"/>
      <w:szCs w:val="20"/>
      <w:lang w:eastAsia="pt-BR"/>
    </w:rPr>
  </w:style>
  <w:style w:type="character" w:styleId="Nmerodepgina">
    <w:name w:val="page number"/>
    <w:basedOn w:val="Fontepargpadro"/>
    <w:rsid w:val="0016780D"/>
  </w:style>
  <w:style w:type="character" w:customStyle="1" w:styleId="texto">
    <w:name w:val="texto"/>
    <w:basedOn w:val="Fontepargpadro"/>
    <w:rsid w:val="0016780D"/>
  </w:style>
  <w:style w:type="character" w:customStyle="1" w:styleId="Normal1">
    <w:name w:val="Normal1"/>
    <w:basedOn w:val="Fontepargpadro"/>
    <w:rsid w:val="0016780D"/>
  </w:style>
  <w:style w:type="paragraph" w:styleId="TextosemFormatao">
    <w:name w:val="Plain Text"/>
    <w:basedOn w:val="Normal"/>
    <w:link w:val="TextosemFormataoChar"/>
    <w:uiPriority w:val="99"/>
    <w:semiHidden/>
    <w:unhideWhenUsed/>
    <w:rsid w:val="00907234"/>
    <w:pPr>
      <w:spacing w:after="0" w:line="240" w:lineRule="auto"/>
    </w:pPr>
    <w:rPr>
      <w:rFonts w:ascii="Calibri" w:eastAsia="Calibri" w:hAnsi="Calibri" w:cs="Consolas"/>
      <w:szCs w:val="21"/>
    </w:rPr>
  </w:style>
  <w:style w:type="character" w:customStyle="1" w:styleId="TextosemFormataoChar">
    <w:name w:val="Texto sem Formatação Char"/>
    <w:basedOn w:val="Fontepargpadro"/>
    <w:link w:val="TextosemFormatao"/>
    <w:uiPriority w:val="99"/>
    <w:semiHidden/>
    <w:rsid w:val="00907234"/>
    <w:rPr>
      <w:rFonts w:ascii="Calibri" w:eastAsia="Calibri" w:hAnsi="Calibri" w:cs="Consolas"/>
      <w:szCs w:val="21"/>
    </w:rPr>
  </w:style>
  <w:style w:type="table" w:customStyle="1" w:styleId="Tabelacomgrade1">
    <w:name w:val="Tabela com grade1"/>
    <w:basedOn w:val="Tabelanormal"/>
    <w:next w:val="Tabelacomgrade"/>
    <w:rsid w:val="00783A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mrio1">
    <w:name w:val="toc 1"/>
    <w:basedOn w:val="Normal"/>
    <w:next w:val="Normal"/>
    <w:autoRedefine/>
    <w:uiPriority w:val="39"/>
    <w:unhideWhenUsed/>
    <w:rsid w:val="00C47078"/>
    <w:pPr>
      <w:tabs>
        <w:tab w:val="right" w:leader="dot" w:pos="8921"/>
      </w:tabs>
      <w:spacing w:before="120" w:after="120" w:line="360" w:lineRule="auto"/>
      <w:ind w:left="142"/>
    </w:pPr>
    <w:rPr>
      <w:rFonts w:cs="Arial"/>
      <w:b/>
      <w:bCs/>
      <w:caps/>
      <w:noProof/>
      <w:sz w:val="20"/>
      <w:szCs w:val="20"/>
    </w:rPr>
  </w:style>
  <w:style w:type="paragraph" w:styleId="Sumrio2">
    <w:name w:val="toc 2"/>
    <w:basedOn w:val="Normal"/>
    <w:next w:val="Normal"/>
    <w:autoRedefine/>
    <w:uiPriority w:val="39"/>
    <w:unhideWhenUsed/>
    <w:rsid w:val="00BB3A4C"/>
    <w:pPr>
      <w:spacing w:after="0"/>
      <w:ind w:left="220"/>
    </w:pPr>
    <w:rPr>
      <w:smallCaps/>
      <w:sz w:val="20"/>
      <w:szCs w:val="20"/>
    </w:rPr>
  </w:style>
  <w:style w:type="paragraph" w:styleId="Sumrio3">
    <w:name w:val="toc 3"/>
    <w:basedOn w:val="Normal"/>
    <w:next w:val="Normal"/>
    <w:autoRedefine/>
    <w:uiPriority w:val="39"/>
    <w:unhideWhenUsed/>
    <w:rsid w:val="00BB3A4C"/>
    <w:pPr>
      <w:spacing w:after="0"/>
      <w:ind w:left="440"/>
    </w:pPr>
    <w:rPr>
      <w:i/>
      <w:iCs/>
      <w:sz w:val="20"/>
      <w:szCs w:val="20"/>
    </w:rPr>
  </w:style>
  <w:style w:type="paragraph" w:styleId="Sumrio4">
    <w:name w:val="toc 4"/>
    <w:basedOn w:val="Normal"/>
    <w:next w:val="Normal"/>
    <w:autoRedefine/>
    <w:uiPriority w:val="39"/>
    <w:unhideWhenUsed/>
    <w:rsid w:val="00BB3A4C"/>
    <w:pPr>
      <w:spacing w:after="0"/>
      <w:ind w:left="660"/>
    </w:pPr>
    <w:rPr>
      <w:sz w:val="18"/>
      <w:szCs w:val="18"/>
    </w:rPr>
  </w:style>
  <w:style w:type="paragraph" w:styleId="Sumrio5">
    <w:name w:val="toc 5"/>
    <w:basedOn w:val="Normal"/>
    <w:next w:val="Normal"/>
    <w:autoRedefine/>
    <w:uiPriority w:val="39"/>
    <w:unhideWhenUsed/>
    <w:rsid w:val="00BB3A4C"/>
    <w:pPr>
      <w:spacing w:after="0"/>
      <w:ind w:left="880"/>
    </w:pPr>
    <w:rPr>
      <w:sz w:val="18"/>
      <w:szCs w:val="18"/>
    </w:rPr>
  </w:style>
  <w:style w:type="paragraph" w:styleId="Sumrio6">
    <w:name w:val="toc 6"/>
    <w:basedOn w:val="Normal"/>
    <w:next w:val="Normal"/>
    <w:autoRedefine/>
    <w:uiPriority w:val="39"/>
    <w:unhideWhenUsed/>
    <w:rsid w:val="00BB3A4C"/>
    <w:pPr>
      <w:spacing w:after="0"/>
      <w:ind w:left="1100"/>
    </w:pPr>
    <w:rPr>
      <w:sz w:val="18"/>
      <w:szCs w:val="18"/>
    </w:rPr>
  </w:style>
  <w:style w:type="paragraph" w:styleId="Sumrio7">
    <w:name w:val="toc 7"/>
    <w:basedOn w:val="Normal"/>
    <w:next w:val="Normal"/>
    <w:autoRedefine/>
    <w:uiPriority w:val="39"/>
    <w:unhideWhenUsed/>
    <w:rsid w:val="00BB3A4C"/>
    <w:pPr>
      <w:spacing w:after="0"/>
      <w:ind w:left="1320"/>
    </w:pPr>
    <w:rPr>
      <w:sz w:val="18"/>
      <w:szCs w:val="18"/>
    </w:rPr>
  </w:style>
  <w:style w:type="paragraph" w:styleId="Sumrio8">
    <w:name w:val="toc 8"/>
    <w:basedOn w:val="Normal"/>
    <w:next w:val="Normal"/>
    <w:autoRedefine/>
    <w:uiPriority w:val="39"/>
    <w:unhideWhenUsed/>
    <w:rsid w:val="00BB3A4C"/>
    <w:pPr>
      <w:spacing w:after="0"/>
      <w:ind w:left="1540"/>
    </w:pPr>
    <w:rPr>
      <w:sz w:val="18"/>
      <w:szCs w:val="18"/>
    </w:rPr>
  </w:style>
  <w:style w:type="paragraph" w:styleId="Sumrio9">
    <w:name w:val="toc 9"/>
    <w:basedOn w:val="Normal"/>
    <w:next w:val="Normal"/>
    <w:autoRedefine/>
    <w:uiPriority w:val="39"/>
    <w:unhideWhenUsed/>
    <w:rsid w:val="00BB3A4C"/>
    <w:pPr>
      <w:spacing w:after="0"/>
      <w:ind w:left="1760"/>
    </w:pPr>
    <w:rPr>
      <w:sz w:val="18"/>
      <w:szCs w:val="18"/>
    </w:rPr>
  </w:style>
  <w:style w:type="paragraph" w:styleId="CabealhodoSumrio">
    <w:name w:val="TOC Heading"/>
    <w:basedOn w:val="Ttulo1"/>
    <w:next w:val="Normal"/>
    <w:uiPriority w:val="39"/>
    <w:unhideWhenUsed/>
    <w:qFormat/>
    <w:rsid w:val="00BB3A4C"/>
    <w:pPr>
      <w:spacing w:before="240" w:line="259" w:lineRule="auto"/>
      <w:outlineLvl w:val="9"/>
    </w:pPr>
    <w:rPr>
      <w:b/>
      <w:bCs w:val="0"/>
      <w:sz w:val="32"/>
      <w:szCs w:val="32"/>
      <w:lang w:eastAsia="pt-BR"/>
    </w:rPr>
  </w:style>
  <w:style w:type="paragraph" w:styleId="SemEspaamento">
    <w:name w:val="No Spacing"/>
    <w:uiPriority w:val="1"/>
    <w:qFormat/>
    <w:rsid w:val="006C1D0A"/>
    <w:pPr>
      <w:spacing w:after="0" w:line="240" w:lineRule="auto"/>
    </w:pPr>
  </w:style>
  <w:style w:type="paragraph" w:customStyle="1" w:styleId="paragraph">
    <w:name w:val="paragraph"/>
    <w:basedOn w:val="Normal"/>
    <w:rsid w:val="0039724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extrun">
    <w:name w:val="textrun"/>
    <w:basedOn w:val="Fontepargpadro"/>
    <w:rsid w:val="0039724D"/>
  </w:style>
  <w:style w:type="character" w:customStyle="1" w:styleId="normaltextrun">
    <w:name w:val="normaltextrun"/>
    <w:basedOn w:val="Fontepargpadro"/>
    <w:rsid w:val="0039724D"/>
  </w:style>
  <w:style w:type="character" w:customStyle="1" w:styleId="eop">
    <w:name w:val="eop"/>
    <w:basedOn w:val="Fontepargpadro"/>
    <w:rsid w:val="0039724D"/>
  </w:style>
  <w:style w:type="character" w:customStyle="1" w:styleId="spellingerror">
    <w:name w:val="spellingerror"/>
    <w:basedOn w:val="Fontepargpadro"/>
    <w:rsid w:val="0039724D"/>
  </w:style>
  <w:style w:type="table" w:styleId="TabeladeGrade4-nfase6">
    <w:name w:val="Grid Table 4 Accent 6"/>
    <w:basedOn w:val="Tabelanormal"/>
    <w:uiPriority w:val="49"/>
    <w:rsid w:val="008E5051"/>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elacomgrade2">
    <w:name w:val="Tabela com grade2"/>
    <w:basedOn w:val="Tabelanormal"/>
    <w:next w:val="Tabelacomgrade"/>
    <w:uiPriority w:val="59"/>
    <w:rsid w:val="00ED127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0">
    <w:name w:val="Table Grid0"/>
    <w:rsid w:val="00F46B53"/>
    <w:pPr>
      <w:spacing w:after="0" w:line="240" w:lineRule="auto"/>
    </w:pPr>
    <w:rPr>
      <w:rFonts w:eastAsia="Times New Roman"/>
      <w:lang w:eastAsia="pt-BR"/>
    </w:rPr>
    <w:tblPr>
      <w:tblCellMar>
        <w:top w:w="0" w:type="dxa"/>
        <w:left w:w="0" w:type="dxa"/>
        <w:bottom w:w="0" w:type="dxa"/>
        <w:right w:w="0" w:type="dxa"/>
      </w:tblCellMar>
    </w:tblPr>
  </w:style>
  <w:style w:type="table" w:styleId="TabeladeGradeClara">
    <w:name w:val="Grid Table Light"/>
    <w:basedOn w:val="Tabelanormal"/>
    <w:uiPriority w:val="40"/>
    <w:rsid w:val="00DB775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xtodenotaderodap">
    <w:name w:val="footnote text"/>
    <w:basedOn w:val="Normal"/>
    <w:link w:val="TextodenotaderodapChar"/>
    <w:uiPriority w:val="99"/>
    <w:semiHidden/>
    <w:unhideWhenUsed/>
    <w:rsid w:val="00260787"/>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260787"/>
    <w:rPr>
      <w:sz w:val="20"/>
      <w:szCs w:val="20"/>
    </w:rPr>
  </w:style>
  <w:style w:type="character" w:styleId="Refdenotaderodap">
    <w:name w:val="footnote reference"/>
    <w:basedOn w:val="Fontepargpadro"/>
    <w:uiPriority w:val="99"/>
    <w:semiHidden/>
    <w:unhideWhenUsed/>
    <w:rsid w:val="00260787"/>
    <w:rPr>
      <w:vertAlign w:val="superscript"/>
    </w:rPr>
  </w:style>
  <w:style w:type="character" w:customStyle="1" w:styleId="MenoPendente1">
    <w:name w:val="Menção Pendente1"/>
    <w:basedOn w:val="Fontepargpadro"/>
    <w:uiPriority w:val="99"/>
    <w:semiHidden/>
    <w:unhideWhenUsed/>
    <w:rsid w:val="009F4FD1"/>
    <w:rPr>
      <w:color w:val="605E5C"/>
      <w:shd w:val="clear" w:color="auto" w:fill="E1DFDD"/>
    </w:rPr>
  </w:style>
  <w:style w:type="paragraph" w:styleId="Reviso">
    <w:name w:val="Revision"/>
    <w:hidden/>
    <w:uiPriority w:val="99"/>
    <w:semiHidden/>
    <w:rsid w:val="006C4938"/>
    <w:pPr>
      <w:spacing w:after="0" w:line="240" w:lineRule="auto"/>
    </w:pPr>
  </w:style>
  <w:style w:type="paragraph" w:styleId="Textodenotadefim">
    <w:name w:val="endnote text"/>
    <w:basedOn w:val="Normal"/>
    <w:link w:val="TextodenotadefimChar"/>
    <w:uiPriority w:val="99"/>
    <w:semiHidden/>
    <w:unhideWhenUsed/>
    <w:rsid w:val="0060125C"/>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60125C"/>
    <w:rPr>
      <w:sz w:val="20"/>
      <w:szCs w:val="20"/>
    </w:rPr>
  </w:style>
  <w:style w:type="character" w:styleId="Refdenotadefim">
    <w:name w:val="endnote reference"/>
    <w:basedOn w:val="Fontepargpadro"/>
    <w:uiPriority w:val="99"/>
    <w:semiHidden/>
    <w:unhideWhenUsed/>
    <w:rsid w:val="0060125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1800">
      <w:bodyDiv w:val="1"/>
      <w:marLeft w:val="0"/>
      <w:marRight w:val="0"/>
      <w:marTop w:val="0"/>
      <w:marBottom w:val="0"/>
      <w:divBdr>
        <w:top w:val="none" w:sz="0" w:space="0" w:color="auto"/>
        <w:left w:val="none" w:sz="0" w:space="0" w:color="auto"/>
        <w:bottom w:val="none" w:sz="0" w:space="0" w:color="auto"/>
        <w:right w:val="none" w:sz="0" w:space="0" w:color="auto"/>
      </w:divBdr>
    </w:div>
    <w:div w:id="6759884">
      <w:bodyDiv w:val="1"/>
      <w:marLeft w:val="0"/>
      <w:marRight w:val="0"/>
      <w:marTop w:val="0"/>
      <w:marBottom w:val="0"/>
      <w:divBdr>
        <w:top w:val="none" w:sz="0" w:space="0" w:color="auto"/>
        <w:left w:val="none" w:sz="0" w:space="0" w:color="auto"/>
        <w:bottom w:val="none" w:sz="0" w:space="0" w:color="auto"/>
        <w:right w:val="none" w:sz="0" w:space="0" w:color="auto"/>
      </w:divBdr>
    </w:div>
    <w:div w:id="7031379">
      <w:bodyDiv w:val="1"/>
      <w:marLeft w:val="0"/>
      <w:marRight w:val="0"/>
      <w:marTop w:val="0"/>
      <w:marBottom w:val="0"/>
      <w:divBdr>
        <w:top w:val="none" w:sz="0" w:space="0" w:color="auto"/>
        <w:left w:val="none" w:sz="0" w:space="0" w:color="auto"/>
        <w:bottom w:val="none" w:sz="0" w:space="0" w:color="auto"/>
        <w:right w:val="none" w:sz="0" w:space="0" w:color="auto"/>
      </w:divBdr>
    </w:div>
    <w:div w:id="29570966">
      <w:bodyDiv w:val="1"/>
      <w:marLeft w:val="0"/>
      <w:marRight w:val="0"/>
      <w:marTop w:val="0"/>
      <w:marBottom w:val="0"/>
      <w:divBdr>
        <w:top w:val="none" w:sz="0" w:space="0" w:color="auto"/>
        <w:left w:val="none" w:sz="0" w:space="0" w:color="auto"/>
        <w:bottom w:val="none" w:sz="0" w:space="0" w:color="auto"/>
        <w:right w:val="none" w:sz="0" w:space="0" w:color="auto"/>
      </w:divBdr>
    </w:div>
    <w:div w:id="29843726">
      <w:bodyDiv w:val="1"/>
      <w:marLeft w:val="0"/>
      <w:marRight w:val="0"/>
      <w:marTop w:val="0"/>
      <w:marBottom w:val="0"/>
      <w:divBdr>
        <w:top w:val="none" w:sz="0" w:space="0" w:color="auto"/>
        <w:left w:val="none" w:sz="0" w:space="0" w:color="auto"/>
        <w:bottom w:val="none" w:sz="0" w:space="0" w:color="auto"/>
        <w:right w:val="none" w:sz="0" w:space="0" w:color="auto"/>
      </w:divBdr>
      <w:divsChild>
        <w:div w:id="848056509">
          <w:marLeft w:val="1440"/>
          <w:marRight w:val="0"/>
          <w:marTop w:val="0"/>
          <w:marBottom w:val="0"/>
          <w:divBdr>
            <w:top w:val="none" w:sz="0" w:space="0" w:color="auto"/>
            <w:left w:val="none" w:sz="0" w:space="0" w:color="auto"/>
            <w:bottom w:val="none" w:sz="0" w:space="0" w:color="auto"/>
            <w:right w:val="none" w:sz="0" w:space="0" w:color="auto"/>
          </w:divBdr>
        </w:div>
        <w:div w:id="1268777717">
          <w:marLeft w:val="1440"/>
          <w:marRight w:val="0"/>
          <w:marTop w:val="0"/>
          <w:marBottom w:val="0"/>
          <w:divBdr>
            <w:top w:val="none" w:sz="0" w:space="0" w:color="auto"/>
            <w:left w:val="none" w:sz="0" w:space="0" w:color="auto"/>
            <w:bottom w:val="none" w:sz="0" w:space="0" w:color="auto"/>
            <w:right w:val="none" w:sz="0" w:space="0" w:color="auto"/>
          </w:divBdr>
        </w:div>
        <w:div w:id="1580745661">
          <w:marLeft w:val="1440"/>
          <w:marRight w:val="0"/>
          <w:marTop w:val="0"/>
          <w:marBottom w:val="0"/>
          <w:divBdr>
            <w:top w:val="none" w:sz="0" w:space="0" w:color="auto"/>
            <w:left w:val="none" w:sz="0" w:space="0" w:color="auto"/>
            <w:bottom w:val="none" w:sz="0" w:space="0" w:color="auto"/>
            <w:right w:val="none" w:sz="0" w:space="0" w:color="auto"/>
          </w:divBdr>
        </w:div>
        <w:div w:id="1608388793">
          <w:marLeft w:val="1440"/>
          <w:marRight w:val="0"/>
          <w:marTop w:val="0"/>
          <w:marBottom w:val="0"/>
          <w:divBdr>
            <w:top w:val="none" w:sz="0" w:space="0" w:color="auto"/>
            <w:left w:val="none" w:sz="0" w:space="0" w:color="auto"/>
            <w:bottom w:val="none" w:sz="0" w:space="0" w:color="auto"/>
            <w:right w:val="none" w:sz="0" w:space="0" w:color="auto"/>
          </w:divBdr>
        </w:div>
        <w:div w:id="1902330692">
          <w:marLeft w:val="1440"/>
          <w:marRight w:val="0"/>
          <w:marTop w:val="0"/>
          <w:marBottom w:val="0"/>
          <w:divBdr>
            <w:top w:val="none" w:sz="0" w:space="0" w:color="auto"/>
            <w:left w:val="none" w:sz="0" w:space="0" w:color="auto"/>
            <w:bottom w:val="none" w:sz="0" w:space="0" w:color="auto"/>
            <w:right w:val="none" w:sz="0" w:space="0" w:color="auto"/>
          </w:divBdr>
        </w:div>
      </w:divsChild>
    </w:div>
    <w:div w:id="29957890">
      <w:bodyDiv w:val="1"/>
      <w:marLeft w:val="0"/>
      <w:marRight w:val="0"/>
      <w:marTop w:val="0"/>
      <w:marBottom w:val="0"/>
      <w:divBdr>
        <w:top w:val="none" w:sz="0" w:space="0" w:color="auto"/>
        <w:left w:val="none" w:sz="0" w:space="0" w:color="auto"/>
        <w:bottom w:val="none" w:sz="0" w:space="0" w:color="auto"/>
        <w:right w:val="none" w:sz="0" w:space="0" w:color="auto"/>
      </w:divBdr>
    </w:div>
    <w:div w:id="35472083">
      <w:bodyDiv w:val="1"/>
      <w:marLeft w:val="0"/>
      <w:marRight w:val="0"/>
      <w:marTop w:val="0"/>
      <w:marBottom w:val="0"/>
      <w:divBdr>
        <w:top w:val="none" w:sz="0" w:space="0" w:color="auto"/>
        <w:left w:val="none" w:sz="0" w:space="0" w:color="auto"/>
        <w:bottom w:val="none" w:sz="0" w:space="0" w:color="auto"/>
        <w:right w:val="none" w:sz="0" w:space="0" w:color="auto"/>
      </w:divBdr>
    </w:div>
    <w:div w:id="40440873">
      <w:bodyDiv w:val="1"/>
      <w:marLeft w:val="0"/>
      <w:marRight w:val="0"/>
      <w:marTop w:val="0"/>
      <w:marBottom w:val="0"/>
      <w:divBdr>
        <w:top w:val="none" w:sz="0" w:space="0" w:color="auto"/>
        <w:left w:val="none" w:sz="0" w:space="0" w:color="auto"/>
        <w:bottom w:val="none" w:sz="0" w:space="0" w:color="auto"/>
        <w:right w:val="none" w:sz="0" w:space="0" w:color="auto"/>
      </w:divBdr>
    </w:div>
    <w:div w:id="45297507">
      <w:bodyDiv w:val="1"/>
      <w:marLeft w:val="0"/>
      <w:marRight w:val="0"/>
      <w:marTop w:val="0"/>
      <w:marBottom w:val="0"/>
      <w:divBdr>
        <w:top w:val="none" w:sz="0" w:space="0" w:color="auto"/>
        <w:left w:val="none" w:sz="0" w:space="0" w:color="auto"/>
        <w:bottom w:val="none" w:sz="0" w:space="0" w:color="auto"/>
        <w:right w:val="none" w:sz="0" w:space="0" w:color="auto"/>
      </w:divBdr>
    </w:div>
    <w:div w:id="51857288">
      <w:bodyDiv w:val="1"/>
      <w:marLeft w:val="0"/>
      <w:marRight w:val="0"/>
      <w:marTop w:val="0"/>
      <w:marBottom w:val="0"/>
      <w:divBdr>
        <w:top w:val="none" w:sz="0" w:space="0" w:color="auto"/>
        <w:left w:val="none" w:sz="0" w:space="0" w:color="auto"/>
        <w:bottom w:val="none" w:sz="0" w:space="0" w:color="auto"/>
        <w:right w:val="none" w:sz="0" w:space="0" w:color="auto"/>
      </w:divBdr>
      <w:divsChild>
        <w:div w:id="450973582">
          <w:marLeft w:val="1166"/>
          <w:marRight w:val="0"/>
          <w:marTop w:val="0"/>
          <w:marBottom w:val="0"/>
          <w:divBdr>
            <w:top w:val="none" w:sz="0" w:space="0" w:color="auto"/>
            <w:left w:val="none" w:sz="0" w:space="0" w:color="auto"/>
            <w:bottom w:val="none" w:sz="0" w:space="0" w:color="auto"/>
            <w:right w:val="none" w:sz="0" w:space="0" w:color="auto"/>
          </w:divBdr>
        </w:div>
        <w:div w:id="750851267">
          <w:marLeft w:val="1166"/>
          <w:marRight w:val="0"/>
          <w:marTop w:val="0"/>
          <w:marBottom w:val="0"/>
          <w:divBdr>
            <w:top w:val="none" w:sz="0" w:space="0" w:color="auto"/>
            <w:left w:val="none" w:sz="0" w:space="0" w:color="auto"/>
            <w:bottom w:val="none" w:sz="0" w:space="0" w:color="auto"/>
            <w:right w:val="none" w:sz="0" w:space="0" w:color="auto"/>
          </w:divBdr>
        </w:div>
        <w:div w:id="937369576">
          <w:marLeft w:val="1166"/>
          <w:marRight w:val="0"/>
          <w:marTop w:val="0"/>
          <w:marBottom w:val="0"/>
          <w:divBdr>
            <w:top w:val="none" w:sz="0" w:space="0" w:color="auto"/>
            <w:left w:val="none" w:sz="0" w:space="0" w:color="auto"/>
            <w:bottom w:val="none" w:sz="0" w:space="0" w:color="auto"/>
            <w:right w:val="none" w:sz="0" w:space="0" w:color="auto"/>
          </w:divBdr>
        </w:div>
        <w:div w:id="1006908503">
          <w:marLeft w:val="1166"/>
          <w:marRight w:val="0"/>
          <w:marTop w:val="0"/>
          <w:marBottom w:val="0"/>
          <w:divBdr>
            <w:top w:val="none" w:sz="0" w:space="0" w:color="auto"/>
            <w:left w:val="none" w:sz="0" w:space="0" w:color="auto"/>
            <w:bottom w:val="none" w:sz="0" w:space="0" w:color="auto"/>
            <w:right w:val="none" w:sz="0" w:space="0" w:color="auto"/>
          </w:divBdr>
        </w:div>
        <w:div w:id="1117139037">
          <w:marLeft w:val="1166"/>
          <w:marRight w:val="0"/>
          <w:marTop w:val="0"/>
          <w:marBottom w:val="0"/>
          <w:divBdr>
            <w:top w:val="none" w:sz="0" w:space="0" w:color="auto"/>
            <w:left w:val="none" w:sz="0" w:space="0" w:color="auto"/>
            <w:bottom w:val="none" w:sz="0" w:space="0" w:color="auto"/>
            <w:right w:val="none" w:sz="0" w:space="0" w:color="auto"/>
          </w:divBdr>
        </w:div>
        <w:div w:id="1225264814">
          <w:marLeft w:val="1166"/>
          <w:marRight w:val="0"/>
          <w:marTop w:val="0"/>
          <w:marBottom w:val="0"/>
          <w:divBdr>
            <w:top w:val="none" w:sz="0" w:space="0" w:color="auto"/>
            <w:left w:val="none" w:sz="0" w:space="0" w:color="auto"/>
            <w:bottom w:val="none" w:sz="0" w:space="0" w:color="auto"/>
            <w:right w:val="none" w:sz="0" w:space="0" w:color="auto"/>
          </w:divBdr>
        </w:div>
        <w:div w:id="1244726922">
          <w:marLeft w:val="1166"/>
          <w:marRight w:val="0"/>
          <w:marTop w:val="0"/>
          <w:marBottom w:val="0"/>
          <w:divBdr>
            <w:top w:val="none" w:sz="0" w:space="0" w:color="auto"/>
            <w:left w:val="none" w:sz="0" w:space="0" w:color="auto"/>
            <w:bottom w:val="none" w:sz="0" w:space="0" w:color="auto"/>
            <w:right w:val="none" w:sz="0" w:space="0" w:color="auto"/>
          </w:divBdr>
        </w:div>
        <w:div w:id="1559123229">
          <w:marLeft w:val="1166"/>
          <w:marRight w:val="0"/>
          <w:marTop w:val="0"/>
          <w:marBottom w:val="0"/>
          <w:divBdr>
            <w:top w:val="none" w:sz="0" w:space="0" w:color="auto"/>
            <w:left w:val="none" w:sz="0" w:space="0" w:color="auto"/>
            <w:bottom w:val="none" w:sz="0" w:space="0" w:color="auto"/>
            <w:right w:val="none" w:sz="0" w:space="0" w:color="auto"/>
          </w:divBdr>
        </w:div>
        <w:div w:id="1606036046">
          <w:marLeft w:val="1166"/>
          <w:marRight w:val="0"/>
          <w:marTop w:val="0"/>
          <w:marBottom w:val="0"/>
          <w:divBdr>
            <w:top w:val="none" w:sz="0" w:space="0" w:color="auto"/>
            <w:left w:val="none" w:sz="0" w:space="0" w:color="auto"/>
            <w:bottom w:val="none" w:sz="0" w:space="0" w:color="auto"/>
            <w:right w:val="none" w:sz="0" w:space="0" w:color="auto"/>
          </w:divBdr>
        </w:div>
        <w:div w:id="1651254254">
          <w:marLeft w:val="1166"/>
          <w:marRight w:val="0"/>
          <w:marTop w:val="0"/>
          <w:marBottom w:val="0"/>
          <w:divBdr>
            <w:top w:val="none" w:sz="0" w:space="0" w:color="auto"/>
            <w:left w:val="none" w:sz="0" w:space="0" w:color="auto"/>
            <w:bottom w:val="none" w:sz="0" w:space="0" w:color="auto"/>
            <w:right w:val="none" w:sz="0" w:space="0" w:color="auto"/>
          </w:divBdr>
        </w:div>
        <w:div w:id="1760835079">
          <w:marLeft w:val="1166"/>
          <w:marRight w:val="0"/>
          <w:marTop w:val="0"/>
          <w:marBottom w:val="0"/>
          <w:divBdr>
            <w:top w:val="none" w:sz="0" w:space="0" w:color="auto"/>
            <w:left w:val="none" w:sz="0" w:space="0" w:color="auto"/>
            <w:bottom w:val="none" w:sz="0" w:space="0" w:color="auto"/>
            <w:right w:val="none" w:sz="0" w:space="0" w:color="auto"/>
          </w:divBdr>
        </w:div>
        <w:div w:id="1830443595">
          <w:marLeft w:val="1166"/>
          <w:marRight w:val="0"/>
          <w:marTop w:val="0"/>
          <w:marBottom w:val="0"/>
          <w:divBdr>
            <w:top w:val="none" w:sz="0" w:space="0" w:color="auto"/>
            <w:left w:val="none" w:sz="0" w:space="0" w:color="auto"/>
            <w:bottom w:val="none" w:sz="0" w:space="0" w:color="auto"/>
            <w:right w:val="none" w:sz="0" w:space="0" w:color="auto"/>
          </w:divBdr>
        </w:div>
        <w:div w:id="1868104861">
          <w:marLeft w:val="1166"/>
          <w:marRight w:val="0"/>
          <w:marTop w:val="0"/>
          <w:marBottom w:val="0"/>
          <w:divBdr>
            <w:top w:val="none" w:sz="0" w:space="0" w:color="auto"/>
            <w:left w:val="none" w:sz="0" w:space="0" w:color="auto"/>
            <w:bottom w:val="none" w:sz="0" w:space="0" w:color="auto"/>
            <w:right w:val="none" w:sz="0" w:space="0" w:color="auto"/>
          </w:divBdr>
        </w:div>
        <w:div w:id="2038041120">
          <w:marLeft w:val="1166"/>
          <w:marRight w:val="0"/>
          <w:marTop w:val="0"/>
          <w:marBottom w:val="0"/>
          <w:divBdr>
            <w:top w:val="none" w:sz="0" w:space="0" w:color="auto"/>
            <w:left w:val="none" w:sz="0" w:space="0" w:color="auto"/>
            <w:bottom w:val="none" w:sz="0" w:space="0" w:color="auto"/>
            <w:right w:val="none" w:sz="0" w:space="0" w:color="auto"/>
          </w:divBdr>
        </w:div>
        <w:div w:id="2062049285">
          <w:marLeft w:val="1166"/>
          <w:marRight w:val="0"/>
          <w:marTop w:val="0"/>
          <w:marBottom w:val="0"/>
          <w:divBdr>
            <w:top w:val="none" w:sz="0" w:space="0" w:color="auto"/>
            <w:left w:val="none" w:sz="0" w:space="0" w:color="auto"/>
            <w:bottom w:val="none" w:sz="0" w:space="0" w:color="auto"/>
            <w:right w:val="none" w:sz="0" w:space="0" w:color="auto"/>
          </w:divBdr>
        </w:div>
      </w:divsChild>
    </w:div>
    <w:div w:id="56056945">
      <w:bodyDiv w:val="1"/>
      <w:marLeft w:val="0"/>
      <w:marRight w:val="0"/>
      <w:marTop w:val="0"/>
      <w:marBottom w:val="0"/>
      <w:divBdr>
        <w:top w:val="none" w:sz="0" w:space="0" w:color="auto"/>
        <w:left w:val="none" w:sz="0" w:space="0" w:color="auto"/>
        <w:bottom w:val="none" w:sz="0" w:space="0" w:color="auto"/>
        <w:right w:val="none" w:sz="0" w:space="0" w:color="auto"/>
      </w:divBdr>
    </w:div>
    <w:div w:id="58359404">
      <w:bodyDiv w:val="1"/>
      <w:marLeft w:val="0"/>
      <w:marRight w:val="0"/>
      <w:marTop w:val="0"/>
      <w:marBottom w:val="0"/>
      <w:divBdr>
        <w:top w:val="none" w:sz="0" w:space="0" w:color="auto"/>
        <w:left w:val="none" w:sz="0" w:space="0" w:color="auto"/>
        <w:bottom w:val="none" w:sz="0" w:space="0" w:color="auto"/>
        <w:right w:val="none" w:sz="0" w:space="0" w:color="auto"/>
      </w:divBdr>
      <w:divsChild>
        <w:div w:id="964115160">
          <w:marLeft w:val="0"/>
          <w:marRight w:val="0"/>
          <w:marTop w:val="0"/>
          <w:marBottom w:val="0"/>
          <w:divBdr>
            <w:top w:val="none" w:sz="0" w:space="0" w:color="auto"/>
            <w:left w:val="none" w:sz="0" w:space="0" w:color="auto"/>
            <w:bottom w:val="none" w:sz="0" w:space="0" w:color="auto"/>
            <w:right w:val="none" w:sz="0" w:space="0" w:color="auto"/>
          </w:divBdr>
        </w:div>
      </w:divsChild>
    </w:div>
    <w:div w:id="69622593">
      <w:bodyDiv w:val="1"/>
      <w:marLeft w:val="0"/>
      <w:marRight w:val="0"/>
      <w:marTop w:val="0"/>
      <w:marBottom w:val="0"/>
      <w:divBdr>
        <w:top w:val="none" w:sz="0" w:space="0" w:color="auto"/>
        <w:left w:val="none" w:sz="0" w:space="0" w:color="auto"/>
        <w:bottom w:val="none" w:sz="0" w:space="0" w:color="auto"/>
        <w:right w:val="none" w:sz="0" w:space="0" w:color="auto"/>
      </w:divBdr>
    </w:div>
    <w:div w:id="81031907">
      <w:bodyDiv w:val="1"/>
      <w:marLeft w:val="0"/>
      <w:marRight w:val="0"/>
      <w:marTop w:val="0"/>
      <w:marBottom w:val="0"/>
      <w:divBdr>
        <w:top w:val="none" w:sz="0" w:space="0" w:color="auto"/>
        <w:left w:val="none" w:sz="0" w:space="0" w:color="auto"/>
        <w:bottom w:val="none" w:sz="0" w:space="0" w:color="auto"/>
        <w:right w:val="none" w:sz="0" w:space="0" w:color="auto"/>
      </w:divBdr>
    </w:div>
    <w:div w:id="83187787">
      <w:bodyDiv w:val="1"/>
      <w:marLeft w:val="0"/>
      <w:marRight w:val="0"/>
      <w:marTop w:val="0"/>
      <w:marBottom w:val="0"/>
      <w:divBdr>
        <w:top w:val="none" w:sz="0" w:space="0" w:color="auto"/>
        <w:left w:val="none" w:sz="0" w:space="0" w:color="auto"/>
        <w:bottom w:val="none" w:sz="0" w:space="0" w:color="auto"/>
        <w:right w:val="none" w:sz="0" w:space="0" w:color="auto"/>
      </w:divBdr>
    </w:div>
    <w:div w:id="83655263">
      <w:bodyDiv w:val="1"/>
      <w:marLeft w:val="0"/>
      <w:marRight w:val="0"/>
      <w:marTop w:val="0"/>
      <w:marBottom w:val="0"/>
      <w:divBdr>
        <w:top w:val="none" w:sz="0" w:space="0" w:color="auto"/>
        <w:left w:val="none" w:sz="0" w:space="0" w:color="auto"/>
        <w:bottom w:val="none" w:sz="0" w:space="0" w:color="auto"/>
        <w:right w:val="none" w:sz="0" w:space="0" w:color="auto"/>
      </w:divBdr>
      <w:divsChild>
        <w:div w:id="219678744">
          <w:marLeft w:val="720"/>
          <w:marRight w:val="0"/>
          <w:marTop w:val="0"/>
          <w:marBottom w:val="0"/>
          <w:divBdr>
            <w:top w:val="none" w:sz="0" w:space="0" w:color="auto"/>
            <w:left w:val="none" w:sz="0" w:space="0" w:color="auto"/>
            <w:bottom w:val="none" w:sz="0" w:space="0" w:color="auto"/>
            <w:right w:val="none" w:sz="0" w:space="0" w:color="auto"/>
          </w:divBdr>
        </w:div>
        <w:div w:id="297884906">
          <w:marLeft w:val="720"/>
          <w:marRight w:val="0"/>
          <w:marTop w:val="0"/>
          <w:marBottom w:val="0"/>
          <w:divBdr>
            <w:top w:val="none" w:sz="0" w:space="0" w:color="auto"/>
            <w:left w:val="none" w:sz="0" w:space="0" w:color="auto"/>
            <w:bottom w:val="none" w:sz="0" w:space="0" w:color="auto"/>
            <w:right w:val="none" w:sz="0" w:space="0" w:color="auto"/>
          </w:divBdr>
        </w:div>
        <w:div w:id="1198664287">
          <w:marLeft w:val="720"/>
          <w:marRight w:val="0"/>
          <w:marTop w:val="0"/>
          <w:marBottom w:val="0"/>
          <w:divBdr>
            <w:top w:val="none" w:sz="0" w:space="0" w:color="auto"/>
            <w:left w:val="none" w:sz="0" w:space="0" w:color="auto"/>
            <w:bottom w:val="none" w:sz="0" w:space="0" w:color="auto"/>
            <w:right w:val="none" w:sz="0" w:space="0" w:color="auto"/>
          </w:divBdr>
        </w:div>
        <w:div w:id="1352948622">
          <w:marLeft w:val="720"/>
          <w:marRight w:val="0"/>
          <w:marTop w:val="0"/>
          <w:marBottom w:val="0"/>
          <w:divBdr>
            <w:top w:val="none" w:sz="0" w:space="0" w:color="auto"/>
            <w:left w:val="none" w:sz="0" w:space="0" w:color="auto"/>
            <w:bottom w:val="none" w:sz="0" w:space="0" w:color="auto"/>
            <w:right w:val="none" w:sz="0" w:space="0" w:color="auto"/>
          </w:divBdr>
        </w:div>
        <w:div w:id="1789003686">
          <w:marLeft w:val="720"/>
          <w:marRight w:val="0"/>
          <w:marTop w:val="0"/>
          <w:marBottom w:val="0"/>
          <w:divBdr>
            <w:top w:val="none" w:sz="0" w:space="0" w:color="auto"/>
            <w:left w:val="none" w:sz="0" w:space="0" w:color="auto"/>
            <w:bottom w:val="none" w:sz="0" w:space="0" w:color="auto"/>
            <w:right w:val="none" w:sz="0" w:space="0" w:color="auto"/>
          </w:divBdr>
        </w:div>
      </w:divsChild>
    </w:div>
    <w:div w:id="85804771">
      <w:bodyDiv w:val="1"/>
      <w:marLeft w:val="0"/>
      <w:marRight w:val="0"/>
      <w:marTop w:val="0"/>
      <w:marBottom w:val="0"/>
      <w:divBdr>
        <w:top w:val="none" w:sz="0" w:space="0" w:color="auto"/>
        <w:left w:val="none" w:sz="0" w:space="0" w:color="auto"/>
        <w:bottom w:val="none" w:sz="0" w:space="0" w:color="auto"/>
        <w:right w:val="none" w:sz="0" w:space="0" w:color="auto"/>
      </w:divBdr>
    </w:div>
    <w:div w:id="91164875">
      <w:bodyDiv w:val="1"/>
      <w:marLeft w:val="0"/>
      <w:marRight w:val="0"/>
      <w:marTop w:val="0"/>
      <w:marBottom w:val="0"/>
      <w:divBdr>
        <w:top w:val="none" w:sz="0" w:space="0" w:color="auto"/>
        <w:left w:val="none" w:sz="0" w:space="0" w:color="auto"/>
        <w:bottom w:val="none" w:sz="0" w:space="0" w:color="auto"/>
        <w:right w:val="none" w:sz="0" w:space="0" w:color="auto"/>
      </w:divBdr>
    </w:div>
    <w:div w:id="104157110">
      <w:bodyDiv w:val="1"/>
      <w:marLeft w:val="0"/>
      <w:marRight w:val="0"/>
      <w:marTop w:val="0"/>
      <w:marBottom w:val="0"/>
      <w:divBdr>
        <w:top w:val="none" w:sz="0" w:space="0" w:color="auto"/>
        <w:left w:val="none" w:sz="0" w:space="0" w:color="auto"/>
        <w:bottom w:val="none" w:sz="0" w:space="0" w:color="auto"/>
        <w:right w:val="none" w:sz="0" w:space="0" w:color="auto"/>
      </w:divBdr>
    </w:div>
    <w:div w:id="109323220">
      <w:bodyDiv w:val="1"/>
      <w:marLeft w:val="0"/>
      <w:marRight w:val="0"/>
      <w:marTop w:val="0"/>
      <w:marBottom w:val="0"/>
      <w:divBdr>
        <w:top w:val="none" w:sz="0" w:space="0" w:color="auto"/>
        <w:left w:val="none" w:sz="0" w:space="0" w:color="auto"/>
        <w:bottom w:val="none" w:sz="0" w:space="0" w:color="auto"/>
        <w:right w:val="none" w:sz="0" w:space="0" w:color="auto"/>
      </w:divBdr>
      <w:divsChild>
        <w:div w:id="1163549549">
          <w:marLeft w:val="0"/>
          <w:marRight w:val="0"/>
          <w:marTop w:val="0"/>
          <w:marBottom w:val="0"/>
          <w:divBdr>
            <w:top w:val="none" w:sz="0" w:space="0" w:color="auto"/>
            <w:left w:val="none" w:sz="0" w:space="0" w:color="auto"/>
            <w:bottom w:val="none" w:sz="0" w:space="0" w:color="auto"/>
            <w:right w:val="none" w:sz="0" w:space="0" w:color="auto"/>
          </w:divBdr>
          <w:divsChild>
            <w:div w:id="245772473">
              <w:marLeft w:val="0"/>
              <w:marRight w:val="0"/>
              <w:marTop w:val="0"/>
              <w:marBottom w:val="0"/>
              <w:divBdr>
                <w:top w:val="none" w:sz="0" w:space="0" w:color="auto"/>
                <w:left w:val="none" w:sz="0" w:space="0" w:color="auto"/>
                <w:bottom w:val="none" w:sz="0" w:space="0" w:color="auto"/>
                <w:right w:val="none" w:sz="0" w:space="0" w:color="auto"/>
              </w:divBdr>
              <w:divsChild>
                <w:div w:id="94144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89218">
      <w:bodyDiv w:val="1"/>
      <w:marLeft w:val="0"/>
      <w:marRight w:val="0"/>
      <w:marTop w:val="0"/>
      <w:marBottom w:val="0"/>
      <w:divBdr>
        <w:top w:val="none" w:sz="0" w:space="0" w:color="auto"/>
        <w:left w:val="none" w:sz="0" w:space="0" w:color="auto"/>
        <w:bottom w:val="none" w:sz="0" w:space="0" w:color="auto"/>
        <w:right w:val="none" w:sz="0" w:space="0" w:color="auto"/>
      </w:divBdr>
    </w:div>
    <w:div w:id="118958798">
      <w:bodyDiv w:val="1"/>
      <w:marLeft w:val="0"/>
      <w:marRight w:val="0"/>
      <w:marTop w:val="0"/>
      <w:marBottom w:val="0"/>
      <w:divBdr>
        <w:top w:val="none" w:sz="0" w:space="0" w:color="auto"/>
        <w:left w:val="none" w:sz="0" w:space="0" w:color="auto"/>
        <w:bottom w:val="none" w:sz="0" w:space="0" w:color="auto"/>
        <w:right w:val="none" w:sz="0" w:space="0" w:color="auto"/>
      </w:divBdr>
    </w:div>
    <w:div w:id="136730579">
      <w:bodyDiv w:val="1"/>
      <w:marLeft w:val="0"/>
      <w:marRight w:val="0"/>
      <w:marTop w:val="0"/>
      <w:marBottom w:val="0"/>
      <w:divBdr>
        <w:top w:val="none" w:sz="0" w:space="0" w:color="auto"/>
        <w:left w:val="none" w:sz="0" w:space="0" w:color="auto"/>
        <w:bottom w:val="none" w:sz="0" w:space="0" w:color="auto"/>
        <w:right w:val="none" w:sz="0" w:space="0" w:color="auto"/>
      </w:divBdr>
    </w:div>
    <w:div w:id="143937573">
      <w:bodyDiv w:val="1"/>
      <w:marLeft w:val="0"/>
      <w:marRight w:val="0"/>
      <w:marTop w:val="0"/>
      <w:marBottom w:val="0"/>
      <w:divBdr>
        <w:top w:val="none" w:sz="0" w:space="0" w:color="auto"/>
        <w:left w:val="none" w:sz="0" w:space="0" w:color="auto"/>
        <w:bottom w:val="none" w:sz="0" w:space="0" w:color="auto"/>
        <w:right w:val="none" w:sz="0" w:space="0" w:color="auto"/>
      </w:divBdr>
    </w:div>
    <w:div w:id="148911067">
      <w:bodyDiv w:val="1"/>
      <w:marLeft w:val="150"/>
      <w:marRight w:val="0"/>
      <w:marTop w:val="0"/>
      <w:marBottom w:val="0"/>
      <w:divBdr>
        <w:top w:val="none" w:sz="0" w:space="0" w:color="auto"/>
        <w:left w:val="none" w:sz="0" w:space="0" w:color="auto"/>
        <w:bottom w:val="none" w:sz="0" w:space="0" w:color="auto"/>
        <w:right w:val="none" w:sz="0" w:space="0" w:color="auto"/>
      </w:divBdr>
      <w:divsChild>
        <w:div w:id="1239096305">
          <w:marLeft w:val="0"/>
          <w:marRight w:val="0"/>
          <w:marTop w:val="0"/>
          <w:marBottom w:val="600"/>
          <w:divBdr>
            <w:top w:val="none" w:sz="0" w:space="0" w:color="auto"/>
            <w:left w:val="none" w:sz="0" w:space="0" w:color="auto"/>
            <w:bottom w:val="none" w:sz="0" w:space="0" w:color="auto"/>
            <w:right w:val="none" w:sz="0" w:space="0" w:color="auto"/>
          </w:divBdr>
        </w:div>
      </w:divsChild>
    </w:div>
    <w:div w:id="151223058">
      <w:bodyDiv w:val="1"/>
      <w:marLeft w:val="0"/>
      <w:marRight w:val="0"/>
      <w:marTop w:val="0"/>
      <w:marBottom w:val="0"/>
      <w:divBdr>
        <w:top w:val="none" w:sz="0" w:space="0" w:color="auto"/>
        <w:left w:val="none" w:sz="0" w:space="0" w:color="auto"/>
        <w:bottom w:val="none" w:sz="0" w:space="0" w:color="auto"/>
        <w:right w:val="none" w:sz="0" w:space="0" w:color="auto"/>
      </w:divBdr>
      <w:divsChild>
        <w:div w:id="524901286">
          <w:marLeft w:val="0"/>
          <w:marRight w:val="0"/>
          <w:marTop w:val="0"/>
          <w:marBottom w:val="0"/>
          <w:divBdr>
            <w:top w:val="none" w:sz="0" w:space="0" w:color="auto"/>
            <w:left w:val="none" w:sz="0" w:space="0" w:color="auto"/>
            <w:bottom w:val="none" w:sz="0" w:space="0" w:color="auto"/>
            <w:right w:val="none" w:sz="0" w:space="0" w:color="auto"/>
          </w:divBdr>
        </w:div>
      </w:divsChild>
    </w:div>
    <w:div w:id="158615110">
      <w:bodyDiv w:val="1"/>
      <w:marLeft w:val="0"/>
      <w:marRight w:val="0"/>
      <w:marTop w:val="0"/>
      <w:marBottom w:val="0"/>
      <w:divBdr>
        <w:top w:val="none" w:sz="0" w:space="0" w:color="auto"/>
        <w:left w:val="none" w:sz="0" w:space="0" w:color="auto"/>
        <w:bottom w:val="none" w:sz="0" w:space="0" w:color="auto"/>
        <w:right w:val="none" w:sz="0" w:space="0" w:color="auto"/>
      </w:divBdr>
    </w:div>
    <w:div w:id="170949753">
      <w:bodyDiv w:val="1"/>
      <w:marLeft w:val="0"/>
      <w:marRight w:val="0"/>
      <w:marTop w:val="0"/>
      <w:marBottom w:val="0"/>
      <w:divBdr>
        <w:top w:val="none" w:sz="0" w:space="0" w:color="auto"/>
        <w:left w:val="none" w:sz="0" w:space="0" w:color="auto"/>
        <w:bottom w:val="none" w:sz="0" w:space="0" w:color="auto"/>
        <w:right w:val="none" w:sz="0" w:space="0" w:color="auto"/>
      </w:divBdr>
    </w:div>
    <w:div w:id="190919871">
      <w:bodyDiv w:val="1"/>
      <w:marLeft w:val="0"/>
      <w:marRight w:val="0"/>
      <w:marTop w:val="0"/>
      <w:marBottom w:val="0"/>
      <w:divBdr>
        <w:top w:val="none" w:sz="0" w:space="0" w:color="auto"/>
        <w:left w:val="none" w:sz="0" w:space="0" w:color="auto"/>
        <w:bottom w:val="none" w:sz="0" w:space="0" w:color="auto"/>
        <w:right w:val="none" w:sz="0" w:space="0" w:color="auto"/>
      </w:divBdr>
    </w:div>
    <w:div w:id="194930028">
      <w:bodyDiv w:val="1"/>
      <w:marLeft w:val="0"/>
      <w:marRight w:val="0"/>
      <w:marTop w:val="0"/>
      <w:marBottom w:val="0"/>
      <w:divBdr>
        <w:top w:val="none" w:sz="0" w:space="0" w:color="auto"/>
        <w:left w:val="none" w:sz="0" w:space="0" w:color="auto"/>
        <w:bottom w:val="none" w:sz="0" w:space="0" w:color="auto"/>
        <w:right w:val="none" w:sz="0" w:space="0" w:color="auto"/>
      </w:divBdr>
    </w:div>
    <w:div w:id="210309893">
      <w:bodyDiv w:val="1"/>
      <w:marLeft w:val="0"/>
      <w:marRight w:val="0"/>
      <w:marTop w:val="0"/>
      <w:marBottom w:val="0"/>
      <w:divBdr>
        <w:top w:val="none" w:sz="0" w:space="0" w:color="auto"/>
        <w:left w:val="none" w:sz="0" w:space="0" w:color="auto"/>
        <w:bottom w:val="none" w:sz="0" w:space="0" w:color="auto"/>
        <w:right w:val="none" w:sz="0" w:space="0" w:color="auto"/>
      </w:divBdr>
    </w:div>
    <w:div w:id="214127486">
      <w:bodyDiv w:val="1"/>
      <w:marLeft w:val="0"/>
      <w:marRight w:val="0"/>
      <w:marTop w:val="0"/>
      <w:marBottom w:val="0"/>
      <w:divBdr>
        <w:top w:val="none" w:sz="0" w:space="0" w:color="auto"/>
        <w:left w:val="none" w:sz="0" w:space="0" w:color="auto"/>
        <w:bottom w:val="none" w:sz="0" w:space="0" w:color="auto"/>
        <w:right w:val="none" w:sz="0" w:space="0" w:color="auto"/>
      </w:divBdr>
    </w:div>
    <w:div w:id="230431426">
      <w:bodyDiv w:val="1"/>
      <w:marLeft w:val="0"/>
      <w:marRight w:val="0"/>
      <w:marTop w:val="0"/>
      <w:marBottom w:val="0"/>
      <w:divBdr>
        <w:top w:val="none" w:sz="0" w:space="0" w:color="auto"/>
        <w:left w:val="none" w:sz="0" w:space="0" w:color="auto"/>
        <w:bottom w:val="none" w:sz="0" w:space="0" w:color="auto"/>
        <w:right w:val="none" w:sz="0" w:space="0" w:color="auto"/>
      </w:divBdr>
    </w:div>
    <w:div w:id="238440155">
      <w:bodyDiv w:val="1"/>
      <w:marLeft w:val="0"/>
      <w:marRight w:val="0"/>
      <w:marTop w:val="0"/>
      <w:marBottom w:val="0"/>
      <w:divBdr>
        <w:top w:val="none" w:sz="0" w:space="0" w:color="auto"/>
        <w:left w:val="none" w:sz="0" w:space="0" w:color="auto"/>
        <w:bottom w:val="none" w:sz="0" w:space="0" w:color="auto"/>
        <w:right w:val="none" w:sz="0" w:space="0" w:color="auto"/>
      </w:divBdr>
    </w:div>
    <w:div w:id="253440976">
      <w:bodyDiv w:val="1"/>
      <w:marLeft w:val="0"/>
      <w:marRight w:val="0"/>
      <w:marTop w:val="0"/>
      <w:marBottom w:val="0"/>
      <w:divBdr>
        <w:top w:val="none" w:sz="0" w:space="0" w:color="auto"/>
        <w:left w:val="none" w:sz="0" w:space="0" w:color="auto"/>
        <w:bottom w:val="none" w:sz="0" w:space="0" w:color="auto"/>
        <w:right w:val="none" w:sz="0" w:space="0" w:color="auto"/>
      </w:divBdr>
    </w:div>
    <w:div w:id="261912150">
      <w:bodyDiv w:val="1"/>
      <w:marLeft w:val="0"/>
      <w:marRight w:val="0"/>
      <w:marTop w:val="0"/>
      <w:marBottom w:val="0"/>
      <w:divBdr>
        <w:top w:val="none" w:sz="0" w:space="0" w:color="auto"/>
        <w:left w:val="none" w:sz="0" w:space="0" w:color="auto"/>
        <w:bottom w:val="none" w:sz="0" w:space="0" w:color="auto"/>
        <w:right w:val="none" w:sz="0" w:space="0" w:color="auto"/>
      </w:divBdr>
    </w:div>
    <w:div w:id="264076835">
      <w:bodyDiv w:val="1"/>
      <w:marLeft w:val="0"/>
      <w:marRight w:val="0"/>
      <w:marTop w:val="0"/>
      <w:marBottom w:val="0"/>
      <w:divBdr>
        <w:top w:val="none" w:sz="0" w:space="0" w:color="auto"/>
        <w:left w:val="none" w:sz="0" w:space="0" w:color="auto"/>
        <w:bottom w:val="none" w:sz="0" w:space="0" w:color="auto"/>
        <w:right w:val="none" w:sz="0" w:space="0" w:color="auto"/>
      </w:divBdr>
    </w:div>
    <w:div w:id="282032772">
      <w:bodyDiv w:val="1"/>
      <w:marLeft w:val="0"/>
      <w:marRight w:val="0"/>
      <w:marTop w:val="0"/>
      <w:marBottom w:val="0"/>
      <w:divBdr>
        <w:top w:val="none" w:sz="0" w:space="0" w:color="auto"/>
        <w:left w:val="none" w:sz="0" w:space="0" w:color="auto"/>
        <w:bottom w:val="none" w:sz="0" w:space="0" w:color="auto"/>
        <w:right w:val="none" w:sz="0" w:space="0" w:color="auto"/>
      </w:divBdr>
    </w:div>
    <w:div w:id="296031703">
      <w:bodyDiv w:val="1"/>
      <w:marLeft w:val="0"/>
      <w:marRight w:val="0"/>
      <w:marTop w:val="0"/>
      <w:marBottom w:val="0"/>
      <w:divBdr>
        <w:top w:val="none" w:sz="0" w:space="0" w:color="auto"/>
        <w:left w:val="none" w:sz="0" w:space="0" w:color="auto"/>
        <w:bottom w:val="none" w:sz="0" w:space="0" w:color="auto"/>
        <w:right w:val="none" w:sz="0" w:space="0" w:color="auto"/>
      </w:divBdr>
    </w:div>
    <w:div w:id="313266883">
      <w:bodyDiv w:val="1"/>
      <w:marLeft w:val="0"/>
      <w:marRight w:val="0"/>
      <w:marTop w:val="0"/>
      <w:marBottom w:val="0"/>
      <w:divBdr>
        <w:top w:val="none" w:sz="0" w:space="0" w:color="auto"/>
        <w:left w:val="none" w:sz="0" w:space="0" w:color="auto"/>
        <w:bottom w:val="none" w:sz="0" w:space="0" w:color="auto"/>
        <w:right w:val="none" w:sz="0" w:space="0" w:color="auto"/>
      </w:divBdr>
    </w:div>
    <w:div w:id="326137481">
      <w:bodyDiv w:val="1"/>
      <w:marLeft w:val="0"/>
      <w:marRight w:val="0"/>
      <w:marTop w:val="0"/>
      <w:marBottom w:val="0"/>
      <w:divBdr>
        <w:top w:val="none" w:sz="0" w:space="0" w:color="auto"/>
        <w:left w:val="none" w:sz="0" w:space="0" w:color="auto"/>
        <w:bottom w:val="none" w:sz="0" w:space="0" w:color="auto"/>
        <w:right w:val="none" w:sz="0" w:space="0" w:color="auto"/>
      </w:divBdr>
    </w:div>
    <w:div w:id="326249451">
      <w:bodyDiv w:val="1"/>
      <w:marLeft w:val="0"/>
      <w:marRight w:val="0"/>
      <w:marTop w:val="0"/>
      <w:marBottom w:val="0"/>
      <w:divBdr>
        <w:top w:val="none" w:sz="0" w:space="0" w:color="auto"/>
        <w:left w:val="none" w:sz="0" w:space="0" w:color="auto"/>
        <w:bottom w:val="none" w:sz="0" w:space="0" w:color="auto"/>
        <w:right w:val="none" w:sz="0" w:space="0" w:color="auto"/>
      </w:divBdr>
      <w:divsChild>
        <w:div w:id="1448041736">
          <w:marLeft w:val="0"/>
          <w:marRight w:val="0"/>
          <w:marTop w:val="0"/>
          <w:marBottom w:val="0"/>
          <w:divBdr>
            <w:top w:val="none" w:sz="0" w:space="0" w:color="auto"/>
            <w:left w:val="none" w:sz="0" w:space="0" w:color="auto"/>
            <w:bottom w:val="none" w:sz="0" w:space="0" w:color="auto"/>
            <w:right w:val="none" w:sz="0" w:space="0" w:color="auto"/>
          </w:divBdr>
        </w:div>
      </w:divsChild>
    </w:div>
    <w:div w:id="329332552">
      <w:bodyDiv w:val="1"/>
      <w:marLeft w:val="0"/>
      <w:marRight w:val="0"/>
      <w:marTop w:val="0"/>
      <w:marBottom w:val="0"/>
      <w:divBdr>
        <w:top w:val="none" w:sz="0" w:space="0" w:color="auto"/>
        <w:left w:val="none" w:sz="0" w:space="0" w:color="auto"/>
        <w:bottom w:val="none" w:sz="0" w:space="0" w:color="auto"/>
        <w:right w:val="none" w:sz="0" w:space="0" w:color="auto"/>
      </w:divBdr>
    </w:div>
    <w:div w:id="332537563">
      <w:bodyDiv w:val="1"/>
      <w:marLeft w:val="0"/>
      <w:marRight w:val="0"/>
      <w:marTop w:val="0"/>
      <w:marBottom w:val="0"/>
      <w:divBdr>
        <w:top w:val="none" w:sz="0" w:space="0" w:color="auto"/>
        <w:left w:val="none" w:sz="0" w:space="0" w:color="auto"/>
        <w:bottom w:val="none" w:sz="0" w:space="0" w:color="auto"/>
        <w:right w:val="none" w:sz="0" w:space="0" w:color="auto"/>
      </w:divBdr>
    </w:div>
    <w:div w:id="332731975">
      <w:bodyDiv w:val="1"/>
      <w:marLeft w:val="0"/>
      <w:marRight w:val="0"/>
      <w:marTop w:val="0"/>
      <w:marBottom w:val="0"/>
      <w:divBdr>
        <w:top w:val="none" w:sz="0" w:space="0" w:color="auto"/>
        <w:left w:val="none" w:sz="0" w:space="0" w:color="auto"/>
        <w:bottom w:val="none" w:sz="0" w:space="0" w:color="auto"/>
        <w:right w:val="none" w:sz="0" w:space="0" w:color="auto"/>
      </w:divBdr>
    </w:div>
    <w:div w:id="343821232">
      <w:bodyDiv w:val="1"/>
      <w:marLeft w:val="0"/>
      <w:marRight w:val="0"/>
      <w:marTop w:val="0"/>
      <w:marBottom w:val="0"/>
      <w:divBdr>
        <w:top w:val="none" w:sz="0" w:space="0" w:color="auto"/>
        <w:left w:val="none" w:sz="0" w:space="0" w:color="auto"/>
        <w:bottom w:val="none" w:sz="0" w:space="0" w:color="auto"/>
        <w:right w:val="none" w:sz="0" w:space="0" w:color="auto"/>
      </w:divBdr>
    </w:div>
    <w:div w:id="345060003">
      <w:bodyDiv w:val="1"/>
      <w:marLeft w:val="0"/>
      <w:marRight w:val="0"/>
      <w:marTop w:val="0"/>
      <w:marBottom w:val="0"/>
      <w:divBdr>
        <w:top w:val="none" w:sz="0" w:space="0" w:color="auto"/>
        <w:left w:val="none" w:sz="0" w:space="0" w:color="auto"/>
        <w:bottom w:val="none" w:sz="0" w:space="0" w:color="auto"/>
        <w:right w:val="none" w:sz="0" w:space="0" w:color="auto"/>
      </w:divBdr>
    </w:div>
    <w:div w:id="348989053">
      <w:bodyDiv w:val="1"/>
      <w:marLeft w:val="0"/>
      <w:marRight w:val="0"/>
      <w:marTop w:val="0"/>
      <w:marBottom w:val="0"/>
      <w:divBdr>
        <w:top w:val="none" w:sz="0" w:space="0" w:color="auto"/>
        <w:left w:val="none" w:sz="0" w:space="0" w:color="auto"/>
        <w:bottom w:val="none" w:sz="0" w:space="0" w:color="auto"/>
        <w:right w:val="none" w:sz="0" w:space="0" w:color="auto"/>
      </w:divBdr>
    </w:div>
    <w:div w:id="356539846">
      <w:bodyDiv w:val="1"/>
      <w:marLeft w:val="0"/>
      <w:marRight w:val="0"/>
      <w:marTop w:val="0"/>
      <w:marBottom w:val="0"/>
      <w:divBdr>
        <w:top w:val="none" w:sz="0" w:space="0" w:color="auto"/>
        <w:left w:val="none" w:sz="0" w:space="0" w:color="auto"/>
        <w:bottom w:val="none" w:sz="0" w:space="0" w:color="auto"/>
        <w:right w:val="none" w:sz="0" w:space="0" w:color="auto"/>
      </w:divBdr>
    </w:div>
    <w:div w:id="358432395">
      <w:bodyDiv w:val="1"/>
      <w:marLeft w:val="0"/>
      <w:marRight w:val="0"/>
      <w:marTop w:val="0"/>
      <w:marBottom w:val="0"/>
      <w:divBdr>
        <w:top w:val="none" w:sz="0" w:space="0" w:color="auto"/>
        <w:left w:val="none" w:sz="0" w:space="0" w:color="auto"/>
        <w:bottom w:val="none" w:sz="0" w:space="0" w:color="auto"/>
        <w:right w:val="none" w:sz="0" w:space="0" w:color="auto"/>
      </w:divBdr>
      <w:divsChild>
        <w:div w:id="78793191">
          <w:marLeft w:val="547"/>
          <w:marRight w:val="0"/>
          <w:marTop w:val="0"/>
          <w:marBottom w:val="0"/>
          <w:divBdr>
            <w:top w:val="none" w:sz="0" w:space="0" w:color="auto"/>
            <w:left w:val="none" w:sz="0" w:space="0" w:color="auto"/>
            <w:bottom w:val="none" w:sz="0" w:space="0" w:color="auto"/>
            <w:right w:val="none" w:sz="0" w:space="0" w:color="auto"/>
          </w:divBdr>
        </w:div>
        <w:div w:id="193226958">
          <w:marLeft w:val="547"/>
          <w:marRight w:val="0"/>
          <w:marTop w:val="0"/>
          <w:marBottom w:val="0"/>
          <w:divBdr>
            <w:top w:val="none" w:sz="0" w:space="0" w:color="auto"/>
            <w:left w:val="none" w:sz="0" w:space="0" w:color="auto"/>
            <w:bottom w:val="none" w:sz="0" w:space="0" w:color="auto"/>
            <w:right w:val="none" w:sz="0" w:space="0" w:color="auto"/>
          </w:divBdr>
        </w:div>
        <w:div w:id="286620080">
          <w:marLeft w:val="547"/>
          <w:marRight w:val="0"/>
          <w:marTop w:val="0"/>
          <w:marBottom w:val="0"/>
          <w:divBdr>
            <w:top w:val="none" w:sz="0" w:space="0" w:color="auto"/>
            <w:left w:val="none" w:sz="0" w:space="0" w:color="auto"/>
            <w:bottom w:val="none" w:sz="0" w:space="0" w:color="auto"/>
            <w:right w:val="none" w:sz="0" w:space="0" w:color="auto"/>
          </w:divBdr>
        </w:div>
        <w:div w:id="322010797">
          <w:marLeft w:val="547"/>
          <w:marRight w:val="0"/>
          <w:marTop w:val="0"/>
          <w:marBottom w:val="0"/>
          <w:divBdr>
            <w:top w:val="none" w:sz="0" w:space="0" w:color="auto"/>
            <w:left w:val="none" w:sz="0" w:space="0" w:color="auto"/>
            <w:bottom w:val="none" w:sz="0" w:space="0" w:color="auto"/>
            <w:right w:val="none" w:sz="0" w:space="0" w:color="auto"/>
          </w:divBdr>
        </w:div>
        <w:div w:id="780339318">
          <w:marLeft w:val="547"/>
          <w:marRight w:val="0"/>
          <w:marTop w:val="0"/>
          <w:marBottom w:val="0"/>
          <w:divBdr>
            <w:top w:val="none" w:sz="0" w:space="0" w:color="auto"/>
            <w:left w:val="none" w:sz="0" w:space="0" w:color="auto"/>
            <w:bottom w:val="none" w:sz="0" w:space="0" w:color="auto"/>
            <w:right w:val="none" w:sz="0" w:space="0" w:color="auto"/>
          </w:divBdr>
        </w:div>
        <w:div w:id="857430945">
          <w:marLeft w:val="547"/>
          <w:marRight w:val="0"/>
          <w:marTop w:val="0"/>
          <w:marBottom w:val="0"/>
          <w:divBdr>
            <w:top w:val="none" w:sz="0" w:space="0" w:color="auto"/>
            <w:left w:val="none" w:sz="0" w:space="0" w:color="auto"/>
            <w:bottom w:val="none" w:sz="0" w:space="0" w:color="auto"/>
            <w:right w:val="none" w:sz="0" w:space="0" w:color="auto"/>
          </w:divBdr>
        </w:div>
        <w:div w:id="1158955356">
          <w:marLeft w:val="547"/>
          <w:marRight w:val="0"/>
          <w:marTop w:val="0"/>
          <w:marBottom w:val="0"/>
          <w:divBdr>
            <w:top w:val="none" w:sz="0" w:space="0" w:color="auto"/>
            <w:left w:val="none" w:sz="0" w:space="0" w:color="auto"/>
            <w:bottom w:val="none" w:sz="0" w:space="0" w:color="auto"/>
            <w:right w:val="none" w:sz="0" w:space="0" w:color="auto"/>
          </w:divBdr>
        </w:div>
        <w:div w:id="1664164666">
          <w:marLeft w:val="547"/>
          <w:marRight w:val="0"/>
          <w:marTop w:val="0"/>
          <w:marBottom w:val="0"/>
          <w:divBdr>
            <w:top w:val="none" w:sz="0" w:space="0" w:color="auto"/>
            <w:left w:val="none" w:sz="0" w:space="0" w:color="auto"/>
            <w:bottom w:val="none" w:sz="0" w:space="0" w:color="auto"/>
            <w:right w:val="none" w:sz="0" w:space="0" w:color="auto"/>
          </w:divBdr>
        </w:div>
        <w:div w:id="1897037251">
          <w:marLeft w:val="547"/>
          <w:marRight w:val="0"/>
          <w:marTop w:val="0"/>
          <w:marBottom w:val="0"/>
          <w:divBdr>
            <w:top w:val="none" w:sz="0" w:space="0" w:color="auto"/>
            <w:left w:val="none" w:sz="0" w:space="0" w:color="auto"/>
            <w:bottom w:val="none" w:sz="0" w:space="0" w:color="auto"/>
            <w:right w:val="none" w:sz="0" w:space="0" w:color="auto"/>
          </w:divBdr>
        </w:div>
        <w:div w:id="2119519927">
          <w:marLeft w:val="547"/>
          <w:marRight w:val="0"/>
          <w:marTop w:val="0"/>
          <w:marBottom w:val="0"/>
          <w:divBdr>
            <w:top w:val="none" w:sz="0" w:space="0" w:color="auto"/>
            <w:left w:val="none" w:sz="0" w:space="0" w:color="auto"/>
            <w:bottom w:val="none" w:sz="0" w:space="0" w:color="auto"/>
            <w:right w:val="none" w:sz="0" w:space="0" w:color="auto"/>
          </w:divBdr>
        </w:div>
      </w:divsChild>
    </w:div>
    <w:div w:id="370156315">
      <w:bodyDiv w:val="1"/>
      <w:marLeft w:val="0"/>
      <w:marRight w:val="0"/>
      <w:marTop w:val="0"/>
      <w:marBottom w:val="0"/>
      <w:divBdr>
        <w:top w:val="none" w:sz="0" w:space="0" w:color="auto"/>
        <w:left w:val="none" w:sz="0" w:space="0" w:color="auto"/>
        <w:bottom w:val="none" w:sz="0" w:space="0" w:color="auto"/>
        <w:right w:val="none" w:sz="0" w:space="0" w:color="auto"/>
      </w:divBdr>
    </w:div>
    <w:div w:id="372312394">
      <w:bodyDiv w:val="1"/>
      <w:marLeft w:val="0"/>
      <w:marRight w:val="0"/>
      <w:marTop w:val="0"/>
      <w:marBottom w:val="0"/>
      <w:divBdr>
        <w:top w:val="none" w:sz="0" w:space="0" w:color="auto"/>
        <w:left w:val="none" w:sz="0" w:space="0" w:color="auto"/>
        <w:bottom w:val="none" w:sz="0" w:space="0" w:color="auto"/>
        <w:right w:val="none" w:sz="0" w:space="0" w:color="auto"/>
      </w:divBdr>
    </w:div>
    <w:div w:id="389773538">
      <w:bodyDiv w:val="1"/>
      <w:marLeft w:val="0"/>
      <w:marRight w:val="0"/>
      <w:marTop w:val="0"/>
      <w:marBottom w:val="0"/>
      <w:divBdr>
        <w:top w:val="none" w:sz="0" w:space="0" w:color="auto"/>
        <w:left w:val="none" w:sz="0" w:space="0" w:color="auto"/>
        <w:bottom w:val="none" w:sz="0" w:space="0" w:color="auto"/>
        <w:right w:val="none" w:sz="0" w:space="0" w:color="auto"/>
      </w:divBdr>
    </w:div>
    <w:div w:id="397896268">
      <w:bodyDiv w:val="1"/>
      <w:marLeft w:val="0"/>
      <w:marRight w:val="0"/>
      <w:marTop w:val="0"/>
      <w:marBottom w:val="0"/>
      <w:divBdr>
        <w:top w:val="none" w:sz="0" w:space="0" w:color="auto"/>
        <w:left w:val="none" w:sz="0" w:space="0" w:color="auto"/>
        <w:bottom w:val="none" w:sz="0" w:space="0" w:color="auto"/>
        <w:right w:val="none" w:sz="0" w:space="0" w:color="auto"/>
      </w:divBdr>
    </w:div>
    <w:div w:id="426732639">
      <w:bodyDiv w:val="1"/>
      <w:marLeft w:val="0"/>
      <w:marRight w:val="0"/>
      <w:marTop w:val="0"/>
      <w:marBottom w:val="0"/>
      <w:divBdr>
        <w:top w:val="none" w:sz="0" w:space="0" w:color="auto"/>
        <w:left w:val="none" w:sz="0" w:space="0" w:color="auto"/>
        <w:bottom w:val="none" w:sz="0" w:space="0" w:color="auto"/>
        <w:right w:val="none" w:sz="0" w:space="0" w:color="auto"/>
      </w:divBdr>
    </w:div>
    <w:div w:id="434521535">
      <w:bodyDiv w:val="1"/>
      <w:marLeft w:val="0"/>
      <w:marRight w:val="0"/>
      <w:marTop w:val="0"/>
      <w:marBottom w:val="0"/>
      <w:divBdr>
        <w:top w:val="none" w:sz="0" w:space="0" w:color="auto"/>
        <w:left w:val="none" w:sz="0" w:space="0" w:color="auto"/>
        <w:bottom w:val="none" w:sz="0" w:space="0" w:color="auto"/>
        <w:right w:val="none" w:sz="0" w:space="0" w:color="auto"/>
      </w:divBdr>
    </w:div>
    <w:div w:id="434791443">
      <w:bodyDiv w:val="1"/>
      <w:marLeft w:val="0"/>
      <w:marRight w:val="0"/>
      <w:marTop w:val="0"/>
      <w:marBottom w:val="0"/>
      <w:divBdr>
        <w:top w:val="none" w:sz="0" w:space="0" w:color="auto"/>
        <w:left w:val="none" w:sz="0" w:space="0" w:color="auto"/>
        <w:bottom w:val="none" w:sz="0" w:space="0" w:color="auto"/>
        <w:right w:val="none" w:sz="0" w:space="0" w:color="auto"/>
      </w:divBdr>
    </w:div>
    <w:div w:id="437649420">
      <w:bodyDiv w:val="1"/>
      <w:marLeft w:val="0"/>
      <w:marRight w:val="0"/>
      <w:marTop w:val="0"/>
      <w:marBottom w:val="0"/>
      <w:divBdr>
        <w:top w:val="none" w:sz="0" w:space="0" w:color="auto"/>
        <w:left w:val="none" w:sz="0" w:space="0" w:color="auto"/>
        <w:bottom w:val="none" w:sz="0" w:space="0" w:color="auto"/>
        <w:right w:val="none" w:sz="0" w:space="0" w:color="auto"/>
      </w:divBdr>
    </w:div>
    <w:div w:id="457644380">
      <w:bodyDiv w:val="1"/>
      <w:marLeft w:val="0"/>
      <w:marRight w:val="0"/>
      <w:marTop w:val="0"/>
      <w:marBottom w:val="0"/>
      <w:divBdr>
        <w:top w:val="none" w:sz="0" w:space="0" w:color="auto"/>
        <w:left w:val="none" w:sz="0" w:space="0" w:color="auto"/>
        <w:bottom w:val="none" w:sz="0" w:space="0" w:color="auto"/>
        <w:right w:val="none" w:sz="0" w:space="0" w:color="auto"/>
      </w:divBdr>
    </w:div>
    <w:div w:id="463738637">
      <w:bodyDiv w:val="1"/>
      <w:marLeft w:val="0"/>
      <w:marRight w:val="0"/>
      <w:marTop w:val="0"/>
      <w:marBottom w:val="0"/>
      <w:divBdr>
        <w:top w:val="none" w:sz="0" w:space="0" w:color="auto"/>
        <w:left w:val="none" w:sz="0" w:space="0" w:color="auto"/>
        <w:bottom w:val="none" w:sz="0" w:space="0" w:color="auto"/>
        <w:right w:val="none" w:sz="0" w:space="0" w:color="auto"/>
      </w:divBdr>
      <w:divsChild>
        <w:div w:id="412892048">
          <w:marLeft w:val="0"/>
          <w:marRight w:val="0"/>
          <w:marTop w:val="0"/>
          <w:marBottom w:val="0"/>
          <w:divBdr>
            <w:top w:val="none" w:sz="0" w:space="0" w:color="auto"/>
            <w:left w:val="none" w:sz="0" w:space="0" w:color="auto"/>
            <w:bottom w:val="none" w:sz="0" w:space="0" w:color="auto"/>
            <w:right w:val="none" w:sz="0" w:space="0" w:color="auto"/>
          </w:divBdr>
        </w:div>
      </w:divsChild>
    </w:div>
    <w:div w:id="500317084">
      <w:bodyDiv w:val="1"/>
      <w:marLeft w:val="0"/>
      <w:marRight w:val="0"/>
      <w:marTop w:val="0"/>
      <w:marBottom w:val="0"/>
      <w:divBdr>
        <w:top w:val="none" w:sz="0" w:space="0" w:color="auto"/>
        <w:left w:val="none" w:sz="0" w:space="0" w:color="auto"/>
        <w:bottom w:val="none" w:sz="0" w:space="0" w:color="auto"/>
        <w:right w:val="none" w:sz="0" w:space="0" w:color="auto"/>
      </w:divBdr>
    </w:div>
    <w:div w:id="519244696">
      <w:bodyDiv w:val="1"/>
      <w:marLeft w:val="0"/>
      <w:marRight w:val="0"/>
      <w:marTop w:val="0"/>
      <w:marBottom w:val="0"/>
      <w:divBdr>
        <w:top w:val="none" w:sz="0" w:space="0" w:color="auto"/>
        <w:left w:val="none" w:sz="0" w:space="0" w:color="auto"/>
        <w:bottom w:val="none" w:sz="0" w:space="0" w:color="auto"/>
        <w:right w:val="none" w:sz="0" w:space="0" w:color="auto"/>
      </w:divBdr>
    </w:div>
    <w:div w:id="528179483">
      <w:bodyDiv w:val="1"/>
      <w:marLeft w:val="0"/>
      <w:marRight w:val="0"/>
      <w:marTop w:val="0"/>
      <w:marBottom w:val="0"/>
      <w:divBdr>
        <w:top w:val="none" w:sz="0" w:space="0" w:color="auto"/>
        <w:left w:val="none" w:sz="0" w:space="0" w:color="auto"/>
        <w:bottom w:val="none" w:sz="0" w:space="0" w:color="auto"/>
        <w:right w:val="none" w:sz="0" w:space="0" w:color="auto"/>
      </w:divBdr>
    </w:div>
    <w:div w:id="533615246">
      <w:bodyDiv w:val="1"/>
      <w:marLeft w:val="0"/>
      <w:marRight w:val="0"/>
      <w:marTop w:val="0"/>
      <w:marBottom w:val="0"/>
      <w:divBdr>
        <w:top w:val="none" w:sz="0" w:space="0" w:color="auto"/>
        <w:left w:val="none" w:sz="0" w:space="0" w:color="auto"/>
        <w:bottom w:val="none" w:sz="0" w:space="0" w:color="auto"/>
        <w:right w:val="none" w:sz="0" w:space="0" w:color="auto"/>
      </w:divBdr>
    </w:div>
    <w:div w:id="552888158">
      <w:bodyDiv w:val="1"/>
      <w:marLeft w:val="0"/>
      <w:marRight w:val="0"/>
      <w:marTop w:val="0"/>
      <w:marBottom w:val="0"/>
      <w:divBdr>
        <w:top w:val="none" w:sz="0" w:space="0" w:color="auto"/>
        <w:left w:val="none" w:sz="0" w:space="0" w:color="auto"/>
        <w:bottom w:val="none" w:sz="0" w:space="0" w:color="auto"/>
        <w:right w:val="none" w:sz="0" w:space="0" w:color="auto"/>
      </w:divBdr>
    </w:div>
    <w:div w:id="567963535">
      <w:bodyDiv w:val="1"/>
      <w:marLeft w:val="0"/>
      <w:marRight w:val="0"/>
      <w:marTop w:val="0"/>
      <w:marBottom w:val="0"/>
      <w:divBdr>
        <w:top w:val="none" w:sz="0" w:space="0" w:color="auto"/>
        <w:left w:val="none" w:sz="0" w:space="0" w:color="auto"/>
        <w:bottom w:val="none" w:sz="0" w:space="0" w:color="auto"/>
        <w:right w:val="none" w:sz="0" w:space="0" w:color="auto"/>
      </w:divBdr>
      <w:divsChild>
        <w:div w:id="212889178">
          <w:marLeft w:val="547"/>
          <w:marRight w:val="0"/>
          <w:marTop w:val="0"/>
          <w:marBottom w:val="0"/>
          <w:divBdr>
            <w:top w:val="none" w:sz="0" w:space="0" w:color="auto"/>
            <w:left w:val="none" w:sz="0" w:space="0" w:color="auto"/>
            <w:bottom w:val="none" w:sz="0" w:space="0" w:color="auto"/>
            <w:right w:val="none" w:sz="0" w:space="0" w:color="auto"/>
          </w:divBdr>
        </w:div>
        <w:div w:id="558980384">
          <w:marLeft w:val="547"/>
          <w:marRight w:val="0"/>
          <w:marTop w:val="0"/>
          <w:marBottom w:val="0"/>
          <w:divBdr>
            <w:top w:val="none" w:sz="0" w:space="0" w:color="auto"/>
            <w:left w:val="none" w:sz="0" w:space="0" w:color="auto"/>
            <w:bottom w:val="none" w:sz="0" w:space="0" w:color="auto"/>
            <w:right w:val="none" w:sz="0" w:space="0" w:color="auto"/>
          </w:divBdr>
        </w:div>
        <w:div w:id="1737162777">
          <w:marLeft w:val="547"/>
          <w:marRight w:val="0"/>
          <w:marTop w:val="0"/>
          <w:marBottom w:val="0"/>
          <w:divBdr>
            <w:top w:val="none" w:sz="0" w:space="0" w:color="auto"/>
            <w:left w:val="none" w:sz="0" w:space="0" w:color="auto"/>
            <w:bottom w:val="none" w:sz="0" w:space="0" w:color="auto"/>
            <w:right w:val="none" w:sz="0" w:space="0" w:color="auto"/>
          </w:divBdr>
        </w:div>
        <w:div w:id="2045055893">
          <w:marLeft w:val="547"/>
          <w:marRight w:val="0"/>
          <w:marTop w:val="0"/>
          <w:marBottom w:val="0"/>
          <w:divBdr>
            <w:top w:val="none" w:sz="0" w:space="0" w:color="auto"/>
            <w:left w:val="none" w:sz="0" w:space="0" w:color="auto"/>
            <w:bottom w:val="none" w:sz="0" w:space="0" w:color="auto"/>
            <w:right w:val="none" w:sz="0" w:space="0" w:color="auto"/>
          </w:divBdr>
        </w:div>
      </w:divsChild>
    </w:div>
    <w:div w:id="578365877">
      <w:bodyDiv w:val="1"/>
      <w:marLeft w:val="0"/>
      <w:marRight w:val="0"/>
      <w:marTop w:val="0"/>
      <w:marBottom w:val="0"/>
      <w:divBdr>
        <w:top w:val="none" w:sz="0" w:space="0" w:color="auto"/>
        <w:left w:val="none" w:sz="0" w:space="0" w:color="auto"/>
        <w:bottom w:val="none" w:sz="0" w:space="0" w:color="auto"/>
        <w:right w:val="none" w:sz="0" w:space="0" w:color="auto"/>
      </w:divBdr>
    </w:div>
    <w:div w:id="584921775">
      <w:bodyDiv w:val="1"/>
      <w:marLeft w:val="0"/>
      <w:marRight w:val="0"/>
      <w:marTop w:val="0"/>
      <w:marBottom w:val="0"/>
      <w:divBdr>
        <w:top w:val="none" w:sz="0" w:space="0" w:color="auto"/>
        <w:left w:val="none" w:sz="0" w:space="0" w:color="auto"/>
        <w:bottom w:val="none" w:sz="0" w:space="0" w:color="auto"/>
        <w:right w:val="none" w:sz="0" w:space="0" w:color="auto"/>
      </w:divBdr>
    </w:div>
    <w:div w:id="597761696">
      <w:bodyDiv w:val="1"/>
      <w:marLeft w:val="0"/>
      <w:marRight w:val="0"/>
      <w:marTop w:val="0"/>
      <w:marBottom w:val="0"/>
      <w:divBdr>
        <w:top w:val="none" w:sz="0" w:space="0" w:color="auto"/>
        <w:left w:val="none" w:sz="0" w:space="0" w:color="auto"/>
        <w:bottom w:val="none" w:sz="0" w:space="0" w:color="auto"/>
        <w:right w:val="none" w:sz="0" w:space="0" w:color="auto"/>
      </w:divBdr>
    </w:div>
    <w:div w:id="598098679">
      <w:bodyDiv w:val="1"/>
      <w:marLeft w:val="0"/>
      <w:marRight w:val="0"/>
      <w:marTop w:val="0"/>
      <w:marBottom w:val="0"/>
      <w:divBdr>
        <w:top w:val="none" w:sz="0" w:space="0" w:color="auto"/>
        <w:left w:val="none" w:sz="0" w:space="0" w:color="auto"/>
        <w:bottom w:val="none" w:sz="0" w:space="0" w:color="auto"/>
        <w:right w:val="none" w:sz="0" w:space="0" w:color="auto"/>
      </w:divBdr>
      <w:divsChild>
        <w:div w:id="267588798">
          <w:marLeft w:val="0"/>
          <w:marRight w:val="0"/>
          <w:marTop w:val="0"/>
          <w:marBottom w:val="0"/>
          <w:divBdr>
            <w:top w:val="none" w:sz="0" w:space="0" w:color="auto"/>
            <w:left w:val="none" w:sz="0" w:space="0" w:color="auto"/>
            <w:bottom w:val="none" w:sz="0" w:space="0" w:color="auto"/>
            <w:right w:val="none" w:sz="0" w:space="0" w:color="auto"/>
          </w:divBdr>
          <w:divsChild>
            <w:div w:id="299195939">
              <w:marLeft w:val="0"/>
              <w:marRight w:val="0"/>
              <w:marTop w:val="0"/>
              <w:marBottom w:val="0"/>
              <w:divBdr>
                <w:top w:val="none" w:sz="0" w:space="0" w:color="auto"/>
                <w:left w:val="none" w:sz="0" w:space="0" w:color="auto"/>
                <w:bottom w:val="none" w:sz="0" w:space="0" w:color="auto"/>
                <w:right w:val="none" w:sz="0" w:space="0" w:color="auto"/>
              </w:divBdr>
            </w:div>
            <w:div w:id="342512363">
              <w:marLeft w:val="0"/>
              <w:marRight w:val="0"/>
              <w:marTop w:val="0"/>
              <w:marBottom w:val="0"/>
              <w:divBdr>
                <w:top w:val="none" w:sz="0" w:space="0" w:color="auto"/>
                <w:left w:val="none" w:sz="0" w:space="0" w:color="auto"/>
                <w:bottom w:val="none" w:sz="0" w:space="0" w:color="auto"/>
                <w:right w:val="none" w:sz="0" w:space="0" w:color="auto"/>
              </w:divBdr>
            </w:div>
            <w:div w:id="367492791">
              <w:marLeft w:val="0"/>
              <w:marRight w:val="0"/>
              <w:marTop w:val="0"/>
              <w:marBottom w:val="0"/>
              <w:divBdr>
                <w:top w:val="none" w:sz="0" w:space="0" w:color="auto"/>
                <w:left w:val="none" w:sz="0" w:space="0" w:color="auto"/>
                <w:bottom w:val="none" w:sz="0" w:space="0" w:color="auto"/>
                <w:right w:val="none" w:sz="0" w:space="0" w:color="auto"/>
              </w:divBdr>
            </w:div>
            <w:div w:id="463812096">
              <w:marLeft w:val="0"/>
              <w:marRight w:val="0"/>
              <w:marTop w:val="0"/>
              <w:marBottom w:val="0"/>
              <w:divBdr>
                <w:top w:val="none" w:sz="0" w:space="0" w:color="auto"/>
                <w:left w:val="none" w:sz="0" w:space="0" w:color="auto"/>
                <w:bottom w:val="none" w:sz="0" w:space="0" w:color="auto"/>
                <w:right w:val="none" w:sz="0" w:space="0" w:color="auto"/>
              </w:divBdr>
            </w:div>
            <w:div w:id="1646816734">
              <w:marLeft w:val="0"/>
              <w:marRight w:val="0"/>
              <w:marTop w:val="0"/>
              <w:marBottom w:val="0"/>
              <w:divBdr>
                <w:top w:val="none" w:sz="0" w:space="0" w:color="auto"/>
                <w:left w:val="none" w:sz="0" w:space="0" w:color="auto"/>
                <w:bottom w:val="none" w:sz="0" w:space="0" w:color="auto"/>
                <w:right w:val="none" w:sz="0" w:space="0" w:color="auto"/>
              </w:divBdr>
            </w:div>
          </w:divsChild>
        </w:div>
        <w:div w:id="448476658">
          <w:marLeft w:val="0"/>
          <w:marRight w:val="0"/>
          <w:marTop w:val="0"/>
          <w:marBottom w:val="0"/>
          <w:divBdr>
            <w:top w:val="none" w:sz="0" w:space="0" w:color="auto"/>
            <w:left w:val="none" w:sz="0" w:space="0" w:color="auto"/>
            <w:bottom w:val="none" w:sz="0" w:space="0" w:color="auto"/>
            <w:right w:val="none" w:sz="0" w:space="0" w:color="auto"/>
          </w:divBdr>
          <w:divsChild>
            <w:div w:id="584070936">
              <w:marLeft w:val="0"/>
              <w:marRight w:val="0"/>
              <w:marTop w:val="0"/>
              <w:marBottom w:val="0"/>
              <w:divBdr>
                <w:top w:val="none" w:sz="0" w:space="0" w:color="auto"/>
                <w:left w:val="none" w:sz="0" w:space="0" w:color="auto"/>
                <w:bottom w:val="none" w:sz="0" w:space="0" w:color="auto"/>
                <w:right w:val="none" w:sz="0" w:space="0" w:color="auto"/>
              </w:divBdr>
            </w:div>
            <w:div w:id="597835770">
              <w:marLeft w:val="0"/>
              <w:marRight w:val="0"/>
              <w:marTop w:val="0"/>
              <w:marBottom w:val="0"/>
              <w:divBdr>
                <w:top w:val="none" w:sz="0" w:space="0" w:color="auto"/>
                <w:left w:val="none" w:sz="0" w:space="0" w:color="auto"/>
                <w:bottom w:val="none" w:sz="0" w:space="0" w:color="auto"/>
                <w:right w:val="none" w:sz="0" w:space="0" w:color="auto"/>
              </w:divBdr>
            </w:div>
            <w:div w:id="1380938845">
              <w:marLeft w:val="0"/>
              <w:marRight w:val="0"/>
              <w:marTop w:val="0"/>
              <w:marBottom w:val="0"/>
              <w:divBdr>
                <w:top w:val="none" w:sz="0" w:space="0" w:color="auto"/>
                <w:left w:val="none" w:sz="0" w:space="0" w:color="auto"/>
                <w:bottom w:val="none" w:sz="0" w:space="0" w:color="auto"/>
                <w:right w:val="none" w:sz="0" w:space="0" w:color="auto"/>
              </w:divBdr>
            </w:div>
            <w:div w:id="1425108771">
              <w:marLeft w:val="0"/>
              <w:marRight w:val="0"/>
              <w:marTop w:val="0"/>
              <w:marBottom w:val="0"/>
              <w:divBdr>
                <w:top w:val="none" w:sz="0" w:space="0" w:color="auto"/>
                <w:left w:val="none" w:sz="0" w:space="0" w:color="auto"/>
                <w:bottom w:val="none" w:sz="0" w:space="0" w:color="auto"/>
                <w:right w:val="none" w:sz="0" w:space="0" w:color="auto"/>
              </w:divBdr>
            </w:div>
            <w:div w:id="1819179598">
              <w:marLeft w:val="0"/>
              <w:marRight w:val="0"/>
              <w:marTop w:val="0"/>
              <w:marBottom w:val="0"/>
              <w:divBdr>
                <w:top w:val="none" w:sz="0" w:space="0" w:color="auto"/>
                <w:left w:val="none" w:sz="0" w:space="0" w:color="auto"/>
                <w:bottom w:val="none" w:sz="0" w:space="0" w:color="auto"/>
                <w:right w:val="none" w:sz="0" w:space="0" w:color="auto"/>
              </w:divBdr>
            </w:div>
          </w:divsChild>
        </w:div>
        <w:div w:id="1409114788">
          <w:marLeft w:val="0"/>
          <w:marRight w:val="0"/>
          <w:marTop w:val="0"/>
          <w:marBottom w:val="0"/>
          <w:divBdr>
            <w:top w:val="none" w:sz="0" w:space="0" w:color="auto"/>
            <w:left w:val="none" w:sz="0" w:space="0" w:color="auto"/>
            <w:bottom w:val="none" w:sz="0" w:space="0" w:color="auto"/>
            <w:right w:val="none" w:sz="0" w:space="0" w:color="auto"/>
          </w:divBdr>
          <w:divsChild>
            <w:div w:id="613286614">
              <w:marLeft w:val="0"/>
              <w:marRight w:val="0"/>
              <w:marTop w:val="0"/>
              <w:marBottom w:val="0"/>
              <w:divBdr>
                <w:top w:val="none" w:sz="0" w:space="0" w:color="auto"/>
                <w:left w:val="none" w:sz="0" w:space="0" w:color="auto"/>
                <w:bottom w:val="none" w:sz="0" w:space="0" w:color="auto"/>
                <w:right w:val="none" w:sz="0" w:space="0" w:color="auto"/>
              </w:divBdr>
            </w:div>
            <w:div w:id="1162964229">
              <w:marLeft w:val="0"/>
              <w:marRight w:val="0"/>
              <w:marTop w:val="0"/>
              <w:marBottom w:val="0"/>
              <w:divBdr>
                <w:top w:val="none" w:sz="0" w:space="0" w:color="auto"/>
                <w:left w:val="none" w:sz="0" w:space="0" w:color="auto"/>
                <w:bottom w:val="none" w:sz="0" w:space="0" w:color="auto"/>
                <w:right w:val="none" w:sz="0" w:space="0" w:color="auto"/>
              </w:divBdr>
            </w:div>
            <w:div w:id="1302690831">
              <w:marLeft w:val="0"/>
              <w:marRight w:val="0"/>
              <w:marTop w:val="0"/>
              <w:marBottom w:val="0"/>
              <w:divBdr>
                <w:top w:val="none" w:sz="0" w:space="0" w:color="auto"/>
                <w:left w:val="none" w:sz="0" w:space="0" w:color="auto"/>
                <w:bottom w:val="none" w:sz="0" w:space="0" w:color="auto"/>
                <w:right w:val="none" w:sz="0" w:space="0" w:color="auto"/>
              </w:divBdr>
            </w:div>
            <w:div w:id="1326132937">
              <w:marLeft w:val="0"/>
              <w:marRight w:val="0"/>
              <w:marTop w:val="0"/>
              <w:marBottom w:val="0"/>
              <w:divBdr>
                <w:top w:val="none" w:sz="0" w:space="0" w:color="auto"/>
                <w:left w:val="none" w:sz="0" w:space="0" w:color="auto"/>
                <w:bottom w:val="none" w:sz="0" w:space="0" w:color="auto"/>
                <w:right w:val="none" w:sz="0" w:space="0" w:color="auto"/>
              </w:divBdr>
            </w:div>
            <w:div w:id="1619144909">
              <w:marLeft w:val="0"/>
              <w:marRight w:val="0"/>
              <w:marTop w:val="0"/>
              <w:marBottom w:val="0"/>
              <w:divBdr>
                <w:top w:val="none" w:sz="0" w:space="0" w:color="auto"/>
                <w:left w:val="none" w:sz="0" w:space="0" w:color="auto"/>
                <w:bottom w:val="none" w:sz="0" w:space="0" w:color="auto"/>
                <w:right w:val="none" w:sz="0" w:space="0" w:color="auto"/>
              </w:divBdr>
            </w:div>
          </w:divsChild>
        </w:div>
        <w:div w:id="1503274074">
          <w:marLeft w:val="0"/>
          <w:marRight w:val="0"/>
          <w:marTop w:val="0"/>
          <w:marBottom w:val="0"/>
          <w:divBdr>
            <w:top w:val="none" w:sz="0" w:space="0" w:color="auto"/>
            <w:left w:val="none" w:sz="0" w:space="0" w:color="auto"/>
            <w:bottom w:val="none" w:sz="0" w:space="0" w:color="auto"/>
            <w:right w:val="none" w:sz="0" w:space="0" w:color="auto"/>
          </w:divBdr>
          <w:divsChild>
            <w:div w:id="544875234">
              <w:marLeft w:val="0"/>
              <w:marRight w:val="0"/>
              <w:marTop w:val="0"/>
              <w:marBottom w:val="0"/>
              <w:divBdr>
                <w:top w:val="none" w:sz="0" w:space="0" w:color="auto"/>
                <w:left w:val="none" w:sz="0" w:space="0" w:color="auto"/>
                <w:bottom w:val="none" w:sz="0" w:space="0" w:color="auto"/>
                <w:right w:val="none" w:sz="0" w:space="0" w:color="auto"/>
              </w:divBdr>
            </w:div>
            <w:div w:id="1582762859">
              <w:marLeft w:val="0"/>
              <w:marRight w:val="0"/>
              <w:marTop w:val="0"/>
              <w:marBottom w:val="0"/>
              <w:divBdr>
                <w:top w:val="none" w:sz="0" w:space="0" w:color="auto"/>
                <w:left w:val="none" w:sz="0" w:space="0" w:color="auto"/>
                <w:bottom w:val="none" w:sz="0" w:space="0" w:color="auto"/>
                <w:right w:val="none" w:sz="0" w:space="0" w:color="auto"/>
              </w:divBdr>
            </w:div>
          </w:divsChild>
        </w:div>
        <w:div w:id="1507211691">
          <w:marLeft w:val="0"/>
          <w:marRight w:val="0"/>
          <w:marTop w:val="0"/>
          <w:marBottom w:val="0"/>
          <w:divBdr>
            <w:top w:val="none" w:sz="0" w:space="0" w:color="auto"/>
            <w:left w:val="none" w:sz="0" w:space="0" w:color="auto"/>
            <w:bottom w:val="none" w:sz="0" w:space="0" w:color="auto"/>
            <w:right w:val="none" w:sz="0" w:space="0" w:color="auto"/>
          </w:divBdr>
        </w:div>
        <w:div w:id="1630547128">
          <w:marLeft w:val="0"/>
          <w:marRight w:val="0"/>
          <w:marTop w:val="0"/>
          <w:marBottom w:val="0"/>
          <w:divBdr>
            <w:top w:val="none" w:sz="0" w:space="0" w:color="auto"/>
            <w:left w:val="none" w:sz="0" w:space="0" w:color="auto"/>
            <w:bottom w:val="none" w:sz="0" w:space="0" w:color="auto"/>
            <w:right w:val="none" w:sz="0" w:space="0" w:color="auto"/>
          </w:divBdr>
        </w:div>
        <w:div w:id="1851022992">
          <w:marLeft w:val="0"/>
          <w:marRight w:val="0"/>
          <w:marTop w:val="0"/>
          <w:marBottom w:val="0"/>
          <w:divBdr>
            <w:top w:val="none" w:sz="0" w:space="0" w:color="auto"/>
            <w:left w:val="none" w:sz="0" w:space="0" w:color="auto"/>
            <w:bottom w:val="none" w:sz="0" w:space="0" w:color="auto"/>
            <w:right w:val="none" w:sz="0" w:space="0" w:color="auto"/>
          </w:divBdr>
        </w:div>
      </w:divsChild>
    </w:div>
    <w:div w:id="600069125">
      <w:bodyDiv w:val="1"/>
      <w:marLeft w:val="0"/>
      <w:marRight w:val="0"/>
      <w:marTop w:val="0"/>
      <w:marBottom w:val="0"/>
      <w:divBdr>
        <w:top w:val="none" w:sz="0" w:space="0" w:color="auto"/>
        <w:left w:val="none" w:sz="0" w:space="0" w:color="auto"/>
        <w:bottom w:val="none" w:sz="0" w:space="0" w:color="auto"/>
        <w:right w:val="none" w:sz="0" w:space="0" w:color="auto"/>
      </w:divBdr>
    </w:div>
    <w:div w:id="610089475">
      <w:bodyDiv w:val="1"/>
      <w:marLeft w:val="0"/>
      <w:marRight w:val="0"/>
      <w:marTop w:val="0"/>
      <w:marBottom w:val="0"/>
      <w:divBdr>
        <w:top w:val="none" w:sz="0" w:space="0" w:color="auto"/>
        <w:left w:val="none" w:sz="0" w:space="0" w:color="auto"/>
        <w:bottom w:val="none" w:sz="0" w:space="0" w:color="auto"/>
        <w:right w:val="none" w:sz="0" w:space="0" w:color="auto"/>
      </w:divBdr>
    </w:div>
    <w:div w:id="615798590">
      <w:bodyDiv w:val="1"/>
      <w:marLeft w:val="0"/>
      <w:marRight w:val="0"/>
      <w:marTop w:val="0"/>
      <w:marBottom w:val="0"/>
      <w:divBdr>
        <w:top w:val="none" w:sz="0" w:space="0" w:color="auto"/>
        <w:left w:val="none" w:sz="0" w:space="0" w:color="auto"/>
        <w:bottom w:val="none" w:sz="0" w:space="0" w:color="auto"/>
        <w:right w:val="none" w:sz="0" w:space="0" w:color="auto"/>
      </w:divBdr>
    </w:div>
    <w:div w:id="617027205">
      <w:bodyDiv w:val="1"/>
      <w:marLeft w:val="0"/>
      <w:marRight w:val="0"/>
      <w:marTop w:val="0"/>
      <w:marBottom w:val="0"/>
      <w:divBdr>
        <w:top w:val="none" w:sz="0" w:space="0" w:color="auto"/>
        <w:left w:val="none" w:sz="0" w:space="0" w:color="auto"/>
        <w:bottom w:val="none" w:sz="0" w:space="0" w:color="auto"/>
        <w:right w:val="none" w:sz="0" w:space="0" w:color="auto"/>
      </w:divBdr>
    </w:div>
    <w:div w:id="617873960">
      <w:bodyDiv w:val="1"/>
      <w:marLeft w:val="0"/>
      <w:marRight w:val="0"/>
      <w:marTop w:val="0"/>
      <w:marBottom w:val="0"/>
      <w:divBdr>
        <w:top w:val="none" w:sz="0" w:space="0" w:color="auto"/>
        <w:left w:val="none" w:sz="0" w:space="0" w:color="auto"/>
        <w:bottom w:val="none" w:sz="0" w:space="0" w:color="auto"/>
        <w:right w:val="none" w:sz="0" w:space="0" w:color="auto"/>
      </w:divBdr>
    </w:div>
    <w:div w:id="624236068">
      <w:bodyDiv w:val="1"/>
      <w:marLeft w:val="0"/>
      <w:marRight w:val="0"/>
      <w:marTop w:val="0"/>
      <w:marBottom w:val="0"/>
      <w:divBdr>
        <w:top w:val="none" w:sz="0" w:space="0" w:color="auto"/>
        <w:left w:val="none" w:sz="0" w:space="0" w:color="auto"/>
        <w:bottom w:val="none" w:sz="0" w:space="0" w:color="auto"/>
        <w:right w:val="none" w:sz="0" w:space="0" w:color="auto"/>
      </w:divBdr>
    </w:div>
    <w:div w:id="647051586">
      <w:bodyDiv w:val="1"/>
      <w:marLeft w:val="0"/>
      <w:marRight w:val="0"/>
      <w:marTop w:val="0"/>
      <w:marBottom w:val="0"/>
      <w:divBdr>
        <w:top w:val="none" w:sz="0" w:space="0" w:color="auto"/>
        <w:left w:val="none" w:sz="0" w:space="0" w:color="auto"/>
        <w:bottom w:val="none" w:sz="0" w:space="0" w:color="auto"/>
        <w:right w:val="none" w:sz="0" w:space="0" w:color="auto"/>
      </w:divBdr>
    </w:div>
    <w:div w:id="655695285">
      <w:bodyDiv w:val="1"/>
      <w:marLeft w:val="0"/>
      <w:marRight w:val="0"/>
      <w:marTop w:val="0"/>
      <w:marBottom w:val="0"/>
      <w:divBdr>
        <w:top w:val="none" w:sz="0" w:space="0" w:color="auto"/>
        <w:left w:val="none" w:sz="0" w:space="0" w:color="auto"/>
        <w:bottom w:val="none" w:sz="0" w:space="0" w:color="auto"/>
        <w:right w:val="none" w:sz="0" w:space="0" w:color="auto"/>
      </w:divBdr>
    </w:div>
    <w:div w:id="658272603">
      <w:bodyDiv w:val="1"/>
      <w:marLeft w:val="0"/>
      <w:marRight w:val="0"/>
      <w:marTop w:val="0"/>
      <w:marBottom w:val="0"/>
      <w:divBdr>
        <w:top w:val="none" w:sz="0" w:space="0" w:color="auto"/>
        <w:left w:val="none" w:sz="0" w:space="0" w:color="auto"/>
        <w:bottom w:val="none" w:sz="0" w:space="0" w:color="auto"/>
        <w:right w:val="none" w:sz="0" w:space="0" w:color="auto"/>
      </w:divBdr>
    </w:div>
    <w:div w:id="681008151">
      <w:bodyDiv w:val="1"/>
      <w:marLeft w:val="0"/>
      <w:marRight w:val="0"/>
      <w:marTop w:val="0"/>
      <w:marBottom w:val="0"/>
      <w:divBdr>
        <w:top w:val="none" w:sz="0" w:space="0" w:color="auto"/>
        <w:left w:val="none" w:sz="0" w:space="0" w:color="auto"/>
        <w:bottom w:val="none" w:sz="0" w:space="0" w:color="auto"/>
        <w:right w:val="none" w:sz="0" w:space="0" w:color="auto"/>
      </w:divBdr>
      <w:divsChild>
        <w:div w:id="63455767">
          <w:marLeft w:val="547"/>
          <w:marRight w:val="0"/>
          <w:marTop w:val="0"/>
          <w:marBottom w:val="0"/>
          <w:divBdr>
            <w:top w:val="none" w:sz="0" w:space="0" w:color="auto"/>
            <w:left w:val="none" w:sz="0" w:space="0" w:color="auto"/>
            <w:bottom w:val="none" w:sz="0" w:space="0" w:color="auto"/>
            <w:right w:val="none" w:sz="0" w:space="0" w:color="auto"/>
          </w:divBdr>
        </w:div>
        <w:div w:id="733966945">
          <w:marLeft w:val="547"/>
          <w:marRight w:val="0"/>
          <w:marTop w:val="0"/>
          <w:marBottom w:val="0"/>
          <w:divBdr>
            <w:top w:val="none" w:sz="0" w:space="0" w:color="auto"/>
            <w:left w:val="none" w:sz="0" w:space="0" w:color="auto"/>
            <w:bottom w:val="none" w:sz="0" w:space="0" w:color="auto"/>
            <w:right w:val="none" w:sz="0" w:space="0" w:color="auto"/>
          </w:divBdr>
        </w:div>
        <w:div w:id="1327904685">
          <w:marLeft w:val="547"/>
          <w:marRight w:val="0"/>
          <w:marTop w:val="0"/>
          <w:marBottom w:val="0"/>
          <w:divBdr>
            <w:top w:val="none" w:sz="0" w:space="0" w:color="auto"/>
            <w:left w:val="none" w:sz="0" w:space="0" w:color="auto"/>
            <w:bottom w:val="none" w:sz="0" w:space="0" w:color="auto"/>
            <w:right w:val="none" w:sz="0" w:space="0" w:color="auto"/>
          </w:divBdr>
        </w:div>
        <w:div w:id="2137946682">
          <w:marLeft w:val="547"/>
          <w:marRight w:val="0"/>
          <w:marTop w:val="0"/>
          <w:marBottom w:val="0"/>
          <w:divBdr>
            <w:top w:val="none" w:sz="0" w:space="0" w:color="auto"/>
            <w:left w:val="none" w:sz="0" w:space="0" w:color="auto"/>
            <w:bottom w:val="none" w:sz="0" w:space="0" w:color="auto"/>
            <w:right w:val="none" w:sz="0" w:space="0" w:color="auto"/>
          </w:divBdr>
        </w:div>
      </w:divsChild>
    </w:div>
    <w:div w:id="683677878">
      <w:bodyDiv w:val="1"/>
      <w:marLeft w:val="0"/>
      <w:marRight w:val="0"/>
      <w:marTop w:val="0"/>
      <w:marBottom w:val="0"/>
      <w:divBdr>
        <w:top w:val="none" w:sz="0" w:space="0" w:color="auto"/>
        <w:left w:val="none" w:sz="0" w:space="0" w:color="auto"/>
        <w:bottom w:val="none" w:sz="0" w:space="0" w:color="auto"/>
        <w:right w:val="none" w:sz="0" w:space="0" w:color="auto"/>
      </w:divBdr>
    </w:div>
    <w:div w:id="691959204">
      <w:bodyDiv w:val="1"/>
      <w:marLeft w:val="0"/>
      <w:marRight w:val="0"/>
      <w:marTop w:val="0"/>
      <w:marBottom w:val="0"/>
      <w:divBdr>
        <w:top w:val="none" w:sz="0" w:space="0" w:color="auto"/>
        <w:left w:val="none" w:sz="0" w:space="0" w:color="auto"/>
        <w:bottom w:val="none" w:sz="0" w:space="0" w:color="auto"/>
        <w:right w:val="none" w:sz="0" w:space="0" w:color="auto"/>
      </w:divBdr>
    </w:div>
    <w:div w:id="695740606">
      <w:bodyDiv w:val="1"/>
      <w:marLeft w:val="0"/>
      <w:marRight w:val="0"/>
      <w:marTop w:val="0"/>
      <w:marBottom w:val="0"/>
      <w:divBdr>
        <w:top w:val="none" w:sz="0" w:space="0" w:color="auto"/>
        <w:left w:val="none" w:sz="0" w:space="0" w:color="auto"/>
        <w:bottom w:val="none" w:sz="0" w:space="0" w:color="auto"/>
        <w:right w:val="none" w:sz="0" w:space="0" w:color="auto"/>
      </w:divBdr>
    </w:div>
    <w:div w:id="698892383">
      <w:bodyDiv w:val="1"/>
      <w:marLeft w:val="0"/>
      <w:marRight w:val="0"/>
      <w:marTop w:val="0"/>
      <w:marBottom w:val="0"/>
      <w:divBdr>
        <w:top w:val="none" w:sz="0" w:space="0" w:color="auto"/>
        <w:left w:val="none" w:sz="0" w:space="0" w:color="auto"/>
        <w:bottom w:val="none" w:sz="0" w:space="0" w:color="auto"/>
        <w:right w:val="none" w:sz="0" w:space="0" w:color="auto"/>
      </w:divBdr>
    </w:div>
    <w:div w:id="700399301">
      <w:bodyDiv w:val="1"/>
      <w:marLeft w:val="0"/>
      <w:marRight w:val="0"/>
      <w:marTop w:val="0"/>
      <w:marBottom w:val="0"/>
      <w:divBdr>
        <w:top w:val="none" w:sz="0" w:space="0" w:color="auto"/>
        <w:left w:val="none" w:sz="0" w:space="0" w:color="auto"/>
        <w:bottom w:val="none" w:sz="0" w:space="0" w:color="auto"/>
        <w:right w:val="none" w:sz="0" w:space="0" w:color="auto"/>
      </w:divBdr>
    </w:div>
    <w:div w:id="715935303">
      <w:bodyDiv w:val="1"/>
      <w:marLeft w:val="0"/>
      <w:marRight w:val="0"/>
      <w:marTop w:val="0"/>
      <w:marBottom w:val="0"/>
      <w:divBdr>
        <w:top w:val="none" w:sz="0" w:space="0" w:color="auto"/>
        <w:left w:val="none" w:sz="0" w:space="0" w:color="auto"/>
        <w:bottom w:val="none" w:sz="0" w:space="0" w:color="auto"/>
        <w:right w:val="none" w:sz="0" w:space="0" w:color="auto"/>
      </w:divBdr>
    </w:div>
    <w:div w:id="717120538">
      <w:bodyDiv w:val="1"/>
      <w:marLeft w:val="0"/>
      <w:marRight w:val="0"/>
      <w:marTop w:val="0"/>
      <w:marBottom w:val="0"/>
      <w:divBdr>
        <w:top w:val="none" w:sz="0" w:space="0" w:color="auto"/>
        <w:left w:val="none" w:sz="0" w:space="0" w:color="auto"/>
        <w:bottom w:val="none" w:sz="0" w:space="0" w:color="auto"/>
        <w:right w:val="none" w:sz="0" w:space="0" w:color="auto"/>
      </w:divBdr>
    </w:div>
    <w:div w:id="717124982">
      <w:bodyDiv w:val="1"/>
      <w:marLeft w:val="0"/>
      <w:marRight w:val="0"/>
      <w:marTop w:val="0"/>
      <w:marBottom w:val="0"/>
      <w:divBdr>
        <w:top w:val="none" w:sz="0" w:space="0" w:color="auto"/>
        <w:left w:val="none" w:sz="0" w:space="0" w:color="auto"/>
        <w:bottom w:val="none" w:sz="0" w:space="0" w:color="auto"/>
        <w:right w:val="none" w:sz="0" w:space="0" w:color="auto"/>
      </w:divBdr>
    </w:div>
    <w:div w:id="721252950">
      <w:bodyDiv w:val="1"/>
      <w:marLeft w:val="0"/>
      <w:marRight w:val="0"/>
      <w:marTop w:val="0"/>
      <w:marBottom w:val="0"/>
      <w:divBdr>
        <w:top w:val="none" w:sz="0" w:space="0" w:color="auto"/>
        <w:left w:val="none" w:sz="0" w:space="0" w:color="auto"/>
        <w:bottom w:val="none" w:sz="0" w:space="0" w:color="auto"/>
        <w:right w:val="none" w:sz="0" w:space="0" w:color="auto"/>
      </w:divBdr>
    </w:div>
    <w:div w:id="744032897">
      <w:bodyDiv w:val="1"/>
      <w:marLeft w:val="0"/>
      <w:marRight w:val="0"/>
      <w:marTop w:val="0"/>
      <w:marBottom w:val="0"/>
      <w:divBdr>
        <w:top w:val="none" w:sz="0" w:space="0" w:color="auto"/>
        <w:left w:val="none" w:sz="0" w:space="0" w:color="auto"/>
        <w:bottom w:val="none" w:sz="0" w:space="0" w:color="auto"/>
        <w:right w:val="none" w:sz="0" w:space="0" w:color="auto"/>
      </w:divBdr>
    </w:div>
    <w:div w:id="749081663">
      <w:bodyDiv w:val="1"/>
      <w:marLeft w:val="0"/>
      <w:marRight w:val="0"/>
      <w:marTop w:val="0"/>
      <w:marBottom w:val="0"/>
      <w:divBdr>
        <w:top w:val="none" w:sz="0" w:space="0" w:color="auto"/>
        <w:left w:val="none" w:sz="0" w:space="0" w:color="auto"/>
        <w:bottom w:val="none" w:sz="0" w:space="0" w:color="auto"/>
        <w:right w:val="none" w:sz="0" w:space="0" w:color="auto"/>
      </w:divBdr>
    </w:div>
    <w:div w:id="751515147">
      <w:bodyDiv w:val="1"/>
      <w:marLeft w:val="150"/>
      <w:marRight w:val="0"/>
      <w:marTop w:val="0"/>
      <w:marBottom w:val="0"/>
      <w:divBdr>
        <w:top w:val="none" w:sz="0" w:space="0" w:color="auto"/>
        <w:left w:val="none" w:sz="0" w:space="0" w:color="auto"/>
        <w:bottom w:val="none" w:sz="0" w:space="0" w:color="auto"/>
        <w:right w:val="none" w:sz="0" w:space="0" w:color="auto"/>
      </w:divBdr>
      <w:divsChild>
        <w:div w:id="1631518995">
          <w:marLeft w:val="0"/>
          <w:marRight w:val="0"/>
          <w:marTop w:val="0"/>
          <w:marBottom w:val="600"/>
          <w:divBdr>
            <w:top w:val="none" w:sz="0" w:space="0" w:color="auto"/>
            <w:left w:val="none" w:sz="0" w:space="0" w:color="auto"/>
            <w:bottom w:val="none" w:sz="0" w:space="0" w:color="auto"/>
            <w:right w:val="none" w:sz="0" w:space="0" w:color="auto"/>
          </w:divBdr>
        </w:div>
      </w:divsChild>
    </w:div>
    <w:div w:id="773020006">
      <w:bodyDiv w:val="1"/>
      <w:marLeft w:val="0"/>
      <w:marRight w:val="0"/>
      <w:marTop w:val="0"/>
      <w:marBottom w:val="0"/>
      <w:divBdr>
        <w:top w:val="none" w:sz="0" w:space="0" w:color="auto"/>
        <w:left w:val="none" w:sz="0" w:space="0" w:color="auto"/>
        <w:bottom w:val="none" w:sz="0" w:space="0" w:color="auto"/>
        <w:right w:val="none" w:sz="0" w:space="0" w:color="auto"/>
      </w:divBdr>
    </w:div>
    <w:div w:id="784881665">
      <w:bodyDiv w:val="1"/>
      <w:marLeft w:val="0"/>
      <w:marRight w:val="0"/>
      <w:marTop w:val="0"/>
      <w:marBottom w:val="0"/>
      <w:divBdr>
        <w:top w:val="none" w:sz="0" w:space="0" w:color="auto"/>
        <w:left w:val="none" w:sz="0" w:space="0" w:color="auto"/>
        <w:bottom w:val="none" w:sz="0" w:space="0" w:color="auto"/>
        <w:right w:val="none" w:sz="0" w:space="0" w:color="auto"/>
      </w:divBdr>
    </w:div>
    <w:div w:id="793208253">
      <w:bodyDiv w:val="1"/>
      <w:marLeft w:val="0"/>
      <w:marRight w:val="0"/>
      <w:marTop w:val="0"/>
      <w:marBottom w:val="0"/>
      <w:divBdr>
        <w:top w:val="none" w:sz="0" w:space="0" w:color="auto"/>
        <w:left w:val="none" w:sz="0" w:space="0" w:color="auto"/>
        <w:bottom w:val="none" w:sz="0" w:space="0" w:color="auto"/>
        <w:right w:val="none" w:sz="0" w:space="0" w:color="auto"/>
      </w:divBdr>
    </w:div>
    <w:div w:id="795639271">
      <w:bodyDiv w:val="1"/>
      <w:marLeft w:val="0"/>
      <w:marRight w:val="0"/>
      <w:marTop w:val="0"/>
      <w:marBottom w:val="0"/>
      <w:divBdr>
        <w:top w:val="none" w:sz="0" w:space="0" w:color="auto"/>
        <w:left w:val="none" w:sz="0" w:space="0" w:color="auto"/>
        <w:bottom w:val="none" w:sz="0" w:space="0" w:color="auto"/>
        <w:right w:val="none" w:sz="0" w:space="0" w:color="auto"/>
      </w:divBdr>
    </w:div>
    <w:div w:id="801848249">
      <w:bodyDiv w:val="1"/>
      <w:marLeft w:val="0"/>
      <w:marRight w:val="0"/>
      <w:marTop w:val="0"/>
      <w:marBottom w:val="0"/>
      <w:divBdr>
        <w:top w:val="none" w:sz="0" w:space="0" w:color="auto"/>
        <w:left w:val="none" w:sz="0" w:space="0" w:color="auto"/>
        <w:bottom w:val="none" w:sz="0" w:space="0" w:color="auto"/>
        <w:right w:val="none" w:sz="0" w:space="0" w:color="auto"/>
      </w:divBdr>
      <w:divsChild>
        <w:div w:id="1606882591">
          <w:marLeft w:val="336"/>
          <w:marRight w:val="0"/>
          <w:marTop w:val="120"/>
          <w:marBottom w:val="192"/>
          <w:divBdr>
            <w:top w:val="none" w:sz="0" w:space="0" w:color="auto"/>
            <w:left w:val="none" w:sz="0" w:space="0" w:color="auto"/>
            <w:bottom w:val="none" w:sz="0" w:space="0" w:color="auto"/>
            <w:right w:val="none" w:sz="0" w:space="0" w:color="auto"/>
          </w:divBdr>
          <w:divsChild>
            <w:div w:id="668098929">
              <w:marLeft w:val="0"/>
              <w:marRight w:val="0"/>
              <w:marTop w:val="0"/>
              <w:marBottom w:val="0"/>
              <w:divBdr>
                <w:top w:val="single" w:sz="6" w:space="0" w:color="CCCCCC"/>
                <w:left w:val="single" w:sz="6" w:space="0" w:color="CCCCCC"/>
                <w:bottom w:val="single" w:sz="6" w:space="0" w:color="CCCCCC"/>
                <w:right w:val="single" w:sz="6" w:space="0" w:color="CCCCCC"/>
              </w:divBdr>
              <w:divsChild>
                <w:div w:id="40903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983619">
          <w:marLeft w:val="336"/>
          <w:marRight w:val="0"/>
          <w:marTop w:val="120"/>
          <w:marBottom w:val="192"/>
          <w:divBdr>
            <w:top w:val="none" w:sz="0" w:space="0" w:color="auto"/>
            <w:left w:val="none" w:sz="0" w:space="0" w:color="auto"/>
            <w:bottom w:val="none" w:sz="0" w:space="0" w:color="auto"/>
            <w:right w:val="none" w:sz="0" w:space="0" w:color="auto"/>
          </w:divBdr>
          <w:divsChild>
            <w:div w:id="225386064">
              <w:marLeft w:val="0"/>
              <w:marRight w:val="0"/>
              <w:marTop w:val="0"/>
              <w:marBottom w:val="0"/>
              <w:divBdr>
                <w:top w:val="single" w:sz="6" w:space="0" w:color="CCCCCC"/>
                <w:left w:val="single" w:sz="6" w:space="0" w:color="CCCCCC"/>
                <w:bottom w:val="single" w:sz="6" w:space="0" w:color="CCCCCC"/>
                <w:right w:val="single" w:sz="6" w:space="0" w:color="CCCCCC"/>
              </w:divBdr>
              <w:divsChild>
                <w:div w:id="186300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848214">
      <w:bodyDiv w:val="1"/>
      <w:marLeft w:val="0"/>
      <w:marRight w:val="0"/>
      <w:marTop w:val="0"/>
      <w:marBottom w:val="0"/>
      <w:divBdr>
        <w:top w:val="none" w:sz="0" w:space="0" w:color="auto"/>
        <w:left w:val="none" w:sz="0" w:space="0" w:color="auto"/>
        <w:bottom w:val="none" w:sz="0" w:space="0" w:color="auto"/>
        <w:right w:val="none" w:sz="0" w:space="0" w:color="auto"/>
      </w:divBdr>
    </w:div>
    <w:div w:id="839007279">
      <w:bodyDiv w:val="1"/>
      <w:marLeft w:val="0"/>
      <w:marRight w:val="0"/>
      <w:marTop w:val="0"/>
      <w:marBottom w:val="0"/>
      <w:divBdr>
        <w:top w:val="none" w:sz="0" w:space="0" w:color="auto"/>
        <w:left w:val="none" w:sz="0" w:space="0" w:color="auto"/>
        <w:bottom w:val="none" w:sz="0" w:space="0" w:color="auto"/>
        <w:right w:val="none" w:sz="0" w:space="0" w:color="auto"/>
      </w:divBdr>
    </w:div>
    <w:div w:id="849218612">
      <w:bodyDiv w:val="1"/>
      <w:marLeft w:val="0"/>
      <w:marRight w:val="0"/>
      <w:marTop w:val="0"/>
      <w:marBottom w:val="0"/>
      <w:divBdr>
        <w:top w:val="none" w:sz="0" w:space="0" w:color="auto"/>
        <w:left w:val="none" w:sz="0" w:space="0" w:color="auto"/>
        <w:bottom w:val="none" w:sz="0" w:space="0" w:color="auto"/>
        <w:right w:val="none" w:sz="0" w:space="0" w:color="auto"/>
      </w:divBdr>
      <w:divsChild>
        <w:div w:id="1844928076">
          <w:marLeft w:val="0"/>
          <w:marRight w:val="0"/>
          <w:marTop w:val="0"/>
          <w:marBottom w:val="0"/>
          <w:divBdr>
            <w:top w:val="none" w:sz="0" w:space="0" w:color="auto"/>
            <w:left w:val="none" w:sz="0" w:space="0" w:color="auto"/>
            <w:bottom w:val="none" w:sz="0" w:space="0" w:color="auto"/>
            <w:right w:val="none" w:sz="0" w:space="0" w:color="auto"/>
          </w:divBdr>
        </w:div>
      </w:divsChild>
    </w:div>
    <w:div w:id="862282124">
      <w:bodyDiv w:val="1"/>
      <w:marLeft w:val="0"/>
      <w:marRight w:val="0"/>
      <w:marTop w:val="0"/>
      <w:marBottom w:val="0"/>
      <w:divBdr>
        <w:top w:val="none" w:sz="0" w:space="0" w:color="auto"/>
        <w:left w:val="none" w:sz="0" w:space="0" w:color="auto"/>
        <w:bottom w:val="none" w:sz="0" w:space="0" w:color="auto"/>
        <w:right w:val="none" w:sz="0" w:space="0" w:color="auto"/>
      </w:divBdr>
    </w:div>
    <w:div w:id="872497638">
      <w:bodyDiv w:val="1"/>
      <w:marLeft w:val="0"/>
      <w:marRight w:val="0"/>
      <w:marTop w:val="0"/>
      <w:marBottom w:val="0"/>
      <w:divBdr>
        <w:top w:val="none" w:sz="0" w:space="0" w:color="auto"/>
        <w:left w:val="none" w:sz="0" w:space="0" w:color="auto"/>
        <w:bottom w:val="none" w:sz="0" w:space="0" w:color="auto"/>
        <w:right w:val="none" w:sz="0" w:space="0" w:color="auto"/>
      </w:divBdr>
    </w:div>
    <w:div w:id="877857277">
      <w:bodyDiv w:val="1"/>
      <w:marLeft w:val="0"/>
      <w:marRight w:val="0"/>
      <w:marTop w:val="0"/>
      <w:marBottom w:val="0"/>
      <w:divBdr>
        <w:top w:val="none" w:sz="0" w:space="0" w:color="auto"/>
        <w:left w:val="none" w:sz="0" w:space="0" w:color="auto"/>
        <w:bottom w:val="none" w:sz="0" w:space="0" w:color="auto"/>
        <w:right w:val="none" w:sz="0" w:space="0" w:color="auto"/>
      </w:divBdr>
    </w:div>
    <w:div w:id="881404435">
      <w:bodyDiv w:val="1"/>
      <w:marLeft w:val="0"/>
      <w:marRight w:val="0"/>
      <w:marTop w:val="0"/>
      <w:marBottom w:val="0"/>
      <w:divBdr>
        <w:top w:val="none" w:sz="0" w:space="0" w:color="auto"/>
        <w:left w:val="none" w:sz="0" w:space="0" w:color="auto"/>
        <w:bottom w:val="none" w:sz="0" w:space="0" w:color="auto"/>
        <w:right w:val="none" w:sz="0" w:space="0" w:color="auto"/>
      </w:divBdr>
    </w:div>
    <w:div w:id="895120791">
      <w:bodyDiv w:val="1"/>
      <w:marLeft w:val="0"/>
      <w:marRight w:val="0"/>
      <w:marTop w:val="0"/>
      <w:marBottom w:val="0"/>
      <w:divBdr>
        <w:top w:val="none" w:sz="0" w:space="0" w:color="auto"/>
        <w:left w:val="none" w:sz="0" w:space="0" w:color="auto"/>
        <w:bottom w:val="none" w:sz="0" w:space="0" w:color="auto"/>
        <w:right w:val="none" w:sz="0" w:space="0" w:color="auto"/>
      </w:divBdr>
    </w:div>
    <w:div w:id="912854316">
      <w:bodyDiv w:val="1"/>
      <w:marLeft w:val="0"/>
      <w:marRight w:val="0"/>
      <w:marTop w:val="0"/>
      <w:marBottom w:val="0"/>
      <w:divBdr>
        <w:top w:val="none" w:sz="0" w:space="0" w:color="auto"/>
        <w:left w:val="none" w:sz="0" w:space="0" w:color="auto"/>
        <w:bottom w:val="none" w:sz="0" w:space="0" w:color="auto"/>
        <w:right w:val="none" w:sz="0" w:space="0" w:color="auto"/>
      </w:divBdr>
    </w:div>
    <w:div w:id="933440668">
      <w:bodyDiv w:val="1"/>
      <w:marLeft w:val="0"/>
      <w:marRight w:val="0"/>
      <w:marTop w:val="0"/>
      <w:marBottom w:val="0"/>
      <w:divBdr>
        <w:top w:val="none" w:sz="0" w:space="0" w:color="auto"/>
        <w:left w:val="none" w:sz="0" w:space="0" w:color="auto"/>
        <w:bottom w:val="none" w:sz="0" w:space="0" w:color="auto"/>
        <w:right w:val="none" w:sz="0" w:space="0" w:color="auto"/>
      </w:divBdr>
    </w:div>
    <w:div w:id="940069001">
      <w:bodyDiv w:val="1"/>
      <w:marLeft w:val="0"/>
      <w:marRight w:val="0"/>
      <w:marTop w:val="0"/>
      <w:marBottom w:val="0"/>
      <w:divBdr>
        <w:top w:val="none" w:sz="0" w:space="0" w:color="auto"/>
        <w:left w:val="none" w:sz="0" w:space="0" w:color="auto"/>
        <w:bottom w:val="none" w:sz="0" w:space="0" w:color="auto"/>
        <w:right w:val="none" w:sz="0" w:space="0" w:color="auto"/>
      </w:divBdr>
    </w:div>
    <w:div w:id="943731875">
      <w:bodyDiv w:val="1"/>
      <w:marLeft w:val="0"/>
      <w:marRight w:val="0"/>
      <w:marTop w:val="0"/>
      <w:marBottom w:val="0"/>
      <w:divBdr>
        <w:top w:val="none" w:sz="0" w:space="0" w:color="auto"/>
        <w:left w:val="none" w:sz="0" w:space="0" w:color="auto"/>
        <w:bottom w:val="none" w:sz="0" w:space="0" w:color="auto"/>
        <w:right w:val="none" w:sz="0" w:space="0" w:color="auto"/>
      </w:divBdr>
    </w:div>
    <w:div w:id="947664462">
      <w:bodyDiv w:val="1"/>
      <w:marLeft w:val="0"/>
      <w:marRight w:val="0"/>
      <w:marTop w:val="0"/>
      <w:marBottom w:val="0"/>
      <w:divBdr>
        <w:top w:val="none" w:sz="0" w:space="0" w:color="auto"/>
        <w:left w:val="none" w:sz="0" w:space="0" w:color="auto"/>
        <w:bottom w:val="none" w:sz="0" w:space="0" w:color="auto"/>
        <w:right w:val="none" w:sz="0" w:space="0" w:color="auto"/>
      </w:divBdr>
    </w:div>
    <w:div w:id="952244057">
      <w:bodyDiv w:val="1"/>
      <w:marLeft w:val="0"/>
      <w:marRight w:val="0"/>
      <w:marTop w:val="0"/>
      <w:marBottom w:val="0"/>
      <w:divBdr>
        <w:top w:val="none" w:sz="0" w:space="0" w:color="auto"/>
        <w:left w:val="none" w:sz="0" w:space="0" w:color="auto"/>
        <w:bottom w:val="none" w:sz="0" w:space="0" w:color="auto"/>
        <w:right w:val="none" w:sz="0" w:space="0" w:color="auto"/>
      </w:divBdr>
    </w:div>
    <w:div w:id="954404215">
      <w:bodyDiv w:val="1"/>
      <w:marLeft w:val="0"/>
      <w:marRight w:val="0"/>
      <w:marTop w:val="0"/>
      <w:marBottom w:val="0"/>
      <w:divBdr>
        <w:top w:val="none" w:sz="0" w:space="0" w:color="auto"/>
        <w:left w:val="none" w:sz="0" w:space="0" w:color="auto"/>
        <w:bottom w:val="none" w:sz="0" w:space="0" w:color="auto"/>
        <w:right w:val="none" w:sz="0" w:space="0" w:color="auto"/>
      </w:divBdr>
    </w:div>
    <w:div w:id="971715444">
      <w:bodyDiv w:val="1"/>
      <w:marLeft w:val="0"/>
      <w:marRight w:val="0"/>
      <w:marTop w:val="0"/>
      <w:marBottom w:val="0"/>
      <w:divBdr>
        <w:top w:val="none" w:sz="0" w:space="0" w:color="auto"/>
        <w:left w:val="none" w:sz="0" w:space="0" w:color="auto"/>
        <w:bottom w:val="none" w:sz="0" w:space="0" w:color="auto"/>
        <w:right w:val="none" w:sz="0" w:space="0" w:color="auto"/>
      </w:divBdr>
    </w:div>
    <w:div w:id="976956415">
      <w:bodyDiv w:val="1"/>
      <w:marLeft w:val="0"/>
      <w:marRight w:val="0"/>
      <w:marTop w:val="0"/>
      <w:marBottom w:val="0"/>
      <w:divBdr>
        <w:top w:val="none" w:sz="0" w:space="0" w:color="auto"/>
        <w:left w:val="none" w:sz="0" w:space="0" w:color="auto"/>
        <w:bottom w:val="none" w:sz="0" w:space="0" w:color="auto"/>
        <w:right w:val="none" w:sz="0" w:space="0" w:color="auto"/>
      </w:divBdr>
    </w:div>
    <w:div w:id="991526570">
      <w:bodyDiv w:val="1"/>
      <w:marLeft w:val="0"/>
      <w:marRight w:val="0"/>
      <w:marTop w:val="0"/>
      <w:marBottom w:val="0"/>
      <w:divBdr>
        <w:top w:val="none" w:sz="0" w:space="0" w:color="auto"/>
        <w:left w:val="none" w:sz="0" w:space="0" w:color="auto"/>
        <w:bottom w:val="none" w:sz="0" w:space="0" w:color="auto"/>
        <w:right w:val="none" w:sz="0" w:space="0" w:color="auto"/>
      </w:divBdr>
    </w:div>
    <w:div w:id="1055851950">
      <w:bodyDiv w:val="1"/>
      <w:marLeft w:val="0"/>
      <w:marRight w:val="0"/>
      <w:marTop w:val="0"/>
      <w:marBottom w:val="0"/>
      <w:divBdr>
        <w:top w:val="none" w:sz="0" w:space="0" w:color="auto"/>
        <w:left w:val="none" w:sz="0" w:space="0" w:color="auto"/>
        <w:bottom w:val="none" w:sz="0" w:space="0" w:color="auto"/>
        <w:right w:val="none" w:sz="0" w:space="0" w:color="auto"/>
      </w:divBdr>
    </w:div>
    <w:div w:id="1065491569">
      <w:bodyDiv w:val="1"/>
      <w:marLeft w:val="0"/>
      <w:marRight w:val="0"/>
      <w:marTop w:val="0"/>
      <w:marBottom w:val="0"/>
      <w:divBdr>
        <w:top w:val="none" w:sz="0" w:space="0" w:color="auto"/>
        <w:left w:val="none" w:sz="0" w:space="0" w:color="auto"/>
        <w:bottom w:val="none" w:sz="0" w:space="0" w:color="auto"/>
        <w:right w:val="none" w:sz="0" w:space="0" w:color="auto"/>
      </w:divBdr>
    </w:div>
    <w:div w:id="1085301104">
      <w:bodyDiv w:val="1"/>
      <w:marLeft w:val="0"/>
      <w:marRight w:val="0"/>
      <w:marTop w:val="0"/>
      <w:marBottom w:val="0"/>
      <w:divBdr>
        <w:top w:val="none" w:sz="0" w:space="0" w:color="auto"/>
        <w:left w:val="none" w:sz="0" w:space="0" w:color="auto"/>
        <w:bottom w:val="none" w:sz="0" w:space="0" w:color="auto"/>
        <w:right w:val="none" w:sz="0" w:space="0" w:color="auto"/>
      </w:divBdr>
    </w:div>
    <w:div w:id="1087463070">
      <w:bodyDiv w:val="1"/>
      <w:marLeft w:val="0"/>
      <w:marRight w:val="0"/>
      <w:marTop w:val="0"/>
      <w:marBottom w:val="0"/>
      <w:divBdr>
        <w:top w:val="none" w:sz="0" w:space="0" w:color="auto"/>
        <w:left w:val="none" w:sz="0" w:space="0" w:color="auto"/>
        <w:bottom w:val="none" w:sz="0" w:space="0" w:color="auto"/>
        <w:right w:val="none" w:sz="0" w:space="0" w:color="auto"/>
      </w:divBdr>
    </w:div>
    <w:div w:id="1091118656">
      <w:bodyDiv w:val="1"/>
      <w:marLeft w:val="0"/>
      <w:marRight w:val="0"/>
      <w:marTop w:val="0"/>
      <w:marBottom w:val="0"/>
      <w:divBdr>
        <w:top w:val="none" w:sz="0" w:space="0" w:color="auto"/>
        <w:left w:val="none" w:sz="0" w:space="0" w:color="auto"/>
        <w:bottom w:val="none" w:sz="0" w:space="0" w:color="auto"/>
        <w:right w:val="none" w:sz="0" w:space="0" w:color="auto"/>
      </w:divBdr>
    </w:div>
    <w:div w:id="1100373621">
      <w:bodyDiv w:val="1"/>
      <w:marLeft w:val="0"/>
      <w:marRight w:val="0"/>
      <w:marTop w:val="0"/>
      <w:marBottom w:val="0"/>
      <w:divBdr>
        <w:top w:val="none" w:sz="0" w:space="0" w:color="auto"/>
        <w:left w:val="none" w:sz="0" w:space="0" w:color="auto"/>
        <w:bottom w:val="none" w:sz="0" w:space="0" w:color="auto"/>
        <w:right w:val="none" w:sz="0" w:space="0" w:color="auto"/>
      </w:divBdr>
    </w:div>
    <w:div w:id="1109157217">
      <w:bodyDiv w:val="1"/>
      <w:marLeft w:val="0"/>
      <w:marRight w:val="0"/>
      <w:marTop w:val="0"/>
      <w:marBottom w:val="0"/>
      <w:divBdr>
        <w:top w:val="none" w:sz="0" w:space="0" w:color="auto"/>
        <w:left w:val="none" w:sz="0" w:space="0" w:color="auto"/>
        <w:bottom w:val="none" w:sz="0" w:space="0" w:color="auto"/>
        <w:right w:val="none" w:sz="0" w:space="0" w:color="auto"/>
      </w:divBdr>
    </w:div>
    <w:div w:id="1110973914">
      <w:bodyDiv w:val="1"/>
      <w:marLeft w:val="0"/>
      <w:marRight w:val="0"/>
      <w:marTop w:val="0"/>
      <w:marBottom w:val="0"/>
      <w:divBdr>
        <w:top w:val="none" w:sz="0" w:space="0" w:color="auto"/>
        <w:left w:val="none" w:sz="0" w:space="0" w:color="auto"/>
        <w:bottom w:val="none" w:sz="0" w:space="0" w:color="auto"/>
        <w:right w:val="none" w:sz="0" w:space="0" w:color="auto"/>
      </w:divBdr>
    </w:div>
    <w:div w:id="1111508496">
      <w:bodyDiv w:val="1"/>
      <w:marLeft w:val="0"/>
      <w:marRight w:val="0"/>
      <w:marTop w:val="0"/>
      <w:marBottom w:val="0"/>
      <w:divBdr>
        <w:top w:val="none" w:sz="0" w:space="0" w:color="auto"/>
        <w:left w:val="none" w:sz="0" w:space="0" w:color="auto"/>
        <w:bottom w:val="none" w:sz="0" w:space="0" w:color="auto"/>
        <w:right w:val="none" w:sz="0" w:space="0" w:color="auto"/>
      </w:divBdr>
    </w:div>
    <w:div w:id="1126120902">
      <w:bodyDiv w:val="1"/>
      <w:marLeft w:val="0"/>
      <w:marRight w:val="0"/>
      <w:marTop w:val="0"/>
      <w:marBottom w:val="0"/>
      <w:divBdr>
        <w:top w:val="none" w:sz="0" w:space="0" w:color="auto"/>
        <w:left w:val="none" w:sz="0" w:space="0" w:color="auto"/>
        <w:bottom w:val="none" w:sz="0" w:space="0" w:color="auto"/>
        <w:right w:val="none" w:sz="0" w:space="0" w:color="auto"/>
      </w:divBdr>
    </w:div>
    <w:div w:id="1129593583">
      <w:bodyDiv w:val="1"/>
      <w:marLeft w:val="0"/>
      <w:marRight w:val="0"/>
      <w:marTop w:val="0"/>
      <w:marBottom w:val="0"/>
      <w:divBdr>
        <w:top w:val="none" w:sz="0" w:space="0" w:color="auto"/>
        <w:left w:val="none" w:sz="0" w:space="0" w:color="auto"/>
        <w:bottom w:val="none" w:sz="0" w:space="0" w:color="auto"/>
        <w:right w:val="none" w:sz="0" w:space="0" w:color="auto"/>
      </w:divBdr>
    </w:div>
    <w:div w:id="1157955925">
      <w:bodyDiv w:val="1"/>
      <w:marLeft w:val="0"/>
      <w:marRight w:val="0"/>
      <w:marTop w:val="0"/>
      <w:marBottom w:val="0"/>
      <w:divBdr>
        <w:top w:val="none" w:sz="0" w:space="0" w:color="auto"/>
        <w:left w:val="none" w:sz="0" w:space="0" w:color="auto"/>
        <w:bottom w:val="none" w:sz="0" w:space="0" w:color="auto"/>
        <w:right w:val="none" w:sz="0" w:space="0" w:color="auto"/>
      </w:divBdr>
    </w:div>
    <w:div w:id="1208760746">
      <w:bodyDiv w:val="1"/>
      <w:marLeft w:val="0"/>
      <w:marRight w:val="0"/>
      <w:marTop w:val="0"/>
      <w:marBottom w:val="0"/>
      <w:divBdr>
        <w:top w:val="none" w:sz="0" w:space="0" w:color="auto"/>
        <w:left w:val="none" w:sz="0" w:space="0" w:color="auto"/>
        <w:bottom w:val="none" w:sz="0" w:space="0" w:color="auto"/>
        <w:right w:val="none" w:sz="0" w:space="0" w:color="auto"/>
      </w:divBdr>
    </w:div>
    <w:div w:id="1227567802">
      <w:bodyDiv w:val="1"/>
      <w:marLeft w:val="0"/>
      <w:marRight w:val="0"/>
      <w:marTop w:val="0"/>
      <w:marBottom w:val="0"/>
      <w:divBdr>
        <w:top w:val="none" w:sz="0" w:space="0" w:color="auto"/>
        <w:left w:val="none" w:sz="0" w:space="0" w:color="auto"/>
        <w:bottom w:val="none" w:sz="0" w:space="0" w:color="auto"/>
        <w:right w:val="none" w:sz="0" w:space="0" w:color="auto"/>
      </w:divBdr>
      <w:divsChild>
        <w:div w:id="841890408">
          <w:marLeft w:val="0"/>
          <w:marRight w:val="0"/>
          <w:marTop w:val="0"/>
          <w:marBottom w:val="0"/>
          <w:divBdr>
            <w:top w:val="none" w:sz="0" w:space="0" w:color="auto"/>
            <w:left w:val="none" w:sz="0" w:space="0" w:color="auto"/>
            <w:bottom w:val="none" w:sz="0" w:space="0" w:color="auto"/>
            <w:right w:val="none" w:sz="0" w:space="0" w:color="auto"/>
          </w:divBdr>
        </w:div>
      </w:divsChild>
    </w:div>
    <w:div w:id="1236280045">
      <w:bodyDiv w:val="1"/>
      <w:marLeft w:val="0"/>
      <w:marRight w:val="0"/>
      <w:marTop w:val="0"/>
      <w:marBottom w:val="0"/>
      <w:divBdr>
        <w:top w:val="none" w:sz="0" w:space="0" w:color="auto"/>
        <w:left w:val="none" w:sz="0" w:space="0" w:color="auto"/>
        <w:bottom w:val="none" w:sz="0" w:space="0" w:color="auto"/>
        <w:right w:val="none" w:sz="0" w:space="0" w:color="auto"/>
      </w:divBdr>
    </w:div>
    <w:div w:id="1245842908">
      <w:bodyDiv w:val="1"/>
      <w:marLeft w:val="0"/>
      <w:marRight w:val="0"/>
      <w:marTop w:val="0"/>
      <w:marBottom w:val="0"/>
      <w:divBdr>
        <w:top w:val="none" w:sz="0" w:space="0" w:color="auto"/>
        <w:left w:val="none" w:sz="0" w:space="0" w:color="auto"/>
        <w:bottom w:val="none" w:sz="0" w:space="0" w:color="auto"/>
        <w:right w:val="none" w:sz="0" w:space="0" w:color="auto"/>
      </w:divBdr>
    </w:div>
    <w:div w:id="1255362125">
      <w:bodyDiv w:val="1"/>
      <w:marLeft w:val="0"/>
      <w:marRight w:val="0"/>
      <w:marTop w:val="0"/>
      <w:marBottom w:val="0"/>
      <w:divBdr>
        <w:top w:val="none" w:sz="0" w:space="0" w:color="auto"/>
        <w:left w:val="none" w:sz="0" w:space="0" w:color="auto"/>
        <w:bottom w:val="none" w:sz="0" w:space="0" w:color="auto"/>
        <w:right w:val="none" w:sz="0" w:space="0" w:color="auto"/>
      </w:divBdr>
    </w:div>
    <w:div w:id="1256403651">
      <w:bodyDiv w:val="1"/>
      <w:marLeft w:val="0"/>
      <w:marRight w:val="0"/>
      <w:marTop w:val="0"/>
      <w:marBottom w:val="0"/>
      <w:divBdr>
        <w:top w:val="none" w:sz="0" w:space="0" w:color="auto"/>
        <w:left w:val="none" w:sz="0" w:space="0" w:color="auto"/>
        <w:bottom w:val="none" w:sz="0" w:space="0" w:color="auto"/>
        <w:right w:val="none" w:sz="0" w:space="0" w:color="auto"/>
      </w:divBdr>
    </w:div>
    <w:div w:id="1269509194">
      <w:bodyDiv w:val="1"/>
      <w:marLeft w:val="0"/>
      <w:marRight w:val="0"/>
      <w:marTop w:val="0"/>
      <w:marBottom w:val="0"/>
      <w:divBdr>
        <w:top w:val="none" w:sz="0" w:space="0" w:color="auto"/>
        <w:left w:val="none" w:sz="0" w:space="0" w:color="auto"/>
        <w:bottom w:val="none" w:sz="0" w:space="0" w:color="auto"/>
        <w:right w:val="none" w:sz="0" w:space="0" w:color="auto"/>
      </w:divBdr>
    </w:div>
    <w:div w:id="1271739840">
      <w:bodyDiv w:val="1"/>
      <w:marLeft w:val="0"/>
      <w:marRight w:val="0"/>
      <w:marTop w:val="0"/>
      <w:marBottom w:val="0"/>
      <w:divBdr>
        <w:top w:val="none" w:sz="0" w:space="0" w:color="auto"/>
        <w:left w:val="none" w:sz="0" w:space="0" w:color="auto"/>
        <w:bottom w:val="none" w:sz="0" w:space="0" w:color="auto"/>
        <w:right w:val="none" w:sz="0" w:space="0" w:color="auto"/>
      </w:divBdr>
    </w:div>
    <w:div w:id="1278171638">
      <w:bodyDiv w:val="1"/>
      <w:marLeft w:val="0"/>
      <w:marRight w:val="0"/>
      <w:marTop w:val="0"/>
      <w:marBottom w:val="0"/>
      <w:divBdr>
        <w:top w:val="none" w:sz="0" w:space="0" w:color="auto"/>
        <w:left w:val="none" w:sz="0" w:space="0" w:color="auto"/>
        <w:bottom w:val="none" w:sz="0" w:space="0" w:color="auto"/>
        <w:right w:val="none" w:sz="0" w:space="0" w:color="auto"/>
      </w:divBdr>
      <w:divsChild>
        <w:div w:id="710305471">
          <w:marLeft w:val="0"/>
          <w:marRight w:val="0"/>
          <w:marTop w:val="0"/>
          <w:marBottom w:val="0"/>
          <w:divBdr>
            <w:top w:val="none" w:sz="0" w:space="0" w:color="auto"/>
            <w:left w:val="none" w:sz="0" w:space="0" w:color="auto"/>
            <w:bottom w:val="none" w:sz="0" w:space="0" w:color="auto"/>
            <w:right w:val="none" w:sz="0" w:space="0" w:color="auto"/>
          </w:divBdr>
        </w:div>
      </w:divsChild>
    </w:div>
    <w:div w:id="1281886312">
      <w:bodyDiv w:val="1"/>
      <w:marLeft w:val="150"/>
      <w:marRight w:val="0"/>
      <w:marTop w:val="0"/>
      <w:marBottom w:val="0"/>
      <w:divBdr>
        <w:top w:val="none" w:sz="0" w:space="0" w:color="auto"/>
        <w:left w:val="none" w:sz="0" w:space="0" w:color="auto"/>
        <w:bottom w:val="none" w:sz="0" w:space="0" w:color="auto"/>
        <w:right w:val="none" w:sz="0" w:space="0" w:color="auto"/>
      </w:divBdr>
      <w:divsChild>
        <w:div w:id="883516271">
          <w:marLeft w:val="0"/>
          <w:marRight w:val="0"/>
          <w:marTop w:val="0"/>
          <w:marBottom w:val="600"/>
          <w:divBdr>
            <w:top w:val="none" w:sz="0" w:space="0" w:color="auto"/>
            <w:left w:val="none" w:sz="0" w:space="0" w:color="auto"/>
            <w:bottom w:val="none" w:sz="0" w:space="0" w:color="auto"/>
            <w:right w:val="none" w:sz="0" w:space="0" w:color="auto"/>
          </w:divBdr>
        </w:div>
      </w:divsChild>
    </w:div>
    <w:div w:id="1286690825">
      <w:bodyDiv w:val="1"/>
      <w:marLeft w:val="0"/>
      <w:marRight w:val="0"/>
      <w:marTop w:val="0"/>
      <w:marBottom w:val="0"/>
      <w:divBdr>
        <w:top w:val="none" w:sz="0" w:space="0" w:color="auto"/>
        <w:left w:val="none" w:sz="0" w:space="0" w:color="auto"/>
        <w:bottom w:val="none" w:sz="0" w:space="0" w:color="auto"/>
        <w:right w:val="none" w:sz="0" w:space="0" w:color="auto"/>
      </w:divBdr>
    </w:div>
    <w:div w:id="1286813287">
      <w:bodyDiv w:val="1"/>
      <w:marLeft w:val="0"/>
      <w:marRight w:val="0"/>
      <w:marTop w:val="0"/>
      <w:marBottom w:val="0"/>
      <w:divBdr>
        <w:top w:val="none" w:sz="0" w:space="0" w:color="auto"/>
        <w:left w:val="none" w:sz="0" w:space="0" w:color="auto"/>
        <w:bottom w:val="none" w:sz="0" w:space="0" w:color="auto"/>
        <w:right w:val="none" w:sz="0" w:space="0" w:color="auto"/>
      </w:divBdr>
    </w:div>
    <w:div w:id="1293098696">
      <w:bodyDiv w:val="1"/>
      <w:marLeft w:val="0"/>
      <w:marRight w:val="0"/>
      <w:marTop w:val="0"/>
      <w:marBottom w:val="0"/>
      <w:divBdr>
        <w:top w:val="none" w:sz="0" w:space="0" w:color="auto"/>
        <w:left w:val="none" w:sz="0" w:space="0" w:color="auto"/>
        <w:bottom w:val="none" w:sz="0" w:space="0" w:color="auto"/>
        <w:right w:val="none" w:sz="0" w:space="0" w:color="auto"/>
      </w:divBdr>
    </w:div>
    <w:div w:id="1296183469">
      <w:bodyDiv w:val="1"/>
      <w:marLeft w:val="0"/>
      <w:marRight w:val="0"/>
      <w:marTop w:val="0"/>
      <w:marBottom w:val="0"/>
      <w:divBdr>
        <w:top w:val="none" w:sz="0" w:space="0" w:color="auto"/>
        <w:left w:val="none" w:sz="0" w:space="0" w:color="auto"/>
        <w:bottom w:val="none" w:sz="0" w:space="0" w:color="auto"/>
        <w:right w:val="none" w:sz="0" w:space="0" w:color="auto"/>
      </w:divBdr>
    </w:div>
    <w:div w:id="1302152904">
      <w:bodyDiv w:val="1"/>
      <w:marLeft w:val="0"/>
      <w:marRight w:val="0"/>
      <w:marTop w:val="0"/>
      <w:marBottom w:val="0"/>
      <w:divBdr>
        <w:top w:val="none" w:sz="0" w:space="0" w:color="auto"/>
        <w:left w:val="none" w:sz="0" w:space="0" w:color="auto"/>
        <w:bottom w:val="none" w:sz="0" w:space="0" w:color="auto"/>
        <w:right w:val="none" w:sz="0" w:space="0" w:color="auto"/>
      </w:divBdr>
    </w:div>
    <w:div w:id="1305039073">
      <w:bodyDiv w:val="1"/>
      <w:marLeft w:val="0"/>
      <w:marRight w:val="0"/>
      <w:marTop w:val="0"/>
      <w:marBottom w:val="0"/>
      <w:divBdr>
        <w:top w:val="none" w:sz="0" w:space="0" w:color="auto"/>
        <w:left w:val="none" w:sz="0" w:space="0" w:color="auto"/>
        <w:bottom w:val="none" w:sz="0" w:space="0" w:color="auto"/>
        <w:right w:val="none" w:sz="0" w:space="0" w:color="auto"/>
      </w:divBdr>
      <w:divsChild>
        <w:div w:id="1551266222">
          <w:marLeft w:val="0"/>
          <w:marRight w:val="0"/>
          <w:marTop w:val="0"/>
          <w:marBottom w:val="0"/>
          <w:divBdr>
            <w:top w:val="none" w:sz="0" w:space="0" w:color="auto"/>
            <w:left w:val="none" w:sz="0" w:space="0" w:color="auto"/>
            <w:bottom w:val="none" w:sz="0" w:space="0" w:color="auto"/>
            <w:right w:val="none" w:sz="0" w:space="0" w:color="auto"/>
          </w:divBdr>
        </w:div>
      </w:divsChild>
    </w:div>
    <w:div w:id="1311329562">
      <w:bodyDiv w:val="1"/>
      <w:marLeft w:val="0"/>
      <w:marRight w:val="0"/>
      <w:marTop w:val="0"/>
      <w:marBottom w:val="0"/>
      <w:divBdr>
        <w:top w:val="none" w:sz="0" w:space="0" w:color="auto"/>
        <w:left w:val="none" w:sz="0" w:space="0" w:color="auto"/>
        <w:bottom w:val="none" w:sz="0" w:space="0" w:color="auto"/>
        <w:right w:val="none" w:sz="0" w:space="0" w:color="auto"/>
      </w:divBdr>
    </w:div>
    <w:div w:id="1329476925">
      <w:bodyDiv w:val="1"/>
      <w:marLeft w:val="150"/>
      <w:marRight w:val="0"/>
      <w:marTop w:val="0"/>
      <w:marBottom w:val="0"/>
      <w:divBdr>
        <w:top w:val="none" w:sz="0" w:space="0" w:color="auto"/>
        <w:left w:val="none" w:sz="0" w:space="0" w:color="auto"/>
        <w:bottom w:val="none" w:sz="0" w:space="0" w:color="auto"/>
        <w:right w:val="none" w:sz="0" w:space="0" w:color="auto"/>
      </w:divBdr>
      <w:divsChild>
        <w:div w:id="1087574539">
          <w:marLeft w:val="0"/>
          <w:marRight w:val="0"/>
          <w:marTop w:val="0"/>
          <w:marBottom w:val="600"/>
          <w:divBdr>
            <w:top w:val="none" w:sz="0" w:space="0" w:color="auto"/>
            <w:left w:val="none" w:sz="0" w:space="0" w:color="auto"/>
            <w:bottom w:val="none" w:sz="0" w:space="0" w:color="auto"/>
            <w:right w:val="none" w:sz="0" w:space="0" w:color="auto"/>
          </w:divBdr>
        </w:div>
      </w:divsChild>
    </w:div>
    <w:div w:id="1336883893">
      <w:bodyDiv w:val="1"/>
      <w:marLeft w:val="0"/>
      <w:marRight w:val="0"/>
      <w:marTop w:val="0"/>
      <w:marBottom w:val="0"/>
      <w:divBdr>
        <w:top w:val="none" w:sz="0" w:space="0" w:color="auto"/>
        <w:left w:val="none" w:sz="0" w:space="0" w:color="auto"/>
        <w:bottom w:val="none" w:sz="0" w:space="0" w:color="auto"/>
        <w:right w:val="none" w:sz="0" w:space="0" w:color="auto"/>
      </w:divBdr>
    </w:div>
    <w:div w:id="1341929061">
      <w:bodyDiv w:val="1"/>
      <w:marLeft w:val="0"/>
      <w:marRight w:val="0"/>
      <w:marTop w:val="0"/>
      <w:marBottom w:val="0"/>
      <w:divBdr>
        <w:top w:val="none" w:sz="0" w:space="0" w:color="auto"/>
        <w:left w:val="none" w:sz="0" w:space="0" w:color="auto"/>
        <w:bottom w:val="none" w:sz="0" w:space="0" w:color="auto"/>
        <w:right w:val="none" w:sz="0" w:space="0" w:color="auto"/>
      </w:divBdr>
    </w:div>
    <w:div w:id="1353537082">
      <w:bodyDiv w:val="1"/>
      <w:marLeft w:val="0"/>
      <w:marRight w:val="0"/>
      <w:marTop w:val="0"/>
      <w:marBottom w:val="0"/>
      <w:divBdr>
        <w:top w:val="none" w:sz="0" w:space="0" w:color="auto"/>
        <w:left w:val="none" w:sz="0" w:space="0" w:color="auto"/>
        <w:bottom w:val="none" w:sz="0" w:space="0" w:color="auto"/>
        <w:right w:val="none" w:sz="0" w:space="0" w:color="auto"/>
      </w:divBdr>
    </w:div>
    <w:div w:id="1367682133">
      <w:bodyDiv w:val="1"/>
      <w:marLeft w:val="0"/>
      <w:marRight w:val="0"/>
      <w:marTop w:val="0"/>
      <w:marBottom w:val="0"/>
      <w:divBdr>
        <w:top w:val="none" w:sz="0" w:space="0" w:color="auto"/>
        <w:left w:val="none" w:sz="0" w:space="0" w:color="auto"/>
        <w:bottom w:val="none" w:sz="0" w:space="0" w:color="auto"/>
        <w:right w:val="none" w:sz="0" w:space="0" w:color="auto"/>
      </w:divBdr>
    </w:div>
    <w:div w:id="1369843061">
      <w:bodyDiv w:val="1"/>
      <w:marLeft w:val="0"/>
      <w:marRight w:val="0"/>
      <w:marTop w:val="0"/>
      <w:marBottom w:val="0"/>
      <w:divBdr>
        <w:top w:val="none" w:sz="0" w:space="0" w:color="auto"/>
        <w:left w:val="none" w:sz="0" w:space="0" w:color="auto"/>
        <w:bottom w:val="none" w:sz="0" w:space="0" w:color="auto"/>
        <w:right w:val="none" w:sz="0" w:space="0" w:color="auto"/>
      </w:divBdr>
    </w:div>
    <w:div w:id="1396735261">
      <w:bodyDiv w:val="1"/>
      <w:marLeft w:val="0"/>
      <w:marRight w:val="0"/>
      <w:marTop w:val="0"/>
      <w:marBottom w:val="0"/>
      <w:divBdr>
        <w:top w:val="none" w:sz="0" w:space="0" w:color="auto"/>
        <w:left w:val="none" w:sz="0" w:space="0" w:color="auto"/>
        <w:bottom w:val="none" w:sz="0" w:space="0" w:color="auto"/>
        <w:right w:val="none" w:sz="0" w:space="0" w:color="auto"/>
      </w:divBdr>
    </w:div>
    <w:div w:id="1405105835">
      <w:bodyDiv w:val="1"/>
      <w:marLeft w:val="0"/>
      <w:marRight w:val="0"/>
      <w:marTop w:val="0"/>
      <w:marBottom w:val="0"/>
      <w:divBdr>
        <w:top w:val="none" w:sz="0" w:space="0" w:color="auto"/>
        <w:left w:val="none" w:sz="0" w:space="0" w:color="auto"/>
        <w:bottom w:val="none" w:sz="0" w:space="0" w:color="auto"/>
        <w:right w:val="none" w:sz="0" w:space="0" w:color="auto"/>
      </w:divBdr>
    </w:div>
    <w:div w:id="1412698593">
      <w:bodyDiv w:val="1"/>
      <w:marLeft w:val="0"/>
      <w:marRight w:val="0"/>
      <w:marTop w:val="0"/>
      <w:marBottom w:val="0"/>
      <w:divBdr>
        <w:top w:val="none" w:sz="0" w:space="0" w:color="auto"/>
        <w:left w:val="none" w:sz="0" w:space="0" w:color="auto"/>
        <w:bottom w:val="none" w:sz="0" w:space="0" w:color="auto"/>
        <w:right w:val="none" w:sz="0" w:space="0" w:color="auto"/>
      </w:divBdr>
    </w:div>
    <w:div w:id="1421219490">
      <w:bodyDiv w:val="1"/>
      <w:marLeft w:val="0"/>
      <w:marRight w:val="0"/>
      <w:marTop w:val="0"/>
      <w:marBottom w:val="0"/>
      <w:divBdr>
        <w:top w:val="none" w:sz="0" w:space="0" w:color="auto"/>
        <w:left w:val="none" w:sz="0" w:space="0" w:color="auto"/>
        <w:bottom w:val="none" w:sz="0" w:space="0" w:color="auto"/>
        <w:right w:val="none" w:sz="0" w:space="0" w:color="auto"/>
      </w:divBdr>
    </w:div>
    <w:div w:id="1423338159">
      <w:bodyDiv w:val="1"/>
      <w:marLeft w:val="0"/>
      <w:marRight w:val="0"/>
      <w:marTop w:val="0"/>
      <w:marBottom w:val="0"/>
      <w:divBdr>
        <w:top w:val="none" w:sz="0" w:space="0" w:color="auto"/>
        <w:left w:val="none" w:sz="0" w:space="0" w:color="auto"/>
        <w:bottom w:val="none" w:sz="0" w:space="0" w:color="auto"/>
        <w:right w:val="none" w:sz="0" w:space="0" w:color="auto"/>
      </w:divBdr>
    </w:div>
    <w:div w:id="1424493651">
      <w:bodyDiv w:val="1"/>
      <w:marLeft w:val="0"/>
      <w:marRight w:val="0"/>
      <w:marTop w:val="0"/>
      <w:marBottom w:val="0"/>
      <w:divBdr>
        <w:top w:val="none" w:sz="0" w:space="0" w:color="auto"/>
        <w:left w:val="none" w:sz="0" w:space="0" w:color="auto"/>
        <w:bottom w:val="none" w:sz="0" w:space="0" w:color="auto"/>
        <w:right w:val="none" w:sz="0" w:space="0" w:color="auto"/>
      </w:divBdr>
    </w:div>
    <w:div w:id="1425495272">
      <w:bodyDiv w:val="1"/>
      <w:marLeft w:val="0"/>
      <w:marRight w:val="0"/>
      <w:marTop w:val="0"/>
      <w:marBottom w:val="0"/>
      <w:divBdr>
        <w:top w:val="none" w:sz="0" w:space="0" w:color="auto"/>
        <w:left w:val="none" w:sz="0" w:space="0" w:color="auto"/>
        <w:bottom w:val="none" w:sz="0" w:space="0" w:color="auto"/>
        <w:right w:val="none" w:sz="0" w:space="0" w:color="auto"/>
      </w:divBdr>
    </w:div>
    <w:div w:id="1425567366">
      <w:bodyDiv w:val="1"/>
      <w:marLeft w:val="0"/>
      <w:marRight w:val="0"/>
      <w:marTop w:val="0"/>
      <w:marBottom w:val="0"/>
      <w:divBdr>
        <w:top w:val="none" w:sz="0" w:space="0" w:color="auto"/>
        <w:left w:val="none" w:sz="0" w:space="0" w:color="auto"/>
        <w:bottom w:val="none" w:sz="0" w:space="0" w:color="auto"/>
        <w:right w:val="none" w:sz="0" w:space="0" w:color="auto"/>
      </w:divBdr>
      <w:divsChild>
        <w:div w:id="1541629157">
          <w:marLeft w:val="0"/>
          <w:marRight w:val="0"/>
          <w:marTop w:val="0"/>
          <w:marBottom w:val="0"/>
          <w:divBdr>
            <w:top w:val="none" w:sz="0" w:space="0" w:color="auto"/>
            <w:left w:val="none" w:sz="0" w:space="0" w:color="auto"/>
            <w:bottom w:val="none" w:sz="0" w:space="0" w:color="auto"/>
            <w:right w:val="none" w:sz="0" w:space="0" w:color="auto"/>
          </w:divBdr>
        </w:div>
      </w:divsChild>
    </w:div>
    <w:div w:id="1427460003">
      <w:bodyDiv w:val="1"/>
      <w:marLeft w:val="0"/>
      <w:marRight w:val="0"/>
      <w:marTop w:val="0"/>
      <w:marBottom w:val="0"/>
      <w:divBdr>
        <w:top w:val="none" w:sz="0" w:space="0" w:color="auto"/>
        <w:left w:val="none" w:sz="0" w:space="0" w:color="auto"/>
        <w:bottom w:val="none" w:sz="0" w:space="0" w:color="auto"/>
        <w:right w:val="none" w:sz="0" w:space="0" w:color="auto"/>
      </w:divBdr>
    </w:div>
    <w:div w:id="1442804026">
      <w:bodyDiv w:val="1"/>
      <w:marLeft w:val="0"/>
      <w:marRight w:val="0"/>
      <w:marTop w:val="0"/>
      <w:marBottom w:val="0"/>
      <w:divBdr>
        <w:top w:val="none" w:sz="0" w:space="0" w:color="auto"/>
        <w:left w:val="none" w:sz="0" w:space="0" w:color="auto"/>
        <w:bottom w:val="none" w:sz="0" w:space="0" w:color="auto"/>
        <w:right w:val="none" w:sz="0" w:space="0" w:color="auto"/>
      </w:divBdr>
    </w:div>
    <w:div w:id="1449737194">
      <w:bodyDiv w:val="1"/>
      <w:marLeft w:val="0"/>
      <w:marRight w:val="0"/>
      <w:marTop w:val="0"/>
      <w:marBottom w:val="0"/>
      <w:divBdr>
        <w:top w:val="none" w:sz="0" w:space="0" w:color="auto"/>
        <w:left w:val="none" w:sz="0" w:space="0" w:color="auto"/>
        <w:bottom w:val="none" w:sz="0" w:space="0" w:color="auto"/>
        <w:right w:val="none" w:sz="0" w:space="0" w:color="auto"/>
      </w:divBdr>
    </w:div>
    <w:div w:id="1450586531">
      <w:bodyDiv w:val="1"/>
      <w:marLeft w:val="0"/>
      <w:marRight w:val="0"/>
      <w:marTop w:val="0"/>
      <w:marBottom w:val="0"/>
      <w:divBdr>
        <w:top w:val="none" w:sz="0" w:space="0" w:color="auto"/>
        <w:left w:val="none" w:sz="0" w:space="0" w:color="auto"/>
        <w:bottom w:val="none" w:sz="0" w:space="0" w:color="auto"/>
        <w:right w:val="none" w:sz="0" w:space="0" w:color="auto"/>
      </w:divBdr>
      <w:divsChild>
        <w:div w:id="886452380">
          <w:marLeft w:val="0"/>
          <w:marRight w:val="0"/>
          <w:marTop w:val="0"/>
          <w:marBottom w:val="0"/>
          <w:divBdr>
            <w:top w:val="none" w:sz="0" w:space="0" w:color="auto"/>
            <w:left w:val="none" w:sz="0" w:space="0" w:color="auto"/>
            <w:bottom w:val="none" w:sz="0" w:space="0" w:color="auto"/>
            <w:right w:val="none" w:sz="0" w:space="0" w:color="auto"/>
          </w:divBdr>
        </w:div>
      </w:divsChild>
    </w:div>
    <w:div w:id="1458134486">
      <w:bodyDiv w:val="1"/>
      <w:marLeft w:val="0"/>
      <w:marRight w:val="0"/>
      <w:marTop w:val="0"/>
      <w:marBottom w:val="0"/>
      <w:divBdr>
        <w:top w:val="none" w:sz="0" w:space="0" w:color="auto"/>
        <w:left w:val="none" w:sz="0" w:space="0" w:color="auto"/>
        <w:bottom w:val="none" w:sz="0" w:space="0" w:color="auto"/>
        <w:right w:val="none" w:sz="0" w:space="0" w:color="auto"/>
      </w:divBdr>
    </w:div>
    <w:div w:id="1468204424">
      <w:bodyDiv w:val="1"/>
      <w:marLeft w:val="0"/>
      <w:marRight w:val="0"/>
      <w:marTop w:val="0"/>
      <w:marBottom w:val="0"/>
      <w:divBdr>
        <w:top w:val="none" w:sz="0" w:space="0" w:color="auto"/>
        <w:left w:val="none" w:sz="0" w:space="0" w:color="auto"/>
        <w:bottom w:val="none" w:sz="0" w:space="0" w:color="auto"/>
        <w:right w:val="none" w:sz="0" w:space="0" w:color="auto"/>
      </w:divBdr>
    </w:div>
    <w:div w:id="1471439043">
      <w:bodyDiv w:val="1"/>
      <w:marLeft w:val="0"/>
      <w:marRight w:val="0"/>
      <w:marTop w:val="0"/>
      <w:marBottom w:val="0"/>
      <w:divBdr>
        <w:top w:val="none" w:sz="0" w:space="0" w:color="auto"/>
        <w:left w:val="none" w:sz="0" w:space="0" w:color="auto"/>
        <w:bottom w:val="none" w:sz="0" w:space="0" w:color="auto"/>
        <w:right w:val="none" w:sz="0" w:space="0" w:color="auto"/>
      </w:divBdr>
    </w:div>
    <w:div w:id="1472601359">
      <w:bodyDiv w:val="1"/>
      <w:marLeft w:val="0"/>
      <w:marRight w:val="0"/>
      <w:marTop w:val="0"/>
      <w:marBottom w:val="0"/>
      <w:divBdr>
        <w:top w:val="none" w:sz="0" w:space="0" w:color="auto"/>
        <w:left w:val="none" w:sz="0" w:space="0" w:color="auto"/>
        <w:bottom w:val="none" w:sz="0" w:space="0" w:color="auto"/>
        <w:right w:val="none" w:sz="0" w:space="0" w:color="auto"/>
      </w:divBdr>
    </w:div>
    <w:div w:id="1481455681">
      <w:bodyDiv w:val="1"/>
      <w:marLeft w:val="0"/>
      <w:marRight w:val="0"/>
      <w:marTop w:val="0"/>
      <w:marBottom w:val="0"/>
      <w:divBdr>
        <w:top w:val="none" w:sz="0" w:space="0" w:color="auto"/>
        <w:left w:val="none" w:sz="0" w:space="0" w:color="auto"/>
        <w:bottom w:val="none" w:sz="0" w:space="0" w:color="auto"/>
        <w:right w:val="none" w:sz="0" w:space="0" w:color="auto"/>
      </w:divBdr>
    </w:div>
    <w:div w:id="1488322605">
      <w:bodyDiv w:val="1"/>
      <w:marLeft w:val="0"/>
      <w:marRight w:val="0"/>
      <w:marTop w:val="0"/>
      <w:marBottom w:val="0"/>
      <w:divBdr>
        <w:top w:val="none" w:sz="0" w:space="0" w:color="auto"/>
        <w:left w:val="none" w:sz="0" w:space="0" w:color="auto"/>
        <w:bottom w:val="none" w:sz="0" w:space="0" w:color="auto"/>
        <w:right w:val="none" w:sz="0" w:space="0" w:color="auto"/>
      </w:divBdr>
    </w:div>
    <w:div w:id="1498113398">
      <w:bodyDiv w:val="1"/>
      <w:marLeft w:val="0"/>
      <w:marRight w:val="0"/>
      <w:marTop w:val="0"/>
      <w:marBottom w:val="0"/>
      <w:divBdr>
        <w:top w:val="none" w:sz="0" w:space="0" w:color="auto"/>
        <w:left w:val="none" w:sz="0" w:space="0" w:color="auto"/>
        <w:bottom w:val="none" w:sz="0" w:space="0" w:color="auto"/>
        <w:right w:val="none" w:sz="0" w:space="0" w:color="auto"/>
      </w:divBdr>
    </w:div>
    <w:div w:id="1513295160">
      <w:bodyDiv w:val="1"/>
      <w:marLeft w:val="0"/>
      <w:marRight w:val="0"/>
      <w:marTop w:val="0"/>
      <w:marBottom w:val="0"/>
      <w:divBdr>
        <w:top w:val="none" w:sz="0" w:space="0" w:color="auto"/>
        <w:left w:val="none" w:sz="0" w:space="0" w:color="auto"/>
        <w:bottom w:val="none" w:sz="0" w:space="0" w:color="auto"/>
        <w:right w:val="none" w:sz="0" w:space="0" w:color="auto"/>
      </w:divBdr>
    </w:div>
    <w:div w:id="1531184607">
      <w:bodyDiv w:val="1"/>
      <w:marLeft w:val="0"/>
      <w:marRight w:val="0"/>
      <w:marTop w:val="0"/>
      <w:marBottom w:val="0"/>
      <w:divBdr>
        <w:top w:val="none" w:sz="0" w:space="0" w:color="auto"/>
        <w:left w:val="none" w:sz="0" w:space="0" w:color="auto"/>
        <w:bottom w:val="none" w:sz="0" w:space="0" w:color="auto"/>
        <w:right w:val="none" w:sz="0" w:space="0" w:color="auto"/>
      </w:divBdr>
    </w:div>
    <w:div w:id="1553074143">
      <w:bodyDiv w:val="1"/>
      <w:marLeft w:val="0"/>
      <w:marRight w:val="0"/>
      <w:marTop w:val="0"/>
      <w:marBottom w:val="0"/>
      <w:divBdr>
        <w:top w:val="none" w:sz="0" w:space="0" w:color="auto"/>
        <w:left w:val="none" w:sz="0" w:space="0" w:color="auto"/>
        <w:bottom w:val="none" w:sz="0" w:space="0" w:color="auto"/>
        <w:right w:val="none" w:sz="0" w:space="0" w:color="auto"/>
      </w:divBdr>
    </w:div>
    <w:div w:id="1560481835">
      <w:bodyDiv w:val="1"/>
      <w:marLeft w:val="0"/>
      <w:marRight w:val="0"/>
      <w:marTop w:val="0"/>
      <w:marBottom w:val="0"/>
      <w:divBdr>
        <w:top w:val="none" w:sz="0" w:space="0" w:color="auto"/>
        <w:left w:val="none" w:sz="0" w:space="0" w:color="auto"/>
        <w:bottom w:val="none" w:sz="0" w:space="0" w:color="auto"/>
        <w:right w:val="none" w:sz="0" w:space="0" w:color="auto"/>
      </w:divBdr>
    </w:div>
    <w:div w:id="1581326241">
      <w:bodyDiv w:val="1"/>
      <w:marLeft w:val="0"/>
      <w:marRight w:val="0"/>
      <w:marTop w:val="0"/>
      <w:marBottom w:val="0"/>
      <w:divBdr>
        <w:top w:val="none" w:sz="0" w:space="0" w:color="auto"/>
        <w:left w:val="none" w:sz="0" w:space="0" w:color="auto"/>
        <w:bottom w:val="none" w:sz="0" w:space="0" w:color="auto"/>
        <w:right w:val="none" w:sz="0" w:space="0" w:color="auto"/>
      </w:divBdr>
    </w:div>
    <w:div w:id="1595358142">
      <w:bodyDiv w:val="1"/>
      <w:marLeft w:val="0"/>
      <w:marRight w:val="0"/>
      <w:marTop w:val="0"/>
      <w:marBottom w:val="0"/>
      <w:divBdr>
        <w:top w:val="none" w:sz="0" w:space="0" w:color="auto"/>
        <w:left w:val="none" w:sz="0" w:space="0" w:color="auto"/>
        <w:bottom w:val="none" w:sz="0" w:space="0" w:color="auto"/>
        <w:right w:val="none" w:sz="0" w:space="0" w:color="auto"/>
      </w:divBdr>
    </w:div>
    <w:div w:id="1611279191">
      <w:bodyDiv w:val="1"/>
      <w:marLeft w:val="0"/>
      <w:marRight w:val="0"/>
      <w:marTop w:val="0"/>
      <w:marBottom w:val="0"/>
      <w:divBdr>
        <w:top w:val="none" w:sz="0" w:space="0" w:color="auto"/>
        <w:left w:val="none" w:sz="0" w:space="0" w:color="auto"/>
        <w:bottom w:val="none" w:sz="0" w:space="0" w:color="auto"/>
        <w:right w:val="none" w:sz="0" w:space="0" w:color="auto"/>
      </w:divBdr>
      <w:divsChild>
        <w:div w:id="1512715323">
          <w:marLeft w:val="0"/>
          <w:marRight w:val="0"/>
          <w:marTop w:val="0"/>
          <w:marBottom w:val="0"/>
          <w:divBdr>
            <w:top w:val="none" w:sz="0" w:space="0" w:color="auto"/>
            <w:left w:val="none" w:sz="0" w:space="0" w:color="auto"/>
            <w:bottom w:val="none" w:sz="0" w:space="0" w:color="auto"/>
            <w:right w:val="none" w:sz="0" w:space="0" w:color="auto"/>
          </w:divBdr>
        </w:div>
      </w:divsChild>
    </w:div>
    <w:div w:id="1642495692">
      <w:bodyDiv w:val="1"/>
      <w:marLeft w:val="0"/>
      <w:marRight w:val="0"/>
      <w:marTop w:val="0"/>
      <w:marBottom w:val="0"/>
      <w:divBdr>
        <w:top w:val="none" w:sz="0" w:space="0" w:color="auto"/>
        <w:left w:val="none" w:sz="0" w:space="0" w:color="auto"/>
        <w:bottom w:val="none" w:sz="0" w:space="0" w:color="auto"/>
        <w:right w:val="none" w:sz="0" w:space="0" w:color="auto"/>
      </w:divBdr>
    </w:div>
    <w:div w:id="1663660944">
      <w:bodyDiv w:val="1"/>
      <w:marLeft w:val="0"/>
      <w:marRight w:val="0"/>
      <w:marTop w:val="0"/>
      <w:marBottom w:val="0"/>
      <w:divBdr>
        <w:top w:val="none" w:sz="0" w:space="0" w:color="auto"/>
        <w:left w:val="none" w:sz="0" w:space="0" w:color="auto"/>
        <w:bottom w:val="none" w:sz="0" w:space="0" w:color="auto"/>
        <w:right w:val="none" w:sz="0" w:space="0" w:color="auto"/>
      </w:divBdr>
    </w:div>
    <w:div w:id="1700080850">
      <w:bodyDiv w:val="1"/>
      <w:marLeft w:val="0"/>
      <w:marRight w:val="0"/>
      <w:marTop w:val="0"/>
      <w:marBottom w:val="0"/>
      <w:divBdr>
        <w:top w:val="none" w:sz="0" w:space="0" w:color="auto"/>
        <w:left w:val="none" w:sz="0" w:space="0" w:color="auto"/>
        <w:bottom w:val="none" w:sz="0" w:space="0" w:color="auto"/>
        <w:right w:val="none" w:sz="0" w:space="0" w:color="auto"/>
      </w:divBdr>
      <w:divsChild>
        <w:div w:id="1983848449">
          <w:marLeft w:val="0"/>
          <w:marRight w:val="0"/>
          <w:marTop w:val="0"/>
          <w:marBottom w:val="0"/>
          <w:divBdr>
            <w:top w:val="none" w:sz="0" w:space="0" w:color="auto"/>
            <w:left w:val="none" w:sz="0" w:space="0" w:color="auto"/>
            <w:bottom w:val="none" w:sz="0" w:space="0" w:color="auto"/>
            <w:right w:val="none" w:sz="0" w:space="0" w:color="auto"/>
          </w:divBdr>
        </w:div>
      </w:divsChild>
    </w:div>
    <w:div w:id="1702432176">
      <w:bodyDiv w:val="1"/>
      <w:marLeft w:val="0"/>
      <w:marRight w:val="0"/>
      <w:marTop w:val="0"/>
      <w:marBottom w:val="0"/>
      <w:divBdr>
        <w:top w:val="none" w:sz="0" w:space="0" w:color="auto"/>
        <w:left w:val="none" w:sz="0" w:space="0" w:color="auto"/>
        <w:bottom w:val="none" w:sz="0" w:space="0" w:color="auto"/>
        <w:right w:val="none" w:sz="0" w:space="0" w:color="auto"/>
      </w:divBdr>
    </w:div>
    <w:div w:id="1703168755">
      <w:bodyDiv w:val="1"/>
      <w:marLeft w:val="0"/>
      <w:marRight w:val="0"/>
      <w:marTop w:val="0"/>
      <w:marBottom w:val="0"/>
      <w:divBdr>
        <w:top w:val="none" w:sz="0" w:space="0" w:color="auto"/>
        <w:left w:val="none" w:sz="0" w:space="0" w:color="auto"/>
        <w:bottom w:val="none" w:sz="0" w:space="0" w:color="auto"/>
        <w:right w:val="none" w:sz="0" w:space="0" w:color="auto"/>
      </w:divBdr>
    </w:div>
    <w:div w:id="1708722082">
      <w:bodyDiv w:val="1"/>
      <w:marLeft w:val="0"/>
      <w:marRight w:val="0"/>
      <w:marTop w:val="0"/>
      <w:marBottom w:val="0"/>
      <w:divBdr>
        <w:top w:val="none" w:sz="0" w:space="0" w:color="auto"/>
        <w:left w:val="none" w:sz="0" w:space="0" w:color="auto"/>
        <w:bottom w:val="none" w:sz="0" w:space="0" w:color="auto"/>
        <w:right w:val="none" w:sz="0" w:space="0" w:color="auto"/>
      </w:divBdr>
    </w:div>
    <w:div w:id="1713773269">
      <w:bodyDiv w:val="1"/>
      <w:marLeft w:val="0"/>
      <w:marRight w:val="0"/>
      <w:marTop w:val="0"/>
      <w:marBottom w:val="0"/>
      <w:divBdr>
        <w:top w:val="none" w:sz="0" w:space="0" w:color="auto"/>
        <w:left w:val="none" w:sz="0" w:space="0" w:color="auto"/>
        <w:bottom w:val="none" w:sz="0" w:space="0" w:color="auto"/>
        <w:right w:val="none" w:sz="0" w:space="0" w:color="auto"/>
      </w:divBdr>
    </w:div>
    <w:div w:id="1714958414">
      <w:bodyDiv w:val="1"/>
      <w:marLeft w:val="0"/>
      <w:marRight w:val="0"/>
      <w:marTop w:val="0"/>
      <w:marBottom w:val="0"/>
      <w:divBdr>
        <w:top w:val="none" w:sz="0" w:space="0" w:color="auto"/>
        <w:left w:val="none" w:sz="0" w:space="0" w:color="auto"/>
        <w:bottom w:val="none" w:sz="0" w:space="0" w:color="auto"/>
        <w:right w:val="none" w:sz="0" w:space="0" w:color="auto"/>
      </w:divBdr>
    </w:div>
    <w:div w:id="1721981770">
      <w:bodyDiv w:val="1"/>
      <w:marLeft w:val="0"/>
      <w:marRight w:val="0"/>
      <w:marTop w:val="0"/>
      <w:marBottom w:val="0"/>
      <w:divBdr>
        <w:top w:val="none" w:sz="0" w:space="0" w:color="auto"/>
        <w:left w:val="none" w:sz="0" w:space="0" w:color="auto"/>
        <w:bottom w:val="none" w:sz="0" w:space="0" w:color="auto"/>
        <w:right w:val="none" w:sz="0" w:space="0" w:color="auto"/>
      </w:divBdr>
      <w:divsChild>
        <w:div w:id="652177852">
          <w:marLeft w:val="0"/>
          <w:marRight w:val="0"/>
          <w:marTop w:val="0"/>
          <w:marBottom w:val="0"/>
          <w:divBdr>
            <w:top w:val="none" w:sz="0" w:space="0" w:color="auto"/>
            <w:left w:val="none" w:sz="0" w:space="0" w:color="auto"/>
            <w:bottom w:val="none" w:sz="0" w:space="0" w:color="auto"/>
            <w:right w:val="none" w:sz="0" w:space="0" w:color="auto"/>
          </w:divBdr>
        </w:div>
      </w:divsChild>
    </w:div>
    <w:div w:id="1733381562">
      <w:bodyDiv w:val="1"/>
      <w:marLeft w:val="0"/>
      <w:marRight w:val="0"/>
      <w:marTop w:val="0"/>
      <w:marBottom w:val="0"/>
      <w:divBdr>
        <w:top w:val="none" w:sz="0" w:space="0" w:color="auto"/>
        <w:left w:val="none" w:sz="0" w:space="0" w:color="auto"/>
        <w:bottom w:val="none" w:sz="0" w:space="0" w:color="auto"/>
        <w:right w:val="none" w:sz="0" w:space="0" w:color="auto"/>
      </w:divBdr>
      <w:divsChild>
        <w:div w:id="1103692963">
          <w:marLeft w:val="0"/>
          <w:marRight w:val="0"/>
          <w:marTop w:val="0"/>
          <w:marBottom w:val="0"/>
          <w:divBdr>
            <w:top w:val="none" w:sz="0" w:space="0" w:color="auto"/>
            <w:left w:val="none" w:sz="0" w:space="0" w:color="auto"/>
            <w:bottom w:val="none" w:sz="0" w:space="0" w:color="auto"/>
            <w:right w:val="none" w:sz="0" w:space="0" w:color="auto"/>
          </w:divBdr>
        </w:div>
      </w:divsChild>
    </w:div>
    <w:div w:id="1746880930">
      <w:bodyDiv w:val="1"/>
      <w:marLeft w:val="0"/>
      <w:marRight w:val="0"/>
      <w:marTop w:val="0"/>
      <w:marBottom w:val="0"/>
      <w:divBdr>
        <w:top w:val="none" w:sz="0" w:space="0" w:color="auto"/>
        <w:left w:val="none" w:sz="0" w:space="0" w:color="auto"/>
        <w:bottom w:val="none" w:sz="0" w:space="0" w:color="auto"/>
        <w:right w:val="none" w:sz="0" w:space="0" w:color="auto"/>
      </w:divBdr>
    </w:div>
    <w:div w:id="1746948418">
      <w:bodyDiv w:val="1"/>
      <w:marLeft w:val="0"/>
      <w:marRight w:val="0"/>
      <w:marTop w:val="0"/>
      <w:marBottom w:val="0"/>
      <w:divBdr>
        <w:top w:val="none" w:sz="0" w:space="0" w:color="auto"/>
        <w:left w:val="none" w:sz="0" w:space="0" w:color="auto"/>
        <w:bottom w:val="none" w:sz="0" w:space="0" w:color="auto"/>
        <w:right w:val="none" w:sz="0" w:space="0" w:color="auto"/>
      </w:divBdr>
    </w:div>
    <w:div w:id="1754937474">
      <w:bodyDiv w:val="1"/>
      <w:marLeft w:val="0"/>
      <w:marRight w:val="0"/>
      <w:marTop w:val="0"/>
      <w:marBottom w:val="0"/>
      <w:divBdr>
        <w:top w:val="none" w:sz="0" w:space="0" w:color="auto"/>
        <w:left w:val="none" w:sz="0" w:space="0" w:color="auto"/>
        <w:bottom w:val="none" w:sz="0" w:space="0" w:color="auto"/>
        <w:right w:val="none" w:sz="0" w:space="0" w:color="auto"/>
      </w:divBdr>
    </w:div>
    <w:div w:id="1760055392">
      <w:bodyDiv w:val="1"/>
      <w:marLeft w:val="0"/>
      <w:marRight w:val="0"/>
      <w:marTop w:val="0"/>
      <w:marBottom w:val="0"/>
      <w:divBdr>
        <w:top w:val="none" w:sz="0" w:space="0" w:color="auto"/>
        <w:left w:val="none" w:sz="0" w:space="0" w:color="auto"/>
        <w:bottom w:val="none" w:sz="0" w:space="0" w:color="auto"/>
        <w:right w:val="none" w:sz="0" w:space="0" w:color="auto"/>
      </w:divBdr>
    </w:div>
    <w:div w:id="1787889820">
      <w:bodyDiv w:val="1"/>
      <w:marLeft w:val="0"/>
      <w:marRight w:val="0"/>
      <w:marTop w:val="0"/>
      <w:marBottom w:val="0"/>
      <w:divBdr>
        <w:top w:val="none" w:sz="0" w:space="0" w:color="auto"/>
        <w:left w:val="none" w:sz="0" w:space="0" w:color="auto"/>
        <w:bottom w:val="none" w:sz="0" w:space="0" w:color="auto"/>
        <w:right w:val="none" w:sz="0" w:space="0" w:color="auto"/>
      </w:divBdr>
    </w:div>
    <w:div w:id="1791050179">
      <w:bodyDiv w:val="1"/>
      <w:marLeft w:val="0"/>
      <w:marRight w:val="0"/>
      <w:marTop w:val="0"/>
      <w:marBottom w:val="0"/>
      <w:divBdr>
        <w:top w:val="none" w:sz="0" w:space="0" w:color="auto"/>
        <w:left w:val="none" w:sz="0" w:space="0" w:color="auto"/>
        <w:bottom w:val="none" w:sz="0" w:space="0" w:color="auto"/>
        <w:right w:val="none" w:sz="0" w:space="0" w:color="auto"/>
      </w:divBdr>
    </w:div>
    <w:div w:id="1794058499">
      <w:bodyDiv w:val="1"/>
      <w:marLeft w:val="0"/>
      <w:marRight w:val="0"/>
      <w:marTop w:val="0"/>
      <w:marBottom w:val="0"/>
      <w:divBdr>
        <w:top w:val="none" w:sz="0" w:space="0" w:color="auto"/>
        <w:left w:val="none" w:sz="0" w:space="0" w:color="auto"/>
        <w:bottom w:val="none" w:sz="0" w:space="0" w:color="auto"/>
        <w:right w:val="none" w:sz="0" w:space="0" w:color="auto"/>
      </w:divBdr>
    </w:div>
    <w:div w:id="1803425286">
      <w:bodyDiv w:val="1"/>
      <w:marLeft w:val="0"/>
      <w:marRight w:val="0"/>
      <w:marTop w:val="0"/>
      <w:marBottom w:val="0"/>
      <w:divBdr>
        <w:top w:val="none" w:sz="0" w:space="0" w:color="auto"/>
        <w:left w:val="none" w:sz="0" w:space="0" w:color="auto"/>
        <w:bottom w:val="none" w:sz="0" w:space="0" w:color="auto"/>
        <w:right w:val="none" w:sz="0" w:space="0" w:color="auto"/>
      </w:divBdr>
    </w:div>
    <w:div w:id="1861893905">
      <w:bodyDiv w:val="1"/>
      <w:marLeft w:val="0"/>
      <w:marRight w:val="0"/>
      <w:marTop w:val="0"/>
      <w:marBottom w:val="0"/>
      <w:divBdr>
        <w:top w:val="none" w:sz="0" w:space="0" w:color="auto"/>
        <w:left w:val="none" w:sz="0" w:space="0" w:color="auto"/>
        <w:bottom w:val="none" w:sz="0" w:space="0" w:color="auto"/>
        <w:right w:val="none" w:sz="0" w:space="0" w:color="auto"/>
      </w:divBdr>
      <w:divsChild>
        <w:div w:id="114101595">
          <w:marLeft w:val="547"/>
          <w:marRight w:val="0"/>
          <w:marTop w:val="0"/>
          <w:marBottom w:val="0"/>
          <w:divBdr>
            <w:top w:val="none" w:sz="0" w:space="0" w:color="auto"/>
            <w:left w:val="none" w:sz="0" w:space="0" w:color="auto"/>
            <w:bottom w:val="none" w:sz="0" w:space="0" w:color="auto"/>
            <w:right w:val="none" w:sz="0" w:space="0" w:color="auto"/>
          </w:divBdr>
        </w:div>
        <w:div w:id="867840669">
          <w:marLeft w:val="547"/>
          <w:marRight w:val="0"/>
          <w:marTop w:val="0"/>
          <w:marBottom w:val="0"/>
          <w:divBdr>
            <w:top w:val="none" w:sz="0" w:space="0" w:color="auto"/>
            <w:left w:val="none" w:sz="0" w:space="0" w:color="auto"/>
            <w:bottom w:val="none" w:sz="0" w:space="0" w:color="auto"/>
            <w:right w:val="none" w:sz="0" w:space="0" w:color="auto"/>
          </w:divBdr>
        </w:div>
      </w:divsChild>
    </w:div>
    <w:div w:id="1863712971">
      <w:bodyDiv w:val="1"/>
      <w:marLeft w:val="0"/>
      <w:marRight w:val="0"/>
      <w:marTop w:val="0"/>
      <w:marBottom w:val="0"/>
      <w:divBdr>
        <w:top w:val="none" w:sz="0" w:space="0" w:color="auto"/>
        <w:left w:val="none" w:sz="0" w:space="0" w:color="auto"/>
        <w:bottom w:val="none" w:sz="0" w:space="0" w:color="auto"/>
        <w:right w:val="none" w:sz="0" w:space="0" w:color="auto"/>
      </w:divBdr>
    </w:div>
    <w:div w:id="1864971514">
      <w:bodyDiv w:val="1"/>
      <w:marLeft w:val="0"/>
      <w:marRight w:val="0"/>
      <w:marTop w:val="0"/>
      <w:marBottom w:val="0"/>
      <w:divBdr>
        <w:top w:val="none" w:sz="0" w:space="0" w:color="auto"/>
        <w:left w:val="none" w:sz="0" w:space="0" w:color="auto"/>
        <w:bottom w:val="none" w:sz="0" w:space="0" w:color="auto"/>
        <w:right w:val="none" w:sz="0" w:space="0" w:color="auto"/>
      </w:divBdr>
    </w:div>
    <w:div w:id="1872260119">
      <w:bodyDiv w:val="1"/>
      <w:marLeft w:val="0"/>
      <w:marRight w:val="0"/>
      <w:marTop w:val="0"/>
      <w:marBottom w:val="0"/>
      <w:divBdr>
        <w:top w:val="none" w:sz="0" w:space="0" w:color="auto"/>
        <w:left w:val="none" w:sz="0" w:space="0" w:color="auto"/>
        <w:bottom w:val="none" w:sz="0" w:space="0" w:color="auto"/>
        <w:right w:val="none" w:sz="0" w:space="0" w:color="auto"/>
      </w:divBdr>
    </w:div>
    <w:div w:id="1882784643">
      <w:bodyDiv w:val="1"/>
      <w:marLeft w:val="0"/>
      <w:marRight w:val="0"/>
      <w:marTop w:val="0"/>
      <w:marBottom w:val="0"/>
      <w:divBdr>
        <w:top w:val="none" w:sz="0" w:space="0" w:color="auto"/>
        <w:left w:val="none" w:sz="0" w:space="0" w:color="auto"/>
        <w:bottom w:val="none" w:sz="0" w:space="0" w:color="auto"/>
        <w:right w:val="none" w:sz="0" w:space="0" w:color="auto"/>
      </w:divBdr>
    </w:div>
    <w:div w:id="1919056479">
      <w:bodyDiv w:val="1"/>
      <w:marLeft w:val="0"/>
      <w:marRight w:val="0"/>
      <w:marTop w:val="0"/>
      <w:marBottom w:val="0"/>
      <w:divBdr>
        <w:top w:val="none" w:sz="0" w:space="0" w:color="auto"/>
        <w:left w:val="none" w:sz="0" w:space="0" w:color="auto"/>
        <w:bottom w:val="none" w:sz="0" w:space="0" w:color="auto"/>
        <w:right w:val="none" w:sz="0" w:space="0" w:color="auto"/>
      </w:divBdr>
    </w:div>
    <w:div w:id="1942181979">
      <w:bodyDiv w:val="1"/>
      <w:marLeft w:val="0"/>
      <w:marRight w:val="0"/>
      <w:marTop w:val="0"/>
      <w:marBottom w:val="0"/>
      <w:divBdr>
        <w:top w:val="none" w:sz="0" w:space="0" w:color="auto"/>
        <w:left w:val="none" w:sz="0" w:space="0" w:color="auto"/>
        <w:bottom w:val="none" w:sz="0" w:space="0" w:color="auto"/>
        <w:right w:val="none" w:sz="0" w:space="0" w:color="auto"/>
      </w:divBdr>
    </w:div>
    <w:div w:id="1948728326">
      <w:bodyDiv w:val="1"/>
      <w:marLeft w:val="0"/>
      <w:marRight w:val="0"/>
      <w:marTop w:val="0"/>
      <w:marBottom w:val="0"/>
      <w:divBdr>
        <w:top w:val="none" w:sz="0" w:space="0" w:color="auto"/>
        <w:left w:val="none" w:sz="0" w:space="0" w:color="auto"/>
        <w:bottom w:val="none" w:sz="0" w:space="0" w:color="auto"/>
        <w:right w:val="none" w:sz="0" w:space="0" w:color="auto"/>
      </w:divBdr>
    </w:div>
    <w:div w:id="1948999748">
      <w:bodyDiv w:val="1"/>
      <w:marLeft w:val="0"/>
      <w:marRight w:val="0"/>
      <w:marTop w:val="0"/>
      <w:marBottom w:val="0"/>
      <w:divBdr>
        <w:top w:val="none" w:sz="0" w:space="0" w:color="auto"/>
        <w:left w:val="none" w:sz="0" w:space="0" w:color="auto"/>
        <w:bottom w:val="none" w:sz="0" w:space="0" w:color="auto"/>
        <w:right w:val="none" w:sz="0" w:space="0" w:color="auto"/>
      </w:divBdr>
    </w:div>
    <w:div w:id="1950232893">
      <w:bodyDiv w:val="1"/>
      <w:marLeft w:val="0"/>
      <w:marRight w:val="0"/>
      <w:marTop w:val="0"/>
      <w:marBottom w:val="0"/>
      <w:divBdr>
        <w:top w:val="none" w:sz="0" w:space="0" w:color="auto"/>
        <w:left w:val="none" w:sz="0" w:space="0" w:color="auto"/>
        <w:bottom w:val="none" w:sz="0" w:space="0" w:color="auto"/>
        <w:right w:val="none" w:sz="0" w:space="0" w:color="auto"/>
      </w:divBdr>
    </w:div>
    <w:div w:id="1950307549">
      <w:bodyDiv w:val="1"/>
      <w:marLeft w:val="0"/>
      <w:marRight w:val="0"/>
      <w:marTop w:val="0"/>
      <w:marBottom w:val="0"/>
      <w:divBdr>
        <w:top w:val="none" w:sz="0" w:space="0" w:color="auto"/>
        <w:left w:val="none" w:sz="0" w:space="0" w:color="auto"/>
        <w:bottom w:val="none" w:sz="0" w:space="0" w:color="auto"/>
        <w:right w:val="none" w:sz="0" w:space="0" w:color="auto"/>
      </w:divBdr>
    </w:div>
    <w:div w:id="1978608283">
      <w:bodyDiv w:val="1"/>
      <w:marLeft w:val="0"/>
      <w:marRight w:val="0"/>
      <w:marTop w:val="0"/>
      <w:marBottom w:val="0"/>
      <w:divBdr>
        <w:top w:val="none" w:sz="0" w:space="0" w:color="auto"/>
        <w:left w:val="none" w:sz="0" w:space="0" w:color="auto"/>
        <w:bottom w:val="none" w:sz="0" w:space="0" w:color="auto"/>
        <w:right w:val="none" w:sz="0" w:space="0" w:color="auto"/>
      </w:divBdr>
    </w:div>
    <w:div w:id="1981155125">
      <w:bodyDiv w:val="1"/>
      <w:marLeft w:val="0"/>
      <w:marRight w:val="0"/>
      <w:marTop w:val="0"/>
      <w:marBottom w:val="0"/>
      <w:divBdr>
        <w:top w:val="none" w:sz="0" w:space="0" w:color="auto"/>
        <w:left w:val="none" w:sz="0" w:space="0" w:color="auto"/>
        <w:bottom w:val="none" w:sz="0" w:space="0" w:color="auto"/>
        <w:right w:val="none" w:sz="0" w:space="0" w:color="auto"/>
      </w:divBdr>
    </w:div>
    <w:div w:id="1983541048">
      <w:bodyDiv w:val="1"/>
      <w:marLeft w:val="0"/>
      <w:marRight w:val="0"/>
      <w:marTop w:val="0"/>
      <w:marBottom w:val="0"/>
      <w:divBdr>
        <w:top w:val="none" w:sz="0" w:space="0" w:color="auto"/>
        <w:left w:val="none" w:sz="0" w:space="0" w:color="auto"/>
        <w:bottom w:val="none" w:sz="0" w:space="0" w:color="auto"/>
        <w:right w:val="none" w:sz="0" w:space="0" w:color="auto"/>
      </w:divBdr>
    </w:div>
    <w:div w:id="1987582598">
      <w:bodyDiv w:val="1"/>
      <w:marLeft w:val="0"/>
      <w:marRight w:val="0"/>
      <w:marTop w:val="0"/>
      <w:marBottom w:val="0"/>
      <w:divBdr>
        <w:top w:val="none" w:sz="0" w:space="0" w:color="auto"/>
        <w:left w:val="none" w:sz="0" w:space="0" w:color="auto"/>
        <w:bottom w:val="none" w:sz="0" w:space="0" w:color="auto"/>
        <w:right w:val="none" w:sz="0" w:space="0" w:color="auto"/>
      </w:divBdr>
    </w:div>
    <w:div w:id="1997031359">
      <w:bodyDiv w:val="1"/>
      <w:marLeft w:val="0"/>
      <w:marRight w:val="0"/>
      <w:marTop w:val="0"/>
      <w:marBottom w:val="0"/>
      <w:divBdr>
        <w:top w:val="none" w:sz="0" w:space="0" w:color="auto"/>
        <w:left w:val="none" w:sz="0" w:space="0" w:color="auto"/>
        <w:bottom w:val="none" w:sz="0" w:space="0" w:color="auto"/>
        <w:right w:val="none" w:sz="0" w:space="0" w:color="auto"/>
      </w:divBdr>
    </w:div>
    <w:div w:id="2023579482">
      <w:bodyDiv w:val="1"/>
      <w:marLeft w:val="0"/>
      <w:marRight w:val="0"/>
      <w:marTop w:val="0"/>
      <w:marBottom w:val="0"/>
      <w:divBdr>
        <w:top w:val="none" w:sz="0" w:space="0" w:color="auto"/>
        <w:left w:val="none" w:sz="0" w:space="0" w:color="auto"/>
        <w:bottom w:val="none" w:sz="0" w:space="0" w:color="auto"/>
        <w:right w:val="none" w:sz="0" w:space="0" w:color="auto"/>
      </w:divBdr>
    </w:div>
    <w:div w:id="2043087189">
      <w:bodyDiv w:val="1"/>
      <w:marLeft w:val="0"/>
      <w:marRight w:val="0"/>
      <w:marTop w:val="0"/>
      <w:marBottom w:val="0"/>
      <w:divBdr>
        <w:top w:val="none" w:sz="0" w:space="0" w:color="auto"/>
        <w:left w:val="none" w:sz="0" w:space="0" w:color="auto"/>
        <w:bottom w:val="none" w:sz="0" w:space="0" w:color="auto"/>
        <w:right w:val="none" w:sz="0" w:space="0" w:color="auto"/>
      </w:divBdr>
    </w:div>
    <w:div w:id="2060670080">
      <w:bodyDiv w:val="1"/>
      <w:marLeft w:val="0"/>
      <w:marRight w:val="0"/>
      <w:marTop w:val="0"/>
      <w:marBottom w:val="0"/>
      <w:divBdr>
        <w:top w:val="none" w:sz="0" w:space="0" w:color="auto"/>
        <w:left w:val="none" w:sz="0" w:space="0" w:color="auto"/>
        <w:bottom w:val="none" w:sz="0" w:space="0" w:color="auto"/>
        <w:right w:val="none" w:sz="0" w:space="0" w:color="auto"/>
      </w:divBdr>
    </w:div>
    <w:div w:id="2073386674">
      <w:bodyDiv w:val="1"/>
      <w:marLeft w:val="0"/>
      <w:marRight w:val="0"/>
      <w:marTop w:val="0"/>
      <w:marBottom w:val="0"/>
      <w:divBdr>
        <w:top w:val="none" w:sz="0" w:space="0" w:color="auto"/>
        <w:left w:val="none" w:sz="0" w:space="0" w:color="auto"/>
        <w:bottom w:val="none" w:sz="0" w:space="0" w:color="auto"/>
        <w:right w:val="none" w:sz="0" w:space="0" w:color="auto"/>
      </w:divBdr>
    </w:div>
    <w:div w:id="2078700382">
      <w:bodyDiv w:val="1"/>
      <w:marLeft w:val="0"/>
      <w:marRight w:val="0"/>
      <w:marTop w:val="0"/>
      <w:marBottom w:val="0"/>
      <w:divBdr>
        <w:top w:val="none" w:sz="0" w:space="0" w:color="auto"/>
        <w:left w:val="none" w:sz="0" w:space="0" w:color="auto"/>
        <w:bottom w:val="none" w:sz="0" w:space="0" w:color="auto"/>
        <w:right w:val="none" w:sz="0" w:space="0" w:color="auto"/>
      </w:divBdr>
      <w:divsChild>
        <w:div w:id="572858246">
          <w:marLeft w:val="547"/>
          <w:marRight w:val="0"/>
          <w:marTop w:val="0"/>
          <w:marBottom w:val="0"/>
          <w:divBdr>
            <w:top w:val="none" w:sz="0" w:space="0" w:color="auto"/>
            <w:left w:val="none" w:sz="0" w:space="0" w:color="auto"/>
            <w:bottom w:val="none" w:sz="0" w:space="0" w:color="auto"/>
            <w:right w:val="none" w:sz="0" w:space="0" w:color="auto"/>
          </w:divBdr>
        </w:div>
        <w:div w:id="605118509">
          <w:marLeft w:val="547"/>
          <w:marRight w:val="0"/>
          <w:marTop w:val="0"/>
          <w:marBottom w:val="0"/>
          <w:divBdr>
            <w:top w:val="none" w:sz="0" w:space="0" w:color="auto"/>
            <w:left w:val="none" w:sz="0" w:space="0" w:color="auto"/>
            <w:bottom w:val="none" w:sz="0" w:space="0" w:color="auto"/>
            <w:right w:val="none" w:sz="0" w:space="0" w:color="auto"/>
          </w:divBdr>
        </w:div>
        <w:div w:id="634024395">
          <w:marLeft w:val="547"/>
          <w:marRight w:val="0"/>
          <w:marTop w:val="0"/>
          <w:marBottom w:val="0"/>
          <w:divBdr>
            <w:top w:val="none" w:sz="0" w:space="0" w:color="auto"/>
            <w:left w:val="none" w:sz="0" w:space="0" w:color="auto"/>
            <w:bottom w:val="none" w:sz="0" w:space="0" w:color="auto"/>
            <w:right w:val="none" w:sz="0" w:space="0" w:color="auto"/>
          </w:divBdr>
        </w:div>
        <w:div w:id="1181508846">
          <w:marLeft w:val="547"/>
          <w:marRight w:val="0"/>
          <w:marTop w:val="0"/>
          <w:marBottom w:val="0"/>
          <w:divBdr>
            <w:top w:val="none" w:sz="0" w:space="0" w:color="auto"/>
            <w:left w:val="none" w:sz="0" w:space="0" w:color="auto"/>
            <w:bottom w:val="none" w:sz="0" w:space="0" w:color="auto"/>
            <w:right w:val="none" w:sz="0" w:space="0" w:color="auto"/>
          </w:divBdr>
        </w:div>
        <w:div w:id="1449276756">
          <w:marLeft w:val="547"/>
          <w:marRight w:val="0"/>
          <w:marTop w:val="0"/>
          <w:marBottom w:val="0"/>
          <w:divBdr>
            <w:top w:val="none" w:sz="0" w:space="0" w:color="auto"/>
            <w:left w:val="none" w:sz="0" w:space="0" w:color="auto"/>
            <w:bottom w:val="none" w:sz="0" w:space="0" w:color="auto"/>
            <w:right w:val="none" w:sz="0" w:space="0" w:color="auto"/>
          </w:divBdr>
        </w:div>
        <w:div w:id="1461460993">
          <w:marLeft w:val="547"/>
          <w:marRight w:val="0"/>
          <w:marTop w:val="0"/>
          <w:marBottom w:val="0"/>
          <w:divBdr>
            <w:top w:val="none" w:sz="0" w:space="0" w:color="auto"/>
            <w:left w:val="none" w:sz="0" w:space="0" w:color="auto"/>
            <w:bottom w:val="none" w:sz="0" w:space="0" w:color="auto"/>
            <w:right w:val="none" w:sz="0" w:space="0" w:color="auto"/>
          </w:divBdr>
        </w:div>
        <w:div w:id="1587493441">
          <w:marLeft w:val="547"/>
          <w:marRight w:val="0"/>
          <w:marTop w:val="0"/>
          <w:marBottom w:val="0"/>
          <w:divBdr>
            <w:top w:val="none" w:sz="0" w:space="0" w:color="auto"/>
            <w:left w:val="none" w:sz="0" w:space="0" w:color="auto"/>
            <w:bottom w:val="none" w:sz="0" w:space="0" w:color="auto"/>
            <w:right w:val="none" w:sz="0" w:space="0" w:color="auto"/>
          </w:divBdr>
        </w:div>
      </w:divsChild>
    </w:div>
    <w:div w:id="2108308681">
      <w:bodyDiv w:val="1"/>
      <w:marLeft w:val="0"/>
      <w:marRight w:val="0"/>
      <w:marTop w:val="0"/>
      <w:marBottom w:val="0"/>
      <w:divBdr>
        <w:top w:val="none" w:sz="0" w:space="0" w:color="auto"/>
        <w:left w:val="none" w:sz="0" w:space="0" w:color="auto"/>
        <w:bottom w:val="none" w:sz="0" w:space="0" w:color="auto"/>
        <w:right w:val="none" w:sz="0" w:space="0" w:color="auto"/>
      </w:divBdr>
    </w:div>
    <w:div w:id="2117410225">
      <w:bodyDiv w:val="1"/>
      <w:marLeft w:val="0"/>
      <w:marRight w:val="0"/>
      <w:marTop w:val="0"/>
      <w:marBottom w:val="0"/>
      <w:divBdr>
        <w:top w:val="none" w:sz="0" w:space="0" w:color="auto"/>
        <w:left w:val="none" w:sz="0" w:space="0" w:color="auto"/>
        <w:bottom w:val="none" w:sz="0" w:space="0" w:color="auto"/>
        <w:right w:val="none" w:sz="0" w:space="0" w:color="auto"/>
      </w:divBdr>
    </w:div>
    <w:div w:id="2119718868">
      <w:bodyDiv w:val="1"/>
      <w:marLeft w:val="0"/>
      <w:marRight w:val="0"/>
      <w:marTop w:val="0"/>
      <w:marBottom w:val="0"/>
      <w:divBdr>
        <w:top w:val="none" w:sz="0" w:space="0" w:color="auto"/>
        <w:left w:val="none" w:sz="0" w:space="0" w:color="auto"/>
        <w:bottom w:val="none" w:sz="0" w:space="0" w:color="auto"/>
        <w:right w:val="none" w:sz="0" w:space="0" w:color="auto"/>
      </w:divBdr>
      <w:divsChild>
        <w:div w:id="150829638">
          <w:marLeft w:val="547"/>
          <w:marRight w:val="0"/>
          <w:marTop w:val="0"/>
          <w:marBottom w:val="0"/>
          <w:divBdr>
            <w:top w:val="none" w:sz="0" w:space="0" w:color="auto"/>
            <w:left w:val="none" w:sz="0" w:space="0" w:color="auto"/>
            <w:bottom w:val="none" w:sz="0" w:space="0" w:color="auto"/>
            <w:right w:val="none" w:sz="0" w:space="0" w:color="auto"/>
          </w:divBdr>
        </w:div>
        <w:div w:id="890725953">
          <w:marLeft w:val="547"/>
          <w:marRight w:val="0"/>
          <w:marTop w:val="0"/>
          <w:marBottom w:val="0"/>
          <w:divBdr>
            <w:top w:val="none" w:sz="0" w:space="0" w:color="auto"/>
            <w:left w:val="none" w:sz="0" w:space="0" w:color="auto"/>
            <w:bottom w:val="none" w:sz="0" w:space="0" w:color="auto"/>
            <w:right w:val="none" w:sz="0" w:space="0" w:color="auto"/>
          </w:divBdr>
        </w:div>
        <w:div w:id="1147017105">
          <w:marLeft w:val="547"/>
          <w:marRight w:val="0"/>
          <w:marTop w:val="0"/>
          <w:marBottom w:val="0"/>
          <w:divBdr>
            <w:top w:val="none" w:sz="0" w:space="0" w:color="auto"/>
            <w:left w:val="none" w:sz="0" w:space="0" w:color="auto"/>
            <w:bottom w:val="none" w:sz="0" w:space="0" w:color="auto"/>
            <w:right w:val="none" w:sz="0" w:space="0" w:color="auto"/>
          </w:divBdr>
        </w:div>
        <w:div w:id="1313679949">
          <w:marLeft w:val="547"/>
          <w:marRight w:val="0"/>
          <w:marTop w:val="0"/>
          <w:marBottom w:val="0"/>
          <w:divBdr>
            <w:top w:val="none" w:sz="0" w:space="0" w:color="auto"/>
            <w:left w:val="none" w:sz="0" w:space="0" w:color="auto"/>
            <w:bottom w:val="none" w:sz="0" w:space="0" w:color="auto"/>
            <w:right w:val="none" w:sz="0" w:space="0" w:color="auto"/>
          </w:divBdr>
        </w:div>
        <w:div w:id="1988319014">
          <w:marLeft w:val="547"/>
          <w:marRight w:val="0"/>
          <w:marTop w:val="0"/>
          <w:marBottom w:val="0"/>
          <w:divBdr>
            <w:top w:val="none" w:sz="0" w:space="0" w:color="auto"/>
            <w:left w:val="none" w:sz="0" w:space="0" w:color="auto"/>
            <w:bottom w:val="none" w:sz="0" w:space="0" w:color="auto"/>
            <w:right w:val="none" w:sz="0" w:space="0" w:color="auto"/>
          </w:divBdr>
        </w:div>
        <w:div w:id="2011641610">
          <w:marLeft w:val="547"/>
          <w:marRight w:val="0"/>
          <w:marTop w:val="0"/>
          <w:marBottom w:val="0"/>
          <w:divBdr>
            <w:top w:val="none" w:sz="0" w:space="0" w:color="auto"/>
            <w:left w:val="none" w:sz="0" w:space="0" w:color="auto"/>
            <w:bottom w:val="none" w:sz="0" w:space="0" w:color="auto"/>
            <w:right w:val="none" w:sz="0" w:space="0" w:color="auto"/>
          </w:divBdr>
        </w:div>
      </w:divsChild>
    </w:div>
    <w:div w:id="2124838305">
      <w:bodyDiv w:val="1"/>
      <w:marLeft w:val="0"/>
      <w:marRight w:val="0"/>
      <w:marTop w:val="0"/>
      <w:marBottom w:val="0"/>
      <w:divBdr>
        <w:top w:val="none" w:sz="0" w:space="0" w:color="auto"/>
        <w:left w:val="none" w:sz="0" w:space="0" w:color="auto"/>
        <w:bottom w:val="none" w:sz="0" w:space="0" w:color="auto"/>
        <w:right w:val="none" w:sz="0" w:space="0" w:color="auto"/>
      </w:divBdr>
    </w:div>
    <w:div w:id="2128772314">
      <w:bodyDiv w:val="1"/>
      <w:marLeft w:val="0"/>
      <w:marRight w:val="0"/>
      <w:marTop w:val="0"/>
      <w:marBottom w:val="0"/>
      <w:divBdr>
        <w:top w:val="none" w:sz="0" w:space="0" w:color="auto"/>
        <w:left w:val="none" w:sz="0" w:space="0" w:color="auto"/>
        <w:bottom w:val="none" w:sz="0" w:space="0" w:color="auto"/>
        <w:right w:val="none" w:sz="0" w:space="0" w:color="auto"/>
      </w:divBdr>
    </w:div>
    <w:div w:id="2144304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21" Type="http://schemas.openxmlformats.org/officeDocument/2006/relationships/header" Target="header5.xml"/><Relationship Id="rId42" Type="http://schemas.openxmlformats.org/officeDocument/2006/relationships/image" Target="media/image19.emf"/><Relationship Id="rId47" Type="http://schemas.openxmlformats.org/officeDocument/2006/relationships/image" Target="media/image22.emf"/><Relationship Id="rId63" Type="http://schemas.openxmlformats.org/officeDocument/2006/relationships/image" Target="media/image34.emf"/><Relationship Id="rId68" Type="http://schemas.openxmlformats.org/officeDocument/2006/relationships/image" Target="media/image38.emf"/><Relationship Id="rId84" Type="http://schemas.openxmlformats.org/officeDocument/2006/relationships/image" Target="media/image52.emf"/><Relationship Id="rId89" Type="http://schemas.openxmlformats.org/officeDocument/2006/relationships/image" Target="media/image57.emf"/><Relationship Id="rId16" Type="http://schemas.openxmlformats.org/officeDocument/2006/relationships/hyperlink" Target="mailto:sga.clogsustentab@agu.gov.br" TargetMode="External"/><Relationship Id="rId11" Type="http://schemas.openxmlformats.org/officeDocument/2006/relationships/image" Target="media/image1.png"/><Relationship Id="rId32" Type="http://schemas.openxmlformats.org/officeDocument/2006/relationships/image" Target="media/image9.emf"/><Relationship Id="rId37" Type="http://schemas.openxmlformats.org/officeDocument/2006/relationships/image" Target="media/image14.emf"/><Relationship Id="rId53" Type="http://schemas.openxmlformats.org/officeDocument/2006/relationships/chart" Target="charts/chart8.xml"/><Relationship Id="rId58" Type="http://schemas.openxmlformats.org/officeDocument/2006/relationships/image" Target="media/image30.emf"/><Relationship Id="rId74" Type="http://schemas.openxmlformats.org/officeDocument/2006/relationships/image" Target="media/image42.emf"/><Relationship Id="rId79" Type="http://schemas.openxmlformats.org/officeDocument/2006/relationships/image" Target="media/image47.emf"/><Relationship Id="rId5" Type="http://schemas.openxmlformats.org/officeDocument/2006/relationships/numbering" Target="numbering.xml"/><Relationship Id="rId90" Type="http://schemas.openxmlformats.org/officeDocument/2006/relationships/image" Target="media/image58.emf"/><Relationship Id="rId95" Type="http://schemas.openxmlformats.org/officeDocument/2006/relationships/image" Target="media/image62.emf"/><Relationship Id="rId22" Type="http://schemas.openxmlformats.org/officeDocument/2006/relationships/image" Target="media/image3.emf"/><Relationship Id="rId27" Type="http://schemas.openxmlformats.org/officeDocument/2006/relationships/image" Target="media/image6.emf"/><Relationship Id="rId43" Type="http://schemas.openxmlformats.org/officeDocument/2006/relationships/chart" Target="charts/chart5.xml"/><Relationship Id="rId48" Type="http://schemas.openxmlformats.org/officeDocument/2006/relationships/image" Target="media/image23.emf"/><Relationship Id="rId64" Type="http://schemas.openxmlformats.org/officeDocument/2006/relationships/image" Target="media/image35.emf"/><Relationship Id="rId69" Type="http://schemas.openxmlformats.org/officeDocument/2006/relationships/image" Target="media/image39.emf"/><Relationship Id="rId80" Type="http://schemas.openxmlformats.org/officeDocument/2006/relationships/image" Target="media/image48.emf"/><Relationship Id="rId85" Type="http://schemas.openxmlformats.org/officeDocument/2006/relationships/image" Target="media/image53.emf"/><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image" Target="media/image5.emf"/><Relationship Id="rId33" Type="http://schemas.openxmlformats.org/officeDocument/2006/relationships/image" Target="media/image10.emf"/><Relationship Id="rId38" Type="http://schemas.openxmlformats.org/officeDocument/2006/relationships/image" Target="media/image15.emf"/><Relationship Id="rId46" Type="http://schemas.openxmlformats.org/officeDocument/2006/relationships/chart" Target="charts/chart6.xml"/><Relationship Id="rId59" Type="http://schemas.openxmlformats.org/officeDocument/2006/relationships/chart" Target="charts/chart10.xml"/><Relationship Id="rId67" Type="http://schemas.openxmlformats.org/officeDocument/2006/relationships/image" Target="media/image37.emf"/><Relationship Id="rId20" Type="http://schemas.openxmlformats.org/officeDocument/2006/relationships/footer" Target="footer2.xml"/><Relationship Id="rId41" Type="http://schemas.openxmlformats.org/officeDocument/2006/relationships/image" Target="media/image18.emf"/><Relationship Id="rId54" Type="http://schemas.openxmlformats.org/officeDocument/2006/relationships/image" Target="media/image27.emf"/><Relationship Id="rId62" Type="http://schemas.openxmlformats.org/officeDocument/2006/relationships/image" Target="media/image33.png"/><Relationship Id="rId70" Type="http://schemas.openxmlformats.org/officeDocument/2006/relationships/chart" Target="charts/chart12.xml"/><Relationship Id="rId75" Type="http://schemas.openxmlformats.org/officeDocument/2006/relationships/image" Target="media/image43.emf"/><Relationship Id="rId83" Type="http://schemas.openxmlformats.org/officeDocument/2006/relationships/image" Target="media/image51.emf"/><Relationship Id="rId88" Type="http://schemas.openxmlformats.org/officeDocument/2006/relationships/image" Target="media/image56.emf"/><Relationship Id="rId91" Type="http://schemas.openxmlformats.org/officeDocument/2006/relationships/image" Target="media/image59.png"/><Relationship Id="rId96" Type="http://schemas.openxmlformats.org/officeDocument/2006/relationships/image" Target="media/image63.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oleObject" Target="embeddings/oleObject1.bin"/><Relationship Id="rId23" Type="http://schemas.openxmlformats.org/officeDocument/2006/relationships/image" Target="media/image4.emf"/><Relationship Id="rId28" Type="http://schemas.openxmlformats.org/officeDocument/2006/relationships/image" Target="media/image7.emf"/><Relationship Id="rId36" Type="http://schemas.openxmlformats.org/officeDocument/2006/relationships/image" Target="media/image13.emf"/><Relationship Id="rId49" Type="http://schemas.openxmlformats.org/officeDocument/2006/relationships/image" Target="media/image24.emf"/><Relationship Id="rId57" Type="http://schemas.openxmlformats.org/officeDocument/2006/relationships/image" Target="media/image29.emf"/><Relationship Id="rId10" Type="http://schemas.openxmlformats.org/officeDocument/2006/relationships/endnotes" Target="endnotes.xml"/><Relationship Id="rId31" Type="http://schemas.openxmlformats.org/officeDocument/2006/relationships/chart" Target="charts/chart4.xml"/><Relationship Id="rId44" Type="http://schemas.openxmlformats.org/officeDocument/2006/relationships/image" Target="media/image20.emf"/><Relationship Id="rId52" Type="http://schemas.openxmlformats.org/officeDocument/2006/relationships/image" Target="media/image26.emf"/><Relationship Id="rId60" Type="http://schemas.openxmlformats.org/officeDocument/2006/relationships/image" Target="media/image31.emf"/><Relationship Id="rId65" Type="http://schemas.openxmlformats.org/officeDocument/2006/relationships/image" Target="media/image36.emf"/><Relationship Id="rId73" Type="http://schemas.openxmlformats.org/officeDocument/2006/relationships/chart" Target="charts/chart13.xml"/><Relationship Id="rId78" Type="http://schemas.openxmlformats.org/officeDocument/2006/relationships/image" Target="media/image46.emf"/><Relationship Id="rId81" Type="http://schemas.openxmlformats.org/officeDocument/2006/relationships/image" Target="media/image49.emf"/><Relationship Id="rId86" Type="http://schemas.openxmlformats.org/officeDocument/2006/relationships/image" Target="media/image54.emf"/><Relationship Id="rId94" Type="http://schemas.openxmlformats.org/officeDocument/2006/relationships/chart" Target="charts/chart14.xml"/><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3.xml"/><Relationship Id="rId39" Type="http://schemas.openxmlformats.org/officeDocument/2006/relationships/image" Target="media/image16.emf"/><Relationship Id="rId34" Type="http://schemas.openxmlformats.org/officeDocument/2006/relationships/image" Target="media/image11.emf"/><Relationship Id="rId50" Type="http://schemas.openxmlformats.org/officeDocument/2006/relationships/chart" Target="charts/chart7.xml"/><Relationship Id="rId55" Type="http://schemas.openxmlformats.org/officeDocument/2006/relationships/image" Target="media/image28.emf"/><Relationship Id="rId76" Type="http://schemas.openxmlformats.org/officeDocument/2006/relationships/image" Target="media/image44.emf"/><Relationship Id="rId97" Type="http://schemas.openxmlformats.org/officeDocument/2006/relationships/chart" Target="charts/chart15.xml"/><Relationship Id="rId7" Type="http://schemas.openxmlformats.org/officeDocument/2006/relationships/settings" Target="settings.xml"/><Relationship Id="rId71" Type="http://schemas.openxmlformats.org/officeDocument/2006/relationships/image" Target="media/image40.emf"/><Relationship Id="rId92" Type="http://schemas.openxmlformats.org/officeDocument/2006/relationships/image" Target="media/image60.emf"/><Relationship Id="rId2" Type="http://schemas.openxmlformats.org/officeDocument/2006/relationships/customXml" Target="../customXml/item2.xml"/><Relationship Id="rId29" Type="http://schemas.openxmlformats.org/officeDocument/2006/relationships/chart" Target="charts/chart3.xml"/><Relationship Id="rId24" Type="http://schemas.openxmlformats.org/officeDocument/2006/relationships/chart" Target="charts/chart1.xml"/><Relationship Id="rId40" Type="http://schemas.openxmlformats.org/officeDocument/2006/relationships/image" Target="media/image17.emf"/><Relationship Id="rId45" Type="http://schemas.openxmlformats.org/officeDocument/2006/relationships/image" Target="media/image21.emf"/><Relationship Id="rId66" Type="http://schemas.openxmlformats.org/officeDocument/2006/relationships/chart" Target="charts/chart11.xml"/><Relationship Id="rId87" Type="http://schemas.openxmlformats.org/officeDocument/2006/relationships/image" Target="media/image55.emf"/><Relationship Id="rId61" Type="http://schemas.openxmlformats.org/officeDocument/2006/relationships/image" Target="media/image32.emf"/><Relationship Id="rId82" Type="http://schemas.openxmlformats.org/officeDocument/2006/relationships/image" Target="media/image50.emf"/><Relationship Id="rId19" Type="http://schemas.openxmlformats.org/officeDocument/2006/relationships/header" Target="header4.xml"/><Relationship Id="rId14" Type="http://schemas.openxmlformats.org/officeDocument/2006/relationships/image" Target="media/image2.wmf"/><Relationship Id="rId30" Type="http://schemas.openxmlformats.org/officeDocument/2006/relationships/image" Target="media/image8.emf"/><Relationship Id="rId35" Type="http://schemas.openxmlformats.org/officeDocument/2006/relationships/image" Target="media/image12.emf"/><Relationship Id="rId56" Type="http://schemas.openxmlformats.org/officeDocument/2006/relationships/chart" Target="charts/chart9.xml"/><Relationship Id="rId77" Type="http://schemas.openxmlformats.org/officeDocument/2006/relationships/image" Target="media/image45.emf"/><Relationship Id="rId8" Type="http://schemas.openxmlformats.org/officeDocument/2006/relationships/webSettings" Target="webSettings.xml"/><Relationship Id="rId51" Type="http://schemas.openxmlformats.org/officeDocument/2006/relationships/image" Target="media/image25.emf"/><Relationship Id="rId72" Type="http://schemas.openxmlformats.org/officeDocument/2006/relationships/image" Target="media/image41.emf"/><Relationship Id="rId93" Type="http://schemas.openxmlformats.org/officeDocument/2006/relationships/image" Target="media/image61.emf"/><Relationship Id="rId98"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lexandre.veiga\Desktop\PLS%202022\02.%20Transporte_Ed.%20SEDE.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alexandre.veiga\Desktop\PLS%202022\03.%20Energia%20El&#233;trica_Ed.%20PUPR_CJUPR.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Users\alexandre.veiga\Desktop\PLS%202022\04.%20&#193;gua%20e%20Esgoto_Ed.%20E&#243;lis.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C:\Users\alexandre.veiga\Desktop\PLS%202022\04.%20&#193;gua%20e%20Esgoto_Ed.%20Daros.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C:\Users\alexandre.veiga\Desktop\PLS%202022\04.%20&#193;gua%20e%20Esgoto_PU_PR-CJU_PR.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C:\Users\alexandre.veiga\Desktop\PLS%202022\11.%20Manuten&#231;&#227;o%20Predial_Ed.%20SEDE%20(1).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C:\Users\alexandre.veiga\Desktop\PLS%202022\11.%20Manuten&#231;&#227;o%20Predial%20PRF%20Ed.%20Eolis.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alexandre.veiga\Desktop\PLS%202022\02.%20Transporte_Ed.%20SEDE.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alexandre.veiga\Desktop\PLS%202022\02.%20Transporte_Ed.%20E&#243;lis.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alexandre.veiga\Desktop\PLS%202022\02.%20Transporte_Ed.%20E&#243;lis.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Users\alexandre.veiga\Desktop\PLS%202022\03.%20Energia%20El&#233;trica_Ed.%20SED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xlsx"/></Relationships>
</file>

<file path=word/charts/_rels/chart7.xml.rels><?xml version="1.0" encoding="UTF-8" standalone="yes"?>
<Relationships xmlns="http://schemas.openxmlformats.org/package/2006/relationships"><Relationship Id="rId3" Type="http://schemas.openxmlformats.org/officeDocument/2006/relationships/oleObject" Target="file:///C:\Users\alexandre.veiga\Desktop\PLS%202022\03.%20Energia%20El&#233;trica_Ed.%20C&#233;lia%20Daux%20PUSC_CJUSC.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alexandre.veiga\Desktop\PLS%202022\03.%20Energia%20El&#233;trica_Ed.%20Daros.com%20PFSC_EAGUSC.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alexandre.veiga\Desktop\PLS%202022\03.%20Energia%20El&#233;trica_Ed.%20Jo&#227;o%20Gualberto%20PFPR_EAGUP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Km 2022</a:t>
            </a:r>
          </a:p>
        </c:rich>
      </c:tx>
      <c:overlay val="0"/>
      <c:spPr>
        <a:solidFill>
          <a:schemeClr val="accent3">
            <a:lumMod val="20000"/>
            <a:lumOff val="80000"/>
          </a:schemeClr>
        </a:solid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tx>
            <c:v>Km 2022</c:v>
          </c:tx>
          <c:spPr>
            <a:solidFill>
              <a:schemeClr val="accent1"/>
            </a:solidFill>
            <a:ln>
              <a:noFill/>
            </a:ln>
            <a:effectLst/>
          </c:spPr>
          <c:invertIfNegative val="0"/>
          <c:cat>
            <c:strRef>
              <c:f>'Dados (Km)'!$C$59:$N$59</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'Dados (Km)'!$C$60:$N$60</c:f>
              <c:numCache>
                <c:formatCode>#,##0</c:formatCode>
                <c:ptCount val="12"/>
                <c:pt idx="0">
                  <c:v>2484</c:v>
                </c:pt>
                <c:pt idx="1">
                  <c:v>3161</c:v>
                </c:pt>
                <c:pt idx="2">
                  <c:v>1271</c:v>
                </c:pt>
                <c:pt idx="3">
                  <c:v>3813</c:v>
                </c:pt>
                <c:pt idx="4">
                  <c:v>4631</c:v>
                </c:pt>
                <c:pt idx="5">
                  <c:v>2709</c:v>
                </c:pt>
                <c:pt idx="6">
                  <c:v>0</c:v>
                </c:pt>
                <c:pt idx="7">
                  <c:v>0</c:v>
                </c:pt>
                <c:pt idx="8">
                  <c:v>0</c:v>
                </c:pt>
                <c:pt idx="9">
                  <c:v>0</c:v>
                </c:pt>
                <c:pt idx="10">
                  <c:v>0</c:v>
                </c:pt>
                <c:pt idx="11">
                  <c:v>0</c:v>
                </c:pt>
              </c:numCache>
            </c:numRef>
          </c:val>
          <c:extLst>
            <c:ext xmlns:c16="http://schemas.microsoft.com/office/drawing/2014/chart" uri="{C3380CC4-5D6E-409C-BE32-E72D297353CC}">
              <c16:uniqueId val="{00000000-B8F6-47A2-A32B-6CEE10277E3A}"/>
            </c:ext>
          </c:extLst>
        </c:ser>
        <c:dLbls>
          <c:showLegendKey val="0"/>
          <c:showVal val="0"/>
          <c:showCatName val="0"/>
          <c:showSerName val="0"/>
          <c:showPercent val="0"/>
          <c:showBubbleSize val="0"/>
        </c:dLbls>
        <c:gapWidth val="219"/>
        <c:overlap val="-27"/>
        <c:axId val="908876479"/>
        <c:axId val="908876895"/>
      </c:barChart>
      <c:lineChart>
        <c:grouping val="standard"/>
        <c:varyColors val="0"/>
        <c:ser>
          <c:idx val="1"/>
          <c:order val="1"/>
          <c:tx>
            <c:v>Meta 2022</c:v>
          </c:tx>
          <c:spPr>
            <a:ln w="28575" cap="rnd">
              <a:solidFill>
                <a:schemeClr val="accent2"/>
              </a:solidFill>
              <a:round/>
            </a:ln>
            <a:effectLst/>
          </c:spPr>
          <c:marker>
            <c:symbol val="none"/>
          </c:marker>
          <c:cat>
            <c:strRef>
              <c:f>'Dados (Km)'!$C$59:$N$59</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'Dados (Km)'!$C$61:$N$61</c:f>
              <c:numCache>
                <c:formatCode>#,##0</c:formatCode>
                <c:ptCount val="12"/>
                <c:pt idx="0">
                  <c:v>2980.7999999999997</c:v>
                </c:pt>
                <c:pt idx="1">
                  <c:v>3793.2</c:v>
                </c:pt>
                <c:pt idx="2">
                  <c:v>1525.2</c:v>
                </c:pt>
                <c:pt idx="3">
                  <c:v>4575.5999999999995</c:v>
                </c:pt>
                <c:pt idx="4">
                  <c:v>5557.2</c:v>
                </c:pt>
                <c:pt idx="5">
                  <c:v>3250.7999999999997</c:v>
                </c:pt>
                <c:pt idx="6">
                  <c:v>0</c:v>
                </c:pt>
                <c:pt idx="7">
                  <c:v>0</c:v>
                </c:pt>
                <c:pt idx="8">
                  <c:v>0</c:v>
                </c:pt>
                <c:pt idx="9">
                  <c:v>0</c:v>
                </c:pt>
                <c:pt idx="10">
                  <c:v>0</c:v>
                </c:pt>
                <c:pt idx="11">
                  <c:v>0</c:v>
                </c:pt>
              </c:numCache>
            </c:numRef>
          </c:val>
          <c:smooth val="1"/>
          <c:extLst>
            <c:ext xmlns:c16="http://schemas.microsoft.com/office/drawing/2014/chart" uri="{C3380CC4-5D6E-409C-BE32-E72D297353CC}">
              <c16:uniqueId val="{00000001-B8F6-47A2-A32B-6CEE10277E3A}"/>
            </c:ext>
          </c:extLst>
        </c:ser>
        <c:dLbls>
          <c:showLegendKey val="0"/>
          <c:showVal val="0"/>
          <c:showCatName val="0"/>
          <c:showSerName val="0"/>
          <c:showPercent val="0"/>
          <c:showBubbleSize val="0"/>
        </c:dLbls>
        <c:marker val="1"/>
        <c:smooth val="0"/>
        <c:axId val="1357441935"/>
        <c:axId val="1357439023"/>
      </c:lineChart>
      <c:catAx>
        <c:axId val="9088764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908876895"/>
        <c:crosses val="autoZero"/>
        <c:auto val="1"/>
        <c:lblAlgn val="ctr"/>
        <c:lblOffset val="100"/>
        <c:noMultiLvlLbl val="0"/>
      </c:catAx>
      <c:valAx>
        <c:axId val="90887689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908876479"/>
        <c:crosses val="autoZero"/>
        <c:crossBetween val="between"/>
      </c:valAx>
      <c:valAx>
        <c:axId val="1357439023"/>
        <c:scaling>
          <c:orientation val="minMax"/>
        </c:scaling>
        <c:delete val="1"/>
        <c:axPos val="r"/>
        <c:numFmt formatCode="#,##0" sourceLinked="1"/>
        <c:majorTickMark val="out"/>
        <c:minorTickMark val="none"/>
        <c:tickLblPos val="nextTo"/>
        <c:crossAx val="1357441935"/>
        <c:crosses val="max"/>
        <c:crossBetween val="between"/>
      </c:valAx>
      <c:catAx>
        <c:axId val="1357441935"/>
        <c:scaling>
          <c:orientation val="minMax"/>
        </c:scaling>
        <c:delete val="1"/>
        <c:axPos val="b"/>
        <c:numFmt formatCode="General" sourceLinked="1"/>
        <c:majorTickMark val="out"/>
        <c:minorTickMark val="none"/>
        <c:tickLblPos val="nextTo"/>
        <c:crossAx val="1357439023"/>
        <c:crosses val="autoZero"/>
        <c:auto val="1"/>
        <c:lblAlgn val="ctr"/>
        <c:lblOffset val="100"/>
        <c:noMultiLvlLbl val="0"/>
      </c:catAx>
      <c:spPr>
        <a:solidFill>
          <a:schemeClr val="accent1">
            <a:lumMod val="20000"/>
            <a:lumOff val="80000"/>
          </a:scheme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ysClr val="windowText" lastClr="000000"/>
                </a:solidFill>
                <a:latin typeface="Calibri" panose="020F0502020204030204" pitchFamily="34" charset="0"/>
                <a:ea typeface="+mn-ea"/>
                <a:cs typeface="+mn-cs"/>
              </a:defRPr>
            </a:pPr>
            <a:r>
              <a:rPr lang="pt-BR"/>
              <a:t>Consumo (kwh)</a:t>
            </a:r>
          </a:p>
        </c:rich>
      </c:tx>
      <c:overlay val="0"/>
      <c:spPr>
        <a:noFill/>
        <a:ln>
          <a:noFill/>
        </a:ln>
        <a:effectLst/>
      </c:spPr>
      <c:txPr>
        <a:bodyPr rot="0" spcFirstLastPara="1" vertOverflow="ellipsis" vert="horz" wrap="square" anchor="ctr" anchorCtr="1"/>
        <a:lstStyle/>
        <a:p>
          <a:pPr>
            <a:defRPr sz="1800" b="1" i="0" u="none" strike="noStrike" kern="1200" baseline="0">
              <a:solidFill>
                <a:sysClr val="windowText" lastClr="000000"/>
              </a:solidFill>
              <a:latin typeface="Calibri" panose="020F0502020204030204" pitchFamily="34" charset="0"/>
              <a:ea typeface="+mn-ea"/>
              <a:cs typeface="+mn-cs"/>
            </a:defRPr>
          </a:pPr>
          <a:endParaRPr lang="pt-BR"/>
        </a:p>
      </c:txPr>
    </c:title>
    <c:autoTitleDeleted val="0"/>
    <c:plotArea>
      <c:layout>
        <c:manualLayout>
          <c:layoutTarget val="inner"/>
          <c:xMode val="edge"/>
          <c:yMode val="edge"/>
          <c:x val="0.11490835070007085"/>
          <c:y val="0.25246543384738074"/>
          <c:w val="0.86135064076081347"/>
          <c:h val="0.45272707172506194"/>
        </c:manualLayout>
      </c:layout>
      <c:barChart>
        <c:barDir val="col"/>
        <c:grouping val="clustered"/>
        <c:varyColors val="0"/>
        <c:ser>
          <c:idx val="0"/>
          <c:order val="1"/>
          <c:tx>
            <c:strRef>
              <c:f>Dados!$A$6</c:f>
              <c:strCache>
                <c:ptCount val="1"/>
                <c:pt idx="0">
                  <c:v>2014</c:v>
                </c:pt>
              </c:strCache>
            </c:strRef>
          </c:tx>
          <c:spPr>
            <a:solidFill>
              <a:schemeClr val="accent6"/>
            </a:solidFill>
            <a:ln>
              <a:noFill/>
            </a:ln>
            <a:effectLst/>
          </c:spPr>
          <c:invertIfNegative val="0"/>
          <c:cat>
            <c:strRef>
              <c:f>Dados!$B$4:$M$4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Dados!$B$6:$M$6</c:f>
            </c:numRef>
          </c:val>
          <c:extLst>
            <c:ext xmlns:c16="http://schemas.microsoft.com/office/drawing/2014/chart" uri="{C3380CC4-5D6E-409C-BE32-E72D297353CC}">
              <c16:uniqueId val="{00000000-6C49-4EEC-92F0-DAC992FB9231}"/>
            </c:ext>
          </c:extLst>
        </c:ser>
        <c:ser>
          <c:idx val="1"/>
          <c:order val="3"/>
          <c:tx>
            <c:strRef>
              <c:f>Dados!$A$8</c:f>
              <c:strCache>
                <c:ptCount val="1"/>
                <c:pt idx="0">
                  <c:v>2016</c:v>
                </c:pt>
              </c:strCache>
            </c:strRef>
          </c:tx>
          <c:spPr>
            <a:solidFill>
              <a:schemeClr val="accent5"/>
            </a:solidFill>
            <a:ln>
              <a:noFill/>
            </a:ln>
            <a:effectLst/>
          </c:spPr>
          <c:invertIfNegative val="0"/>
          <c:cat>
            <c:strRef>
              <c:f>Dados!$B$4:$M$4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Dados!$B$8:$M$8</c:f>
            </c:numRef>
          </c:val>
          <c:extLst>
            <c:ext xmlns:c16="http://schemas.microsoft.com/office/drawing/2014/chart" uri="{C3380CC4-5D6E-409C-BE32-E72D297353CC}">
              <c16:uniqueId val="{00000001-6C49-4EEC-92F0-DAC992FB9231}"/>
            </c:ext>
          </c:extLst>
        </c:ser>
        <c:ser>
          <c:idx val="4"/>
          <c:order val="2"/>
          <c:tx>
            <c:strRef>
              <c:f>Dados!$A$7</c:f>
              <c:strCache>
                <c:ptCount val="1"/>
                <c:pt idx="0">
                  <c:v>2015</c:v>
                </c:pt>
              </c:strCache>
            </c:strRef>
          </c:tx>
          <c:spPr>
            <a:solidFill>
              <a:schemeClr val="accent5">
                <a:lumMod val="60000"/>
              </a:schemeClr>
            </a:solidFill>
            <a:ln>
              <a:noFill/>
            </a:ln>
            <a:effectLst/>
          </c:spPr>
          <c:invertIfNegative val="0"/>
          <c:cat>
            <c:strRef>
              <c:f>Dados!$B$4:$M$4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Dados!$B$7:$M$7</c:f>
            </c:numRef>
          </c:val>
          <c:extLst>
            <c:ext xmlns:c16="http://schemas.microsoft.com/office/drawing/2014/chart" uri="{C3380CC4-5D6E-409C-BE32-E72D297353CC}">
              <c16:uniqueId val="{00000002-6C49-4EEC-92F0-DAC992FB9231}"/>
            </c:ext>
          </c:extLst>
        </c:ser>
        <c:ser>
          <c:idx val="3"/>
          <c:order val="0"/>
          <c:tx>
            <c:strRef>
              <c:f>Dados!$A$5</c:f>
              <c:strCache>
                <c:ptCount val="1"/>
                <c:pt idx="0">
                  <c:v>2013</c:v>
                </c:pt>
              </c:strCache>
            </c:strRef>
          </c:tx>
          <c:spPr>
            <a:solidFill>
              <a:schemeClr val="accent6">
                <a:lumMod val="60000"/>
              </a:schemeClr>
            </a:solidFill>
            <a:ln>
              <a:noFill/>
            </a:ln>
            <a:effectLst/>
          </c:spPr>
          <c:invertIfNegative val="0"/>
          <c:cat>
            <c:strRef>
              <c:f>Dados!$B$4:$M$4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Dados!$B$5:$M$5</c:f>
            </c:numRef>
          </c:val>
          <c:extLst>
            <c:ext xmlns:c16="http://schemas.microsoft.com/office/drawing/2014/chart" uri="{C3380CC4-5D6E-409C-BE32-E72D297353CC}">
              <c16:uniqueId val="{00000003-6C49-4EEC-92F0-DAC992FB9231}"/>
            </c:ext>
          </c:extLst>
        </c:ser>
        <c:ser>
          <c:idx val="2"/>
          <c:order val="4"/>
          <c:tx>
            <c:strRef>
              <c:f>Dados!$A$9</c:f>
              <c:strCache>
                <c:ptCount val="1"/>
                <c:pt idx="0">
                  <c:v>2017</c:v>
                </c:pt>
              </c:strCache>
            </c:strRef>
          </c:tx>
          <c:spPr>
            <a:solidFill>
              <a:schemeClr val="accent4"/>
            </a:solidFill>
            <a:ln>
              <a:noFill/>
            </a:ln>
            <a:effectLst/>
          </c:spPr>
          <c:invertIfNegative val="0"/>
          <c:cat>
            <c:strRef>
              <c:f>Dados!$B$4:$M$4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Dados!$B$9:$M$9</c:f>
            </c:numRef>
          </c:val>
          <c:extLst>
            <c:ext xmlns:c16="http://schemas.microsoft.com/office/drawing/2014/chart" uri="{C3380CC4-5D6E-409C-BE32-E72D297353CC}">
              <c16:uniqueId val="{00000004-6C49-4EEC-92F0-DAC992FB9231}"/>
            </c:ext>
          </c:extLst>
        </c:ser>
        <c:ser>
          <c:idx val="5"/>
          <c:order val="5"/>
          <c:tx>
            <c:strRef>
              <c:f>Dados!$A$10</c:f>
              <c:strCache>
                <c:ptCount val="1"/>
                <c:pt idx="0">
                  <c:v>2018</c:v>
                </c:pt>
              </c:strCache>
            </c:strRef>
          </c:tx>
          <c:spPr>
            <a:solidFill>
              <a:schemeClr val="accent4">
                <a:lumMod val="60000"/>
              </a:schemeClr>
            </a:solidFill>
            <a:ln>
              <a:noFill/>
            </a:ln>
            <a:effectLst/>
          </c:spPr>
          <c:invertIfNegative val="0"/>
          <c:cat>
            <c:strRef>
              <c:f>Dados!$B$4:$M$4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Dados!$B$10:$M$10</c:f>
            </c:numRef>
          </c:val>
          <c:extLst>
            <c:ext xmlns:c16="http://schemas.microsoft.com/office/drawing/2014/chart" uri="{C3380CC4-5D6E-409C-BE32-E72D297353CC}">
              <c16:uniqueId val="{00000005-6C49-4EEC-92F0-DAC992FB9231}"/>
            </c:ext>
          </c:extLst>
        </c:ser>
        <c:ser>
          <c:idx val="6"/>
          <c:order val="6"/>
          <c:tx>
            <c:strRef>
              <c:f>Dados!$A$11</c:f>
              <c:strCache>
                <c:ptCount val="1"/>
                <c:pt idx="0">
                  <c:v>2019</c:v>
                </c:pt>
              </c:strCache>
            </c:strRef>
          </c:tx>
          <c:spPr>
            <a:solidFill>
              <a:schemeClr val="accent6">
                <a:lumMod val="80000"/>
                <a:lumOff val="20000"/>
              </a:schemeClr>
            </a:solidFill>
            <a:ln>
              <a:noFill/>
            </a:ln>
            <a:effectLst/>
          </c:spPr>
          <c:invertIfNegative val="0"/>
          <c:cat>
            <c:strRef>
              <c:f>Dados!$B$4:$M$4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Dados!$B$11:$M$11</c:f>
            </c:numRef>
          </c:val>
          <c:extLst>
            <c:ext xmlns:c16="http://schemas.microsoft.com/office/drawing/2014/chart" uri="{C3380CC4-5D6E-409C-BE32-E72D297353CC}">
              <c16:uniqueId val="{00000006-6C49-4EEC-92F0-DAC992FB9231}"/>
            </c:ext>
          </c:extLst>
        </c:ser>
        <c:ser>
          <c:idx val="7"/>
          <c:order val="7"/>
          <c:tx>
            <c:strRef>
              <c:f>Dados!$A$12</c:f>
              <c:strCache>
                <c:ptCount val="1"/>
                <c:pt idx="0">
                  <c:v>2021</c:v>
                </c:pt>
              </c:strCache>
            </c:strRef>
          </c:tx>
          <c:spPr>
            <a:solidFill>
              <a:schemeClr val="accent5">
                <a:lumMod val="80000"/>
                <a:lumOff val="20000"/>
              </a:schemeClr>
            </a:solidFill>
            <a:ln>
              <a:noFill/>
            </a:ln>
            <a:effectLst/>
          </c:spPr>
          <c:invertIfNegative val="0"/>
          <c:cat>
            <c:strRef>
              <c:f>Dados!$B$4:$M$4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Dados!$B$12:$M$12</c:f>
              <c:numCache>
                <c:formatCode>_(* #,##0_);_(* \(#,##0\);_(* "-"??_);_(@_)</c:formatCode>
                <c:ptCount val="12"/>
                <c:pt idx="0">
                  <c:v>9797</c:v>
                </c:pt>
                <c:pt idx="1">
                  <c:v>9802</c:v>
                </c:pt>
                <c:pt idx="2">
                  <c:v>8965</c:v>
                </c:pt>
                <c:pt idx="3">
                  <c:v>9835</c:v>
                </c:pt>
                <c:pt idx="4">
                  <c:v>8837</c:v>
                </c:pt>
                <c:pt idx="5">
                  <c:v>9177</c:v>
                </c:pt>
                <c:pt idx="6">
                  <c:v>9184</c:v>
                </c:pt>
                <c:pt idx="7">
                  <c:v>9429</c:v>
                </c:pt>
                <c:pt idx="8">
                  <c:v>8844</c:v>
                </c:pt>
                <c:pt idx="9">
                  <c:v>8216</c:v>
                </c:pt>
                <c:pt idx="10">
                  <c:v>8262</c:v>
                </c:pt>
                <c:pt idx="11">
                  <c:v>8241</c:v>
                </c:pt>
              </c:numCache>
            </c:numRef>
          </c:val>
          <c:extLst>
            <c:ext xmlns:c16="http://schemas.microsoft.com/office/drawing/2014/chart" uri="{C3380CC4-5D6E-409C-BE32-E72D297353CC}">
              <c16:uniqueId val="{00000007-6C49-4EEC-92F0-DAC992FB9231}"/>
            </c:ext>
          </c:extLst>
        </c:ser>
        <c:ser>
          <c:idx val="8"/>
          <c:order val="8"/>
          <c:tx>
            <c:strRef>
              <c:f>Dados!$A$13</c:f>
              <c:strCache>
                <c:ptCount val="1"/>
                <c:pt idx="0">
                  <c:v>2022</c:v>
                </c:pt>
              </c:strCache>
            </c:strRef>
          </c:tx>
          <c:spPr>
            <a:solidFill>
              <a:schemeClr val="accent4">
                <a:lumMod val="80000"/>
                <a:lumOff val="20000"/>
              </a:schemeClr>
            </a:solidFill>
            <a:ln>
              <a:noFill/>
            </a:ln>
            <a:effectLst/>
          </c:spPr>
          <c:invertIfNegative val="0"/>
          <c:cat>
            <c:strRef>
              <c:f>Dados!$B$4:$M$4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Dados!$B$13:$M$13</c:f>
              <c:numCache>
                <c:formatCode>_(* #,##0_);_(* \(#,##0\);_(* "-"??_);_(@_)</c:formatCode>
                <c:ptCount val="12"/>
                <c:pt idx="0">
                  <c:v>8767</c:v>
                </c:pt>
                <c:pt idx="1">
                  <c:v>9085</c:v>
                </c:pt>
                <c:pt idx="2">
                  <c:v>8184</c:v>
                </c:pt>
                <c:pt idx="3">
                  <c:v>8927</c:v>
                </c:pt>
                <c:pt idx="4">
                  <c:v>8094</c:v>
                </c:pt>
                <c:pt idx="5">
                  <c:v>8705</c:v>
                </c:pt>
              </c:numCache>
            </c:numRef>
          </c:val>
          <c:extLst>
            <c:ext xmlns:c16="http://schemas.microsoft.com/office/drawing/2014/chart" uri="{C3380CC4-5D6E-409C-BE32-E72D297353CC}">
              <c16:uniqueId val="{00000008-6C49-4EEC-92F0-DAC992FB9231}"/>
            </c:ext>
          </c:extLst>
        </c:ser>
        <c:dLbls>
          <c:showLegendKey val="0"/>
          <c:showVal val="0"/>
          <c:showCatName val="0"/>
          <c:showSerName val="0"/>
          <c:showPercent val="0"/>
          <c:showBubbleSize val="0"/>
        </c:dLbls>
        <c:gapWidth val="150"/>
        <c:axId val="-1757091952"/>
        <c:axId val="-1752049536"/>
      </c:barChart>
      <c:lineChart>
        <c:grouping val="standard"/>
        <c:varyColors val="0"/>
        <c:ser>
          <c:idx val="9"/>
          <c:order val="9"/>
          <c:tx>
            <c:strRef>
              <c:f>Dados!$A$14</c:f>
              <c:strCache>
                <c:ptCount val="1"/>
                <c:pt idx="0">
                  <c:v>Meta 2022</c:v>
                </c:pt>
              </c:strCache>
            </c:strRef>
          </c:tx>
          <c:spPr>
            <a:ln w="19050" cap="rnd" cmpd="sng" algn="ctr">
              <a:solidFill>
                <a:schemeClr val="accent6">
                  <a:lumMod val="80000"/>
                </a:schemeClr>
              </a:solidFill>
              <a:prstDash val="solid"/>
              <a:round/>
            </a:ln>
            <a:effectLst/>
          </c:spPr>
          <c:marker>
            <c:symbol val="none"/>
          </c:marker>
          <c:cat>
            <c:strRef>
              <c:f>Dados!$B$4:$M$4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Dados!$B$14:$M$14</c:f>
              <c:numCache>
                <c:formatCode>_(* #,##0_);_(* \(#,##0\);_(* "-"??_);_(@_)</c:formatCode>
                <c:ptCount val="12"/>
                <c:pt idx="0">
                  <c:v>11756.4</c:v>
                </c:pt>
                <c:pt idx="1">
                  <c:v>11762.4</c:v>
                </c:pt>
                <c:pt idx="2">
                  <c:v>10758</c:v>
                </c:pt>
                <c:pt idx="3">
                  <c:v>11802</c:v>
                </c:pt>
                <c:pt idx="4">
                  <c:v>10604.4</c:v>
                </c:pt>
                <c:pt idx="5">
                  <c:v>11012.4</c:v>
                </c:pt>
                <c:pt idx="6">
                  <c:v>11020.8</c:v>
                </c:pt>
                <c:pt idx="7">
                  <c:v>11314.8</c:v>
                </c:pt>
                <c:pt idx="8">
                  <c:v>10612.8</c:v>
                </c:pt>
                <c:pt idx="9">
                  <c:v>9859.2000000000007</c:v>
                </c:pt>
                <c:pt idx="10">
                  <c:v>9914.4</c:v>
                </c:pt>
                <c:pt idx="11">
                  <c:v>9889.2000000000007</c:v>
                </c:pt>
              </c:numCache>
            </c:numRef>
          </c:val>
          <c:smooth val="1"/>
          <c:extLst>
            <c:ext xmlns:c16="http://schemas.microsoft.com/office/drawing/2014/chart" uri="{C3380CC4-5D6E-409C-BE32-E72D297353CC}">
              <c16:uniqueId val="{00000009-6C49-4EEC-92F0-DAC992FB9231}"/>
            </c:ext>
          </c:extLst>
        </c:ser>
        <c:dLbls>
          <c:showLegendKey val="0"/>
          <c:showVal val="0"/>
          <c:showCatName val="0"/>
          <c:showSerName val="0"/>
          <c:showPercent val="0"/>
          <c:showBubbleSize val="0"/>
        </c:dLbls>
        <c:marker val="1"/>
        <c:smooth val="0"/>
        <c:axId val="-1757091952"/>
        <c:axId val="-1752049536"/>
      </c:lineChart>
      <c:catAx>
        <c:axId val="-1757091952"/>
        <c:scaling>
          <c:orientation val="minMax"/>
        </c:scaling>
        <c:delete val="0"/>
        <c:axPos val="b"/>
        <c:numFmt formatCode="General" sourceLinked="1"/>
        <c:majorTickMark val="out"/>
        <c:minorTickMark val="none"/>
        <c:tickLblPos val="nextTo"/>
        <c:spPr>
          <a:noFill/>
          <a:ln w="12700" cap="flat" cmpd="sng" algn="ctr">
            <a:solidFill>
              <a:schemeClr val="lt1">
                <a:lumMod val="95000"/>
                <a:alpha val="54000"/>
              </a:schemeClr>
            </a:solidFill>
            <a:prstDash val="solid"/>
            <a:round/>
          </a:ln>
          <a:effectLst/>
        </c:spPr>
        <c:txPr>
          <a:bodyPr rot="0" spcFirstLastPara="1" vertOverflow="ellipsis" wrap="square" anchor="ctr" anchorCtr="1"/>
          <a:lstStyle/>
          <a:p>
            <a:pPr>
              <a:defRPr sz="1000" b="0" i="0" u="none" strike="noStrike" kern="1200" baseline="0">
                <a:solidFill>
                  <a:sysClr val="windowText" lastClr="000000"/>
                </a:solidFill>
                <a:latin typeface="Calibri" panose="020F0502020204030204" pitchFamily="34" charset="0"/>
                <a:ea typeface="+mn-ea"/>
                <a:cs typeface="+mn-cs"/>
              </a:defRPr>
            </a:pPr>
            <a:endParaRPr lang="pt-BR"/>
          </a:p>
        </c:txPr>
        <c:crossAx val="-1752049536"/>
        <c:crosses val="autoZero"/>
        <c:auto val="1"/>
        <c:lblAlgn val="ctr"/>
        <c:lblOffset val="100"/>
        <c:noMultiLvlLbl val="0"/>
      </c:catAx>
      <c:valAx>
        <c:axId val="-1752049536"/>
        <c:scaling>
          <c:orientation val="minMax"/>
        </c:scaling>
        <c:delete val="0"/>
        <c:axPos val="l"/>
        <c:numFmt formatCode="_(* #,##0_);_(* \(#,##0\);_(* &quot;-&quot;??_);_(@_)" sourceLinked="1"/>
        <c:majorTickMark val="out"/>
        <c:minorTickMark val="none"/>
        <c:tickLblPos val="nextTo"/>
        <c:spPr>
          <a:noFill/>
          <a:ln w="6350" cap="flat" cmpd="sng" algn="ctr">
            <a:noFill/>
            <a:prstDash val="solid"/>
            <a:round/>
          </a:ln>
          <a:effectLst/>
        </c:spPr>
        <c:txPr>
          <a:bodyPr rot="0" spcFirstLastPara="1" vertOverflow="ellipsis" wrap="square" anchor="ctr" anchorCtr="1"/>
          <a:lstStyle/>
          <a:p>
            <a:pPr>
              <a:defRPr sz="1000" b="0" i="0" u="none" strike="noStrike" kern="1200" baseline="0">
                <a:solidFill>
                  <a:sysClr val="windowText" lastClr="000000"/>
                </a:solidFill>
                <a:latin typeface="Calibri" panose="020F0502020204030204" pitchFamily="34" charset="0"/>
                <a:ea typeface="+mn-ea"/>
                <a:cs typeface="+mn-cs"/>
              </a:defRPr>
            </a:pPr>
            <a:endParaRPr lang="pt-BR"/>
          </a:p>
        </c:txPr>
        <c:crossAx val="-1757091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mn-cs"/>
            </a:defRPr>
          </a:pPr>
          <a:endParaRPr lang="pt-BR"/>
        </a:p>
      </c:txPr>
    </c:legend>
    <c:plotVisOnly val="1"/>
    <c:dispBlanksAs val="gap"/>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6350" cap="flat" cmpd="sng" algn="ctr">
      <a:noFill/>
      <a:prstDash val="solid"/>
      <a:round/>
    </a:ln>
    <a:effectLst/>
  </c:spPr>
  <c:txPr>
    <a:bodyPr/>
    <a:lstStyle/>
    <a:p>
      <a:pPr>
        <a:defRPr baseline="0">
          <a:solidFill>
            <a:sysClr val="windowText" lastClr="000000"/>
          </a:solidFill>
          <a:latin typeface="Calibri" panose="020F0502020204030204" pitchFamily="34" charset="0"/>
        </a:defRPr>
      </a:pPr>
      <a:endParaRPr lang="pt-BR"/>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a:t>Consumo (m³)</a:t>
            </a:r>
          </a:p>
        </c:rich>
      </c:tx>
      <c:layout>
        <c:manualLayout>
          <c:xMode val="edge"/>
          <c:yMode val="edge"/>
          <c:x val="0.4595247612702642"/>
          <c:y val="4.444444444444444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tx>
            <c:v>2020</c:v>
          </c:tx>
          <c:spPr>
            <a:solidFill>
              <a:schemeClr val="accent1"/>
            </a:solidFill>
            <a:ln>
              <a:noFill/>
            </a:ln>
            <a:effectLst/>
          </c:spPr>
          <c:invertIfNegative val="0"/>
          <c:val>
            <c:numRef>
              <c:f>Dados!$B$4:$M$4</c:f>
              <c:numCache>
                <c:formatCode>General</c:formatCode>
                <c:ptCount val="12"/>
                <c:pt idx="0">
                  <c:v>85</c:v>
                </c:pt>
                <c:pt idx="1">
                  <c:v>101</c:v>
                </c:pt>
                <c:pt idx="2">
                  <c:v>136</c:v>
                </c:pt>
                <c:pt idx="3">
                  <c:v>39</c:v>
                </c:pt>
                <c:pt idx="4">
                  <c:v>27</c:v>
                </c:pt>
                <c:pt idx="5">
                  <c:v>37</c:v>
                </c:pt>
                <c:pt idx="6">
                  <c:v>42</c:v>
                </c:pt>
                <c:pt idx="7">
                  <c:v>56</c:v>
                </c:pt>
                <c:pt idx="8">
                  <c:v>32</c:v>
                </c:pt>
                <c:pt idx="9">
                  <c:v>35</c:v>
                </c:pt>
                <c:pt idx="10">
                  <c:v>41</c:v>
                </c:pt>
                <c:pt idx="11">
                  <c:v>38</c:v>
                </c:pt>
              </c:numCache>
            </c:numRef>
          </c:val>
          <c:extLst>
            <c:ext xmlns:c16="http://schemas.microsoft.com/office/drawing/2014/chart" uri="{C3380CC4-5D6E-409C-BE32-E72D297353CC}">
              <c16:uniqueId val="{00000000-6550-4EB6-BE0B-67CBD2EE4DC9}"/>
            </c:ext>
          </c:extLst>
        </c:ser>
        <c:ser>
          <c:idx val="1"/>
          <c:order val="1"/>
          <c:tx>
            <c:v>2021</c:v>
          </c:tx>
          <c:spPr>
            <a:solidFill>
              <a:schemeClr val="accent2"/>
            </a:solidFill>
            <a:ln>
              <a:noFill/>
            </a:ln>
            <a:effectLst/>
          </c:spPr>
          <c:invertIfNegative val="0"/>
          <c:val>
            <c:numRef>
              <c:f>Dados!$B$5:$M$5</c:f>
              <c:numCache>
                <c:formatCode>General</c:formatCode>
                <c:ptCount val="12"/>
                <c:pt idx="0">
                  <c:v>33</c:v>
                </c:pt>
                <c:pt idx="1">
                  <c:v>57</c:v>
                </c:pt>
                <c:pt idx="2">
                  <c:v>33</c:v>
                </c:pt>
                <c:pt idx="3">
                  <c:v>29</c:v>
                </c:pt>
                <c:pt idx="4">
                  <c:v>51</c:v>
                </c:pt>
                <c:pt idx="5">
                  <c:v>55</c:v>
                </c:pt>
                <c:pt idx="6">
                  <c:v>38</c:v>
                </c:pt>
                <c:pt idx="7">
                  <c:v>67</c:v>
                </c:pt>
                <c:pt idx="8">
                  <c:v>42</c:v>
                </c:pt>
                <c:pt idx="9">
                  <c:v>42</c:v>
                </c:pt>
                <c:pt idx="10">
                  <c:v>110</c:v>
                </c:pt>
                <c:pt idx="11">
                  <c:v>62</c:v>
                </c:pt>
              </c:numCache>
            </c:numRef>
          </c:val>
          <c:extLst>
            <c:ext xmlns:c16="http://schemas.microsoft.com/office/drawing/2014/chart" uri="{C3380CC4-5D6E-409C-BE32-E72D297353CC}">
              <c16:uniqueId val="{00000001-6550-4EB6-BE0B-67CBD2EE4DC9}"/>
            </c:ext>
          </c:extLst>
        </c:ser>
        <c:ser>
          <c:idx val="2"/>
          <c:order val="2"/>
          <c:tx>
            <c:v>2022</c:v>
          </c:tx>
          <c:spPr>
            <a:solidFill>
              <a:schemeClr val="accent3"/>
            </a:solidFill>
            <a:ln>
              <a:noFill/>
            </a:ln>
            <a:effectLst/>
          </c:spPr>
          <c:invertIfNegative val="0"/>
          <c:val>
            <c:numRef>
              <c:f>Dados!$B$6:$M$6</c:f>
              <c:numCache>
                <c:formatCode>General</c:formatCode>
                <c:ptCount val="12"/>
                <c:pt idx="0">
                  <c:v>70</c:v>
                </c:pt>
                <c:pt idx="1">
                  <c:v>61</c:v>
                </c:pt>
                <c:pt idx="2">
                  <c:v>124</c:v>
                </c:pt>
                <c:pt idx="3">
                  <c:v>251</c:v>
                </c:pt>
                <c:pt idx="4">
                  <c:v>84</c:v>
                </c:pt>
                <c:pt idx="5">
                  <c:v>135</c:v>
                </c:pt>
              </c:numCache>
            </c:numRef>
          </c:val>
          <c:extLst>
            <c:ext xmlns:c16="http://schemas.microsoft.com/office/drawing/2014/chart" uri="{C3380CC4-5D6E-409C-BE32-E72D297353CC}">
              <c16:uniqueId val="{00000002-6550-4EB6-BE0B-67CBD2EE4DC9}"/>
            </c:ext>
          </c:extLst>
        </c:ser>
        <c:dLbls>
          <c:showLegendKey val="0"/>
          <c:showVal val="0"/>
          <c:showCatName val="0"/>
          <c:showSerName val="0"/>
          <c:showPercent val="0"/>
          <c:showBubbleSize val="0"/>
        </c:dLbls>
        <c:gapWidth val="219"/>
        <c:overlap val="-27"/>
        <c:axId val="1790469919"/>
        <c:axId val="1790488223"/>
      </c:barChart>
      <c:lineChart>
        <c:grouping val="standard"/>
        <c:varyColors val="0"/>
        <c:ser>
          <c:idx val="3"/>
          <c:order val="3"/>
          <c:tx>
            <c:v>meta 2022</c:v>
          </c:tx>
          <c:spPr>
            <a:ln w="28575" cap="rnd">
              <a:solidFill>
                <a:schemeClr val="accent4"/>
              </a:solidFill>
              <a:round/>
            </a:ln>
            <a:effectLst/>
          </c:spPr>
          <c:marker>
            <c:symbol val="none"/>
          </c:marker>
          <c:val>
            <c:numRef>
              <c:f>Dados!$B$7:$M$7</c:f>
              <c:numCache>
                <c:formatCode>0</c:formatCode>
                <c:ptCount val="12"/>
                <c:pt idx="0">
                  <c:v>36.300000000000004</c:v>
                </c:pt>
                <c:pt idx="1">
                  <c:v>62.7</c:v>
                </c:pt>
                <c:pt idx="2">
                  <c:v>36.300000000000004</c:v>
                </c:pt>
                <c:pt idx="3">
                  <c:v>31.900000000000002</c:v>
                </c:pt>
                <c:pt idx="4">
                  <c:v>56.1</c:v>
                </c:pt>
                <c:pt idx="5">
                  <c:v>60.500000000000007</c:v>
                </c:pt>
                <c:pt idx="6">
                  <c:v>41.800000000000004</c:v>
                </c:pt>
                <c:pt idx="7">
                  <c:v>73.7</c:v>
                </c:pt>
                <c:pt idx="8">
                  <c:v>46.2</c:v>
                </c:pt>
                <c:pt idx="9">
                  <c:v>46.2</c:v>
                </c:pt>
                <c:pt idx="10">
                  <c:v>121.00000000000001</c:v>
                </c:pt>
                <c:pt idx="11">
                  <c:v>68.2</c:v>
                </c:pt>
              </c:numCache>
            </c:numRef>
          </c:val>
          <c:smooth val="1"/>
          <c:extLst>
            <c:ext xmlns:c16="http://schemas.microsoft.com/office/drawing/2014/chart" uri="{C3380CC4-5D6E-409C-BE32-E72D297353CC}">
              <c16:uniqueId val="{00000003-6550-4EB6-BE0B-67CBD2EE4DC9}"/>
            </c:ext>
          </c:extLst>
        </c:ser>
        <c:dLbls>
          <c:showLegendKey val="0"/>
          <c:showVal val="0"/>
          <c:showCatName val="0"/>
          <c:showSerName val="0"/>
          <c:showPercent val="0"/>
          <c:showBubbleSize val="0"/>
        </c:dLbls>
        <c:marker val="1"/>
        <c:smooth val="0"/>
        <c:axId val="1790469919"/>
        <c:axId val="1790488223"/>
      </c:lineChart>
      <c:catAx>
        <c:axId val="17904699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790488223"/>
        <c:crosses val="autoZero"/>
        <c:auto val="1"/>
        <c:lblAlgn val="ctr"/>
        <c:lblOffset val="100"/>
        <c:noMultiLvlLbl val="0"/>
      </c:catAx>
      <c:valAx>
        <c:axId val="17904882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790469919"/>
        <c:crosses val="autoZero"/>
        <c:crossBetween val="between"/>
      </c:valAx>
      <c:spPr>
        <a:solidFill>
          <a:schemeClr val="accent3">
            <a:lumMod val="20000"/>
            <a:lumOff val="80000"/>
          </a:scheme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Consumo M³</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tx>
            <c:v>2020</c:v>
          </c:tx>
          <c:spPr>
            <a:solidFill>
              <a:schemeClr val="accent1"/>
            </a:solidFill>
            <a:ln>
              <a:noFill/>
            </a:ln>
            <a:effectLst/>
          </c:spPr>
          <c:invertIfNegative val="0"/>
          <c:cat>
            <c:strRef>
              <c:f>Dados!$B$3:$M$3</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Dados!$B$4:$M$4</c:f>
              <c:numCache>
                <c:formatCode>General</c:formatCode>
                <c:ptCount val="12"/>
                <c:pt idx="0">
                  <c:v>160</c:v>
                </c:pt>
                <c:pt idx="1">
                  <c:v>160</c:v>
                </c:pt>
                <c:pt idx="2">
                  <c:v>160</c:v>
                </c:pt>
                <c:pt idx="3">
                  <c:v>7</c:v>
                </c:pt>
                <c:pt idx="4">
                  <c:v>10</c:v>
                </c:pt>
                <c:pt idx="5">
                  <c:v>17</c:v>
                </c:pt>
                <c:pt idx="6">
                  <c:v>21</c:v>
                </c:pt>
                <c:pt idx="7">
                  <c:v>24</c:v>
                </c:pt>
                <c:pt idx="8">
                  <c:v>22</c:v>
                </c:pt>
                <c:pt idx="9">
                  <c:v>24</c:v>
                </c:pt>
                <c:pt idx="10">
                  <c:v>33</c:v>
                </c:pt>
                <c:pt idx="11">
                  <c:v>25</c:v>
                </c:pt>
              </c:numCache>
            </c:numRef>
          </c:val>
          <c:extLst>
            <c:ext xmlns:c16="http://schemas.microsoft.com/office/drawing/2014/chart" uri="{C3380CC4-5D6E-409C-BE32-E72D297353CC}">
              <c16:uniqueId val="{00000000-8B5C-40F4-B40F-C6B7498D95BB}"/>
            </c:ext>
          </c:extLst>
        </c:ser>
        <c:ser>
          <c:idx val="1"/>
          <c:order val="1"/>
          <c:tx>
            <c:v>2021</c:v>
          </c:tx>
          <c:spPr>
            <a:solidFill>
              <a:schemeClr val="accent2"/>
            </a:solidFill>
            <a:ln>
              <a:noFill/>
            </a:ln>
            <a:effectLst/>
          </c:spPr>
          <c:invertIfNegative val="0"/>
          <c:cat>
            <c:strRef>
              <c:f>Dados!$B$3:$M$3</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Dados!$B$5:$M$5</c:f>
              <c:numCache>
                <c:formatCode>General</c:formatCode>
                <c:ptCount val="12"/>
                <c:pt idx="0">
                  <c:v>26</c:v>
                </c:pt>
                <c:pt idx="1">
                  <c:v>35</c:v>
                </c:pt>
                <c:pt idx="2">
                  <c:v>14</c:v>
                </c:pt>
                <c:pt idx="3">
                  <c:v>43</c:v>
                </c:pt>
                <c:pt idx="4">
                  <c:v>34</c:v>
                </c:pt>
                <c:pt idx="5">
                  <c:v>25</c:v>
                </c:pt>
                <c:pt idx="6">
                  <c:v>37</c:v>
                </c:pt>
                <c:pt idx="7">
                  <c:v>45</c:v>
                </c:pt>
                <c:pt idx="8">
                  <c:v>27</c:v>
                </c:pt>
                <c:pt idx="9">
                  <c:v>27</c:v>
                </c:pt>
                <c:pt idx="10">
                  <c:v>33</c:v>
                </c:pt>
                <c:pt idx="11">
                  <c:v>42</c:v>
                </c:pt>
              </c:numCache>
            </c:numRef>
          </c:val>
          <c:extLst>
            <c:ext xmlns:c16="http://schemas.microsoft.com/office/drawing/2014/chart" uri="{C3380CC4-5D6E-409C-BE32-E72D297353CC}">
              <c16:uniqueId val="{00000001-8B5C-40F4-B40F-C6B7498D95BB}"/>
            </c:ext>
          </c:extLst>
        </c:ser>
        <c:ser>
          <c:idx val="2"/>
          <c:order val="2"/>
          <c:tx>
            <c:v>2022</c:v>
          </c:tx>
          <c:spPr>
            <a:solidFill>
              <a:schemeClr val="accent3"/>
            </a:solidFill>
            <a:ln>
              <a:noFill/>
            </a:ln>
            <a:effectLst/>
          </c:spPr>
          <c:invertIfNegative val="0"/>
          <c:cat>
            <c:strRef>
              <c:f>Dados!$B$3:$M$3</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Dados!$B$6:$M$6</c:f>
              <c:numCache>
                <c:formatCode>General</c:formatCode>
                <c:ptCount val="12"/>
                <c:pt idx="0">
                  <c:v>41</c:v>
                </c:pt>
                <c:pt idx="1">
                  <c:v>25</c:v>
                </c:pt>
                <c:pt idx="2">
                  <c:v>21</c:v>
                </c:pt>
                <c:pt idx="3">
                  <c:v>26</c:v>
                </c:pt>
                <c:pt idx="4">
                  <c:v>25</c:v>
                </c:pt>
                <c:pt idx="5">
                  <c:v>41</c:v>
                </c:pt>
                <c:pt idx="6">
                  <c:v>0</c:v>
                </c:pt>
                <c:pt idx="7">
                  <c:v>0</c:v>
                </c:pt>
                <c:pt idx="8">
                  <c:v>0</c:v>
                </c:pt>
                <c:pt idx="9">
                  <c:v>0</c:v>
                </c:pt>
                <c:pt idx="10">
                  <c:v>0</c:v>
                </c:pt>
                <c:pt idx="11">
                  <c:v>0</c:v>
                </c:pt>
              </c:numCache>
            </c:numRef>
          </c:val>
          <c:extLst>
            <c:ext xmlns:c16="http://schemas.microsoft.com/office/drawing/2014/chart" uri="{C3380CC4-5D6E-409C-BE32-E72D297353CC}">
              <c16:uniqueId val="{00000002-8B5C-40F4-B40F-C6B7498D95BB}"/>
            </c:ext>
          </c:extLst>
        </c:ser>
        <c:dLbls>
          <c:showLegendKey val="0"/>
          <c:showVal val="0"/>
          <c:showCatName val="0"/>
          <c:showSerName val="0"/>
          <c:showPercent val="0"/>
          <c:showBubbleSize val="0"/>
        </c:dLbls>
        <c:gapWidth val="219"/>
        <c:overlap val="-27"/>
        <c:axId val="1404184848"/>
        <c:axId val="1404185264"/>
      </c:barChart>
      <c:lineChart>
        <c:grouping val="standard"/>
        <c:varyColors val="0"/>
        <c:ser>
          <c:idx val="3"/>
          <c:order val="3"/>
          <c:tx>
            <c:v>Meta 2022</c:v>
          </c:tx>
          <c:spPr>
            <a:ln w="28575" cap="rnd">
              <a:solidFill>
                <a:schemeClr val="accent4"/>
              </a:solidFill>
              <a:round/>
            </a:ln>
            <a:effectLst/>
          </c:spPr>
          <c:marker>
            <c:symbol val="none"/>
          </c:marker>
          <c:cat>
            <c:strRef>
              <c:f>Dados!$B$3:$M$3</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Dados!$B$7:$M$7</c:f>
              <c:numCache>
                <c:formatCode>0</c:formatCode>
                <c:ptCount val="12"/>
                <c:pt idx="0">
                  <c:v>28.6</c:v>
                </c:pt>
                <c:pt idx="1">
                  <c:v>38.5</c:v>
                </c:pt>
                <c:pt idx="2">
                  <c:v>15.400000000000002</c:v>
                </c:pt>
                <c:pt idx="3">
                  <c:v>47.300000000000004</c:v>
                </c:pt>
                <c:pt idx="4">
                  <c:v>37.400000000000006</c:v>
                </c:pt>
                <c:pt idx="5">
                  <c:v>27.500000000000004</c:v>
                </c:pt>
                <c:pt idx="6">
                  <c:v>40.700000000000003</c:v>
                </c:pt>
                <c:pt idx="7">
                  <c:v>49.500000000000007</c:v>
                </c:pt>
                <c:pt idx="8">
                  <c:v>29.700000000000003</c:v>
                </c:pt>
                <c:pt idx="9">
                  <c:v>29.700000000000003</c:v>
                </c:pt>
                <c:pt idx="10">
                  <c:v>36.300000000000004</c:v>
                </c:pt>
                <c:pt idx="11">
                  <c:v>46.2</c:v>
                </c:pt>
              </c:numCache>
            </c:numRef>
          </c:val>
          <c:smooth val="1"/>
          <c:extLst>
            <c:ext xmlns:c16="http://schemas.microsoft.com/office/drawing/2014/chart" uri="{C3380CC4-5D6E-409C-BE32-E72D297353CC}">
              <c16:uniqueId val="{00000003-8B5C-40F4-B40F-C6B7498D95BB}"/>
            </c:ext>
          </c:extLst>
        </c:ser>
        <c:dLbls>
          <c:showLegendKey val="0"/>
          <c:showVal val="0"/>
          <c:showCatName val="0"/>
          <c:showSerName val="0"/>
          <c:showPercent val="0"/>
          <c:showBubbleSize val="0"/>
        </c:dLbls>
        <c:marker val="1"/>
        <c:smooth val="0"/>
        <c:axId val="1404209392"/>
        <c:axId val="1404204400"/>
      </c:lineChart>
      <c:catAx>
        <c:axId val="1404184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404185264"/>
        <c:crosses val="autoZero"/>
        <c:auto val="1"/>
        <c:lblAlgn val="ctr"/>
        <c:lblOffset val="100"/>
        <c:noMultiLvlLbl val="0"/>
      </c:catAx>
      <c:valAx>
        <c:axId val="1404185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404184848"/>
        <c:crosses val="autoZero"/>
        <c:crossBetween val="between"/>
      </c:valAx>
      <c:valAx>
        <c:axId val="1404204400"/>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404209392"/>
        <c:crosses val="max"/>
        <c:crossBetween val="between"/>
      </c:valAx>
      <c:catAx>
        <c:axId val="1404209392"/>
        <c:scaling>
          <c:orientation val="minMax"/>
        </c:scaling>
        <c:delete val="1"/>
        <c:axPos val="b"/>
        <c:numFmt formatCode="General" sourceLinked="1"/>
        <c:majorTickMark val="out"/>
        <c:minorTickMark val="none"/>
        <c:tickLblPos val="nextTo"/>
        <c:crossAx val="140420440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pt-BR"/>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Consumo m³</a:t>
            </a:r>
          </a:p>
        </c:rich>
      </c:tx>
      <c:overlay val="0"/>
      <c:spPr>
        <a:solidFill>
          <a:schemeClr val="bg2">
            <a:lumMod val="90000"/>
          </a:schemeClr>
        </a:solid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tx>
            <c:v>2020</c:v>
          </c:tx>
          <c:spPr>
            <a:solidFill>
              <a:schemeClr val="accent1"/>
            </a:solidFill>
            <a:ln>
              <a:noFill/>
            </a:ln>
            <a:effectLst/>
          </c:spPr>
          <c:invertIfNegative val="0"/>
          <c:cat>
            <c:strRef>
              <c:f>Dados!$B$3:$M$3</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Dados!$B$4:$M$4</c:f>
              <c:numCache>
                <c:formatCode>General</c:formatCode>
                <c:ptCount val="12"/>
                <c:pt idx="0">
                  <c:v>44</c:v>
                </c:pt>
                <c:pt idx="1">
                  <c:v>48</c:v>
                </c:pt>
                <c:pt idx="2">
                  <c:v>54</c:v>
                </c:pt>
                <c:pt idx="3">
                  <c:v>5</c:v>
                </c:pt>
                <c:pt idx="4">
                  <c:v>13</c:v>
                </c:pt>
                <c:pt idx="5">
                  <c:v>17</c:v>
                </c:pt>
                <c:pt idx="6">
                  <c:v>9</c:v>
                </c:pt>
                <c:pt idx="7">
                  <c:v>12</c:v>
                </c:pt>
                <c:pt idx="8">
                  <c:v>17</c:v>
                </c:pt>
                <c:pt idx="9">
                  <c:v>22</c:v>
                </c:pt>
                <c:pt idx="10">
                  <c:v>26</c:v>
                </c:pt>
                <c:pt idx="11">
                  <c:v>24</c:v>
                </c:pt>
              </c:numCache>
            </c:numRef>
          </c:val>
          <c:extLst>
            <c:ext xmlns:c16="http://schemas.microsoft.com/office/drawing/2014/chart" uri="{C3380CC4-5D6E-409C-BE32-E72D297353CC}">
              <c16:uniqueId val="{00000000-72FA-4F0F-B20B-684763CAE848}"/>
            </c:ext>
          </c:extLst>
        </c:ser>
        <c:ser>
          <c:idx val="1"/>
          <c:order val="1"/>
          <c:tx>
            <c:v>2021</c:v>
          </c:tx>
          <c:spPr>
            <a:solidFill>
              <a:schemeClr val="accent2"/>
            </a:solidFill>
            <a:ln>
              <a:noFill/>
            </a:ln>
            <a:effectLst/>
          </c:spPr>
          <c:invertIfNegative val="0"/>
          <c:cat>
            <c:strRef>
              <c:f>Dados!$B$3:$M$3</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Dados!$B$5:$M$5</c:f>
              <c:numCache>
                <c:formatCode>General</c:formatCode>
                <c:ptCount val="12"/>
                <c:pt idx="0">
                  <c:v>31</c:v>
                </c:pt>
                <c:pt idx="1">
                  <c:v>21</c:v>
                </c:pt>
                <c:pt idx="2">
                  <c:v>25</c:v>
                </c:pt>
                <c:pt idx="3">
                  <c:v>18</c:v>
                </c:pt>
                <c:pt idx="4">
                  <c:v>18</c:v>
                </c:pt>
                <c:pt idx="5">
                  <c:v>19</c:v>
                </c:pt>
                <c:pt idx="6">
                  <c:v>30</c:v>
                </c:pt>
                <c:pt idx="7">
                  <c:v>22</c:v>
                </c:pt>
                <c:pt idx="8">
                  <c:v>23</c:v>
                </c:pt>
                <c:pt idx="9">
                  <c:v>27</c:v>
                </c:pt>
                <c:pt idx="10">
                  <c:v>23</c:v>
                </c:pt>
                <c:pt idx="11">
                  <c:v>25</c:v>
                </c:pt>
              </c:numCache>
            </c:numRef>
          </c:val>
          <c:extLst>
            <c:ext xmlns:c16="http://schemas.microsoft.com/office/drawing/2014/chart" uri="{C3380CC4-5D6E-409C-BE32-E72D297353CC}">
              <c16:uniqueId val="{00000001-72FA-4F0F-B20B-684763CAE848}"/>
            </c:ext>
          </c:extLst>
        </c:ser>
        <c:ser>
          <c:idx val="2"/>
          <c:order val="2"/>
          <c:tx>
            <c:v>2022</c:v>
          </c:tx>
          <c:spPr>
            <a:solidFill>
              <a:schemeClr val="accent3"/>
            </a:solidFill>
            <a:ln>
              <a:noFill/>
            </a:ln>
            <a:effectLst/>
          </c:spPr>
          <c:invertIfNegative val="0"/>
          <c:cat>
            <c:strRef>
              <c:f>Dados!$B$3:$M$3</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Dados!$B$6:$M$6</c:f>
              <c:numCache>
                <c:formatCode>General</c:formatCode>
                <c:ptCount val="12"/>
                <c:pt idx="0">
                  <c:v>23</c:v>
                </c:pt>
                <c:pt idx="1">
                  <c:v>29</c:v>
                </c:pt>
                <c:pt idx="2">
                  <c:v>50</c:v>
                </c:pt>
                <c:pt idx="3">
                  <c:v>22</c:v>
                </c:pt>
                <c:pt idx="4">
                  <c:v>23</c:v>
                </c:pt>
                <c:pt idx="5">
                  <c:v>25</c:v>
                </c:pt>
              </c:numCache>
            </c:numRef>
          </c:val>
          <c:extLst>
            <c:ext xmlns:c16="http://schemas.microsoft.com/office/drawing/2014/chart" uri="{C3380CC4-5D6E-409C-BE32-E72D297353CC}">
              <c16:uniqueId val="{00000002-72FA-4F0F-B20B-684763CAE848}"/>
            </c:ext>
          </c:extLst>
        </c:ser>
        <c:dLbls>
          <c:showLegendKey val="0"/>
          <c:showVal val="0"/>
          <c:showCatName val="0"/>
          <c:showSerName val="0"/>
          <c:showPercent val="0"/>
          <c:showBubbleSize val="0"/>
        </c:dLbls>
        <c:gapWidth val="150"/>
        <c:axId val="2139741872"/>
        <c:axId val="2139735216"/>
      </c:barChart>
      <c:lineChart>
        <c:grouping val="standard"/>
        <c:varyColors val="0"/>
        <c:ser>
          <c:idx val="3"/>
          <c:order val="3"/>
          <c:tx>
            <c:v>META 2022</c:v>
          </c:tx>
          <c:spPr>
            <a:ln w="28575" cap="rnd">
              <a:solidFill>
                <a:schemeClr val="accent4"/>
              </a:solidFill>
              <a:round/>
            </a:ln>
            <a:effectLst/>
          </c:spPr>
          <c:marker>
            <c:symbol val="none"/>
          </c:marker>
          <c:cat>
            <c:strRef>
              <c:f>Dados!$B$3:$M$3</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Dados!$B$7:$M$7</c:f>
              <c:numCache>
                <c:formatCode>0</c:formatCode>
                <c:ptCount val="12"/>
                <c:pt idx="0">
                  <c:v>34.1</c:v>
                </c:pt>
                <c:pt idx="1">
                  <c:v>23.1</c:v>
                </c:pt>
                <c:pt idx="2">
                  <c:v>27.500000000000004</c:v>
                </c:pt>
                <c:pt idx="3">
                  <c:v>19.8</c:v>
                </c:pt>
                <c:pt idx="4">
                  <c:v>19.8</c:v>
                </c:pt>
                <c:pt idx="5">
                  <c:v>20.900000000000002</c:v>
                </c:pt>
                <c:pt idx="6">
                  <c:v>33</c:v>
                </c:pt>
                <c:pt idx="7">
                  <c:v>24.200000000000003</c:v>
                </c:pt>
                <c:pt idx="8">
                  <c:v>25.3</c:v>
                </c:pt>
                <c:pt idx="9">
                  <c:v>29.700000000000003</c:v>
                </c:pt>
                <c:pt idx="10">
                  <c:v>25.3</c:v>
                </c:pt>
                <c:pt idx="11">
                  <c:v>27.500000000000004</c:v>
                </c:pt>
              </c:numCache>
            </c:numRef>
          </c:val>
          <c:smooth val="1"/>
          <c:extLst>
            <c:ext xmlns:c16="http://schemas.microsoft.com/office/drawing/2014/chart" uri="{C3380CC4-5D6E-409C-BE32-E72D297353CC}">
              <c16:uniqueId val="{00000003-72FA-4F0F-B20B-684763CAE848}"/>
            </c:ext>
          </c:extLst>
        </c:ser>
        <c:dLbls>
          <c:showLegendKey val="0"/>
          <c:showVal val="0"/>
          <c:showCatName val="0"/>
          <c:showSerName val="0"/>
          <c:showPercent val="0"/>
          <c:showBubbleSize val="0"/>
        </c:dLbls>
        <c:marker val="1"/>
        <c:smooth val="0"/>
        <c:axId val="75070896"/>
        <c:axId val="75065904"/>
      </c:lineChart>
      <c:catAx>
        <c:axId val="21397418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139735216"/>
        <c:crosses val="autoZero"/>
        <c:auto val="1"/>
        <c:lblAlgn val="ctr"/>
        <c:lblOffset val="100"/>
        <c:noMultiLvlLbl val="0"/>
      </c:catAx>
      <c:valAx>
        <c:axId val="2139735216"/>
        <c:scaling>
          <c:orientation val="minMax"/>
        </c:scaling>
        <c:delete val="0"/>
        <c:axPos val="l"/>
        <c:majorGridlines>
          <c:spPr>
            <a:ln w="9525" cap="flat" cmpd="sng" algn="ctr">
              <a:solidFill>
                <a:schemeClr val="tx1"/>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139741872"/>
        <c:crosses val="autoZero"/>
        <c:crossBetween val="between"/>
      </c:valAx>
      <c:valAx>
        <c:axId val="75065904"/>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75070896"/>
        <c:crosses val="max"/>
        <c:crossBetween val="between"/>
      </c:valAx>
      <c:catAx>
        <c:axId val="75070896"/>
        <c:scaling>
          <c:orientation val="minMax"/>
        </c:scaling>
        <c:delete val="1"/>
        <c:axPos val="b"/>
        <c:numFmt formatCode="General" sourceLinked="1"/>
        <c:majorTickMark val="out"/>
        <c:minorTickMark val="none"/>
        <c:tickLblPos val="nextTo"/>
        <c:crossAx val="75065904"/>
        <c:crosses val="autoZero"/>
        <c:auto val="1"/>
        <c:lblAlgn val="ctr"/>
        <c:lblOffset val="100"/>
        <c:noMultiLvlLbl val="0"/>
      </c:catAx>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pt-BR"/>
              <a:t>Distribuição dos gastos de materiais com manutenção - 2022</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pt-BR"/>
        </a:p>
      </c:txPr>
    </c:title>
    <c:autoTitleDeleted val="0"/>
    <c:plotArea>
      <c:layout/>
      <c:pieChart>
        <c:varyColors val="1"/>
        <c:ser>
          <c:idx val="12"/>
          <c:order val="12"/>
          <c:tx>
            <c:strRef>
              <c:f>' Dados Predial'!$O$23</c:f>
              <c:strCache>
                <c:ptCount val="1"/>
                <c:pt idx="0">
                  <c:v>total</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01-6443-4B28-9D0F-70B98AAEF526}"/>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03-6443-4B28-9D0F-70B98AAEF526}"/>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05-6443-4B28-9D0F-70B98AAEF526}"/>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07-6443-4B28-9D0F-70B98AAEF526}"/>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6443-4B28-9D0F-70B98AAEF526}"/>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6443-4B28-9D0F-70B98AAEF526}"/>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6443-4B28-9D0F-70B98AAEF526}"/>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F-6443-4B28-9D0F-70B98AAEF526}"/>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1-6443-4B28-9D0F-70B98AAEF526}"/>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3-6443-4B28-9D0F-70B98AAEF526}"/>
              </c:ext>
            </c:extLst>
          </c:dPt>
          <c:dPt>
            <c:idx val="1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5-6443-4B28-9D0F-70B98AAEF526}"/>
              </c:ext>
            </c:extLst>
          </c:dPt>
          <c:dPt>
            <c:idx val="11"/>
            <c:bubble3D val="0"/>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7-6443-4B28-9D0F-70B98AAEF526}"/>
              </c:ext>
            </c:extLst>
          </c:dPt>
          <c:dPt>
            <c:idx val="12"/>
            <c:bubble3D val="0"/>
            <c:spPr>
              <a:gradFill rotWithShape="1">
                <a:gsLst>
                  <a:gs pos="0">
                    <a:schemeClr val="accent1">
                      <a:lumMod val="80000"/>
                      <a:lumOff val="20000"/>
                      <a:shade val="51000"/>
                      <a:satMod val="130000"/>
                    </a:schemeClr>
                  </a:gs>
                  <a:gs pos="80000">
                    <a:schemeClr val="accent1">
                      <a:lumMod val="80000"/>
                      <a:lumOff val="20000"/>
                      <a:shade val="93000"/>
                      <a:satMod val="130000"/>
                    </a:schemeClr>
                  </a:gs>
                  <a:gs pos="100000">
                    <a:schemeClr val="accent1">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9-6443-4B28-9D0F-70B98AAEF526}"/>
              </c:ext>
            </c:extLst>
          </c:dPt>
          <c:dPt>
            <c:idx val="13"/>
            <c:bubble3D val="0"/>
            <c:spPr>
              <a:gradFill rotWithShape="1">
                <a:gsLst>
                  <a:gs pos="0">
                    <a:schemeClr val="accent2">
                      <a:lumMod val="80000"/>
                      <a:lumOff val="20000"/>
                      <a:shade val="51000"/>
                      <a:satMod val="130000"/>
                    </a:schemeClr>
                  </a:gs>
                  <a:gs pos="80000">
                    <a:schemeClr val="accent2">
                      <a:lumMod val="80000"/>
                      <a:lumOff val="20000"/>
                      <a:shade val="93000"/>
                      <a:satMod val="130000"/>
                    </a:schemeClr>
                  </a:gs>
                  <a:gs pos="100000">
                    <a:schemeClr val="accent2">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B-6443-4B28-9D0F-70B98AAEF526}"/>
              </c:ext>
            </c:extLst>
          </c:dPt>
          <c:dLbls>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t-BR"/>
              </a:p>
            </c:txPr>
            <c:dLblPos val="outEnd"/>
            <c:showLegendKey val="0"/>
            <c:showVal val="0"/>
            <c:showCatName val="1"/>
            <c:showSerName val="0"/>
            <c:showPercent val="1"/>
            <c:showBubbleSize val="0"/>
            <c:showLeaderLines val="0"/>
            <c:extLst xmlns:c15="http://schemas.microsoft.com/office/drawing/2012/chart">
              <c:ext xmlns:c15="http://schemas.microsoft.com/office/drawing/2012/chart" uri="{CE6537A1-D6FC-4f65-9D91-7224C49458BB}">
                <c15:spPr xmlns:c15="http://schemas.microsoft.com/office/drawing/2012/chart">
                  <a:prstGeom prst="wedgeRectCallout">
                    <a:avLst/>
                  </a:prstGeom>
                  <a:noFill/>
                  <a:ln>
                    <a:noFill/>
                  </a:ln>
                </c15:spPr>
              </c:ext>
            </c:extLst>
          </c:dLbls>
          <c:cat>
            <c:strRef>
              <c:f>(' Dados Predial'!$B$24:$B$27,' Dados Predial'!$B$29:$B$30,' Dados Predial'!$B$32)</c:f>
              <c:strCache>
                <c:ptCount val="7"/>
                <c:pt idx="0">
                  <c:v>Alvenaria</c:v>
                </c:pt>
                <c:pt idx="1">
                  <c:v>Elétrica</c:v>
                </c:pt>
                <c:pt idx="2">
                  <c:v>Hidráulica</c:v>
                </c:pt>
                <c:pt idx="3">
                  <c:v>Marcenaria</c:v>
                </c:pt>
                <c:pt idx="4">
                  <c:v>Outros</c:v>
                </c:pt>
                <c:pt idx="5">
                  <c:v>Pintura</c:v>
                </c:pt>
                <c:pt idx="6">
                  <c:v>Vidraçaria</c:v>
                </c:pt>
              </c:strCache>
              <c:extLst/>
            </c:strRef>
          </c:cat>
          <c:val>
            <c:numRef>
              <c:f>(' Dados Predial'!$O$24:$O$27,' Dados Predial'!$O$29:$O$30,' Dados Predial'!$O$32)</c:f>
              <c:numCache>
                <c:formatCode>_("R$"* #,##0.00_);_("R$"* \(#,##0.00\);_("R$"* "-"??_);_(@_)</c:formatCode>
                <c:ptCount val="7"/>
                <c:pt idx="0">
                  <c:v>588</c:v>
                </c:pt>
                <c:pt idx="1">
                  <c:v>1938</c:v>
                </c:pt>
                <c:pt idx="2">
                  <c:v>16085</c:v>
                </c:pt>
                <c:pt idx="3">
                  <c:v>0</c:v>
                </c:pt>
                <c:pt idx="4">
                  <c:v>3662.23</c:v>
                </c:pt>
                <c:pt idx="5">
                  <c:v>6623</c:v>
                </c:pt>
                <c:pt idx="6">
                  <c:v>900</c:v>
                </c:pt>
              </c:numCache>
              <c:extLst/>
            </c:numRef>
          </c:val>
          <c:extLst xmlns:c15="http://schemas.microsoft.com/office/drawing/2012/chart">
            <c:ext xmlns:c16="http://schemas.microsoft.com/office/drawing/2014/chart" uri="{C3380CC4-5D6E-409C-BE32-E72D297353CC}">
              <c16:uniqueId val="{0000001C-6443-4B28-9D0F-70B98AAEF526}"/>
            </c:ext>
          </c:extLst>
        </c:ser>
        <c:dLbls>
          <c:dLblPos val="outEnd"/>
          <c:showLegendKey val="0"/>
          <c:showVal val="0"/>
          <c:showCatName val="0"/>
          <c:showSerName val="0"/>
          <c:showPercent val="0"/>
          <c:showBubbleSize val="0"/>
          <c:showLeaderLines val="0"/>
        </c:dLbls>
        <c:firstSliceAng val="0"/>
        <c:extLst>
          <c:ext xmlns:c15="http://schemas.microsoft.com/office/drawing/2012/chart" uri="{02D57815-91ED-43cb-92C2-25804820EDAC}">
            <c15:filteredPieSeries>
              <c15:ser>
                <c:idx val="0"/>
                <c:order val="0"/>
                <c:tx>
                  <c:strRef>
                    <c:extLst>
                      <c:ext uri="{02D57815-91ED-43cb-92C2-25804820EDAC}">
                        <c15:formulaRef>
                          <c15:sqref>' Dados Predial'!$C$23</c15:sqref>
                        </c15:formulaRef>
                      </c:ext>
                    </c:extLst>
                    <c:strCache>
                      <c:ptCount val="1"/>
                      <c:pt idx="0">
                        <c:v>jan</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E-6443-4B28-9D0F-70B98AAEF526}"/>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20-6443-4B28-9D0F-70B98AAEF526}"/>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22-6443-4B28-9D0F-70B98AAEF526}"/>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24-6443-4B28-9D0F-70B98AAEF526}"/>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26-6443-4B28-9D0F-70B98AAEF526}"/>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28-6443-4B28-9D0F-70B98AAEF526}"/>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2A-6443-4B28-9D0F-70B98AAEF526}"/>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2C-6443-4B28-9D0F-70B98AAEF526}"/>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2E-6443-4B28-9D0F-70B98AAEF526}"/>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30-6443-4B28-9D0F-70B98AAEF526}"/>
                    </c:ext>
                  </c:extLst>
                </c:dPt>
                <c:dPt>
                  <c:idx val="1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32-6443-4B28-9D0F-70B98AAEF526}"/>
                    </c:ext>
                  </c:extLst>
                </c:dPt>
                <c:dPt>
                  <c:idx val="11"/>
                  <c:bubble3D val="0"/>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34-6443-4B28-9D0F-70B98AAEF526}"/>
                    </c:ext>
                  </c:extLst>
                </c:dPt>
                <c:dPt>
                  <c:idx val="12"/>
                  <c:bubble3D val="0"/>
                  <c:spPr>
                    <a:gradFill rotWithShape="1">
                      <a:gsLst>
                        <a:gs pos="0">
                          <a:schemeClr val="accent1">
                            <a:lumMod val="80000"/>
                            <a:lumOff val="20000"/>
                            <a:shade val="51000"/>
                            <a:satMod val="130000"/>
                          </a:schemeClr>
                        </a:gs>
                        <a:gs pos="80000">
                          <a:schemeClr val="accent1">
                            <a:lumMod val="80000"/>
                            <a:lumOff val="20000"/>
                            <a:shade val="93000"/>
                            <a:satMod val="130000"/>
                          </a:schemeClr>
                        </a:gs>
                        <a:gs pos="100000">
                          <a:schemeClr val="accent1">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36-6443-4B28-9D0F-70B98AAEF526}"/>
                    </c:ext>
                  </c:extLst>
                </c:dPt>
                <c:dPt>
                  <c:idx val="13"/>
                  <c:bubble3D val="0"/>
                  <c:spPr>
                    <a:gradFill rotWithShape="1">
                      <a:gsLst>
                        <a:gs pos="0">
                          <a:schemeClr val="accent2">
                            <a:lumMod val="80000"/>
                            <a:lumOff val="20000"/>
                            <a:shade val="51000"/>
                            <a:satMod val="130000"/>
                          </a:schemeClr>
                        </a:gs>
                        <a:gs pos="80000">
                          <a:schemeClr val="accent2">
                            <a:lumMod val="80000"/>
                            <a:lumOff val="20000"/>
                            <a:shade val="93000"/>
                            <a:satMod val="130000"/>
                          </a:schemeClr>
                        </a:gs>
                        <a:gs pos="100000">
                          <a:schemeClr val="accent2">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38-6443-4B28-9D0F-70B98AAEF526}"/>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t-BR"/>
                    </a:p>
                  </c:txPr>
                  <c:dLblPos val="outEnd"/>
                  <c:showLegendKey val="0"/>
                  <c:showVal val="0"/>
                  <c:showCatName val="1"/>
                  <c:showSerName val="0"/>
                  <c:showPercent val="1"/>
                  <c:showBubbleSize val="0"/>
                  <c:showLeaderLines val="0"/>
                  <c:extLst>
                    <c:ext uri="{CE6537A1-D6FC-4f65-9D91-7224C49458BB}">
                      <c15:spPr xmlns:c15="http://schemas.microsoft.com/office/drawing/2012/chart">
                        <a:prstGeom prst="wedgeRectCallout">
                          <a:avLst/>
                        </a:prstGeom>
                        <a:noFill/>
                        <a:ln>
                          <a:noFill/>
                        </a:ln>
                      </c15:spPr>
                    </c:ext>
                  </c:extLst>
                </c:dLbls>
                <c:cat>
                  <c:strRef>
                    <c:extLst>
                      <c:ext uri="{02D57815-91ED-43cb-92C2-25804820EDAC}">
                        <c15:formulaRef>
                          <c15:sqref>(' Dados Predial'!$B$24:$B$27,' Dados Predial'!$B$29:$B$30,' Dados Predial'!$B$32)</c15:sqref>
                        </c15:formulaRef>
                      </c:ext>
                    </c:extLst>
                    <c:strCache>
                      <c:ptCount val="7"/>
                      <c:pt idx="0">
                        <c:v>Alvenaria</c:v>
                      </c:pt>
                      <c:pt idx="1">
                        <c:v>Elétrica</c:v>
                      </c:pt>
                      <c:pt idx="2">
                        <c:v>Hidráulica</c:v>
                      </c:pt>
                      <c:pt idx="3">
                        <c:v>Marcenaria</c:v>
                      </c:pt>
                      <c:pt idx="4">
                        <c:v>Outros</c:v>
                      </c:pt>
                      <c:pt idx="5">
                        <c:v>Pintura</c:v>
                      </c:pt>
                      <c:pt idx="6">
                        <c:v>Vidraçaria</c:v>
                      </c:pt>
                    </c:strCache>
                  </c:strRef>
                </c:cat>
                <c:val>
                  <c:numRef>
                    <c:extLst>
                      <c:ext uri="{02D57815-91ED-43cb-92C2-25804820EDAC}">
                        <c15:formulaRef>
                          <c15:sqref>(' Dados Predial'!$C$24:$C$27,' Dados Predial'!$C$29:$C$30,' Dados Predial'!$C$32)</c15:sqref>
                        </c15:formulaRef>
                      </c:ext>
                    </c:extLst>
                    <c:numCache>
                      <c:formatCode>_("R$"* #,##0.00_);_("R$"* \(#,##0.00\);_("R$"* "-"??_);_(@_)</c:formatCode>
                      <c:ptCount val="7"/>
                      <c:pt idx="0">
                        <c:v>588</c:v>
                      </c:pt>
                      <c:pt idx="1">
                        <c:v>0</c:v>
                      </c:pt>
                      <c:pt idx="3">
                        <c:v>0</c:v>
                      </c:pt>
                      <c:pt idx="4">
                        <c:v>285</c:v>
                      </c:pt>
                      <c:pt idx="5">
                        <c:v>2430</c:v>
                      </c:pt>
                      <c:pt idx="6">
                        <c:v>0</c:v>
                      </c:pt>
                    </c:numCache>
                  </c:numRef>
                </c:val>
                <c:extLst>
                  <c:ext xmlns:c16="http://schemas.microsoft.com/office/drawing/2014/chart" uri="{C3380CC4-5D6E-409C-BE32-E72D297353CC}">
                    <c16:uniqueId val="{00000039-6443-4B28-9D0F-70B98AAEF526}"/>
                  </c:ext>
                </c:extLst>
              </c15:ser>
            </c15:filteredPieSeries>
            <c15:filteredPieSeries>
              <c15:ser>
                <c:idx val="1"/>
                <c:order val="1"/>
                <c:tx>
                  <c:strRef>
                    <c:extLst xmlns:c15="http://schemas.microsoft.com/office/drawing/2012/chart">
                      <c:ext xmlns:c15="http://schemas.microsoft.com/office/drawing/2012/chart" uri="{02D57815-91ED-43cb-92C2-25804820EDAC}">
                        <c15:formulaRef>
                          <c15:sqref>' Dados Predial'!$D$23</c15:sqref>
                        </c15:formulaRef>
                      </c:ext>
                    </c:extLst>
                    <c:strCache>
                      <c:ptCount val="1"/>
                      <c:pt idx="0">
                        <c:v>fev</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3B-6443-4B28-9D0F-70B98AAEF526}"/>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3D-6443-4B28-9D0F-70B98AAEF526}"/>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3F-6443-4B28-9D0F-70B98AAEF526}"/>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41-6443-4B28-9D0F-70B98AAEF526}"/>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43-6443-4B28-9D0F-70B98AAEF526}"/>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45-6443-4B28-9D0F-70B98AAEF526}"/>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47-6443-4B28-9D0F-70B98AAEF526}"/>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49-6443-4B28-9D0F-70B98AAEF526}"/>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4B-6443-4B28-9D0F-70B98AAEF526}"/>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4D-6443-4B28-9D0F-70B98AAEF526}"/>
                    </c:ext>
                  </c:extLst>
                </c:dPt>
                <c:dPt>
                  <c:idx val="1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4F-6443-4B28-9D0F-70B98AAEF526}"/>
                    </c:ext>
                  </c:extLst>
                </c:dPt>
                <c:dPt>
                  <c:idx val="11"/>
                  <c:bubble3D val="0"/>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51-6443-4B28-9D0F-70B98AAEF526}"/>
                    </c:ext>
                  </c:extLst>
                </c:dPt>
                <c:dPt>
                  <c:idx val="12"/>
                  <c:bubble3D val="0"/>
                  <c:spPr>
                    <a:gradFill rotWithShape="1">
                      <a:gsLst>
                        <a:gs pos="0">
                          <a:schemeClr val="accent1">
                            <a:lumMod val="80000"/>
                            <a:lumOff val="20000"/>
                            <a:shade val="51000"/>
                            <a:satMod val="130000"/>
                          </a:schemeClr>
                        </a:gs>
                        <a:gs pos="80000">
                          <a:schemeClr val="accent1">
                            <a:lumMod val="80000"/>
                            <a:lumOff val="20000"/>
                            <a:shade val="93000"/>
                            <a:satMod val="130000"/>
                          </a:schemeClr>
                        </a:gs>
                        <a:gs pos="100000">
                          <a:schemeClr val="accent1">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53-6443-4B28-9D0F-70B98AAEF526}"/>
                    </c:ext>
                  </c:extLst>
                </c:dPt>
                <c:dPt>
                  <c:idx val="13"/>
                  <c:bubble3D val="0"/>
                  <c:spPr>
                    <a:gradFill rotWithShape="1">
                      <a:gsLst>
                        <a:gs pos="0">
                          <a:schemeClr val="accent2">
                            <a:lumMod val="80000"/>
                            <a:lumOff val="20000"/>
                            <a:shade val="51000"/>
                            <a:satMod val="130000"/>
                          </a:schemeClr>
                        </a:gs>
                        <a:gs pos="80000">
                          <a:schemeClr val="accent2">
                            <a:lumMod val="80000"/>
                            <a:lumOff val="20000"/>
                            <a:shade val="93000"/>
                            <a:satMod val="130000"/>
                          </a:schemeClr>
                        </a:gs>
                        <a:gs pos="100000">
                          <a:schemeClr val="accent2">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55-6443-4B28-9D0F-70B98AAEF526}"/>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t-BR"/>
                    </a:p>
                  </c:txPr>
                  <c:dLblPos val="outEnd"/>
                  <c:showLegendKey val="0"/>
                  <c:showVal val="0"/>
                  <c:showCatName val="1"/>
                  <c:showSerName val="0"/>
                  <c:showPercent val="1"/>
                  <c:showBubbleSize val="0"/>
                  <c:showLeaderLines val="0"/>
                  <c:extLst xmlns:c15="http://schemas.microsoft.com/office/drawing/2012/chart">
                    <c:ext xmlns:c15="http://schemas.microsoft.com/office/drawing/2012/chart" uri="{CE6537A1-D6FC-4f65-9D91-7224C49458BB}">
                      <c15:spPr xmlns:c15="http://schemas.microsoft.com/office/drawing/2012/chart">
                        <a:prstGeom prst="wedgeRectCallout">
                          <a:avLst/>
                        </a:prstGeom>
                        <a:noFill/>
                        <a:ln>
                          <a:noFill/>
                        </a:ln>
                      </c15:spPr>
                    </c:ext>
                  </c:extLst>
                </c:dLbls>
                <c:cat>
                  <c:strRef>
                    <c:extLst xmlns:c15="http://schemas.microsoft.com/office/drawing/2012/chart">
                      <c:ext xmlns:c15="http://schemas.microsoft.com/office/drawing/2012/chart" uri="{02D57815-91ED-43cb-92C2-25804820EDAC}">
                        <c15:formulaRef>
                          <c15:sqref>(' Dados Predial'!$B$24:$B$27,' Dados Predial'!$B$29:$B$30,' Dados Predial'!$B$32)</c15:sqref>
                        </c15:formulaRef>
                      </c:ext>
                    </c:extLst>
                    <c:strCache>
                      <c:ptCount val="7"/>
                      <c:pt idx="0">
                        <c:v>Alvenaria</c:v>
                      </c:pt>
                      <c:pt idx="1">
                        <c:v>Elétrica</c:v>
                      </c:pt>
                      <c:pt idx="2">
                        <c:v>Hidráulica</c:v>
                      </c:pt>
                      <c:pt idx="3">
                        <c:v>Marcenaria</c:v>
                      </c:pt>
                      <c:pt idx="4">
                        <c:v>Outros</c:v>
                      </c:pt>
                      <c:pt idx="5">
                        <c:v>Pintura</c:v>
                      </c:pt>
                      <c:pt idx="6">
                        <c:v>Vidraçaria</c:v>
                      </c:pt>
                    </c:strCache>
                  </c:strRef>
                </c:cat>
                <c:val>
                  <c:numRef>
                    <c:extLst xmlns:c15="http://schemas.microsoft.com/office/drawing/2012/chart">
                      <c:ext xmlns:c15="http://schemas.microsoft.com/office/drawing/2012/chart" uri="{02D57815-91ED-43cb-92C2-25804820EDAC}">
                        <c15:formulaRef>
                          <c15:sqref>(' Dados Predial'!$D$24:$D$27,' Dados Predial'!$D$29:$D$30,' Dados Predial'!$D$32)</c15:sqref>
                        </c15:formulaRef>
                      </c:ext>
                    </c:extLst>
                    <c:numCache>
                      <c:formatCode>_("R$"* #,##0.00_);_("R$"* \(#,##0.00\);_("R$"* "-"??_);_(@_)</c:formatCode>
                      <c:ptCount val="7"/>
                      <c:pt idx="0">
                        <c:v>0</c:v>
                      </c:pt>
                      <c:pt idx="1">
                        <c:v>394</c:v>
                      </c:pt>
                      <c:pt idx="2">
                        <c:v>0</c:v>
                      </c:pt>
                      <c:pt idx="3">
                        <c:v>0</c:v>
                      </c:pt>
                      <c:pt idx="4">
                        <c:v>730</c:v>
                      </c:pt>
                      <c:pt idx="5">
                        <c:v>0</c:v>
                      </c:pt>
                      <c:pt idx="6">
                        <c:v>900</c:v>
                      </c:pt>
                    </c:numCache>
                  </c:numRef>
                </c:val>
                <c:extLst xmlns:c15="http://schemas.microsoft.com/office/drawing/2012/chart">
                  <c:ext xmlns:c16="http://schemas.microsoft.com/office/drawing/2014/chart" uri="{C3380CC4-5D6E-409C-BE32-E72D297353CC}">
                    <c16:uniqueId val="{00000056-6443-4B28-9D0F-70B98AAEF526}"/>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 Dados Predial'!$E$23</c15:sqref>
                        </c15:formulaRef>
                      </c:ext>
                    </c:extLst>
                    <c:strCache>
                      <c:ptCount val="1"/>
                      <c:pt idx="0">
                        <c:v>mar</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58-6443-4B28-9D0F-70B98AAEF526}"/>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5A-6443-4B28-9D0F-70B98AAEF526}"/>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5C-6443-4B28-9D0F-70B98AAEF526}"/>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5E-6443-4B28-9D0F-70B98AAEF526}"/>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60-6443-4B28-9D0F-70B98AAEF526}"/>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62-6443-4B28-9D0F-70B98AAEF526}"/>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64-6443-4B28-9D0F-70B98AAEF526}"/>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66-6443-4B28-9D0F-70B98AAEF526}"/>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68-6443-4B28-9D0F-70B98AAEF526}"/>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6A-6443-4B28-9D0F-70B98AAEF526}"/>
                    </c:ext>
                  </c:extLst>
                </c:dPt>
                <c:dPt>
                  <c:idx val="1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6C-6443-4B28-9D0F-70B98AAEF526}"/>
                    </c:ext>
                  </c:extLst>
                </c:dPt>
                <c:dPt>
                  <c:idx val="11"/>
                  <c:bubble3D val="0"/>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6E-6443-4B28-9D0F-70B98AAEF526}"/>
                    </c:ext>
                  </c:extLst>
                </c:dPt>
                <c:dPt>
                  <c:idx val="12"/>
                  <c:bubble3D val="0"/>
                  <c:spPr>
                    <a:gradFill rotWithShape="1">
                      <a:gsLst>
                        <a:gs pos="0">
                          <a:schemeClr val="accent1">
                            <a:lumMod val="80000"/>
                            <a:lumOff val="20000"/>
                            <a:shade val="51000"/>
                            <a:satMod val="130000"/>
                          </a:schemeClr>
                        </a:gs>
                        <a:gs pos="80000">
                          <a:schemeClr val="accent1">
                            <a:lumMod val="80000"/>
                            <a:lumOff val="20000"/>
                            <a:shade val="93000"/>
                            <a:satMod val="130000"/>
                          </a:schemeClr>
                        </a:gs>
                        <a:gs pos="100000">
                          <a:schemeClr val="accent1">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70-6443-4B28-9D0F-70B98AAEF526}"/>
                    </c:ext>
                  </c:extLst>
                </c:dPt>
                <c:dPt>
                  <c:idx val="13"/>
                  <c:bubble3D val="0"/>
                  <c:spPr>
                    <a:gradFill rotWithShape="1">
                      <a:gsLst>
                        <a:gs pos="0">
                          <a:schemeClr val="accent2">
                            <a:lumMod val="80000"/>
                            <a:lumOff val="20000"/>
                            <a:shade val="51000"/>
                            <a:satMod val="130000"/>
                          </a:schemeClr>
                        </a:gs>
                        <a:gs pos="80000">
                          <a:schemeClr val="accent2">
                            <a:lumMod val="80000"/>
                            <a:lumOff val="20000"/>
                            <a:shade val="93000"/>
                            <a:satMod val="130000"/>
                          </a:schemeClr>
                        </a:gs>
                        <a:gs pos="100000">
                          <a:schemeClr val="accent2">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72-6443-4B28-9D0F-70B98AAEF526}"/>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t-BR"/>
                    </a:p>
                  </c:txPr>
                  <c:dLblPos val="outEnd"/>
                  <c:showLegendKey val="0"/>
                  <c:showVal val="0"/>
                  <c:showCatName val="1"/>
                  <c:showSerName val="0"/>
                  <c:showPercent val="1"/>
                  <c:showBubbleSize val="0"/>
                  <c:showLeaderLines val="0"/>
                  <c:extLst xmlns:c15="http://schemas.microsoft.com/office/drawing/2012/chart">
                    <c:ext xmlns:c15="http://schemas.microsoft.com/office/drawing/2012/chart" uri="{CE6537A1-D6FC-4f65-9D91-7224C49458BB}">
                      <c15:spPr xmlns:c15="http://schemas.microsoft.com/office/drawing/2012/chart">
                        <a:prstGeom prst="wedgeRectCallout">
                          <a:avLst/>
                        </a:prstGeom>
                        <a:noFill/>
                        <a:ln>
                          <a:noFill/>
                        </a:ln>
                      </c15:spPr>
                    </c:ext>
                  </c:extLst>
                </c:dLbls>
                <c:cat>
                  <c:strRef>
                    <c:extLst xmlns:c15="http://schemas.microsoft.com/office/drawing/2012/chart">
                      <c:ext xmlns:c15="http://schemas.microsoft.com/office/drawing/2012/chart" uri="{02D57815-91ED-43cb-92C2-25804820EDAC}">
                        <c15:formulaRef>
                          <c15:sqref>(' Dados Predial'!$B$24:$B$27,' Dados Predial'!$B$29:$B$30,' Dados Predial'!$B$32)</c15:sqref>
                        </c15:formulaRef>
                      </c:ext>
                    </c:extLst>
                    <c:strCache>
                      <c:ptCount val="7"/>
                      <c:pt idx="0">
                        <c:v>Alvenaria</c:v>
                      </c:pt>
                      <c:pt idx="1">
                        <c:v>Elétrica</c:v>
                      </c:pt>
                      <c:pt idx="2">
                        <c:v>Hidráulica</c:v>
                      </c:pt>
                      <c:pt idx="3">
                        <c:v>Marcenaria</c:v>
                      </c:pt>
                      <c:pt idx="4">
                        <c:v>Outros</c:v>
                      </c:pt>
                      <c:pt idx="5">
                        <c:v>Pintura</c:v>
                      </c:pt>
                      <c:pt idx="6">
                        <c:v>Vidraçaria</c:v>
                      </c:pt>
                    </c:strCache>
                  </c:strRef>
                </c:cat>
                <c:val>
                  <c:numRef>
                    <c:extLst xmlns:c15="http://schemas.microsoft.com/office/drawing/2012/chart">
                      <c:ext xmlns:c15="http://schemas.microsoft.com/office/drawing/2012/chart" uri="{02D57815-91ED-43cb-92C2-25804820EDAC}">
                        <c15:formulaRef>
                          <c15:sqref>(' Dados Predial'!$E$24:$E$27,' Dados Predial'!$E$29:$E$30,' Dados Predial'!$E$32)</c15:sqref>
                        </c15:formulaRef>
                      </c:ext>
                    </c:extLst>
                    <c:numCache>
                      <c:formatCode>General</c:formatCode>
                      <c:ptCount val="7"/>
                      <c:pt idx="4" formatCode="_(&quot;R$&quot;* #,##0.00_);_(&quot;R$&quot;* \(#,##0.00\);_(&quot;R$&quot;* &quot;-&quot;??_);_(@_)">
                        <c:v>1150.23</c:v>
                      </c:pt>
                      <c:pt idx="5" formatCode="_(&quot;R$&quot;* #,##0.00_);_(&quot;R$&quot;* \(#,##0.00\);_(&quot;R$&quot;* &quot;-&quot;??_);_(@_)">
                        <c:v>649</c:v>
                      </c:pt>
                    </c:numCache>
                  </c:numRef>
                </c:val>
                <c:extLst xmlns:c15="http://schemas.microsoft.com/office/drawing/2012/chart">
                  <c:ext xmlns:c16="http://schemas.microsoft.com/office/drawing/2014/chart" uri="{C3380CC4-5D6E-409C-BE32-E72D297353CC}">
                    <c16:uniqueId val="{00000073-6443-4B28-9D0F-70B98AAEF526}"/>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 Dados Predial'!$F$23</c15:sqref>
                        </c15:formulaRef>
                      </c:ext>
                    </c:extLst>
                    <c:strCache>
                      <c:ptCount val="1"/>
                      <c:pt idx="0">
                        <c:v>abr</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75-6443-4B28-9D0F-70B98AAEF526}"/>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77-6443-4B28-9D0F-70B98AAEF526}"/>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79-6443-4B28-9D0F-70B98AAEF526}"/>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7B-6443-4B28-9D0F-70B98AAEF526}"/>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7D-6443-4B28-9D0F-70B98AAEF526}"/>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7F-6443-4B28-9D0F-70B98AAEF526}"/>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81-6443-4B28-9D0F-70B98AAEF526}"/>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83-6443-4B28-9D0F-70B98AAEF526}"/>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85-6443-4B28-9D0F-70B98AAEF526}"/>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87-6443-4B28-9D0F-70B98AAEF526}"/>
                    </c:ext>
                  </c:extLst>
                </c:dPt>
                <c:dPt>
                  <c:idx val="1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89-6443-4B28-9D0F-70B98AAEF526}"/>
                    </c:ext>
                  </c:extLst>
                </c:dPt>
                <c:dPt>
                  <c:idx val="11"/>
                  <c:bubble3D val="0"/>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8B-6443-4B28-9D0F-70B98AAEF526}"/>
                    </c:ext>
                  </c:extLst>
                </c:dPt>
                <c:dPt>
                  <c:idx val="12"/>
                  <c:bubble3D val="0"/>
                  <c:spPr>
                    <a:gradFill rotWithShape="1">
                      <a:gsLst>
                        <a:gs pos="0">
                          <a:schemeClr val="accent1">
                            <a:lumMod val="80000"/>
                            <a:lumOff val="20000"/>
                            <a:shade val="51000"/>
                            <a:satMod val="130000"/>
                          </a:schemeClr>
                        </a:gs>
                        <a:gs pos="80000">
                          <a:schemeClr val="accent1">
                            <a:lumMod val="80000"/>
                            <a:lumOff val="20000"/>
                            <a:shade val="93000"/>
                            <a:satMod val="130000"/>
                          </a:schemeClr>
                        </a:gs>
                        <a:gs pos="100000">
                          <a:schemeClr val="accent1">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8D-6443-4B28-9D0F-70B98AAEF526}"/>
                    </c:ext>
                  </c:extLst>
                </c:dPt>
                <c:dPt>
                  <c:idx val="13"/>
                  <c:bubble3D val="0"/>
                  <c:spPr>
                    <a:gradFill rotWithShape="1">
                      <a:gsLst>
                        <a:gs pos="0">
                          <a:schemeClr val="accent2">
                            <a:lumMod val="80000"/>
                            <a:lumOff val="20000"/>
                            <a:shade val="51000"/>
                            <a:satMod val="130000"/>
                          </a:schemeClr>
                        </a:gs>
                        <a:gs pos="80000">
                          <a:schemeClr val="accent2">
                            <a:lumMod val="80000"/>
                            <a:lumOff val="20000"/>
                            <a:shade val="93000"/>
                            <a:satMod val="130000"/>
                          </a:schemeClr>
                        </a:gs>
                        <a:gs pos="100000">
                          <a:schemeClr val="accent2">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8F-6443-4B28-9D0F-70B98AAEF526}"/>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t-BR"/>
                    </a:p>
                  </c:txPr>
                  <c:dLblPos val="outEnd"/>
                  <c:showLegendKey val="0"/>
                  <c:showVal val="0"/>
                  <c:showCatName val="1"/>
                  <c:showSerName val="0"/>
                  <c:showPercent val="1"/>
                  <c:showBubbleSize val="0"/>
                  <c:showLeaderLines val="0"/>
                  <c:extLst xmlns:c15="http://schemas.microsoft.com/office/drawing/2012/chart">
                    <c:ext xmlns:c15="http://schemas.microsoft.com/office/drawing/2012/chart" uri="{CE6537A1-D6FC-4f65-9D91-7224C49458BB}">
                      <c15:spPr xmlns:c15="http://schemas.microsoft.com/office/drawing/2012/chart">
                        <a:prstGeom prst="wedgeRectCallout">
                          <a:avLst/>
                        </a:prstGeom>
                        <a:noFill/>
                        <a:ln>
                          <a:noFill/>
                        </a:ln>
                      </c15:spPr>
                    </c:ext>
                  </c:extLst>
                </c:dLbls>
                <c:cat>
                  <c:strRef>
                    <c:extLst xmlns:c15="http://schemas.microsoft.com/office/drawing/2012/chart">
                      <c:ext xmlns:c15="http://schemas.microsoft.com/office/drawing/2012/chart" uri="{02D57815-91ED-43cb-92C2-25804820EDAC}">
                        <c15:formulaRef>
                          <c15:sqref>(' Dados Predial'!$B$24:$B$27,' Dados Predial'!$B$29:$B$30,' Dados Predial'!$B$32)</c15:sqref>
                        </c15:formulaRef>
                      </c:ext>
                    </c:extLst>
                    <c:strCache>
                      <c:ptCount val="7"/>
                      <c:pt idx="0">
                        <c:v>Alvenaria</c:v>
                      </c:pt>
                      <c:pt idx="1">
                        <c:v>Elétrica</c:v>
                      </c:pt>
                      <c:pt idx="2">
                        <c:v>Hidráulica</c:v>
                      </c:pt>
                      <c:pt idx="3">
                        <c:v>Marcenaria</c:v>
                      </c:pt>
                      <c:pt idx="4">
                        <c:v>Outros</c:v>
                      </c:pt>
                      <c:pt idx="5">
                        <c:v>Pintura</c:v>
                      </c:pt>
                      <c:pt idx="6">
                        <c:v>Vidraçaria</c:v>
                      </c:pt>
                    </c:strCache>
                  </c:strRef>
                </c:cat>
                <c:val>
                  <c:numRef>
                    <c:extLst xmlns:c15="http://schemas.microsoft.com/office/drawing/2012/chart">
                      <c:ext xmlns:c15="http://schemas.microsoft.com/office/drawing/2012/chart" uri="{02D57815-91ED-43cb-92C2-25804820EDAC}">
                        <c15:formulaRef>
                          <c15:sqref>(' Dados Predial'!$F$24:$F$27,' Dados Predial'!$F$29:$F$30,' Dados Predial'!$F$32)</c15:sqref>
                        </c15:formulaRef>
                      </c:ext>
                    </c:extLst>
                    <c:numCache>
                      <c:formatCode>_("R$"* #,##0.00_);_("R$"* \(#,##0.00\);_("R$"* "-"??_);_(@_)</c:formatCode>
                      <c:ptCount val="7"/>
                      <c:pt idx="1">
                        <c:v>762</c:v>
                      </c:pt>
                      <c:pt idx="2">
                        <c:v>6895</c:v>
                      </c:pt>
                      <c:pt idx="4">
                        <c:v>89</c:v>
                      </c:pt>
                      <c:pt idx="5">
                        <c:v>1364</c:v>
                      </c:pt>
                    </c:numCache>
                  </c:numRef>
                </c:val>
                <c:extLst xmlns:c15="http://schemas.microsoft.com/office/drawing/2012/chart">
                  <c:ext xmlns:c16="http://schemas.microsoft.com/office/drawing/2014/chart" uri="{C3380CC4-5D6E-409C-BE32-E72D297353CC}">
                    <c16:uniqueId val="{00000090-6443-4B28-9D0F-70B98AAEF526}"/>
                  </c:ext>
                </c:extLst>
              </c15:ser>
            </c15:filteredPieSeries>
            <c15:filteredPieSeries>
              <c15:ser>
                <c:idx val="4"/>
                <c:order val="4"/>
                <c:tx>
                  <c:strRef>
                    <c:extLst xmlns:c15="http://schemas.microsoft.com/office/drawing/2012/chart">
                      <c:ext xmlns:c15="http://schemas.microsoft.com/office/drawing/2012/chart" uri="{02D57815-91ED-43cb-92C2-25804820EDAC}">
                        <c15:formulaRef>
                          <c15:sqref>' Dados Predial'!$G$23</c15:sqref>
                        </c15:formulaRef>
                      </c:ext>
                    </c:extLst>
                    <c:strCache>
                      <c:ptCount val="1"/>
                      <c:pt idx="0">
                        <c:v>mai</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92-6443-4B28-9D0F-70B98AAEF526}"/>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94-6443-4B28-9D0F-70B98AAEF526}"/>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96-6443-4B28-9D0F-70B98AAEF526}"/>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98-6443-4B28-9D0F-70B98AAEF526}"/>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9A-6443-4B28-9D0F-70B98AAEF526}"/>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9C-6443-4B28-9D0F-70B98AAEF526}"/>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9E-6443-4B28-9D0F-70B98AAEF526}"/>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A0-6443-4B28-9D0F-70B98AAEF526}"/>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A2-6443-4B28-9D0F-70B98AAEF526}"/>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A4-6443-4B28-9D0F-70B98AAEF526}"/>
                    </c:ext>
                  </c:extLst>
                </c:dPt>
                <c:dPt>
                  <c:idx val="1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A6-6443-4B28-9D0F-70B98AAEF526}"/>
                    </c:ext>
                  </c:extLst>
                </c:dPt>
                <c:dPt>
                  <c:idx val="11"/>
                  <c:bubble3D val="0"/>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A8-6443-4B28-9D0F-70B98AAEF526}"/>
                    </c:ext>
                  </c:extLst>
                </c:dPt>
                <c:dPt>
                  <c:idx val="12"/>
                  <c:bubble3D val="0"/>
                  <c:spPr>
                    <a:gradFill rotWithShape="1">
                      <a:gsLst>
                        <a:gs pos="0">
                          <a:schemeClr val="accent1">
                            <a:lumMod val="80000"/>
                            <a:lumOff val="20000"/>
                            <a:shade val="51000"/>
                            <a:satMod val="130000"/>
                          </a:schemeClr>
                        </a:gs>
                        <a:gs pos="80000">
                          <a:schemeClr val="accent1">
                            <a:lumMod val="80000"/>
                            <a:lumOff val="20000"/>
                            <a:shade val="93000"/>
                            <a:satMod val="130000"/>
                          </a:schemeClr>
                        </a:gs>
                        <a:gs pos="100000">
                          <a:schemeClr val="accent1">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AA-6443-4B28-9D0F-70B98AAEF526}"/>
                    </c:ext>
                  </c:extLst>
                </c:dPt>
                <c:dPt>
                  <c:idx val="13"/>
                  <c:bubble3D val="0"/>
                  <c:spPr>
                    <a:gradFill rotWithShape="1">
                      <a:gsLst>
                        <a:gs pos="0">
                          <a:schemeClr val="accent2">
                            <a:lumMod val="80000"/>
                            <a:lumOff val="20000"/>
                            <a:shade val="51000"/>
                            <a:satMod val="130000"/>
                          </a:schemeClr>
                        </a:gs>
                        <a:gs pos="80000">
                          <a:schemeClr val="accent2">
                            <a:lumMod val="80000"/>
                            <a:lumOff val="20000"/>
                            <a:shade val="93000"/>
                            <a:satMod val="130000"/>
                          </a:schemeClr>
                        </a:gs>
                        <a:gs pos="100000">
                          <a:schemeClr val="accent2">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AC-6443-4B28-9D0F-70B98AAEF526}"/>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t-BR"/>
                    </a:p>
                  </c:txPr>
                  <c:dLblPos val="outEnd"/>
                  <c:showLegendKey val="0"/>
                  <c:showVal val="0"/>
                  <c:showCatName val="1"/>
                  <c:showSerName val="0"/>
                  <c:showPercent val="1"/>
                  <c:showBubbleSize val="0"/>
                  <c:showLeaderLines val="0"/>
                  <c:extLst xmlns:c15="http://schemas.microsoft.com/office/drawing/2012/chart">
                    <c:ext xmlns:c15="http://schemas.microsoft.com/office/drawing/2012/chart" uri="{CE6537A1-D6FC-4f65-9D91-7224C49458BB}">
                      <c15:spPr xmlns:c15="http://schemas.microsoft.com/office/drawing/2012/chart">
                        <a:prstGeom prst="wedgeRectCallout">
                          <a:avLst/>
                        </a:prstGeom>
                        <a:noFill/>
                        <a:ln>
                          <a:noFill/>
                        </a:ln>
                      </c15:spPr>
                    </c:ext>
                  </c:extLst>
                </c:dLbls>
                <c:cat>
                  <c:strRef>
                    <c:extLst xmlns:c15="http://schemas.microsoft.com/office/drawing/2012/chart">
                      <c:ext xmlns:c15="http://schemas.microsoft.com/office/drawing/2012/chart" uri="{02D57815-91ED-43cb-92C2-25804820EDAC}">
                        <c15:formulaRef>
                          <c15:sqref>(' Dados Predial'!$B$24:$B$27,' Dados Predial'!$B$29:$B$30,' Dados Predial'!$B$32)</c15:sqref>
                        </c15:formulaRef>
                      </c:ext>
                    </c:extLst>
                    <c:strCache>
                      <c:ptCount val="7"/>
                      <c:pt idx="0">
                        <c:v>Alvenaria</c:v>
                      </c:pt>
                      <c:pt idx="1">
                        <c:v>Elétrica</c:v>
                      </c:pt>
                      <c:pt idx="2">
                        <c:v>Hidráulica</c:v>
                      </c:pt>
                      <c:pt idx="3">
                        <c:v>Marcenaria</c:v>
                      </c:pt>
                      <c:pt idx="4">
                        <c:v>Outros</c:v>
                      </c:pt>
                      <c:pt idx="5">
                        <c:v>Pintura</c:v>
                      </c:pt>
                      <c:pt idx="6">
                        <c:v>Vidraçaria</c:v>
                      </c:pt>
                    </c:strCache>
                  </c:strRef>
                </c:cat>
                <c:val>
                  <c:numRef>
                    <c:extLst xmlns:c15="http://schemas.microsoft.com/office/drawing/2012/chart">
                      <c:ext xmlns:c15="http://schemas.microsoft.com/office/drawing/2012/chart" uri="{02D57815-91ED-43cb-92C2-25804820EDAC}">
                        <c15:formulaRef>
                          <c15:sqref>(' Dados Predial'!$G$24:$G$27,' Dados Predial'!$G$29:$G$30,' Dados Predial'!$G$32)</c15:sqref>
                        </c15:formulaRef>
                      </c:ext>
                    </c:extLst>
                    <c:numCache>
                      <c:formatCode>_("R$"* #,##0.00_);_("R$"* \(#,##0.00\);_("R$"* "-"??_);_(@_)</c:formatCode>
                      <c:ptCount val="7"/>
                      <c:pt idx="1">
                        <c:v>782</c:v>
                      </c:pt>
                      <c:pt idx="2">
                        <c:v>6652</c:v>
                      </c:pt>
                      <c:pt idx="5">
                        <c:v>889</c:v>
                      </c:pt>
                    </c:numCache>
                  </c:numRef>
                </c:val>
                <c:extLst xmlns:c15="http://schemas.microsoft.com/office/drawing/2012/chart">
                  <c:ext xmlns:c16="http://schemas.microsoft.com/office/drawing/2014/chart" uri="{C3380CC4-5D6E-409C-BE32-E72D297353CC}">
                    <c16:uniqueId val="{000000AD-6443-4B28-9D0F-70B98AAEF526}"/>
                  </c:ext>
                </c:extLst>
              </c15:ser>
            </c15:filteredPieSeries>
            <c15:filteredPieSeries>
              <c15:ser>
                <c:idx val="5"/>
                <c:order val="5"/>
                <c:tx>
                  <c:strRef>
                    <c:extLst xmlns:c15="http://schemas.microsoft.com/office/drawing/2012/chart">
                      <c:ext xmlns:c15="http://schemas.microsoft.com/office/drawing/2012/chart" uri="{02D57815-91ED-43cb-92C2-25804820EDAC}">
                        <c15:formulaRef>
                          <c15:sqref>' Dados Predial'!$H$23</c15:sqref>
                        </c15:formulaRef>
                      </c:ext>
                    </c:extLst>
                    <c:strCache>
                      <c:ptCount val="1"/>
                      <c:pt idx="0">
                        <c:v>jun</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AF-6443-4B28-9D0F-70B98AAEF526}"/>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B1-6443-4B28-9D0F-70B98AAEF526}"/>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B3-6443-4B28-9D0F-70B98AAEF526}"/>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B5-6443-4B28-9D0F-70B98AAEF526}"/>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B7-6443-4B28-9D0F-70B98AAEF526}"/>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B9-6443-4B28-9D0F-70B98AAEF526}"/>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BB-6443-4B28-9D0F-70B98AAEF526}"/>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BD-6443-4B28-9D0F-70B98AAEF526}"/>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BF-6443-4B28-9D0F-70B98AAEF526}"/>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C1-6443-4B28-9D0F-70B98AAEF526}"/>
                    </c:ext>
                  </c:extLst>
                </c:dPt>
                <c:dPt>
                  <c:idx val="1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C3-6443-4B28-9D0F-70B98AAEF526}"/>
                    </c:ext>
                  </c:extLst>
                </c:dPt>
                <c:dPt>
                  <c:idx val="11"/>
                  <c:bubble3D val="0"/>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C5-6443-4B28-9D0F-70B98AAEF526}"/>
                    </c:ext>
                  </c:extLst>
                </c:dPt>
                <c:dPt>
                  <c:idx val="12"/>
                  <c:bubble3D val="0"/>
                  <c:spPr>
                    <a:gradFill rotWithShape="1">
                      <a:gsLst>
                        <a:gs pos="0">
                          <a:schemeClr val="accent1">
                            <a:lumMod val="80000"/>
                            <a:lumOff val="20000"/>
                            <a:shade val="51000"/>
                            <a:satMod val="130000"/>
                          </a:schemeClr>
                        </a:gs>
                        <a:gs pos="80000">
                          <a:schemeClr val="accent1">
                            <a:lumMod val="80000"/>
                            <a:lumOff val="20000"/>
                            <a:shade val="93000"/>
                            <a:satMod val="130000"/>
                          </a:schemeClr>
                        </a:gs>
                        <a:gs pos="100000">
                          <a:schemeClr val="accent1">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C7-6443-4B28-9D0F-70B98AAEF526}"/>
                    </c:ext>
                  </c:extLst>
                </c:dPt>
                <c:dPt>
                  <c:idx val="13"/>
                  <c:bubble3D val="0"/>
                  <c:spPr>
                    <a:gradFill rotWithShape="1">
                      <a:gsLst>
                        <a:gs pos="0">
                          <a:schemeClr val="accent2">
                            <a:lumMod val="80000"/>
                            <a:lumOff val="20000"/>
                            <a:shade val="51000"/>
                            <a:satMod val="130000"/>
                          </a:schemeClr>
                        </a:gs>
                        <a:gs pos="80000">
                          <a:schemeClr val="accent2">
                            <a:lumMod val="80000"/>
                            <a:lumOff val="20000"/>
                            <a:shade val="93000"/>
                            <a:satMod val="130000"/>
                          </a:schemeClr>
                        </a:gs>
                        <a:gs pos="100000">
                          <a:schemeClr val="accent2">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C9-6443-4B28-9D0F-70B98AAEF526}"/>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t-BR"/>
                    </a:p>
                  </c:txPr>
                  <c:dLblPos val="outEnd"/>
                  <c:showLegendKey val="0"/>
                  <c:showVal val="0"/>
                  <c:showCatName val="1"/>
                  <c:showSerName val="0"/>
                  <c:showPercent val="1"/>
                  <c:showBubbleSize val="0"/>
                  <c:showLeaderLines val="0"/>
                  <c:extLst xmlns:c15="http://schemas.microsoft.com/office/drawing/2012/chart">
                    <c:ext xmlns:c15="http://schemas.microsoft.com/office/drawing/2012/chart" uri="{CE6537A1-D6FC-4f65-9D91-7224C49458BB}">
                      <c15:spPr xmlns:c15="http://schemas.microsoft.com/office/drawing/2012/chart">
                        <a:prstGeom prst="wedgeRectCallout">
                          <a:avLst/>
                        </a:prstGeom>
                        <a:noFill/>
                        <a:ln>
                          <a:noFill/>
                        </a:ln>
                      </c15:spPr>
                    </c:ext>
                  </c:extLst>
                </c:dLbls>
                <c:cat>
                  <c:strRef>
                    <c:extLst xmlns:c15="http://schemas.microsoft.com/office/drawing/2012/chart">
                      <c:ext xmlns:c15="http://schemas.microsoft.com/office/drawing/2012/chart" uri="{02D57815-91ED-43cb-92C2-25804820EDAC}">
                        <c15:formulaRef>
                          <c15:sqref>(' Dados Predial'!$B$24:$B$27,' Dados Predial'!$B$29:$B$30,' Dados Predial'!$B$32)</c15:sqref>
                        </c15:formulaRef>
                      </c:ext>
                    </c:extLst>
                    <c:strCache>
                      <c:ptCount val="7"/>
                      <c:pt idx="0">
                        <c:v>Alvenaria</c:v>
                      </c:pt>
                      <c:pt idx="1">
                        <c:v>Elétrica</c:v>
                      </c:pt>
                      <c:pt idx="2">
                        <c:v>Hidráulica</c:v>
                      </c:pt>
                      <c:pt idx="3">
                        <c:v>Marcenaria</c:v>
                      </c:pt>
                      <c:pt idx="4">
                        <c:v>Outros</c:v>
                      </c:pt>
                      <c:pt idx="5">
                        <c:v>Pintura</c:v>
                      </c:pt>
                      <c:pt idx="6">
                        <c:v>Vidraçaria</c:v>
                      </c:pt>
                    </c:strCache>
                  </c:strRef>
                </c:cat>
                <c:val>
                  <c:numRef>
                    <c:extLst xmlns:c15="http://schemas.microsoft.com/office/drawing/2012/chart">
                      <c:ext xmlns:c15="http://schemas.microsoft.com/office/drawing/2012/chart" uri="{02D57815-91ED-43cb-92C2-25804820EDAC}">
                        <c15:formulaRef>
                          <c15:sqref>(' Dados Predial'!$H$24:$H$27,' Dados Predial'!$H$29:$H$30,' Dados Predial'!$H$32)</c15:sqref>
                        </c15:formulaRef>
                      </c:ext>
                    </c:extLst>
                    <c:numCache>
                      <c:formatCode>General</c:formatCode>
                      <c:ptCount val="7"/>
                      <c:pt idx="2" formatCode="_(&quot;R$&quot;* #,##0.00_);_(&quot;R$&quot;* \(#,##0.00\);_(&quot;R$&quot;* &quot;-&quot;??_);_(@_)">
                        <c:v>2538</c:v>
                      </c:pt>
                      <c:pt idx="4" formatCode="_(&quot;R$&quot;* #,##0.00_);_(&quot;R$&quot;* \(#,##0.00\);_(&quot;R$&quot;* &quot;-&quot;??_);_(@_)">
                        <c:v>1408</c:v>
                      </c:pt>
                      <c:pt idx="5" formatCode="_(&quot;R$&quot;* #,##0.00_);_(&quot;R$&quot;* \(#,##0.00\);_(&quot;R$&quot;* &quot;-&quot;??_);_(@_)">
                        <c:v>1291</c:v>
                      </c:pt>
                    </c:numCache>
                  </c:numRef>
                </c:val>
                <c:extLst xmlns:c15="http://schemas.microsoft.com/office/drawing/2012/chart">
                  <c:ext xmlns:c16="http://schemas.microsoft.com/office/drawing/2014/chart" uri="{C3380CC4-5D6E-409C-BE32-E72D297353CC}">
                    <c16:uniqueId val="{000000CA-6443-4B28-9D0F-70B98AAEF526}"/>
                  </c:ext>
                </c:extLst>
              </c15:ser>
            </c15:filteredPieSeries>
            <c15:filteredPieSeries>
              <c15:ser>
                <c:idx val="6"/>
                <c:order val="6"/>
                <c:tx>
                  <c:strRef>
                    <c:extLst xmlns:c15="http://schemas.microsoft.com/office/drawing/2012/chart">
                      <c:ext xmlns:c15="http://schemas.microsoft.com/office/drawing/2012/chart" uri="{02D57815-91ED-43cb-92C2-25804820EDAC}">
                        <c15:formulaRef>
                          <c15:sqref>' Dados Predial'!$I$23</c15:sqref>
                        </c15:formulaRef>
                      </c:ext>
                    </c:extLst>
                    <c:strCache>
                      <c:ptCount val="1"/>
                      <c:pt idx="0">
                        <c:v>jul</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CC-6443-4B28-9D0F-70B98AAEF526}"/>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CE-6443-4B28-9D0F-70B98AAEF526}"/>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D0-6443-4B28-9D0F-70B98AAEF526}"/>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D2-6443-4B28-9D0F-70B98AAEF526}"/>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D4-6443-4B28-9D0F-70B98AAEF526}"/>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D6-6443-4B28-9D0F-70B98AAEF526}"/>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D8-6443-4B28-9D0F-70B98AAEF526}"/>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DA-6443-4B28-9D0F-70B98AAEF526}"/>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DC-6443-4B28-9D0F-70B98AAEF526}"/>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DE-6443-4B28-9D0F-70B98AAEF526}"/>
                    </c:ext>
                  </c:extLst>
                </c:dPt>
                <c:dPt>
                  <c:idx val="1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E0-6443-4B28-9D0F-70B98AAEF526}"/>
                    </c:ext>
                  </c:extLst>
                </c:dPt>
                <c:dPt>
                  <c:idx val="11"/>
                  <c:bubble3D val="0"/>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E2-6443-4B28-9D0F-70B98AAEF526}"/>
                    </c:ext>
                  </c:extLst>
                </c:dPt>
                <c:dPt>
                  <c:idx val="12"/>
                  <c:bubble3D val="0"/>
                  <c:spPr>
                    <a:gradFill rotWithShape="1">
                      <a:gsLst>
                        <a:gs pos="0">
                          <a:schemeClr val="accent1">
                            <a:lumMod val="80000"/>
                            <a:lumOff val="20000"/>
                            <a:shade val="51000"/>
                            <a:satMod val="130000"/>
                          </a:schemeClr>
                        </a:gs>
                        <a:gs pos="80000">
                          <a:schemeClr val="accent1">
                            <a:lumMod val="80000"/>
                            <a:lumOff val="20000"/>
                            <a:shade val="93000"/>
                            <a:satMod val="130000"/>
                          </a:schemeClr>
                        </a:gs>
                        <a:gs pos="100000">
                          <a:schemeClr val="accent1">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E4-6443-4B28-9D0F-70B98AAEF526}"/>
                    </c:ext>
                  </c:extLst>
                </c:dPt>
                <c:dPt>
                  <c:idx val="13"/>
                  <c:bubble3D val="0"/>
                  <c:spPr>
                    <a:gradFill rotWithShape="1">
                      <a:gsLst>
                        <a:gs pos="0">
                          <a:schemeClr val="accent2">
                            <a:lumMod val="80000"/>
                            <a:lumOff val="20000"/>
                            <a:shade val="51000"/>
                            <a:satMod val="130000"/>
                          </a:schemeClr>
                        </a:gs>
                        <a:gs pos="80000">
                          <a:schemeClr val="accent2">
                            <a:lumMod val="80000"/>
                            <a:lumOff val="20000"/>
                            <a:shade val="93000"/>
                            <a:satMod val="130000"/>
                          </a:schemeClr>
                        </a:gs>
                        <a:gs pos="100000">
                          <a:schemeClr val="accent2">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E6-6443-4B28-9D0F-70B98AAEF526}"/>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t-BR"/>
                    </a:p>
                  </c:txPr>
                  <c:dLblPos val="outEnd"/>
                  <c:showLegendKey val="0"/>
                  <c:showVal val="0"/>
                  <c:showCatName val="1"/>
                  <c:showSerName val="0"/>
                  <c:showPercent val="1"/>
                  <c:showBubbleSize val="0"/>
                  <c:showLeaderLines val="0"/>
                  <c:extLst xmlns:c15="http://schemas.microsoft.com/office/drawing/2012/chart">
                    <c:ext xmlns:c15="http://schemas.microsoft.com/office/drawing/2012/chart" uri="{CE6537A1-D6FC-4f65-9D91-7224C49458BB}">
                      <c15:spPr xmlns:c15="http://schemas.microsoft.com/office/drawing/2012/chart">
                        <a:prstGeom prst="wedgeRectCallout">
                          <a:avLst/>
                        </a:prstGeom>
                        <a:noFill/>
                        <a:ln>
                          <a:noFill/>
                        </a:ln>
                      </c15:spPr>
                    </c:ext>
                  </c:extLst>
                </c:dLbls>
                <c:cat>
                  <c:strRef>
                    <c:extLst xmlns:c15="http://schemas.microsoft.com/office/drawing/2012/chart">
                      <c:ext xmlns:c15="http://schemas.microsoft.com/office/drawing/2012/chart" uri="{02D57815-91ED-43cb-92C2-25804820EDAC}">
                        <c15:formulaRef>
                          <c15:sqref>(' Dados Predial'!$B$24:$B$27,' Dados Predial'!$B$29:$B$30,' Dados Predial'!$B$32)</c15:sqref>
                        </c15:formulaRef>
                      </c:ext>
                    </c:extLst>
                    <c:strCache>
                      <c:ptCount val="7"/>
                      <c:pt idx="0">
                        <c:v>Alvenaria</c:v>
                      </c:pt>
                      <c:pt idx="1">
                        <c:v>Elétrica</c:v>
                      </c:pt>
                      <c:pt idx="2">
                        <c:v>Hidráulica</c:v>
                      </c:pt>
                      <c:pt idx="3">
                        <c:v>Marcenaria</c:v>
                      </c:pt>
                      <c:pt idx="4">
                        <c:v>Outros</c:v>
                      </c:pt>
                      <c:pt idx="5">
                        <c:v>Pintura</c:v>
                      </c:pt>
                      <c:pt idx="6">
                        <c:v>Vidraçaria</c:v>
                      </c:pt>
                    </c:strCache>
                  </c:strRef>
                </c:cat>
                <c:val>
                  <c:numRef>
                    <c:extLst xmlns:c15="http://schemas.microsoft.com/office/drawing/2012/chart">
                      <c:ext xmlns:c15="http://schemas.microsoft.com/office/drawing/2012/chart" uri="{02D57815-91ED-43cb-92C2-25804820EDAC}">
                        <c15:formulaRef>
                          <c15:sqref>(' Dados Predial'!$I$24:$I$27,' Dados Predial'!$I$29:$I$30,' Dados Predial'!$I$32)</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E7-6443-4B28-9D0F-70B98AAEF526}"/>
                  </c:ext>
                </c:extLst>
              </c15:ser>
            </c15:filteredPieSeries>
            <c15:filteredPieSeries>
              <c15:ser>
                <c:idx val="7"/>
                <c:order val="7"/>
                <c:tx>
                  <c:strRef>
                    <c:extLst xmlns:c15="http://schemas.microsoft.com/office/drawing/2012/chart">
                      <c:ext xmlns:c15="http://schemas.microsoft.com/office/drawing/2012/chart" uri="{02D57815-91ED-43cb-92C2-25804820EDAC}">
                        <c15:formulaRef>
                          <c15:sqref>' Dados Predial'!$J$23</c15:sqref>
                        </c15:formulaRef>
                      </c:ext>
                    </c:extLst>
                    <c:strCache>
                      <c:ptCount val="1"/>
                      <c:pt idx="0">
                        <c:v>ago</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E9-6443-4B28-9D0F-70B98AAEF526}"/>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EB-6443-4B28-9D0F-70B98AAEF526}"/>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ED-6443-4B28-9D0F-70B98AAEF526}"/>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EF-6443-4B28-9D0F-70B98AAEF526}"/>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F1-6443-4B28-9D0F-70B98AAEF526}"/>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F3-6443-4B28-9D0F-70B98AAEF526}"/>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F5-6443-4B28-9D0F-70B98AAEF526}"/>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F7-6443-4B28-9D0F-70B98AAEF526}"/>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F9-6443-4B28-9D0F-70B98AAEF526}"/>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FB-6443-4B28-9D0F-70B98AAEF526}"/>
                    </c:ext>
                  </c:extLst>
                </c:dPt>
                <c:dPt>
                  <c:idx val="1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FD-6443-4B28-9D0F-70B98AAEF526}"/>
                    </c:ext>
                  </c:extLst>
                </c:dPt>
                <c:dPt>
                  <c:idx val="11"/>
                  <c:bubble3D val="0"/>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FF-6443-4B28-9D0F-70B98AAEF526}"/>
                    </c:ext>
                  </c:extLst>
                </c:dPt>
                <c:dPt>
                  <c:idx val="12"/>
                  <c:bubble3D val="0"/>
                  <c:spPr>
                    <a:gradFill rotWithShape="1">
                      <a:gsLst>
                        <a:gs pos="0">
                          <a:schemeClr val="accent1">
                            <a:lumMod val="80000"/>
                            <a:lumOff val="20000"/>
                            <a:shade val="51000"/>
                            <a:satMod val="130000"/>
                          </a:schemeClr>
                        </a:gs>
                        <a:gs pos="80000">
                          <a:schemeClr val="accent1">
                            <a:lumMod val="80000"/>
                            <a:lumOff val="20000"/>
                            <a:shade val="93000"/>
                            <a:satMod val="130000"/>
                          </a:schemeClr>
                        </a:gs>
                        <a:gs pos="100000">
                          <a:schemeClr val="accent1">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01-6443-4B28-9D0F-70B98AAEF526}"/>
                    </c:ext>
                  </c:extLst>
                </c:dPt>
                <c:dPt>
                  <c:idx val="13"/>
                  <c:bubble3D val="0"/>
                  <c:spPr>
                    <a:gradFill rotWithShape="1">
                      <a:gsLst>
                        <a:gs pos="0">
                          <a:schemeClr val="accent2">
                            <a:lumMod val="80000"/>
                            <a:lumOff val="20000"/>
                            <a:shade val="51000"/>
                            <a:satMod val="130000"/>
                          </a:schemeClr>
                        </a:gs>
                        <a:gs pos="80000">
                          <a:schemeClr val="accent2">
                            <a:lumMod val="80000"/>
                            <a:lumOff val="20000"/>
                            <a:shade val="93000"/>
                            <a:satMod val="130000"/>
                          </a:schemeClr>
                        </a:gs>
                        <a:gs pos="100000">
                          <a:schemeClr val="accent2">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03-6443-4B28-9D0F-70B98AAEF526}"/>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t-BR"/>
                    </a:p>
                  </c:txPr>
                  <c:dLblPos val="outEnd"/>
                  <c:showLegendKey val="0"/>
                  <c:showVal val="0"/>
                  <c:showCatName val="1"/>
                  <c:showSerName val="0"/>
                  <c:showPercent val="1"/>
                  <c:showBubbleSize val="0"/>
                  <c:showLeaderLines val="0"/>
                  <c:extLst xmlns:c15="http://schemas.microsoft.com/office/drawing/2012/chart">
                    <c:ext xmlns:c15="http://schemas.microsoft.com/office/drawing/2012/chart" uri="{CE6537A1-D6FC-4f65-9D91-7224C49458BB}">
                      <c15:spPr xmlns:c15="http://schemas.microsoft.com/office/drawing/2012/chart">
                        <a:prstGeom prst="wedgeRectCallout">
                          <a:avLst/>
                        </a:prstGeom>
                        <a:noFill/>
                        <a:ln>
                          <a:noFill/>
                        </a:ln>
                      </c15:spPr>
                    </c:ext>
                  </c:extLst>
                </c:dLbls>
                <c:cat>
                  <c:strRef>
                    <c:extLst xmlns:c15="http://schemas.microsoft.com/office/drawing/2012/chart">
                      <c:ext xmlns:c15="http://schemas.microsoft.com/office/drawing/2012/chart" uri="{02D57815-91ED-43cb-92C2-25804820EDAC}">
                        <c15:formulaRef>
                          <c15:sqref>(' Dados Predial'!$B$24:$B$27,' Dados Predial'!$B$29:$B$30,' Dados Predial'!$B$32)</c15:sqref>
                        </c15:formulaRef>
                      </c:ext>
                    </c:extLst>
                    <c:strCache>
                      <c:ptCount val="7"/>
                      <c:pt idx="0">
                        <c:v>Alvenaria</c:v>
                      </c:pt>
                      <c:pt idx="1">
                        <c:v>Elétrica</c:v>
                      </c:pt>
                      <c:pt idx="2">
                        <c:v>Hidráulica</c:v>
                      </c:pt>
                      <c:pt idx="3">
                        <c:v>Marcenaria</c:v>
                      </c:pt>
                      <c:pt idx="4">
                        <c:v>Outros</c:v>
                      </c:pt>
                      <c:pt idx="5">
                        <c:v>Pintura</c:v>
                      </c:pt>
                      <c:pt idx="6">
                        <c:v>Vidraçaria</c:v>
                      </c:pt>
                    </c:strCache>
                  </c:strRef>
                </c:cat>
                <c:val>
                  <c:numRef>
                    <c:extLst xmlns:c15="http://schemas.microsoft.com/office/drawing/2012/chart">
                      <c:ext xmlns:c15="http://schemas.microsoft.com/office/drawing/2012/chart" uri="{02D57815-91ED-43cb-92C2-25804820EDAC}">
                        <c15:formulaRef>
                          <c15:sqref>(' Dados Predial'!$J$24:$J$27,' Dados Predial'!$J$29:$J$30,' Dados Predial'!$J$32)</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104-6443-4B28-9D0F-70B98AAEF526}"/>
                  </c:ext>
                </c:extLst>
              </c15:ser>
            </c15:filteredPieSeries>
            <c15:filteredPieSeries>
              <c15:ser>
                <c:idx val="8"/>
                <c:order val="8"/>
                <c:tx>
                  <c:strRef>
                    <c:extLst xmlns:c15="http://schemas.microsoft.com/office/drawing/2012/chart">
                      <c:ext xmlns:c15="http://schemas.microsoft.com/office/drawing/2012/chart" uri="{02D57815-91ED-43cb-92C2-25804820EDAC}">
                        <c15:formulaRef>
                          <c15:sqref>' Dados Predial'!$K$23</c15:sqref>
                        </c15:formulaRef>
                      </c:ext>
                    </c:extLst>
                    <c:strCache>
                      <c:ptCount val="1"/>
                      <c:pt idx="0">
                        <c:v>set</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06-6443-4B28-9D0F-70B98AAEF526}"/>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08-6443-4B28-9D0F-70B98AAEF526}"/>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0A-6443-4B28-9D0F-70B98AAEF526}"/>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0C-6443-4B28-9D0F-70B98AAEF526}"/>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0E-6443-4B28-9D0F-70B98AAEF526}"/>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10-6443-4B28-9D0F-70B98AAEF526}"/>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12-6443-4B28-9D0F-70B98AAEF526}"/>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14-6443-4B28-9D0F-70B98AAEF526}"/>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16-6443-4B28-9D0F-70B98AAEF526}"/>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18-6443-4B28-9D0F-70B98AAEF526}"/>
                    </c:ext>
                  </c:extLst>
                </c:dPt>
                <c:dPt>
                  <c:idx val="1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1A-6443-4B28-9D0F-70B98AAEF526}"/>
                    </c:ext>
                  </c:extLst>
                </c:dPt>
                <c:dPt>
                  <c:idx val="11"/>
                  <c:bubble3D val="0"/>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1C-6443-4B28-9D0F-70B98AAEF526}"/>
                    </c:ext>
                  </c:extLst>
                </c:dPt>
                <c:dPt>
                  <c:idx val="12"/>
                  <c:bubble3D val="0"/>
                  <c:spPr>
                    <a:gradFill rotWithShape="1">
                      <a:gsLst>
                        <a:gs pos="0">
                          <a:schemeClr val="accent1">
                            <a:lumMod val="80000"/>
                            <a:lumOff val="20000"/>
                            <a:shade val="51000"/>
                            <a:satMod val="130000"/>
                          </a:schemeClr>
                        </a:gs>
                        <a:gs pos="80000">
                          <a:schemeClr val="accent1">
                            <a:lumMod val="80000"/>
                            <a:lumOff val="20000"/>
                            <a:shade val="93000"/>
                            <a:satMod val="130000"/>
                          </a:schemeClr>
                        </a:gs>
                        <a:gs pos="100000">
                          <a:schemeClr val="accent1">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1E-6443-4B28-9D0F-70B98AAEF526}"/>
                    </c:ext>
                  </c:extLst>
                </c:dPt>
                <c:dPt>
                  <c:idx val="13"/>
                  <c:bubble3D val="0"/>
                  <c:spPr>
                    <a:gradFill rotWithShape="1">
                      <a:gsLst>
                        <a:gs pos="0">
                          <a:schemeClr val="accent2">
                            <a:lumMod val="80000"/>
                            <a:lumOff val="20000"/>
                            <a:shade val="51000"/>
                            <a:satMod val="130000"/>
                          </a:schemeClr>
                        </a:gs>
                        <a:gs pos="80000">
                          <a:schemeClr val="accent2">
                            <a:lumMod val="80000"/>
                            <a:lumOff val="20000"/>
                            <a:shade val="93000"/>
                            <a:satMod val="130000"/>
                          </a:schemeClr>
                        </a:gs>
                        <a:gs pos="100000">
                          <a:schemeClr val="accent2">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20-6443-4B28-9D0F-70B98AAEF526}"/>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t-BR"/>
                    </a:p>
                  </c:txPr>
                  <c:dLblPos val="outEnd"/>
                  <c:showLegendKey val="0"/>
                  <c:showVal val="0"/>
                  <c:showCatName val="1"/>
                  <c:showSerName val="0"/>
                  <c:showPercent val="1"/>
                  <c:showBubbleSize val="0"/>
                  <c:showLeaderLines val="0"/>
                  <c:extLst xmlns:c15="http://schemas.microsoft.com/office/drawing/2012/chart">
                    <c:ext xmlns:c15="http://schemas.microsoft.com/office/drawing/2012/chart" uri="{CE6537A1-D6FC-4f65-9D91-7224C49458BB}">
                      <c15:spPr xmlns:c15="http://schemas.microsoft.com/office/drawing/2012/chart">
                        <a:prstGeom prst="wedgeRectCallout">
                          <a:avLst/>
                        </a:prstGeom>
                        <a:noFill/>
                        <a:ln>
                          <a:noFill/>
                        </a:ln>
                      </c15:spPr>
                    </c:ext>
                  </c:extLst>
                </c:dLbls>
                <c:cat>
                  <c:strRef>
                    <c:extLst xmlns:c15="http://schemas.microsoft.com/office/drawing/2012/chart">
                      <c:ext xmlns:c15="http://schemas.microsoft.com/office/drawing/2012/chart" uri="{02D57815-91ED-43cb-92C2-25804820EDAC}">
                        <c15:formulaRef>
                          <c15:sqref>(' Dados Predial'!$B$24:$B$27,' Dados Predial'!$B$29:$B$30,' Dados Predial'!$B$32)</c15:sqref>
                        </c15:formulaRef>
                      </c:ext>
                    </c:extLst>
                    <c:strCache>
                      <c:ptCount val="7"/>
                      <c:pt idx="0">
                        <c:v>Alvenaria</c:v>
                      </c:pt>
                      <c:pt idx="1">
                        <c:v>Elétrica</c:v>
                      </c:pt>
                      <c:pt idx="2">
                        <c:v>Hidráulica</c:v>
                      </c:pt>
                      <c:pt idx="3">
                        <c:v>Marcenaria</c:v>
                      </c:pt>
                      <c:pt idx="4">
                        <c:v>Outros</c:v>
                      </c:pt>
                      <c:pt idx="5">
                        <c:v>Pintura</c:v>
                      </c:pt>
                      <c:pt idx="6">
                        <c:v>Vidraçaria</c:v>
                      </c:pt>
                    </c:strCache>
                  </c:strRef>
                </c:cat>
                <c:val>
                  <c:numRef>
                    <c:extLst xmlns:c15="http://schemas.microsoft.com/office/drawing/2012/chart">
                      <c:ext xmlns:c15="http://schemas.microsoft.com/office/drawing/2012/chart" uri="{02D57815-91ED-43cb-92C2-25804820EDAC}">
                        <c15:formulaRef>
                          <c15:sqref>(' Dados Predial'!$K$24:$K$27,' Dados Predial'!$K$29:$K$30,' Dados Predial'!$K$32)</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121-6443-4B28-9D0F-70B98AAEF526}"/>
                  </c:ext>
                </c:extLst>
              </c15:ser>
            </c15:filteredPieSeries>
            <c15:filteredPieSeries>
              <c15:ser>
                <c:idx val="9"/>
                <c:order val="9"/>
                <c:tx>
                  <c:strRef>
                    <c:extLst xmlns:c15="http://schemas.microsoft.com/office/drawing/2012/chart">
                      <c:ext xmlns:c15="http://schemas.microsoft.com/office/drawing/2012/chart" uri="{02D57815-91ED-43cb-92C2-25804820EDAC}">
                        <c15:formulaRef>
                          <c15:sqref>' Dados Predial'!$L$23</c15:sqref>
                        </c15:formulaRef>
                      </c:ext>
                    </c:extLst>
                    <c:strCache>
                      <c:ptCount val="1"/>
                      <c:pt idx="0">
                        <c:v>out</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23-6443-4B28-9D0F-70B98AAEF526}"/>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25-6443-4B28-9D0F-70B98AAEF526}"/>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27-6443-4B28-9D0F-70B98AAEF526}"/>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29-6443-4B28-9D0F-70B98AAEF526}"/>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2B-6443-4B28-9D0F-70B98AAEF526}"/>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2D-6443-4B28-9D0F-70B98AAEF526}"/>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2F-6443-4B28-9D0F-70B98AAEF526}"/>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31-6443-4B28-9D0F-70B98AAEF526}"/>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33-6443-4B28-9D0F-70B98AAEF526}"/>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35-6443-4B28-9D0F-70B98AAEF526}"/>
                    </c:ext>
                  </c:extLst>
                </c:dPt>
                <c:dPt>
                  <c:idx val="1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37-6443-4B28-9D0F-70B98AAEF526}"/>
                    </c:ext>
                  </c:extLst>
                </c:dPt>
                <c:dPt>
                  <c:idx val="11"/>
                  <c:bubble3D val="0"/>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39-6443-4B28-9D0F-70B98AAEF526}"/>
                    </c:ext>
                  </c:extLst>
                </c:dPt>
                <c:dPt>
                  <c:idx val="12"/>
                  <c:bubble3D val="0"/>
                  <c:spPr>
                    <a:gradFill rotWithShape="1">
                      <a:gsLst>
                        <a:gs pos="0">
                          <a:schemeClr val="accent1">
                            <a:lumMod val="80000"/>
                            <a:lumOff val="20000"/>
                            <a:shade val="51000"/>
                            <a:satMod val="130000"/>
                          </a:schemeClr>
                        </a:gs>
                        <a:gs pos="80000">
                          <a:schemeClr val="accent1">
                            <a:lumMod val="80000"/>
                            <a:lumOff val="20000"/>
                            <a:shade val="93000"/>
                            <a:satMod val="130000"/>
                          </a:schemeClr>
                        </a:gs>
                        <a:gs pos="100000">
                          <a:schemeClr val="accent1">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3B-6443-4B28-9D0F-70B98AAEF526}"/>
                    </c:ext>
                  </c:extLst>
                </c:dPt>
                <c:dPt>
                  <c:idx val="13"/>
                  <c:bubble3D val="0"/>
                  <c:spPr>
                    <a:gradFill rotWithShape="1">
                      <a:gsLst>
                        <a:gs pos="0">
                          <a:schemeClr val="accent2">
                            <a:lumMod val="80000"/>
                            <a:lumOff val="20000"/>
                            <a:shade val="51000"/>
                            <a:satMod val="130000"/>
                          </a:schemeClr>
                        </a:gs>
                        <a:gs pos="80000">
                          <a:schemeClr val="accent2">
                            <a:lumMod val="80000"/>
                            <a:lumOff val="20000"/>
                            <a:shade val="93000"/>
                            <a:satMod val="130000"/>
                          </a:schemeClr>
                        </a:gs>
                        <a:gs pos="100000">
                          <a:schemeClr val="accent2">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3D-6443-4B28-9D0F-70B98AAEF526}"/>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t-BR"/>
                    </a:p>
                  </c:txPr>
                  <c:dLblPos val="outEnd"/>
                  <c:showLegendKey val="0"/>
                  <c:showVal val="0"/>
                  <c:showCatName val="1"/>
                  <c:showSerName val="0"/>
                  <c:showPercent val="1"/>
                  <c:showBubbleSize val="0"/>
                  <c:showLeaderLines val="0"/>
                  <c:extLst xmlns:c15="http://schemas.microsoft.com/office/drawing/2012/chart">
                    <c:ext xmlns:c15="http://schemas.microsoft.com/office/drawing/2012/chart" uri="{CE6537A1-D6FC-4f65-9D91-7224C49458BB}">
                      <c15:spPr xmlns:c15="http://schemas.microsoft.com/office/drawing/2012/chart">
                        <a:prstGeom prst="wedgeRectCallout">
                          <a:avLst/>
                        </a:prstGeom>
                        <a:noFill/>
                        <a:ln>
                          <a:noFill/>
                        </a:ln>
                      </c15:spPr>
                    </c:ext>
                  </c:extLst>
                </c:dLbls>
                <c:cat>
                  <c:strRef>
                    <c:extLst xmlns:c15="http://schemas.microsoft.com/office/drawing/2012/chart">
                      <c:ext xmlns:c15="http://schemas.microsoft.com/office/drawing/2012/chart" uri="{02D57815-91ED-43cb-92C2-25804820EDAC}">
                        <c15:formulaRef>
                          <c15:sqref>(' Dados Predial'!$B$24:$B$27,' Dados Predial'!$B$29:$B$30,' Dados Predial'!$B$32)</c15:sqref>
                        </c15:formulaRef>
                      </c:ext>
                    </c:extLst>
                    <c:strCache>
                      <c:ptCount val="7"/>
                      <c:pt idx="0">
                        <c:v>Alvenaria</c:v>
                      </c:pt>
                      <c:pt idx="1">
                        <c:v>Elétrica</c:v>
                      </c:pt>
                      <c:pt idx="2">
                        <c:v>Hidráulica</c:v>
                      </c:pt>
                      <c:pt idx="3">
                        <c:v>Marcenaria</c:v>
                      </c:pt>
                      <c:pt idx="4">
                        <c:v>Outros</c:v>
                      </c:pt>
                      <c:pt idx="5">
                        <c:v>Pintura</c:v>
                      </c:pt>
                      <c:pt idx="6">
                        <c:v>Vidraçaria</c:v>
                      </c:pt>
                    </c:strCache>
                  </c:strRef>
                </c:cat>
                <c:val>
                  <c:numRef>
                    <c:extLst xmlns:c15="http://schemas.microsoft.com/office/drawing/2012/chart">
                      <c:ext xmlns:c15="http://schemas.microsoft.com/office/drawing/2012/chart" uri="{02D57815-91ED-43cb-92C2-25804820EDAC}">
                        <c15:formulaRef>
                          <c15:sqref>(' Dados Predial'!$L$24:$L$27,' Dados Predial'!$L$29:$L$30,' Dados Predial'!$L$32)</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13E-6443-4B28-9D0F-70B98AAEF526}"/>
                  </c:ext>
                </c:extLst>
              </c15:ser>
            </c15:filteredPieSeries>
            <c15:filteredPieSeries>
              <c15:ser>
                <c:idx val="10"/>
                <c:order val="10"/>
                <c:tx>
                  <c:strRef>
                    <c:extLst xmlns:c15="http://schemas.microsoft.com/office/drawing/2012/chart">
                      <c:ext xmlns:c15="http://schemas.microsoft.com/office/drawing/2012/chart" uri="{02D57815-91ED-43cb-92C2-25804820EDAC}">
                        <c15:formulaRef>
                          <c15:sqref>' Dados Predial'!$M$23</c15:sqref>
                        </c15:formulaRef>
                      </c:ext>
                    </c:extLst>
                    <c:strCache>
                      <c:ptCount val="1"/>
                      <c:pt idx="0">
                        <c:v>nov</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40-6443-4B28-9D0F-70B98AAEF526}"/>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42-6443-4B28-9D0F-70B98AAEF526}"/>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44-6443-4B28-9D0F-70B98AAEF526}"/>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46-6443-4B28-9D0F-70B98AAEF526}"/>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48-6443-4B28-9D0F-70B98AAEF526}"/>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4A-6443-4B28-9D0F-70B98AAEF526}"/>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4C-6443-4B28-9D0F-70B98AAEF526}"/>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4E-6443-4B28-9D0F-70B98AAEF526}"/>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50-6443-4B28-9D0F-70B98AAEF526}"/>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52-6443-4B28-9D0F-70B98AAEF526}"/>
                    </c:ext>
                  </c:extLst>
                </c:dPt>
                <c:dPt>
                  <c:idx val="1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54-6443-4B28-9D0F-70B98AAEF526}"/>
                    </c:ext>
                  </c:extLst>
                </c:dPt>
                <c:dPt>
                  <c:idx val="11"/>
                  <c:bubble3D val="0"/>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56-6443-4B28-9D0F-70B98AAEF526}"/>
                    </c:ext>
                  </c:extLst>
                </c:dPt>
                <c:dPt>
                  <c:idx val="12"/>
                  <c:bubble3D val="0"/>
                  <c:spPr>
                    <a:gradFill rotWithShape="1">
                      <a:gsLst>
                        <a:gs pos="0">
                          <a:schemeClr val="accent1">
                            <a:lumMod val="80000"/>
                            <a:lumOff val="20000"/>
                            <a:shade val="51000"/>
                            <a:satMod val="130000"/>
                          </a:schemeClr>
                        </a:gs>
                        <a:gs pos="80000">
                          <a:schemeClr val="accent1">
                            <a:lumMod val="80000"/>
                            <a:lumOff val="20000"/>
                            <a:shade val="93000"/>
                            <a:satMod val="130000"/>
                          </a:schemeClr>
                        </a:gs>
                        <a:gs pos="100000">
                          <a:schemeClr val="accent1">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58-6443-4B28-9D0F-70B98AAEF526}"/>
                    </c:ext>
                  </c:extLst>
                </c:dPt>
                <c:dPt>
                  <c:idx val="13"/>
                  <c:bubble3D val="0"/>
                  <c:spPr>
                    <a:gradFill rotWithShape="1">
                      <a:gsLst>
                        <a:gs pos="0">
                          <a:schemeClr val="accent2">
                            <a:lumMod val="80000"/>
                            <a:lumOff val="20000"/>
                            <a:shade val="51000"/>
                            <a:satMod val="130000"/>
                          </a:schemeClr>
                        </a:gs>
                        <a:gs pos="80000">
                          <a:schemeClr val="accent2">
                            <a:lumMod val="80000"/>
                            <a:lumOff val="20000"/>
                            <a:shade val="93000"/>
                            <a:satMod val="130000"/>
                          </a:schemeClr>
                        </a:gs>
                        <a:gs pos="100000">
                          <a:schemeClr val="accent2">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5A-6443-4B28-9D0F-70B98AAEF526}"/>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t-BR"/>
                    </a:p>
                  </c:txPr>
                  <c:dLblPos val="outEnd"/>
                  <c:showLegendKey val="0"/>
                  <c:showVal val="0"/>
                  <c:showCatName val="1"/>
                  <c:showSerName val="0"/>
                  <c:showPercent val="1"/>
                  <c:showBubbleSize val="0"/>
                  <c:showLeaderLines val="0"/>
                  <c:extLst xmlns:c15="http://schemas.microsoft.com/office/drawing/2012/chart">
                    <c:ext xmlns:c15="http://schemas.microsoft.com/office/drawing/2012/chart" uri="{CE6537A1-D6FC-4f65-9D91-7224C49458BB}">
                      <c15:spPr xmlns:c15="http://schemas.microsoft.com/office/drawing/2012/chart">
                        <a:prstGeom prst="wedgeRectCallout">
                          <a:avLst/>
                        </a:prstGeom>
                        <a:noFill/>
                        <a:ln>
                          <a:noFill/>
                        </a:ln>
                      </c15:spPr>
                    </c:ext>
                  </c:extLst>
                </c:dLbls>
                <c:cat>
                  <c:strRef>
                    <c:extLst xmlns:c15="http://schemas.microsoft.com/office/drawing/2012/chart">
                      <c:ext xmlns:c15="http://schemas.microsoft.com/office/drawing/2012/chart" uri="{02D57815-91ED-43cb-92C2-25804820EDAC}">
                        <c15:formulaRef>
                          <c15:sqref>(' Dados Predial'!$B$24:$B$27,' Dados Predial'!$B$29:$B$30,' Dados Predial'!$B$32)</c15:sqref>
                        </c15:formulaRef>
                      </c:ext>
                    </c:extLst>
                    <c:strCache>
                      <c:ptCount val="7"/>
                      <c:pt idx="0">
                        <c:v>Alvenaria</c:v>
                      </c:pt>
                      <c:pt idx="1">
                        <c:v>Elétrica</c:v>
                      </c:pt>
                      <c:pt idx="2">
                        <c:v>Hidráulica</c:v>
                      </c:pt>
                      <c:pt idx="3">
                        <c:v>Marcenaria</c:v>
                      </c:pt>
                      <c:pt idx="4">
                        <c:v>Outros</c:v>
                      </c:pt>
                      <c:pt idx="5">
                        <c:v>Pintura</c:v>
                      </c:pt>
                      <c:pt idx="6">
                        <c:v>Vidraçaria</c:v>
                      </c:pt>
                    </c:strCache>
                  </c:strRef>
                </c:cat>
                <c:val>
                  <c:numRef>
                    <c:extLst xmlns:c15="http://schemas.microsoft.com/office/drawing/2012/chart">
                      <c:ext xmlns:c15="http://schemas.microsoft.com/office/drawing/2012/chart" uri="{02D57815-91ED-43cb-92C2-25804820EDAC}">
                        <c15:formulaRef>
                          <c15:sqref>(' Dados Predial'!$M$24:$M$27,' Dados Predial'!$M$29:$M$30,' Dados Predial'!$M$32)</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15B-6443-4B28-9D0F-70B98AAEF526}"/>
                  </c:ext>
                </c:extLst>
              </c15:ser>
            </c15:filteredPieSeries>
            <c15:filteredPieSeries>
              <c15:ser>
                <c:idx val="11"/>
                <c:order val="11"/>
                <c:tx>
                  <c:strRef>
                    <c:extLst xmlns:c15="http://schemas.microsoft.com/office/drawing/2012/chart">
                      <c:ext xmlns:c15="http://schemas.microsoft.com/office/drawing/2012/chart" uri="{02D57815-91ED-43cb-92C2-25804820EDAC}">
                        <c15:formulaRef>
                          <c15:sqref>' Dados Predial'!$N$23</c15:sqref>
                        </c15:formulaRef>
                      </c:ext>
                    </c:extLst>
                    <c:strCache>
                      <c:ptCount val="1"/>
                      <c:pt idx="0">
                        <c:v>dez</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5D-6443-4B28-9D0F-70B98AAEF526}"/>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5F-6443-4B28-9D0F-70B98AAEF526}"/>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61-6443-4B28-9D0F-70B98AAEF526}"/>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63-6443-4B28-9D0F-70B98AAEF526}"/>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65-6443-4B28-9D0F-70B98AAEF526}"/>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67-6443-4B28-9D0F-70B98AAEF526}"/>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69-6443-4B28-9D0F-70B98AAEF526}"/>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6B-6443-4B28-9D0F-70B98AAEF526}"/>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6D-6443-4B28-9D0F-70B98AAEF526}"/>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6F-6443-4B28-9D0F-70B98AAEF526}"/>
                    </c:ext>
                  </c:extLst>
                </c:dPt>
                <c:dPt>
                  <c:idx val="1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71-6443-4B28-9D0F-70B98AAEF526}"/>
                    </c:ext>
                  </c:extLst>
                </c:dPt>
                <c:dPt>
                  <c:idx val="11"/>
                  <c:bubble3D val="0"/>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73-6443-4B28-9D0F-70B98AAEF526}"/>
                    </c:ext>
                  </c:extLst>
                </c:dPt>
                <c:dPt>
                  <c:idx val="12"/>
                  <c:bubble3D val="0"/>
                  <c:spPr>
                    <a:gradFill rotWithShape="1">
                      <a:gsLst>
                        <a:gs pos="0">
                          <a:schemeClr val="accent1">
                            <a:lumMod val="80000"/>
                            <a:lumOff val="20000"/>
                            <a:shade val="51000"/>
                            <a:satMod val="130000"/>
                          </a:schemeClr>
                        </a:gs>
                        <a:gs pos="80000">
                          <a:schemeClr val="accent1">
                            <a:lumMod val="80000"/>
                            <a:lumOff val="20000"/>
                            <a:shade val="93000"/>
                            <a:satMod val="130000"/>
                          </a:schemeClr>
                        </a:gs>
                        <a:gs pos="100000">
                          <a:schemeClr val="accent1">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75-6443-4B28-9D0F-70B98AAEF526}"/>
                    </c:ext>
                  </c:extLst>
                </c:dPt>
                <c:dPt>
                  <c:idx val="13"/>
                  <c:bubble3D val="0"/>
                  <c:spPr>
                    <a:gradFill rotWithShape="1">
                      <a:gsLst>
                        <a:gs pos="0">
                          <a:schemeClr val="accent2">
                            <a:lumMod val="80000"/>
                            <a:lumOff val="20000"/>
                            <a:shade val="51000"/>
                            <a:satMod val="130000"/>
                          </a:schemeClr>
                        </a:gs>
                        <a:gs pos="80000">
                          <a:schemeClr val="accent2">
                            <a:lumMod val="80000"/>
                            <a:lumOff val="20000"/>
                            <a:shade val="93000"/>
                            <a:satMod val="130000"/>
                          </a:schemeClr>
                        </a:gs>
                        <a:gs pos="100000">
                          <a:schemeClr val="accent2">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77-6443-4B28-9D0F-70B98AAEF526}"/>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t-BR"/>
                    </a:p>
                  </c:txPr>
                  <c:dLblPos val="outEnd"/>
                  <c:showLegendKey val="0"/>
                  <c:showVal val="0"/>
                  <c:showCatName val="1"/>
                  <c:showSerName val="0"/>
                  <c:showPercent val="1"/>
                  <c:showBubbleSize val="0"/>
                  <c:showLeaderLines val="0"/>
                  <c:extLst xmlns:c15="http://schemas.microsoft.com/office/drawing/2012/chart">
                    <c:ext xmlns:c15="http://schemas.microsoft.com/office/drawing/2012/chart" uri="{CE6537A1-D6FC-4f65-9D91-7224C49458BB}">
                      <c15:spPr xmlns:c15="http://schemas.microsoft.com/office/drawing/2012/chart">
                        <a:prstGeom prst="wedgeRectCallout">
                          <a:avLst/>
                        </a:prstGeom>
                        <a:noFill/>
                        <a:ln>
                          <a:noFill/>
                        </a:ln>
                      </c15:spPr>
                    </c:ext>
                  </c:extLst>
                </c:dLbls>
                <c:cat>
                  <c:strRef>
                    <c:extLst xmlns:c15="http://schemas.microsoft.com/office/drawing/2012/chart">
                      <c:ext xmlns:c15="http://schemas.microsoft.com/office/drawing/2012/chart" uri="{02D57815-91ED-43cb-92C2-25804820EDAC}">
                        <c15:formulaRef>
                          <c15:sqref>(' Dados Predial'!$B$24:$B$27,' Dados Predial'!$B$29:$B$30,' Dados Predial'!$B$32)</c15:sqref>
                        </c15:formulaRef>
                      </c:ext>
                    </c:extLst>
                    <c:strCache>
                      <c:ptCount val="7"/>
                      <c:pt idx="0">
                        <c:v>Alvenaria</c:v>
                      </c:pt>
                      <c:pt idx="1">
                        <c:v>Elétrica</c:v>
                      </c:pt>
                      <c:pt idx="2">
                        <c:v>Hidráulica</c:v>
                      </c:pt>
                      <c:pt idx="3">
                        <c:v>Marcenaria</c:v>
                      </c:pt>
                      <c:pt idx="4">
                        <c:v>Outros</c:v>
                      </c:pt>
                      <c:pt idx="5">
                        <c:v>Pintura</c:v>
                      </c:pt>
                      <c:pt idx="6">
                        <c:v>Vidraçaria</c:v>
                      </c:pt>
                    </c:strCache>
                  </c:strRef>
                </c:cat>
                <c:val>
                  <c:numRef>
                    <c:extLst xmlns:c15="http://schemas.microsoft.com/office/drawing/2012/chart">
                      <c:ext xmlns:c15="http://schemas.microsoft.com/office/drawing/2012/chart" uri="{02D57815-91ED-43cb-92C2-25804820EDAC}">
                        <c15:formulaRef>
                          <c15:sqref>(' Dados Predial'!$N$24:$N$27,' Dados Predial'!$N$29:$N$30,' Dados Predial'!$N$32)</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178-6443-4B28-9D0F-70B98AAEF526}"/>
                  </c:ext>
                </c:extLst>
              </c15:ser>
            </c15:filteredPieSeries>
            <c15:filteredPieSeries>
              <c15:ser>
                <c:idx val="13"/>
                <c:order val="13"/>
                <c:tx>
                  <c:strRef>
                    <c:extLst xmlns:c15="http://schemas.microsoft.com/office/drawing/2012/chart">
                      <c:ext xmlns:c15="http://schemas.microsoft.com/office/drawing/2012/chart" uri="{02D57815-91ED-43cb-92C2-25804820EDAC}">
                        <c15:formulaRef>
                          <c15:sqref>' Dados Predial'!$P$23</c15:sqref>
                        </c15:formulaRef>
                      </c:ext>
                    </c:extLst>
                    <c:strCache>
                      <c:ptCount val="1"/>
                      <c:pt idx="0">
                        <c:v>média</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7A-6443-4B28-9D0F-70B98AAEF526}"/>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7C-6443-4B28-9D0F-70B98AAEF526}"/>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7E-6443-4B28-9D0F-70B98AAEF526}"/>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80-6443-4B28-9D0F-70B98AAEF526}"/>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82-6443-4B28-9D0F-70B98AAEF526}"/>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84-6443-4B28-9D0F-70B98AAEF526}"/>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86-6443-4B28-9D0F-70B98AAEF526}"/>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88-6443-4B28-9D0F-70B98AAEF526}"/>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8A-6443-4B28-9D0F-70B98AAEF526}"/>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8C-6443-4B28-9D0F-70B98AAEF526}"/>
                    </c:ext>
                  </c:extLst>
                </c:dPt>
                <c:dPt>
                  <c:idx val="1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8E-6443-4B28-9D0F-70B98AAEF526}"/>
                    </c:ext>
                  </c:extLst>
                </c:dPt>
                <c:dPt>
                  <c:idx val="11"/>
                  <c:bubble3D val="0"/>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90-6443-4B28-9D0F-70B98AAEF526}"/>
                    </c:ext>
                  </c:extLst>
                </c:dPt>
                <c:dPt>
                  <c:idx val="12"/>
                  <c:bubble3D val="0"/>
                  <c:spPr>
                    <a:gradFill rotWithShape="1">
                      <a:gsLst>
                        <a:gs pos="0">
                          <a:schemeClr val="accent1">
                            <a:lumMod val="80000"/>
                            <a:lumOff val="20000"/>
                            <a:shade val="51000"/>
                            <a:satMod val="130000"/>
                          </a:schemeClr>
                        </a:gs>
                        <a:gs pos="80000">
                          <a:schemeClr val="accent1">
                            <a:lumMod val="80000"/>
                            <a:lumOff val="20000"/>
                            <a:shade val="93000"/>
                            <a:satMod val="130000"/>
                          </a:schemeClr>
                        </a:gs>
                        <a:gs pos="100000">
                          <a:schemeClr val="accent1">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92-6443-4B28-9D0F-70B98AAEF526}"/>
                    </c:ext>
                  </c:extLst>
                </c:dPt>
                <c:dPt>
                  <c:idx val="13"/>
                  <c:bubble3D val="0"/>
                  <c:spPr>
                    <a:gradFill rotWithShape="1">
                      <a:gsLst>
                        <a:gs pos="0">
                          <a:schemeClr val="accent2">
                            <a:lumMod val="80000"/>
                            <a:lumOff val="20000"/>
                            <a:shade val="51000"/>
                            <a:satMod val="130000"/>
                          </a:schemeClr>
                        </a:gs>
                        <a:gs pos="80000">
                          <a:schemeClr val="accent2">
                            <a:lumMod val="80000"/>
                            <a:lumOff val="20000"/>
                            <a:shade val="93000"/>
                            <a:satMod val="130000"/>
                          </a:schemeClr>
                        </a:gs>
                        <a:gs pos="100000">
                          <a:schemeClr val="accent2">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94-6443-4B28-9D0F-70B98AAEF526}"/>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t-BR"/>
                    </a:p>
                  </c:txPr>
                  <c:dLblPos val="outEnd"/>
                  <c:showLegendKey val="0"/>
                  <c:showVal val="0"/>
                  <c:showCatName val="1"/>
                  <c:showSerName val="0"/>
                  <c:showPercent val="1"/>
                  <c:showBubbleSize val="0"/>
                  <c:showLeaderLines val="0"/>
                  <c:extLst xmlns:c15="http://schemas.microsoft.com/office/drawing/2012/chart">
                    <c:ext xmlns:c15="http://schemas.microsoft.com/office/drawing/2012/chart" uri="{CE6537A1-D6FC-4f65-9D91-7224C49458BB}">
                      <c15:spPr xmlns:c15="http://schemas.microsoft.com/office/drawing/2012/chart">
                        <a:prstGeom prst="wedgeRectCallout">
                          <a:avLst/>
                        </a:prstGeom>
                        <a:noFill/>
                        <a:ln>
                          <a:noFill/>
                        </a:ln>
                      </c15:spPr>
                    </c:ext>
                  </c:extLst>
                </c:dLbls>
                <c:cat>
                  <c:strRef>
                    <c:extLst xmlns:c15="http://schemas.microsoft.com/office/drawing/2012/chart">
                      <c:ext xmlns:c15="http://schemas.microsoft.com/office/drawing/2012/chart" uri="{02D57815-91ED-43cb-92C2-25804820EDAC}">
                        <c15:formulaRef>
                          <c15:sqref>(' Dados Predial'!$B$24:$B$27,' Dados Predial'!$B$29:$B$30,' Dados Predial'!$B$32)</c15:sqref>
                        </c15:formulaRef>
                      </c:ext>
                    </c:extLst>
                    <c:strCache>
                      <c:ptCount val="7"/>
                      <c:pt idx="0">
                        <c:v>Alvenaria</c:v>
                      </c:pt>
                      <c:pt idx="1">
                        <c:v>Elétrica</c:v>
                      </c:pt>
                      <c:pt idx="2">
                        <c:v>Hidráulica</c:v>
                      </c:pt>
                      <c:pt idx="3">
                        <c:v>Marcenaria</c:v>
                      </c:pt>
                      <c:pt idx="4">
                        <c:v>Outros</c:v>
                      </c:pt>
                      <c:pt idx="5">
                        <c:v>Pintura</c:v>
                      </c:pt>
                      <c:pt idx="6">
                        <c:v>Vidraçaria</c:v>
                      </c:pt>
                    </c:strCache>
                  </c:strRef>
                </c:cat>
                <c:val>
                  <c:numRef>
                    <c:extLst xmlns:c15="http://schemas.microsoft.com/office/drawing/2012/chart">
                      <c:ext xmlns:c15="http://schemas.microsoft.com/office/drawing/2012/chart" uri="{02D57815-91ED-43cb-92C2-25804820EDAC}">
                        <c15:formulaRef>
                          <c15:sqref>(' Dados Predial'!$P$24:$P$27,' Dados Predial'!$P$29:$P$30,' Dados Predial'!$P$32)</c15:sqref>
                        </c15:formulaRef>
                      </c:ext>
                    </c:extLst>
                    <c:numCache>
                      <c:formatCode>_("R$"* #,##0.00_);_("R$"* \(#,##0.00\);_("R$"* "-"??_);_(@_)</c:formatCode>
                      <c:ptCount val="7"/>
                      <c:pt idx="0">
                        <c:v>294</c:v>
                      </c:pt>
                      <c:pt idx="1">
                        <c:v>484.5</c:v>
                      </c:pt>
                      <c:pt idx="2">
                        <c:v>4021.25</c:v>
                      </c:pt>
                      <c:pt idx="3">
                        <c:v>0</c:v>
                      </c:pt>
                      <c:pt idx="4">
                        <c:v>732.44600000000003</c:v>
                      </c:pt>
                      <c:pt idx="5">
                        <c:v>1103.8333333333333</c:v>
                      </c:pt>
                      <c:pt idx="6">
                        <c:v>450</c:v>
                      </c:pt>
                    </c:numCache>
                  </c:numRef>
                </c:val>
                <c:extLst xmlns:c15="http://schemas.microsoft.com/office/drawing/2012/chart">
                  <c:ext xmlns:c16="http://schemas.microsoft.com/office/drawing/2014/chart" uri="{C3380CC4-5D6E-409C-BE32-E72D297353CC}">
                    <c16:uniqueId val="{00000195-6443-4B28-9D0F-70B98AAEF526}"/>
                  </c:ext>
                </c:extLst>
              </c15:ser>
            </c15:filteredPieSeries>
            <c15:filteredPieSeries>
              <c15:ser>
                <c:idx val="14"/>
                <c:order val="14"/>
                <c:tx>
                  <c:strRef>
                    <c:extLst xmlns:c15="http://schemas.microsoft.com/office/drawing/2012/chart">
                      <c:ext xmlns:c15="http://schemas.microsoft.com/office/drawing/2012/chart" uri="{02D57815-91ED-43cb-92C2-25804820EDAC}">
                        <c15:formulaRef>
                          <c15:sqref>' Dados Predial'!$Q$23</c15:sqref>
                        </c15:formulaRef>
                      </c:ext>
                    </c:extLst>
                    <c:strCache>
                      <c:ptCount val="1"/>
                      <c:pt idx="0">
                        <c:v>per capta</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97-6443-4B28-9D0F-70B98AAEF526}"/>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99-6443-4B28-9D0F-70B98AAEF526}"/>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9B-6443-4B28-9D0F-70B98AAEF526}"/>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9D-6443-4B28-9D0F-70B98AAEF526}"/>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9F-6443-4B28-9D0F-70B98AAEF526}"/>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A1-6443-4B28-9D0F-70B98AAEF526}"/>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A3-6443-4B28-9D0F-70B98AAEF526}"/>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A5-6443-4B28-9D0F-70B98AAEF526}"/>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A7-6443-4B28-9D0F-70B98AAEF526}"/>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A9-6443-4B28-9D0F-70B98AAEF526}"/>
                    </c:ext>
                  </c:extLst>
                </c:dPt>
                <c:dPt>
                  <c:idx val="1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AB-6443-4B28-9D0F-70B98AAEF526}"/>
                    </c:ext>
                  </c:extLst>
                </c:dPt>
                <c:dPt>
                  <c:idx val="11"/>
                  <c:bubble3D val="0"/>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AD-6443-4B28-9D0F-70B98AAEF526}"/>
                    </c:ext>
                  </c:extLst>
                </c:dPt>
                <c:dPt>
                  <c:idx val="12"/>
                  <c:bubble3D val="0"/>
                  <c:spPr>
                    <a:gradFill rotWithShape="1">
                      <a:gsLst>
                        <a:gs pos="0">
                          <a:schemeClr val="accent1">
                            <a:lumMod val="80000"/>
                            <a:lumOff val="20000"/>
                            <a:shade val="51000"/>
                            <a:satMod val="130000"/>
                          </a:schemeClr>
                        </a:gs>
                        <a:gs pos="80000">
                          <a:schemeClr val="accent1">
                            <a:lumMod val="80000"/>
                            <a:lumOff val="20000"/>
                            <a:shade val="93000"/>
                            <a:satMod val="130000"/>
                          </a:schemeClr>
                        </a:gs>
                        <a:gs pos="100000">
                          <a:schemeClr val="accent1">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AF-6443-4B28-9D0F-70B98AAEF526}"/>
                    </c:ext>
                  </c:extLst>
                </c:dPt>
                <c:dPt>
                  <c:idx val="13"/>
                  <c:bubble3D val="0"/>
                  <c:spPr>
                    <a:gradFill rotWithShape="1">
                      <a:gsLst>
                        <a:gs pos="0">
                          <a:schemeClr val="accent2">
                            <a:lumMod val="80000"/>
                            <a:lumOff val="20000"/>
                            <a:shade val="51000"/>
                            <a:satMod val="130000"/>
                          </a:schemeClr>
                        </a:gs>
                        <a:gs pos="80000">
                          <a:schemeClr val="accent2">
                            <a:lumMod val="80000"/>
                            <a:lumOff val="20000"/>
                            <a:shade val="93000"/>
                            <a:satMod val="130000"/>
                          </a:schemeClr>
                        </a:gs>
                        <a:gs pos="100000">
                          <a:schemeClr val="accent2">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B1-6443-4B28-9D0F-70B98AAEF526}"/>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t-BR"/>
                    </a:p>
                  </c:txPr>
                  <c:dLblPos val="outEnd"/>
                  <c:showLegendKey val="0"/>
                  <c:showVal val="0"/>
                  <c:showCatName val="1"/>
                  <c:showSerName val="0"/>
                  <c:showPercent val="1"/>
                  <c:showBubbleSize val="0"/>
                  <c:showLeaderLines val="0"/>
                  <c:extLst xmlns:c15="http://schemas.microsoft.com/office/drawing/2012/chart">
                    <c:ext xmlns:c15="http://schemas.microsoft.com/office/drawing/2012/chart" uri="{CE6537A1-D6FC-4f65-9D91-7224C49458BB}">
                      <c15:spPr xmlns:c15="http://schemas.microsoft.com/office/drawing/2012/chart">
                        <a:prstGeom prst="wedgeRectCallout">
                          <a:avLst/>
                        </a:prstGeom>
                        <a:noFill/>
                        <a:ln>
                          <a:noFill/>
                        </a:ln>
                      </c15:spPr>
                    </c:ext>
                  </c:extLst>
                </c:dLbls>
                <c:cat>
                  <c:strRef>
                    <c:extLst xmlns:c15="http://schemas.microsoft.com/office/drawing/2012/chart">
                      <c:ext xmlns:c15="http://schemas.microsoft.com/office/drawing/2012/chart" uri="{02D57815-91ED-43cb-92C2-25804820EDAC}">
                        <c15:formulaRef>
                          <c15:sqref>(' Dados Predial'!$B$24:$B$27,' Dados Predial'!$B$29:$B$30,' Dados Predial'!$B$32)</c15:sqref>
                        </c15:formulaRef>
                      </c:ext>
                    </c:extLst>
                    <c:strCache>
                      <c:ptCount val="7"/>
                      <c:pt idx="0">
                        <c:v>Alvenaria</c:v>
                      </c:pt>
                      <c:pt idx="1">
                        <c:v>Elétrica</c:v>
                      </c:pt>
                      <c:pt idx="2">
                        <c:v>Hidráulica</c:v>
                      </c:pt>
                      <c:pt idx="3">
                        <c:v>Marcenaria</c:v>
                      </c:pt>
                      <c:pt idx="4">
                        <c:v>Outros</c:v>
                      </c:pt>
                      <c:pt idx="5">
                        <c:v>Pintura</c:v>
                      </c:pt>
                      <c:pt idx="6">
                        <c:v>Vidraçaria</c:v>
                      </c:pt>
                    </c:strCache>
                  </c:strRef>
                </c:cat>
                <c:val>
                  <c:numRef>
                    <c:extLst xmlns:c15="http://schemas.microsoft.com/office/drawing/2012/chart">
                      <c:ext xmlns:c15="http://schemas.microsoft.com/office/drawing/2012/chart" uri="{02D57815-91ED-43cb-92C2-25804820EDAC}">
                        <c15:formulaRef>
                          <c15:sqref>(' Dados Predial'!$Q$24:$Q$27,' Dados Predial'!$Q$29:$Q$30,' Dados Predial'!$Q$32)</c15:sqref>
                        </c15:formulaRef>
                      </c:ext>
                    </c:extLst>
                    <c:numCache>
                      <c:formatCode>_("R$"* #,##0.00_);_("R$"* \(#,##0.00\);_("R$"* "-"??_);_(@_)</c:formatCode>
                      <c:ptCount val="7"/>
                      <c:pt idx="0">
                        <c:v>0.87761194029850742</c:v>
                      </c:pt>
                      <c:pt idx="1">
                        <c:v>1.4462686567164178</c:v>
                      </c:pt>
                      <c:pt idx="2">
                        <c:v>12.003731343283581</c:v>
                      </c:pt>
                      <c:pt idx="3">
                        <c:v>0</c:v>
                      </c:pt>
                      <c:pt idx="4">
                        <c:v>2.186405970149254</c:v>
                      </c:pt>
                      <c:pt idx="5">
                        <c:v>3.2950248756218903</c:v>
                      </c:pt>
                      <c:pt idx="6">
                        <c:v>1.3432835820895523</c:v>
                      </c:pt>
                    </c:numCache>
                  </c:numRef>
                </c:val>
                <c:extLst xmlns:c15="http://schemas.microsoft.com/office/drawing/2012/chart">
                  <c:ext xmlns:c16="http://schemas.microsoft.com/office/drawing/2014/chart" uri="{C3380CC4-5D6E-409C-BE32-E72D297353CC}">
                    <c16:uniqueId val="{000001B2-6443-4B28-9D0F-70B98AAEF526}"/>
                  </c:ext>
                </c:extLst>
              </c15:ser>
            </c15:filteredPieSeries>
            <c15:filteredPieSeries>
              <c15:ser>
                <c:idx val="15"/>
                <c:order val="15"/>
                <c:tx>
                  <c:strRef>
                    <c:extLst xmlns:c15="http://schemas.microsoft.com/office/drawing/2012/chart">
                      <c:ext xmlns:c15="http://schemas.microsoft.com/office/drawing/2012/chart" uri="{02D57815-91ED-43cb-92C2-25804820EDAC}">
                        <c15:formulaRef>
                          <c15:sqref>' Dados Predial'!$R$23</c15:sqref>
                        </c15:formulaRef>
                      </c:ext>
                    </c:extLst>
                    <c:strCache>
                      <c:ptCount val="1"/>
                      <c:pt idx="0">
                        <c:v>Cons/m²</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B4-6443-4B28-9D0F-70B98AAEF526}"/>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B6-6443-4B28-9D0F-70B98AAEF526}"/>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B8-6443-4B28-9D0F-70B98AAEF526}"/>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BA-6443-4B28-9D0F-70B98AAEF526}"/>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BC-6443-4B28-9D0F-70B98AAEF526}"/>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BE-6443-4B28-9D0F-70B98AAEF526}"/>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C0-6443-4B28-9D0F-70B98AAEF526}"/>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C2-6443-4B28-9D0F-70B98AAEF526}"/>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C4-6443-4B28-9D0F-70B98AAEF526}"/>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C6-6443-4B28-9D0F-70B98AAEF526}"/>
                    </c:ext>
                  </c:extLst>
                </c:dPt>
                <c:dPt>
                  <c:idx val="1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C8-6443-4B28-9D0F-70B98AAEF526}"/>
                    </c:ext>
                  </c:extLst>
                </c:dPt>
                <c:dPt>
                  <c:idx val="11"/>
                  <c:bubble3D val="0"/>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CA-6443-4B28-9D0F-70B98AAEF526}"/>
                    </c:ext>
                  </c:extLst>
                </c:dPt>
                <c:dPt>
                  <c:idx val="12"/>
                  <c:bubble3D val="0"/>
                  <c:spPr>
                    <a:gradFill rotWithShape="1">
                      <a:gsLst>
                        <a:gs pos="0">
                          <a:schemeClr val="accent1">
                            <a:lumMod val="80000"/>
                            <a:lumOff val="20000"/>
                            <a:shade val="51000"/>
                            <a:satMod val="130000"/>
                          </a:schemeClr>
                        </a:gs>
                        <a:gs pos="80000">
                          <a:schemeClr val="accent1">
                            <a:lumMod val="80000"/>
                            <a:lumOff val="20000"/>
                            <a:shade val="93000"/>
                            <a:satMod val="130000"/>
                          </a:schemeClr>
                        </a:gs>
                        <a:gs pos="100000">
                          <a:schemeClr val="accent1">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CC-6443-4B28-9D0F-70B98AAEF526}"/>
                    </c:ext>
                  </c:extLst>
                </c:dPt>
                <c:dPt>
                  <c:idx val="13"/>
                  <c:bubble3D val="0"/>
                  <c:spPr>
                    <a:gradFill rotWithShape="1">
                      <a:gsLst>
                        <a:gs pos="0">
                          <a:schemeClr val="accent2">
                            <a:lumMod val="80000"/>
                            <a:lumOff val="20000"/>
                            <a:shade val="51000"/>
                            <a:satMod val="130000"/>
                          </a:schemeClr>
                        </a:gs>
                        <a:gs pos="80000">
                          <a:schemeClr val="accent2">
                            <a:lumMod val="80000"/>
                            <a:lumOff val="20000"/>
                            <a:shade val="93000"/>
                            <a:satMod val="130000"/>
                          </a:schemeClr>
                        </a:gs>
                        <a:gs pos="100000">
                          <a:schemeClr val="accent2">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CE-6443-4B28-9D0F-70B98AAEF526}"/>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t-BR"/>
                    </a:p>
                  </c:txPr>
                  <c:dLblPos val="outEnd"/>
                  <c:showLegendKey val="0"/>
                  <c:showVal val="0"/>
                  <c:showCatName val="1"/>
                  <c:showSerName val="0"/>
                  <c:showPercent val="1"/>
                  <c:showBubbleSize val="0"/>
                  <c:showLeaderLines val="0"/>
                  <c:extLst xmlns:c15="http://schemas.microsoft.com/office/drawing/2012/chart">
                    <c:ext xmlns:c15="http://schemas.microsoft.com/office/drawing/2012/chart" uri="{CE6537A1-D6FC-4f65-9D91-7224C49458BB}">
                      <c15:spPr xmlns:c15="http://schemas.microsoft.com/office/drawing/2012/chart">
                        <a:prstGeom prst="wedgeRectCallout">
                          <a:avLst/>
                        </a:prstGeom>
                        <a:noFill/>
                        <a:ln>
                          <a:noFill/>
                        </a:ln>
                      </c15:spPr>
                    </c:ext>
                  </c:extLst>
                </c:dLbls>
                <c:cat>
                  <c:strRef>
                    <c:extLst xmlns:c15="http://schemas.microsoft.com/office/drawing/2012/chart">
                      <c:ext xmlns:c15="http://schemas.microsoft.com/office/drawing/2012/chart" uri="{02D57815-91ED-43cb-92C2-25804820EDAC}">
                        <c15:formulaRef>
                          <c15:sqref>(' Dados Predial'!$B$24:$B$27,' Dados Predial'!$B$29:$B$30,' Dados Predial'!$B$32)</c15:sqref>
                        </c15:formulaRef>
                      </c:ext>
                    </c:extLst>
                    <c:strCache>
                      <c:ptCount val="7"/>
                      <c:pt idx="0">
                        <c:v>Alvenaria</c:v>
                      </c:pt>
                      <c:pt idx="1">
                        <c:v>Elétrica</c:v>
                      </c:pt>
                      <c:pt idx="2">
                        <c:v>Hidráulica</c:v>
                      </c:pt>
                      <c:pt idx="3">
                        <c:v>Marcenaria</c:v>
                      </c:pt>
                      <c:pt idx="4">
                        <c:v>Outros</c:v>
                      </c:pt>
                      <c:pt idx="5">
                        <c:v>Pintura</c:v>
                      </c:pt>
                      <c:pt idx="6">
                        <c:v>Vidraçaria</c:v>
                      </c:pt>
                    </c:strCache>
                  </c:strRef>
                </c:cat>
                <c:val>
                  <c:numRef>
                    <c:extLst xmlns:c15="http://schemas.microsoft.com/office/drawing/2012/chart">
                      <c:ext xmlns:c15="http://schemas.microsoft.com/office/drawing/2012/chart" uri="{02D57815-91ED-43cb-92C2-25804820EDAC}">
                        <c15:formulaRef>
                          <c15:sqref>(' Dados Predial'!$R$24:$R$27,' Dados Predial'!$R$29:$R$30,' Dados Predial'!$R$32)</c15:sqref>
                        </c15:formulaRef>
                      </c:ext>
                    </c:extLst>
                    <c:numCache>
                      <c:formatCode>_("R$"* #,##0.00_);_("R$"* \(#,##0.00\);_("R$"* "-"??_);_(@_)</c:formatCode>
                      <c:ptCount val="7"/>
                      <c:pt idx="0">
                        <c:v>2.6156746527780866E-2</c:v>
                      </c:pt>
                      <c:pt idx="1">
                        <c:v>4.3105250655475609E-2</c:v>
                      </c:pt>
                      <c:pt idx="2">
                        <c:v>0.3577646835878871</c:v>
                      </c:pt>
                      <c:pt idx="3">
                        <c:v>0</c:v>
                      </c:pt>
                      <c:pt idx="4">
                        <c:v>6.5164640705057772E-2</c:v>
                      </c:pt>
                      <c:pt idx="5">
                        <c:v>9.82064241799845E-2</c:v>
                      </c:pt>
                      <c:pt idx="6">
                        <c:v>4.0035836522113573E-2</c:v>
                      </c:pt>
                    </c:numCache>
                  </c:numRef>
                </c:val>
                <c:extLst xmlns:c15="http://schemas.microsoft.com/office/drawing/2012/chart">
                  <c:ext xmlns:c16="http://schemas.microsoft.com/office/drawing/2014/chart" uri="{C3380CC4-5D6E-409C-BE32-E72D297353CC}">
                    <c16:uniqueId val="{000001CF-6443-4B28-9D0F-70B98AAEF526}"/>
                  </c:ext>
                </c:extLst>
              </c15:ser>
            </c15:filteredPieSeries>
            <c15:filteredPieSeries>
              <c15:ser>
                <c:idx val="16"/>
                <c:order val="16"/>
                <c:tx>
                  <c:strRef>
                    <c:extLst xmlns:c15="http://schemas.microsoft.com/office/drawing/2012/chart">
                      <c:ext xmlns:c15="http://schemas.microsoft.com/office/drawing/2012/chart" uri="{02D57815-91ED-43cb-92C2-25804820EDAC}">
                        <c15:formulaRef>
                          <c15:sqref>' Dados Predial'!$S$23</c15:sqref>
                        </c15:formulaRef>
                      </c:ext>
                    </c:extLst>
                    <c:strCache>
                      <c:ptCount val="1"/>
                      <c:pt idx="0">
                        <c:v>Percentual</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D1-6443-4B28-9D0F-70B98AAEF526}"/>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D3-6443-4B28-9D0F-70B98AAEF526}"/>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D5-6443-4B28-9D0F-70B98AAEF526}"/>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D7-6443-4B28-9D0F-70B98AAEF526}"/>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D9-6443-4B28-9D0F-70B98AAEF526}"/>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DB-6443-4B28-9D0F-70B98AAEF526}"/>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DD-6443-4B28-9D0F-70B98AAEF526}"/>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DF-6443-4B28-9D0F-70B98AAEF526}"/>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E1-6443-4B28-9D0F-70B98AAEF526}"/>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E3-6443-4B28-9D0F-70B98AAEF526}"/>
                    </c:ext>
                  </c:extLst>
                </c:dPt>
                <c:dPt>
                  <c:idx val="1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E5-6443-4B28-9D0F-70B98AAEF526}"/>
                    </c:ext>
                  </c:extLst>
                </c:dPt>
                <c:dPt>
                  <c:idx val="11"/>
                  <c:bubble3D val="0"/>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E7-6443-4B28-9D0F-70B98AAEF526}"/>
                    </c:ext>
                  </c:extLst>
                </c:dPt>
                <c:dPt>
                  <c:idx val="12"/>
                  <c:bubble3D val="0"/>
                  <c:spPr>
                    <a:gradFill rotWithShape="1">
                      <a:gsLst>
                        <a:gs pos="0">
                          <a:schemeClr val="accent1">
                            <a:lumMod val="80000"/>
                            <a:lumOff val="20000"/>
                            <a:shade val="51000"/>
                            <a:satMod val="130000"/>
                          </a:schemeClr>
                        </a:gs>
                        <a:gs pos="80000">
                          <a:schemeClr val="accent1">
                            <a:lumMod val="80000"/>
                            <a:lumOff val="20000"/>
                            <a:shade val="93000"/>
                            <a:satMod val="130000"/>
                          </a:schemeClr>
                        </a:gs>
                        <a:gs pos="100000">
                          <a:schemeClr val="accent1">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E9-6443-4B28-9D0F-70B98AAEF526}"/>
                    </c:ext>
                  </c:extLst>
                </c:dPt>
                <c:dPt>
                  <c:idx val="13"/>
                  <c:bubble3D val="0"/>
                  <c:spPr>
                    <a:gradFill rotWithShape="1">
                      <a:gsLst>
                        <a:gs pos="0">
                          <a:schemeClr val="accent2">
                            <a:lumMod val="80000"/>
                            <a:lumOff val="20000"/>
                            <a:shade val="51000"/>
                            <a:satMod val="130000"/>
                          </a:schemeClr>
                        </a:gs>
                        <a:gs pos="80000">
                          <a:schemeClr val="accent2">
                            <a:lumMod val="80000"/>
                            <a:lumOff val="20000"/>
                            <a:shade val="93000"/>
                            <a:satMod val="130000"/>
                          </a:schemeClr>
                        </a:gs>
                        <a:gs pos="100000">
                          <a:schemeClr val="accent2">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EB-6443-4B28-9D0F-70B98AAEF526}"/>
                    </c:ext>
                  </c:extLst>
                </c:dPt>
                <c:dLbls>
                  <c:dLbl>
                    <c:idx val="0"/>
                    <c:layout>
                      <c:manualLayout>
                        <c:x val="3.2533908786107728E-2"/>
                        <c:y val="-6.3959509764153185E-3"/>
                      </c:manualLayout>
                    </c:layout>
                    <c:dLblPos val="bestFit"/>
                    <c:showLegendKey val="0"/>
                    <c:showVal val="0"/>
                    <c:showCatName val="1"/>
                    <c:showSerName val="0"/>
                    <c:showPercent val="1"/>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1D1-6443-4B28-9D0F-70B98AAEF526}"/>
                      </c:ext>
                    </c:extLst>
                  </c:dLbl>
                  <c:dLbl>
                    <c:idx val="1"/>
                    <c:layout>
                      <c:manualLayout>
                        <c:x val="1.5978356403834999E-2"/>
                        <c:y val="7.2929271600626969E-3"/>
                      </c:manualLayout>
                    </c:layout>
                    <c:dLblPos val="bestFit"/>
                    <c:showLegendKey val="0"/>
                    <c:showVal val="0"/>
                    <c:showCatName val="1"/>
                    <c:showSerName val="0"/>
                    <c:showPercent val="1"/>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1D3-6443-4B28-9D0F-70B98AAEF526}"/>
                      </c:ext>
                    </c:extLst>
                  </c:dLbl>
                  <c:dLbl>
                    <c:idx val="2"/>
                    <c:layout>
                      <c:manualLayout>
                        <c:x val="-1.1663973684364821E-2"/>
                        <c:y val="4.1903128281913393E-2"/>
                      </c:manualLayout>
                    </c:layout>
                    <c:dLblPos val="bestFit"/>
                    <c:showLegendKey val="0"/>
                    <c:showVal val="0"/>
                    <c:showCatName val="1"/>
                    <c:showSerName val="0"/>
                    <c:showPercent val="1"/>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1D5-6443-4B28-9D0F-70B98AAEF526}"/>
                      </c:ext>
                    </c:extLst>
                  </c:dLbl>
                  <c:dLbl>
                    <c:idx val="3"/>
                    <c:layout>
                      <c:manualLayout>
                        <c:x val="-1.2916810961720942E-2"/>
                        <c:y val="-3.301522059800977E-3"/>
                      </c:manualLayout>
                    </c:layout>
                    <c:dLblPos val="bestFit"/>
                    <c:showLegendKey val="0"/>
                    <c:showVal val="0"/>
                    <c:showCatName val="1"/>
                    <c:showSerName val="0"/>
                    <c:showPercent val="1"/>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1D7-6443-4B28-9D0F-70B98AAEF526}"/>
                      </c:ext>
                    </c:extLst>
                  </c:dLbl>
                  <c:dLbl>
                    <c:idx val="6"/>
                    <c:layout>
                      <c:manualLayout>
                        <c:x val="2.0377519363277228E-3"/>
                        <c:y val="-6.1720381940452068E-2"/>
                      </c:manualLayout>
                    </c:layout>
                    <c:dLblPos val="bestFit"/>
                    <c:showLegendKey val="0"/>
                    <c:showVal val="0"/>
                    <c:showCatName val="1"/>
                    <c:showSerName val="0"/>
                    <c:showPercent val="1"/>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1DD-6443-4B28-9D0F-70B98AAEF526}"/>
                      </c:ext>
                    </c:extLst>
                  </c:dLbl>
                  <c:dLbl>
                    <c:idx val="10"/>
                    <c:layout>
                      <c:manualLayout>
                        <c:x val="-3.8460818289608546E-2"/>
                        <c:y val="4.2171986046752187E-2"/>
                      </c:manualLayout>
                    </c:layout>
                    <c:dLblPos val="bestFit"/>
                    <c:showLegendKey val="0"/>
                    <c:showVal val="0"/>
                    <c:showCatName val="1"/>
                    <c:showSerName val="0"/>
                    <c:showPercent val="1"/>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1E5-6443-4B28-9D0F-70B98AAEF526}"/>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t-BR"/>
                    </a:p>
                  </c:txPr>
                  <c:dLblPos val="bestFit"/>
                  <c:showLegendKey val="0"/>
                  <c:showVal val="0"/>
                  <c:showCatName val="1"/>
                  <c:showSerName val="0"/>
                  <c:showPercent val="1"/>
                  <c:showBubbleSize val="0"/>
                  <c:showLeaderLines val="0"/>
                  <c:extLst xmlns:c15="http://schemas.microsoft.com/office/drawing/2012/chart">
                    <c:ext xmlns:c15="http://schemas.microsoft.com/office/drawing/2012/chart" uri="{CE6537A1-D6FC-4f65-9D91-7224C49458BB}">
                      <c15:spPr xmlns:c15="http://schemas.microsoft.com/office/drawing/2012/chart">
                        <a:prstGeom prst="wedgeRectCallout">
                          <a:avLst/>
                        </a:prstGeom>
                        <a:noFill/>
                        <a:ln>
                          <a:noFill/>
                        </a:ln>
                      </c15:spPr>
                    </c:ext>
                  </c:extLst>
                </c:dLbls>
                <c:cat>
                  <c:strRef>
                    <c:extLst xmlns:c15="http://schemas.microsoft.com/office/drawing/2012/chart">
                      <c:ext xmlns:c15="http://schemas.microsoft.com/office/drawing/2012/chart" uri="{02D57815-91ED-43cb-92C2-25804820EDAC}">
                        <c15:formulaRef>
                          <c15:sqref>(' Dados Predial'!$B$24:$B$27,' Dados Predial'!$B$29:$B$30,' Dados Predial'!$B$32)</c15:sqref>
                        </c15:formulaRef>
                      </c:ext>
                    </c:extLst>
                    <c:strCache>
                      <c:ptCount val="7"/>
                      <c:pt idx="0">
                        <c:v>Alvenaria</c:v>
                      </c:pt>
                      <c:pt idx="1">
                        <c:v>Elétrica</c:v>
                      </c:pt>
                      <c:pt idx="2">
                        <c:v>Hidráulica</c:v>
                      </c:pt>
                      <c:pt idx="3">
                        <c:v>Marcenaria</c:v>
                      </c:pt>
                      <c:pt idx="4">
                        <c:v>Outros</c:v>
                      </c:pt>
                      <c:pt idx="5">
                        <c:v>Pintura</c:v>
                      </c:pt>
                      <c:pt idx="6">
                        <c:v>Vidraçaria</c:v>
                      </c:pt>
                    </c:strCache>
                  </c:strRef>
                </c:cat>
                <c:val>
                  <c:numRef>
                    <c:extLst xmlns:c15="http://schemas.microsoft.com/office/drawing/2012/chart">
                      <c:ext xmlns:c15="http://schemas.microsoft.com/office/drawing/2012/chart" uri="{02D57815-91ED-43cb-92C2-25804820EDAC}">
                        <c15:formulaRef>
                          <c15:sqref>(' Dados Predial'!$S$24:$S$27,' Dados Predial'!$S$29:$S$30,' Dados Predial'!$S$32)</c15:sqref>
                        </c15:formulaRef>
                      </c:ext>
                    </c:extLst>
                    <c:numCache>
                      <c:formatCode>0.00%</c:formatCode>
                      <c:ptCount val="7"/>
                      <c:pt idx="0">
                        <c:v>0.11840424107345125</c:v>
                      </c:pt>
                      <c:pt idx="1">
                        <c:v>0.1951253564628814</c:v>
                      </c:pt>
                      <c:pt idx="2">
                        <c:v>1.61950018509053</c:v>
                      </c:pt>
                      <c:pt idx="3">
                        <c:v>0</c:v>
                      </c:pt>
                      <c:pt idx="4">
                        <c:v>0.29498201618124176</c:v>
                      </c:pt>
                      <c:pt idx="5">
                        <c:v>0.44455288471058252</c:v>
                      </c:pt>
                      <c:pt idx="6">
                        <c:v>0.18123098123487436</c:v>
                      </c:pt>
                    </c:numCache>
                  </c:numRef>
                </c:val>
                <c:extLst xmlns:c15="http://schemas.microsoft.com/office/drawing/2012/chart">
                  <c:ext xmlns:c16="http://schemas.microsoft.com/office/drawing/2014/chart" uri="{C3380CC4-5D6E-409C-BE32-E72D297353CC}">
                    <c16:uniqueId val="{000001EC-6443-4B28-9D0F-70B98AAEF526}"/>
                  </c:ext>
                </c:extLst>
              </c15:ser>
            </c15:filteredPieSeries>
          </c:ext>
        </c:extLst>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t-BR"/>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pt-BR"/>
              <a:t>Distribuição dos gastos de materiais com manutenção - 2022</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pt-BR"/>
        </a:p>
      </c:txPr>
    </c:title>
    <c:autoTitleDeleted val="0"/>
    <c:plotArea>
      <c:layout/>
      <c:pieChart>
        <c:varyColors val="1"/>
        <c:ser>
          <c:idx val="12"/>
          <c:order val="12"/>
          <c:tx>
            <c:strRef>
              <c:f>' Dados Predial'!$O$23</c:f>
              <c:strCache>
                <c:ptCount val="1"/>
                <c:pt idx="0">
                  <c:v>total</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01-54E7-47D0-ACBA-0E52EE59FEA1}"/>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03-54E7-47D0-ACBA-0E52EE59FEA1}"/>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05-54E7-47D0-ACBA-0E52EE59FEA1}"/>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07-54E7-47D0-ACBA-0E52EE59FEA1}"/>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54E7-47D0-ACBA-0E52EE59FEA1}"/>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54E7-47D0-ACBA-0E52EE59FEA1}"/>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54E7-47D0-ACBA-0E52EE59FEA1}"/>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F-54E7-47D0-ACBA-0E52EE59FEA1}"/>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1-54E7-47D0-ACBA-0E52EE59FEA1}"/>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3-54E7-47D0-ACBA-0E52EE59FEA1}"/>
              </c:ext>
            </c:extLst>
          </c:dPt>
          <c:dPt>
            <c:idx val="1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5-54E7-47D0-ACBA-0E52EE59FEA1}"/>
              </c:ext>
            </c:extLst>
          </c:dPt>
          <c:dPt>
            <c:idx val="11"/>
            <c:bubble3D val="0"/>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7-54E7-47D0-ACBA-0E52EE59FEA1}"/>
              </c:ext>
            </c:extLst>
          </c:dPt>
          <c:dPt>
            <c:idx val="12"/>
            <c:bubble3D val="0"/>
            <c:spPr>
              <a:gradFill rotWithShape="1">
                <a:gsLst>
                  <a:gs pos="0">
                    <a:schemeClr val="accent1">
                      <a:lumMod val="80000"/>
                      <a:lumOff val="20000"/>
                      <a:shade val="51000"/>
                      <a:satMod val="130000"/>
                    </a:schemeClr>
                  </a:gs>
                  <a:gs pos="80000">
                    <a:schemeClr val="accent1">
                      <a:lumMod val="80000"/>
                      <a:lumOff val="20000"/>
                      <a:shade val="93000"/>
                      <a:satMod val="130000"/>
                    </a:schemeClr>
                  </a:gs>
                  <a:gs pos="100000">
                    <a:schemeClr val="accent1">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9-54E7-47D0-ACBA-0E52EE59FEA1}"/>
              </c:ext>
            </c:extLst>
          </c:dPt>
          <c:dPt>
            <c:idx val="13"/>
            <c:bubble3D val="0"/>
            <c:spPr>
              <a:gradFill rotWithShape="1">
                <a:gsLst>
                  <a:gs pos="0">
                    <a:schemeClr val="accent2">
                      <a:lumMod val="80000"/>
                      <a:lumOff val="20000"/>
                      <a:shade val="51000"/>
                      <a:satMod val="130000"/>
                    </a:schemeClr>
                  </a:gs>
                  <a:gs pos="80000">
                    <a:schemeClr val="accent2">
                      <a:lumMod val="80000"/>
                      <a:lumOff val="20000"/>
                      <a:shade val="93000"/>
                      <a:satMod val="130000"/>
                    </a:schemeClr>
                  </a:gs>
                  <a:gs pos="100000">
                    <a:schemeClr val="accent2">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B-54E7-47D0-ACBA-0E52EE59FEA1}"/>
              </c:ext>
            </c:extLst>
          </c:dPt>
          <c:dLbls>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t-BR"/>
              </a:p>
            </c:txPr>
            <c:dLblPos val="outEnd"/>
            <c:showLegendKey val="0"/>
            <c:showVal val="0"/>
            <c:showCatName val="1"/>
            <c:showSerName val="0"/>
            <c:showPercent val="1"/>
            <c:showBubbleSize val="0"/>
            <c:showLeaderLines val="0"/>
            <c:extLst xmlns:c15="http://schemas.microsoft.com/office/drawing/2012/chart">
              <c:ext xmlns:c15="http://schemas.microsoft.com/office/drawing/2012/chart" uri="{CE6537A1-D6FC-4f65-9D91-7224C49458BB}">
                <c15:spPr xmlns:c15="http://schemas.microsoft.com/office/drawing/2012/chart">
                  <a:prstGeom prst="wedgeRectCallout">
                    <a:avLst/>
                  </a:prstGeom>
                  <a:noFill/>
                  <a:ln>
                    <a:noFill/>
                  </a:ln>
                </c15:spPr>
              </c:ext>
            </c:extLst>
          </c:dLbls>
          <c:cat>
            <c:strRef>
              <c:f>(' Dados Predial'!$B$24:$B$27,' Dados Predial'!$B$29:$B$30,' Dados Predial'!$B$32)</c:f>
              <c:strCache>
                <c:ptCount val="7"/>
                <c:pt idx="0">
                  <c:v>Alvenaria</c:v>
                </c:pt>
                <c:pt idx="1">
                  <c:v>Elétrica</c:v>
                </c:pt>
                <c:pt idx="2">
                  <c:v>Hidráulica</c:v>
                </c:pt>
                <c:pt idx="3">
                  <c:v>Marcenaria</c:v>
                </c:pt>
                <c:pt idx="4">
                  <c:v>Outros</c:v>
                </c:pt>
                <c:pt idx="5">
                  <c:v>Pintura</c:v>
                </c:pt>
                <c:pt idx="6">
                  <c:v>Vidraçaria</c:v>
                </c:pt>
              </c:strCache>
              <c:extLst/>
            </c:strRef>
          </c:cat>
          <c:val>
            <c:numRef>
              <c:f>(' Dados Predial'!$O$24:$O$27,' Dados Predial'!$O$29:$O$30,' Dados Predial'!$O$32)</c:f>
              <c:numCache>
                <c:formatCode>_("R$"* #,##0.00_);_("R$"* \(#,##0.00\);_("R$"* "-"??_);_(@_)</c:formatCode>
                <c:ptCount val="7"/>
                <c:pt idx="0">
                  <c:v>0</c:v>
                </c:pt>
                <c:pt idx="1">
                  <c:v>200</c:v>
                </c:pt>
                <c:pt idx="2">
                  <c:v>0</c:v>
                </c:pt>
                <c:pt idx="3">
                  <c:v>0</c:v>
                </c:pt>
                <c:pt idx="4">
                  <c:v>1457.0900000000001</c:v>
                </c:pt>
                <c:pt idx="5">
                  <c:v>0</c:v>
                </c:pt>
                <c:pt idx="6">
                  <c:v>0</c:v>
                </c:pt>
              </c:numCache>
              <c:extLst/>
            </c:numRef>
          </c:val>
          <c:extLst xmlns:c15="http://schemas.microsoft.com/office/drawing/2012/chart">
            <c:ext xmlns:c16="http://schemas.microsoft.com/office/drawing/2014/chart" uri="{C3380CC4-5D6E-409C-BE32-E72D297353CC}">
              <c16:uniqueId val="{0000001C-54E7-47D0-ACBA-0E52EE59FEA1}"/>
            </c:ext>
          </c:extLst>
        </c:ser>
        <c:dLbls>
          <c:dLblPos val="outEnd"/>
          <c:showLegendKey val="0"/>
          <c:showVal val="0"/>
          <c:showCatName val="0"/>
          <c:showSerName val="0"/>
          <c:showPercent val="0"/>
          <c:showBubbleSize val="0"/>
          <c:showLeaderLines val="0"/>
        </c:dLbls>
        <c:firstSliceAng val="0"/>
        <c:extLst>
          <c:ext xmlns:c15="http://schemas.microsoft.com/office/drawing/2012/chart" uri="{02D57815-91ED-43cb-92C2-25804820EDAC}">
            <c15:filteredPieSeries>
              <c15:ser>
                <c:idx val="0"/>
                <c:order val="0"/>
                <c:tx>
                  <c:strRef>
                    <c:extLst>
                      <c:ext uri="{02D57815-91ED-43cb-92C2-25804820EDAC}">
                        <c15:formulaRef>
                          <c15:sqref>' Dados Predial'!$C$23</c15:sqref>
                        </c15:formulaRef>
                      </c:ext>
                    </c:extLst>
                    <c:strCache>
                      <c:ptCount val="1"/>
                      <c:pt idx="0">
                        <c:v>jan</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E-54E7-47D0-ACBA-0E52EE59FEA1}"/>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20-54E7-47D0-ACBA-0E52EE59FEA1}"/>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22-54E7-47D0-ACBA-0E52EE59FEA1}"/>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24-54E7-47D0-ACBA-0E52EE59FEA1}"/>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26-54E7-47D0-ACBA-0E52EE59FEA1}"/>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28-54E7-47D0-ACBA-0E52EE59FEA1}"/>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2A-54E7-47D0-ACBA-0E52EE59FEA1}"/>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2C-54E7-47D0-ACBA-0E52EE59FEA1}"/>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2E-54E7-47D0-ACBA-0E52EE59FEA1}"/>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30-54E7-47D0-ACBA-0E52EE59FEA1}"/>
                    </c:ext>
                  </c:extLst>
                </c:dPt>
                <c:dPt>
                  <c:idx val="1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32-54E7-47D0-ACBA-0E52EE59FEA1}"/>
                    </c:ext>
                  </c:extLst>
                </c:dPt>
                <c:dPt>
                  <c:idx val="11"/>
                  <c:bubble3D val="0"/>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34-54E7-47D0-ACBA-0E52EE59FEA1}"/>
                    </c:ext>
                  </c:extLst>
                </c:dPt>
                <c:dPt>
                  <c:idx val="12"/>
                  <c:bubble3D val="0"/>
                  <c:spPr>
                    <a:gradFill rotWithShape="1">
                      <a:gsLst>
                        <a:gs pos="0">
                          <a:schemeClr val="accent1">
                            <a:lumMod val="80000"/>
                            <a:lumOff val="20000"/>
                            <a:shade val="51000"/>
                            <a:satMod val="130000"/>
                          </a:schemeClr>
                        </a:gs>
                        <a:gs pos="80000">
                          <a:schemeClr val="accent1">
                            <a:lumMod val="80000"/>
                            <a:lumOff val="20000"/>
                            <a:shade val="93000"/>
                            <a:satMod val="130000"/>
                          </a:schemeClr>
                        </a:gs>
                        <a:gs pos="100000">
                          <a:schemeClr val="accent1">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36-54E7-47D0-ACBA-0E52EE59FEA1}"/>
                    </c:ext>
                  </c:extLst>
                </c:dPt>
                <c:dPt>
                  <c:idx val="13"/>
                  <c:bubble3D val="0"/>
                  <c:spPr>
                    <a:gradFill rotWithShape="1">
                      <a:gsLst>
                        <a:gs pos="0">
                          <a:schemeClr val="accent2">
                            <a:lumMod val="80000"/>
                            <a:lumOff val="20000"/>
                            <a:shade val="51000"/>
                            <a:satMod val="130000"/>
                          </a:schemeClr>
                        </a:gs>
                        <a:gs pos="80000">
                          <a:schemeClr val="accent2">
                            <a:lumMod val="80000"/>
                            <a:lumOff val="20000"/>
                            <a:shade val="93000"/>
                            <a:satMod val="130000"/>
                          </a:schemeClr>
                        </a:gs>
                        <a:gs pos="100000">
                          <a:schemeClr val="accent2">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38-54E7-47D0-ACBA-0E52EE59FEA1}"/>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t-BR"/>
                    </a:p>
                  </c:txPr>
                  <c:dLblPos val="outEnd"/>
                  <c:showLegendKey val="0"/>
                  <c:showVal val="0"/>
                  <c:showCatName val="1"/>
                  <c:showSerName val="0"/>
                  <c:showPercent val="1"/>
                  <c:showBubbleSize val="0"/>
                  <c:showLeaderLines val="0"/>
                  <c:extLst>
                    <c:ext uri="{CE6537A1-D6FC-4f65-9D91-7224C49458BB}">
                      <c15:spPr xmlns:c15="http://schemas.microsoft.com/office/drawing/2012/chart">
                        <a:prstGeom prst="wedgeRectCallout">
                          <a:avLst/>
                        </a:prstGeom>
                        <a:noFill/>
                        <a:ln>
                          <a:noFill/>
                        </a:ln>
                      </c15:spPr>
                    </c:ext>
                  </c:extLst>
                </c:dLbls>
                <c:cat>
                  <c:strRef>
                    <c:extLst>
                      <c:ext uri="{02D57815-91ED-43cb-92C2-25804820EDAC}">
                        <c15:formulaRef>
                          <c15:sqref>(' Dados Predial'!$B$24:$B$27,' Dados Predial'!$B$29:$B$30,' Dados Predial'!$B$32)</c15:sqref>
                        </c15:formulaRef>
                      </c:ext>
                    </c:extLst>
                    <c:strCache>
                      <c:ptCount val="7"/>
                      <c:pt idx="0">
                        <c:v>Alvenaria</c:v>
                      </c:pt>
                      <c:pt idx="1">
                        <c:v>Elétrica</c:v>
                      </c:pt>
                      <c:pt idx="2">
                        <c:v>Hidráulica</c:v>
                      </c:pt>
                      <c:pt idx="3">
                        <c:v>Marcenaria</c:v>
                      </c:pt>
                      <c:pt idx="4">
                        <c:v>Outros</c:v>
                      </c:pt>
                      <c:pt idx="5">
                        <c:v>Pintura</c:v>
                      </c:pt>
                      <c:pt idx="6">
                        <c:v>Vidraçaria</c:v>
                      </c:pt>
                    </c:strCache>
                  </c:strRef>
                </c:cat>
                <c:val>
                  <c:numRef>
                    <c:extLst>
                      <c:ext uri="{02D57815-91ED-43cb-92C2-25804820EDAC}">
                        <c15:formulaRef>
                          <c15:sqref>(' Dados Predial'!$C$24:$C$27,' Dados Predial'!$C$29:$C$30,' Dados Predial'!$C$32)</c15:sqref>
                        </c15:formulaRef>
                      </c:ext>
                    </c:extLst>
                    <c:numCache>
                      <c:formatCode>_("R$"* #,##0.00_);_("R$"* \(#,##0.00\);_("R$"* "-"??_);_(@_)</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39-54E7-47D0-ACBA-0E52EE59FEA1}"/>
                  </c:ext>
                </c:extLst>
              </c15:ser>
            </c15:filteredPieSeries>
            <c15:filteredPieSeries>
              <c15:ser>
                <c:idx val="1"/>
                <c:order val="1"/>
                <c:tx>
                  <c:strRef>
                    <c:extLst xmlns:c15="http://schemas.microsoft.com/office/drawing/2012/chart">
                      <c:ext xmlns:c15="http://schemas.microsoft.com/office/drawing/2012/chart" uri="{02D57815-91ED-43cb-92C2-25804820EDAC}">
                        <c15:formulaRef>
                          <c15:sqref>' Dados Predial'!$D$23</c15:sqref>
                        </c15:formulaRef>
                      </c:ext>
                    </c:extLst>
                    <c:strCache>
                      <c:ptCount val="1"/>
                      <c:pt idx="0">
                        <c:v>fev</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3B-54E7-47D0-ACBA-0E52EE59FEA1}"/>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3D-54E7-47D0-ACBA-0E52EE59FEA1}"/>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3F-54E7-47D0-ACBA-0E52EE59FEA1}"/>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41-54E7-47D0-ACBA-0E52EE59FEA1}"/>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43-54E7-47D0-ACBA-0E52EE59FEA1}"/>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45-54E7-47D0-ACBA-0E52EE59FEA1}"/>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47-54E7-47D0-ACBA-0E52EE59FEA1}"/>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49-54E7-47D0-ACBA-0E52EE59FEA1}"/>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4B-54E7-47D0-ACBA-0E52EE59FEA1}"/>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4D-54E7-47D0-ACBA-0E52EE59FEA1}"/>
                    </c:ext>
                  </c:extLst>
                </c:dPt>
                <c:dPt>
                  <c:idx val="1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4F-54E7-47D0-ACBA-0E52EE59FEA1}"/>
                    </c:ext>
                  </c:extLst>
                </c:dPt>
                <c:dPt>
                  <c:idx val="11"/>
                  <c:bubble3D val="0"/>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51-54E7-47D0-ACBA-0E52EE59FEA1}"/>
                    </c:ext>
                  </c:extLst>
                </c:dPt>
                <c:dPt>
                  <c:idx val="12"/>
                  <c:bubble3D val="0"/>
                  <c:spPr>
                    <a:gradFill rotWithShape="1">
                      <a:gsLst>
                        <a:gs pos="0">
                          <a:schemeClr val="accent1">
                            <a:lumMod val="80000"/>
                            <a:lumOff val="20000"/>
                            <a:shade val="51000"/>
                            <a:satMod val="130000"/>
                          </a:schemeClr>
                        </a:gs>
                        <a:gs pos="80000">
                          <a:schemeClr val="accent1">
                            <a:lumMod val="80000"/>
                            <a:lumOff val="20000"/>
                            <a:shade val="93000"/>
                            <a:satMod val="130000"/>
                          </a:schemeClr>
                        </a:gs>
                        <a:gs pos="100000">
                          <a:schemeClr val="accent1">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53-54E7-47D0-ACBA-0E52EE59FEA1}"/>
                    </c:ext>
                  </c:extLst>
                </c:dPt>
                <c:dPt>
                  <c:idx val="13"/>
                  <c:bubble3D val="0"/>
                  <c:spPr>
                    <a:gradFill rotWithShape="1">
                      <a:gsLst>
                        <a:gs pos="0">
                          <a:schemeClr val="accent2">
                            <a:lumMod val="80000"/>
                            <a:lumOff val="20000"/>
                            <a:shade val="51000"/>
                            <a:satMod val="130000"/>
                          </a:schemeClr>
                        </a:gs>
                        <a:gs pos="80000">
                          <a:schemeClr val="accent2">
                            <a:lumMod val="80000"/>
                            <a:lumOff val="20000"/>
                            <a:shade val="93000"/>
                            <a:satMod val="130000"/>
                          </a:schemeClr>
                        </a:gs>
                        <a:gs pos="100000">
                          <a:schemeClr val="accent2">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55-54E7-47D0-ACBA-0E52EE59FEA1}"/>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t-BR"/>
                    </a:p>
                  </c:txPr>
                  <c:dLblPos val="outEnd"/>
                  <c:showLegendKey val="0"/>
                  <c:showVal val="0"/>
                  <c:showCatName val="1"/>
                  <c:showSerName val="0"/>
                  <c:showPercent val="1"/>
                  <c:showBubbleSize val="0"/>
                  <c:showLeaderLines val="0"/>
                  <c:extLst xmlns:c15="http://schemas.microsoft.com/office/drawing/2012/chart">
                    <c:ext xmlns:c15="http://schemas.microsoft.com/office/drawing/2012/chart" uri="{CE6537A1-D6FC-4f65-9D91-7224C49458BB}">
                      <c15:spPr xmlns:c15="http://schemas.microsoft.com/office/drawing/2012/chart">
                        <a:prstGeom prst="wedgeRectCallout">
                          <a:avLst/>
                        </a:prstGeom>
                        <a:noFill/>
                        <a:ln>
                          <a:noFill/>
                        </a:ln>
                      </c15:spPr>
                    </c:ext>
                  </c:extLst>
                </c:dLbls>
                <c:cat>
                  <c:strRef>
                    <c:extLst xmlns:c15="http://schemas.microsoft.com/office/drawing/2012/chart">
                      <c:ext xmlns:c15="http://schemas.microsoft.com/office/drawing/2012/chart" uri="{02D57815-91ED-43cb-92C2-25804820EDAC}">
                        <c15:formulaRef>
                          <c15:sqref>(' Dados Predial'!$B$24:$B$27,' Dados Predial'!$B$29:$B$30,' Dados Predial'!$B$32)</c15:sqref>
                        </c15:formulaRef>
                      </c:ext>
                    </c:extLst>
                    <c:strCache>
                      <c:ptCount val="7"/>
                      <c:pt idx="0">
                        <c:v>Alvenaria</c:v>
                      </c:pt>
                      <c:pt idx="1">
                        <c:v>Elétrica</c:v>
                      </c:pt>
                      <c:pt idx="2">
                        <c:v>Hidráulica</c:v>
                      </c:pt>
                      <c:pt idx="3">
                        <c:v>Marcenaria</c:v>
                      </c:pt>
                      <c:pt idx="4">
                        <c:v>Outros</c:v>
                      </c:pt>
                      <c:pt idx="5">
                        <c:v>Pintura</c:v>
                      </c:pt>
                      <c:pt idx="6">
                        <c:v>Vidraçaria</c:v>
                      </c:pt>
                    </c:strCache>
                  </c:strRef>
                </c:cat>
                <c:val>
                  <c:numRef>
                    <c:extLst xmlns:c15="http://schemas.microsoft.com/office/drawing/2012/chart">
                      <c:ext xmlns:c15="http://schemas.microsoft.com/office/drawing/2012/chart" uri="{02D57815-91ED-43cb-92C2-25804820EDAC}">
                        <c15:formulaRef>
                          <c15:sqref>(' Dados Predial'!$D$24:$D$27,' Dados Predial'!$D$29:$D$30,' Dados Predial'!$D$32)</c15:sqref>
                        </c15:formulaRef>
                      </c:ext>
                    </c:extLst>
                    <c:numCache>
                      <c:formatCode>_("R$"* #,##0.00_);_("R$"* \(#,##0.00\);_("R$"* "-"??_);_(@_)</c:formatCode>
                      <c:ptCount val="7"/>
                      <c:pt idx="0">
                        <c:v>0</c:v>
                      </c:pt>
                      <c:pt idx="1">
                        <c:v>0</c:v>
                      </c:pt>
                      <c:pt idx="2">
                        <c:v>0</c:v>
                      </c:pt>
                      <c:pt idx="3">
                        <c:v>0</c:v>
                      </c:pt>
                      <c:pt idx="4">
                        <c:v>350</c:v>
                      </c:pt>
                      <c:pt idx="5">
                        <c:v>0</c:v>
                      </c:pt>
                      <c:pt idx="6">
                        <c:v>0</c:v>
                      </c:pt>
                    </c:numCache>
                  </c:numRef>
                </c:val>
                <c:extLst xmlns:c15="http://schemas.microsoft.com/office/drawing/2012/chart">
                  <c:ext xmlns:c16="http://schemas.microsoft.com/office/drawing/2014/chart" uri="{C3380CC4-5D6E-409C-BE32-E72D297353CC}">
                    <c16:uniqueId val="{00000056-54E7-47D0-ACBA-0E52EE59FEA1}"/>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 Dados Predial'!$E$23</c15:sqref>
                        </c15:formulaRef>
                      </c:ext>
                    </c:extLst>
                    <c:strCache>
                      <c:ptCount val="1"/>
                      <c:pt idx="0">
                        <c:v>mar</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58-54E7-47D0-ACBA-0E52EE59FEA1}"/>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5A-54E7-47D0-ACBA-0E52EE59FEA1}"/>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5C-54E7-47D0-ACBA-0E52EE59FEA1}"/>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5E-54E7-47D0-ACBA-0E52EE59FEA1}"/>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60-54E7-47D0-ACBA-0E52EE59FEA1}"/>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62-54E7-47D0-ACBA-0E52EE59FEA1}"/>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64-54E7-47D0-ACBA-0E52EE59FEA1}"/>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66-54E7-47D0-ACBA-0E52EE59FEA1}"/>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68-54E7-47D0-ACBA-0E52EE59FEA1}"/>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6A-54E7-47D0-ACBA-0E52EE59FEA1}"/>
                    </c:ext>
                  </c:extLst>
                </c:dPt>
                <c:dPt>
                  <c:idx val="1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6C-54E7-47D0-ACBA-0E52EE59FEA1}"/>
                    </c:ext>
                  </c:extLst>
                </c:dPt>
                <c:dPt>
                  <c:idx val="11"/>
                  <c:bubble3D val="0"/>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6E-54E7-47D0-ACBA-0E52EE59FEA1}"/>
                    </c:ext>
                  </c:extLst>
                </c:dPt>
                <c:dPt>
                  <c:idx val="12"/>
                  <c:bubble3D val="0"/>
                  <c:spPr>
                    <a:gradFill rotWithShape="1">
                      <a:gsLst>
                        <a:gs pos="0">
                          <a:schemeClr val="accent1">
                            <a:lumMod val="80000"/>
                            <a:lumOff val="20000"/>
                            <a:shade val="51000"/>
                            <a:satMod val="130000"/>
                          </a:schemeClr>
                        </a:gs>
                        <a:gs pos="80000">
                          <a:schemeClr val="accent1">
                            <a:lumMod val="80000"/>
                            <a:lumOff val="20000"/>
                            <a:shade val="93000"/>
                            <a:satMod val="130000"/>
                          </a:schemeClr>
                        </a:gs>
                        <a:gs pos="100000">
                          <a:schemeClr val="accent1">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70-54E7-47D0-ACBA-0E52EE59FEA1}"/>
                    </c:ext>
                  </c:extLst>
                </c:dPt>
                <c:dPt>
                  <c:idx val="13"/>
                  <c:bubble3D val="0"/>
                  <c:spPr>
                    <a:gradFill rotWithShape="1">
                      <a:gsLst>
                        <a:gs pos="0">
                          <a:schemeClr val="accent2">
                            <a:lumMod val="80000"/>
                            <a:lumOff val="20000"/>
                            <a:shade val="51000"/>
                            <a:satMod val="130000"/>
                          </a:schemeClr>
                        </a:gs>
                        <a:gs pos="80000">
                          <a:schemeClr val="accent2">
                            <a:lumMod val="80000"/>
                            <a:lumOff val="20000"/>
                            <a:shade val="93000"/>
                            <a:satMod val="130000"/>
                          </a:schemeClr>
                        </a:gs>
                        <a:gs pos="100000">
                          <a:schemeClr val="accent2">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72-54E7-47D0-ACBA-0E52EE59FEA1}"/>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t-BR"/>
                    </a:p>
                  </c:txPr>
                  <c:dLblPos val="outEnd"/>
                  <c:showLegendKey val="0"/>
                  <c:showVal val="0"/>
                  <c:showCatName val="1"/>
                  <c:showSerName val="0"/>
                  <c:showPercent val="1"/>
                  <c:showBubbleSize val="0"/>
                  <c:showLeaderLines val="0"/>
                  <c:extLst xmlns:c15="http://schemas.microsoft.com/office/drawing/2012/chart">
                    <c:ext xmlns:c15="http://schemas.microsoft.com/office/drawing/2012/chart" uri="{CE6537A1-D6FC-4f65-9D91-7224C49458BB}">
                      <c15:spPr xmlns:c15="http://schemas.microsoft.com/office/drawing/2012/chart">
                        <a:prstGeom prst="wedgeRectCallout">
                          <a:avLst/>
                        </a:prstGeom>
                        <a:noFill/>
                        <a:ln>
                          <a:noFill/>
                        </a:ln>
                      </c15:spPr>
                    </c:ext>
                  </c:extLst>
                </c:dLbls>
                <c:cat>
                  <c:strRef>
                    <c:extLst xmlns:c15="http://schemas.microsoft.com/office/drawing/2012/chart">
                      <c:ext xmlns:c15="http://schemas.microsoft.com/office/drawing/2012/chart" uri="{02D57815-91ED-43cb-92C2-25804820EDAC}">
                        <c15:formulaRef>
                          <c15:sqref>(' Dados Predial'!$B$24:$B$27,' Dados Predial'!$B$29:$B$30,' Dados Predial'!$B$32)</c15:sqref>
                        </c15:formulaRef>
                      </c:ext>
                    </c:extLst>
                    <c:strCache>
                      <c:ptCount val="7"/>
                      <c:pt idx="0">
                        <c:v>Alvenaria</c:v>
                      </c:pt>
                      <c:pt idx="1">
                        <c:v>Elétrica</c:v>
                      </c:pt>
                      <c:pt idx="2">
                        <c:v>Hidráulica</c:v>
                      </c:pt>
                      <c:pt idx="3">
                        <c:v>Marcenaria</c:v>
                      </c:pt>
                      <c:pt idx="4">
                        <c:v>Outros</c:v>
                      </c:pt>
                      <c:pt idx="5">
                        <c:v>Pintura</c:v>
                      </c:pt>
                      <c:pt idx="6">
                        <c:v>Vidraçaria</c:v>
                      </c:pt>
                    </c:strCache>
                  </c:strRef>
                </c:cat>
                <c:val>
                  <c:numRef>
                    <c:extLst xmlns:c15="http://schemas.microsoft.com/office/drawing/2012/chart">
                      <c:ext xmlns:c15="http://schemas.microsoft.com/office/drawing/2012/chart" uri="{02D57815-91ED-43cb-92C2-25804820EDAC}">
                        <c15:formulaRef>
                          <c15:sqref>(' Dados Predial'!$E$24:$E$27,' Dados Predial'!$E$29:$E$30,' Dados Predial'!$E$32)</c15:sqref>
                        </c15:formulaRef>
                      </c:ext>
                    </c:extLst>
                    <c:numCache>
                      <c:formatCode>_("R$"* #,##0.00_);_("R$"* \(#,##0.00\);_("R$"* "-"??_);_(@_)</c:formatCode>
                      <c:ptCount val="7"/>
                      <c:pt idx="0">
                        <c:v>0</c:v>
                      </c:pt>
                      <c:pt idx="1">
                        <c:v>0</c:v>
                      </c:pt>
                      <c:pt idx="2">
                        <c:v>0</c:v>
                      </c:pt>
                      <c:pt idx="3">
                        <c:v>0</c:v>
                      </c:pt>
                      <c:pt idx="4">
                        <c:v>179.09</c:v>
                      </c:pt>
                      <c:pt idx="5">
                        <c:v>0</c:v>
                      </c:pt>
                      <c:pt idx="6">
                        <c:v>0</c:v>
                      </c:pt>
                    </c:numCache>
                  </c:numRef>
                </c:val>
                <c:extLst xmlns:c15="http://schemas.microsoft.com/office/drawing/2012/chart">
                  <c:ext xmlns:c16="http://schemas.microsoft.com/office/drawing/2014/chart" uri="{C3380CC4-5D6E-409C-BE32-E72D297353CC}">
                    <c16:uniqueId val="{00000073-54E7-47D0-ACBA-0E52EE59FEA1}"/>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 Dados Predial'!$F$23</c15:sqref>
                        </c15:formulaRef>
                      </c:ext>
                    </c:extLst>
                    <c:strCache>
                      <c:ptCount val="1"/>
                      <c:pt idx="0">
                        <c:v>abr</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75-54E7-47D0-ACBA-0E52EE59FEA1}"/>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77-54E7-47D0-ACBA-0E52EE59FEA1}"/>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79-54E7-47D0-ACBA-0E52EE59FEA1}"/>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7B-54E7-47D0-ACBA-0E52EE59FEA1}"/>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7D-54E7-47D0-ACBA-0E52EE59FEA1}"/>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7F-54E7-47D0-ACBA-0E52EE59FEA1}"/>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81-54E7-47D0-ACBA-0E52EE59FEA1}"/>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83-54E7-47D0-ACBA-0E52EE59FEA1}"/>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85-54E7-47D0-ACBA-0E52EE59FEA1}"/>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87-54E7-47D0-ACBA-0E52EE59FEA1}"/>
                    </c:ext>
                  </c:extLst>
                </c:dPt>
                <c:dPt>
                  <c:idx val="1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89-54E7-47D0-ACBA-0E52EE59FEA1}"/>
                    </c:ext>
                  </c:extLst>
                </c:dPt>
                <c:dPt>
                  <c:idx val="11"/>
                  <c:bubble3D val="0"/>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8B-54E7-47D0-ACBA-0E52EE59FEA1}"/>
                    </c:ext>
                  </c:extLst>
                </c:dPt>
                <c:dPt>
                  <c:idx val="12"/>
                  <c:bubble3D val="0"/>
                  <c:spPr>
                    <a:gradFill rotWithShape="1">
                      <a:gsLst>
                        <a:gs pos="0">
                          <a:schemeClr val="accent1">
                            <a:lumMod val="80000"/>
                            <a:lumOff val="20000"/>
                            <a:shade val="51000"/>
                            <a:satMod val="130000"/>
                          </a:schemeClr>
                        </a:gs>
                        <a:gs pos="80000">
                          <a:schemeClr val="accent1">
                            <a:lumMod val="80000"/>
                            <a:lumOff val="20000"/>
                            <a:shade val="93000"/>
                            <a:satMod val="130000"/>
                          </a:schemeClr>
                        </a:gs>
                        <a:gs pos="100000">
                          <a:schemeClr val="accent1">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8D-54E7-47D0-ACBA-0E52EE59FEA1}"/>
                    </c:ext>
                  </c:extLst>
                </c:dPt>
                <c:dPt>
                  <c:idx val="13"/>
                  <c:bubble3D val="0"/>
                  <c:spPr>
                    <a:gradFill rotWithShape="1">
                      <a:gsLst>
                        <a:gs pos="0">
                          <a:schemeClr val="accent2">
                            <a:lumMod val="80000"/>
                            <a:lumOff val="20000"/>
                            <a:shade val="51000"/>
                            <a:satMod val="130000"/>
                          </a:schemeClr>
                        </a:gs>
                        <a:gs pos="80000">
                          <a:schemeClr val="accent2">
                            <a:lumMod val="80000"/>
                            <a:lumOff val="20000"/>
                            <a:shade val="93000"/>
                            <a:satMod val="130000"/>
                          </a:schemeClr>
                        </a:gs>
                        <a:gs pos="100000">
                          <a:schemeClr val="accent2">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8F-54E7-47D0-ACBA-0E52EE59FEA1}"/>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t-BR"/>
                    </a:p>
                  </c:txPr>
                  <c:dLblPos val="outEnd"/>
                  <c:showLegendKey val="0"/>
                  <c:showVal val="0"/>
                  <c:showCatName val="1"/>
                  <c:showSerName val="0"/>
                  <c:showPercent val="1"/>
                  <c:showBubbleSize val="0"/>
                  <c:showLeaderLines val="0"/>
                  <c:extLst xmlns:c15="http://schemas.microsoft.com/office/drawing/2012/chart">
                    <c:ext xmlns:c15="http://schemas.microsoft.com/office/drawing/2012/chart" uri="{CE6537A1-D6FC-4f65-9D91-7224C49458BB}">
                      <c15:spPr xmlns:c15="http://schemas.microsoft.com/office/drawing/2012/chart">
                        <a:prstGeom prst="wedgeRectCallout">
                          <a:avLst/>
                        </a:prstGeom>
                        <a:noFill/>
                        <a:ln>
                          <a:noFill/>
                        </a:ln>
                      </c15:spPr>
                    </c:ext>
                  </c:extLst>
                </c:dLbls>
                <c:cat>
                  <c:strRef>
                    <c:extLst xmlns:c15="http://schemas.microsoft.com/office/drawing/2012/chart">
                      <c:ext xmlns:c15="http://schemas.microsoft.com/office/drawing/2012/chart" uri="{02D57815-91ED-43cb-92C2-25804820EDAC}">
                        <c15:formulaRef>
                          <c15:sqref>(' Dados Predial'!$B$24:$B$27,' Dados Predial'!$B$29:$B$30,' Dados Predial'!$B$32)</c15:sqref>
                        </c15:formulaRef>
                      </c:ext>
                    </c:extLst>
                    <c:strCache>
                      <c:ptCount val="7"/>
                      <c:pt idx="0">
                        <c:v>Alvenaria</c:v>
                      </c:pt>
                      <c:pt idx="1">
                        <c:v>Elétrica</c:v>
                      </c:pt>
                      <c:pt idx="2">
                        <c:v>Hidráulica</c:v>
                      </c:pt>
                      <c:pt idx="3">
                        <c:v>Marcenaria</c:v>
                      </c:pt>
                      <c:pt idx="4">
                        <c:v>Outros</c:v>
                      </c:pt>
                      <c:pt idx="5">
                        <c:v>Pintura</c:v>
                      </c:pt>
                      <c:pt idx="6">
                        <c:v>Vidraçaria</c:v>
                      </c:pt>
                    </c:strCache>
                  </c:strRef>
                </c:cat>
                <c:val>
                  <c:numRef>
                    <c:extLst xmlns:c15="http://schemas.microsoft.com/office/drawing/2012/chart">
                      <c:ext xmlns:c15="http://schemas.microsoft.com/office/drawing/2012/chart" uri="{02D57815-91ED-43cb-92C2-25804820EDAC}">
                        <c15:formulaRef>
                          <c15:sqref>(' Dados Predial'!$F$24:$F$27,' Dados Predial'!$F$29:$F$30,' Dados Predial'!$F$32)</c15:sqref>
                        </c15:formulaRef>
                      </c:ext>
                    </c:extLst>
                    <c:numCache>
                      <c:formatCode>_("R$"* #,##0.00_);_("R$"* \(#,##0.00\);_("R$"* "-"??_);_(@_)</c:formatCode>
                      <c:ptCount val="7"/>
                      <c:pt idx="0">
                        <c:v>0</c:v>
                      </c:pt>
                      <c:pt idx="1">
                        <c:v>200</c:v>
                      </c:pt>
                      <c:pt idx="2">
                        <c:v>0</c:v>
                      </c:pt>
                      <c:pt idx="3">
                        <c:v>0</c:v>
                      </c:pt>
                      <c:pt idx="4">
                        <c:v>928</c:v>
                      </c:pt>
                      <c:pt idx="5">
                        <c:v>0</c:v>
                      </c:pt>
                      <c:pt idx="6">
                        <c:v>0</c:v>
                      </c:pt>
                    </c:numCache>
                  </c:numRef>
                </c:val>
                <c:extLst xmlns:c15="http://schemas.microsoft.com/office/drawing/2012/chart">
                  <c:ext xmlns:c16="http://schemas.microsoft.com/office/drawing/2014/chart" uri="{C3380CC4-5D6E-409C-BE32-E72D297353CC}">
                    <c16:uniqueId val="{00000090-54E7-47D0-ACBA-0E52EE59FEA1}"/>
                  </c:ext>
                </c:extLst>
              </c15:ser>
            </c15:filteredPieSeries>
            <c15:filteredPieSeries>
              <c15:ser>
                <c:idx val="4"/>
                <c:order val="4"/>
                <c:tx>
                  <c:strRef>
                    <c:extLst xmlns:c15="http://schemas.microsoft.com/office/drawing/2012/chart">
                      <c:ext xmlns:c15="http://schemas.microsoft.com/office/drawing/2012/chart" uri="{02D57815-91ED-43cb-92C2-25804820EDAC}">
                        <c15:formulaRef>
                          <c15:sqref>' Dados Predial'!$G$23</c15:sqref>
                        </c15:formulaRef>
                      </c:ext>
                    </c:extLst>
                    <c:strCache>
                      <c:ptCount val="1"/>
                      <c:pt idx="0">
                        <c:v>mai</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92-54E7-47D0-ACBA-0E52EE59FEA1}"/>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94-54E7-47D0-ACBA-0E52EE59FEA1}"/>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96-54E7-47D0-ACBA-0E52EE59FEA1}"/>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98-54E7-47D0-ACBA-0E52EE59FEA1}"/>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9A-54E7-47D0-ACBA-0E52EE59FEA1}"/>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9C-54E7-47D0-ACBA-0E52EE59FEA1}"/>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9E-54E7-47D0-ACBA-0E52EE59FEA1}"/>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A0-54E7-47D0-ACBA-0E52EE59FEA1}"/>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A2-54E7-47D0-ACBA-0E52EE59FEA1}"/>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A4-54E7-47D0-ACBA-0E52EE59FEA1}"/>
                    </c:ext>
                  </c:extLst>
                </c:dPt>
                <c:dPt>
                  <c:idx val="1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A6-54E7-47D0-ACBA-0E52EE59FEA1}"/>
                    </c:ext>
                  </c:extLst>
                </c:dPt>
                <c:dPt>
                  <c:idx val="11"/>
                  <c:bubble3D val="0"/>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A8-54E7-47D0-ACBA-0E52EE59FEA1}"/>
                    </c:ext>
                  </c:extLst>
                </c:dPt>
                <c:dPt>
                  <c:idx val="12"/>
                  <c:bubble3D val="0"/>
                  <c:spPr>
                    <a:gradFill rotWithShape="1">
                      <a:gsLst>
                        <a:gs pos="0">
                          <a:schemeClr val="accent1">
                            <a:lumMod val="80000"/>
                            <a:lumOff val="20000"/>
                            <a:shade val="51000"/>
                            <a:satMod val="130000"/>
                          </a:schemeClr>
                        </a:gs>
                        <a:gs pos="80000">
                          <a:schemeClr val="accent1">
                            <a:lumMod val="80000"/>
                            <a:lumOff val="20000"/>
                            <a:shade val="93000"/>
                            <a:satMod val="130000"/>
                          </a:schemeClr>
                        </a:gs>
                        <a:gs pos="100000">
                          <a:schemeClr val="accent1">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AA-54E7-47D0-ACBA-0E52EE59FEA1}"/>
                    </c:ext>
                  </c:extLst>
                </c:dPt>
                <c:dPt>
                  <c:idx val="13"/>
                  <c:bubble3D val="0"/>
                  <c:spPr>
                    <a:gradFill rotWithShape="1">
                      <a:gsLst>
                        <a:gs pos="0">
                          <a:schemeClr val="accent2">
                            <a:lumMod val="80000"/>
                            <a:lumOff val="20000"/>
                            <a:shade val="51000"/>
                            <a:satMod val="130000"/>
                          </a:schemeClr>
                        </a:gs>
                        <a:gs pos="80000">
                          <a:schemeClr val="accent2">
                            <a:lumMod val="80000"/>
                            <a:lumOff val="20000"/>
                            <a:shade val="93000"/>
                            <a:satMod val="130000"/>
                          </a:schemeClr>
                        </a:gs>
                        <a:gs pos="100000">
                          <a:schemeClr val="accent2">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AC-54E7-47D0-ACBA-0E52EE59FEA1}"/>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t-BR"/>
                    </a:p>
                  </c:txPr>
                  <c:dLblPos val="outEnd"/>
                  <c:showLegendKey val="0"/>
                  <c:showVal val="0"/>
                  <c:showCatName val="1"/>
                  <c:showSerName val="0"/>
                  <c:showPercent val="1"/>
                  <c:showBubbleSize val="0"/>
                  <c:showLeaderLines val="0"/>
                  <c:extLst xmlns:c15="http://schemas.microsoft.com/office/drawing/2012/chart">
                    <c:ext xmlns:c15="http://schemas.microsoft.com/office/drawing/2012/chart" uri="{CE6537A1-D6FC-4f65-9D91-7224C49458BB}">
                      <c15:spPr xmlns:c15="http://schemas.microsoft.com/office/drawing/2012/chart">
                        <a:prstGeom prst="wedgeRectCallout">
                          <a:avLst/>
                        </a:prstGeom>
                        <a:noFill/>
                        <a:ln>
                          <a:noFill/>
                        </a:ln>
                      </c15:spPr>
                    </c:ext>
                  </c:extLst>
                </c:dLbls>
                <c:cat>
                  <c:strRef>
                    <c:extLst xmlns:c15="http://schemas.microsoft.com/office/drawing/2012/chart">
                      <c:ext xmlns:c15="http://schemas.microsoft.com/office/drawing/2012/chart" uri="{02D57815-91ED-43cb-92C2-25804820EDAC}">
                        <c15:formulaRef>
                          <c15:sqref>(' Dados Predial'!$B$24:$B$27,' Dados Predial'!$B$29:$B$30,' Dados Predial'!$B$32)</c15:sqref>
                        </c15:formulaRef>
                      </c:ext>
                    </c:extLst>
                    <c:strCache>
                      <c:ptCount val="7"/>
                      <c:pt idx="0">
                        <c:v>Alvenaria</c:v>
                      </c:pt>
                      <c:pt idx="1">
                        <c:v>Elétrica</c:v>
                      </c:pt>
                      <c:pt idx="2">
                        <c:v>Hidráulica</c:v>
                      </c:pt>
                      <c:pt idx="3">
                        <c:v>Marcenaria</c:v>
                      </c:pt>
                      <c:pt idx="4">
                        <c:v>Outros</c:v>
                      </c:pt>
                      <c:pt idx="5">
                        <c:v>Pintura</c:v>
                      </c:pt>
                      <c:pt idx="6">
                        <c:v>Vidraçaria</c:v>
                      </c:pt>
                    </c:strCache>
                  </c:strRef>
                </c:cat>
                <c:val>
                  <c:numRef>
                    <c:extLst xmlns:c15="http://schemas.microsoft.com/office/drawing/2012/chart">
                      <c:ext xmlns:c15="http://schemas.microsoft.com/office/drawing/2012/chart" uri="{02D57815-91ED-43cb-92C2-25804820EDAC}">
                        <c15:formulaRef>
                          <c15:sqref>(' Dados Predial'!$G$24:$G$27,' Dados Predial'!$G$29:$G$30,' Dados Predial'!$G$32)</c15:sqref>
                        </c15:formulaRef>
                      </c:ext>
                    </c:extLst>
                    <c:numCache>
                      <c:formatCode>_("R$"* #,##0.00_);_("R$"* \(#,##0.00\);_("R$"* "-"??_);_(@_)</c:formatCode>
                      <c:ptCount val="7"/>
                      <c:pt idx="0">
                        <c:v>0</c:v>
                      </c:pt>
                      <c:pt idx="1">
                        <c:v>0</c:v>
                      </c:pt>
                      <c:pt idx="2">
                        <c:v>0</c:v>
                      </c:pt>
                      <c:pt idx="3">
                        <c:v>0</c:v>
                      </c:pt>
                      <c:pt idx="4">
                        <c:v>0</c:v>
                      </c:pt>
                      <c:pt idx="5">
                        <c:v>0</c:v>
                      </c:pt>
                      <c:pt idx="6">
                        <c:v>0</c:v>
                      </c:pt>
                    </c:numCache>
                  </c:numRef>
                </c:val>
                <c:extLst xmlns:c15="http://schemas.microsoft.com/office/drawing/2012/chart">
                  <c:ext xmlns:c16="http://schemas.microsoft.com/office/drawing/2014/chart" uri="{C3380CC4-5D6E-409C-BE32-E72D297353CC}">
                    <c16:uniqueId val="{000000AD-54E7-47D0-ACBA-0E52EE59FEA1}"/>
                  </c:ext>
                </c:extLst>
              </c15:ser>
            </c15:filteredPieSeries>
            <c15:filteredPieSeries>
              <c15:ser>
                <c:idx val="5"/>
                <c:order val="5"/>
                <c:tx>
                  <c:strRef>
                    <c:extLst xmlns:c15="http://schemas.microsoft.com/office/drawing/2012/chart">
                      <c:ext xmlns:c15="http://schemas.microsoft.com/office/drawing/2012/chart" uri="{02D57815-91ED-43cb-92C2-25804820EDAC}">
                        <c15:formulaRef>
                          <c15:sqref>' Dados Predial'!$H$23</c15:sqref>
                        </c15:formulaRef>
                      </c:ext>
                    </c:extLst>
                    <c:strCache>
                      <c:ptCount val="1"/>
                      <c:pt idx="0">
                        <c:v>jun</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AF-54E7-47D0-ACBA-0E52EE59FEA1}"/>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B1-54E7-47D0-ACBA-0E52EE59FEA1}"/>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B3-54E7-47D0-ACBA-0E52EE59FEA1}"/>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B5-54E7-47D0-ACBA-0E52EE59FEA1}"/>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B7-54E7-47D0-ACBA-0E52EE59FEA1}"/>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B9-54E7-47D0-ACBA-0E52EE59FEA1}"/>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BB-54E7-47D0-ACBA-0E52EE59FEA1}"/>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BD-54E7-47D0-ACBA-0E52EE59FEA1}"/>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BF-54E7-47D0-ACBA-0E52EE59FEA1}"/>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C1-54E7-47D0-ACBA-0E52EE59FEA1}"/>
                    </c:ext>
                  </c:extLst>
                </c:dPt>
                <c:dPt>
                  <c:idx val="1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C3-54E7-47D0-ACBA-0E52EE59FEA1}"/>
                    </c:ext>
                  </c:extLst>
                </c:dPt>
                <c:dPt>
                  <c:idx val="11"/>
                  <c:bubble3D val="0"/>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C5-54E7-47D0-ACBA-0E52EE59FEA1}"/>
                    </c:ext>
                  </c:extLst>
                </c:dPt>
                <c:dPt>
                  <c:idx val="12"/>
                  <c:bubble3D val="0"/>
                  <c:spPr>
                    <a:gradFill rotWithShape="1">
                      <a:gsLst>
                        <a:gs pos="0">
                          <a:schemeClr val="accent1">
                            <a:lumMod val="80000"/>
                            <a:lumOff val="20000"/>
                            <a:shade val="51000"/>
                            <a:satMod val="130000"/>
                          </a:schemeClr>
                        </a:gs>
                        <a:gs pos="80000">
                          <a:schemeClr val="accent1">
                            <a:lumMod val="80000"/>
                            <a:lumOff val="20000"/>
                            <a:shade val="93000"/>
                            <a:satMod val="130000"/>
                          </a:schemeClr>
                        </a:gs>
                        <a:gs pos="100000">
                          <a:schemeClr val="accent1">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C7-54E7-47D0-ACBA-0E52EE59FEA1}"/>
                    </c:ext>
                  </c:extLst>
                </c:dPt>
                <c:dPt>
                  <c:idx val="13"/>
                  <c:bubble3D val="0"/>
                  <c:spPr>
                    <a:gradFill rotWithShape="1">
                      <a:gsLst>
                        <a:gs pos="0">
                          <a:schemeClr val="accent2">
                            <a:lumMod val="80000"/>
                            <a:lumOff val="20000"/>
                            <a:shade val="51000"/>
                            <a:satMod val="130000"/>
                          </a:schemeClr>
                        </a:gs>
                        <a:gs pos="80000">
                          <a:schemeClr val="accent2">
                            <a:lumMod val="80000"/>
                            <a:lumOff val="20000"/>
                            <a:shade val="93000"/>
                            <a:satMod val="130000"/>
                          </a:schemeClr>
                        </a:gs>
                        <a:gs pos="100000">
                          <a:schemeClr val="accent2">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C9-54E7-47D0-ACBA-0E52EE59FEA1}"/>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t-BR"/>
                    </a:p>
                  </c:txPr>
                  <c:dLblPos val="outEnd"/>
                  <c:showLegendKey val="0"/>
                  <c:showVal val="0"/>
                  <c:showCatName val="1"/>
                  <c:showSerName val="0"/>
                  <c:showPercent val="1"/>
                  <c:showBubbleSize val="0"/>
                  <c:showLeaderLines val="0"/>
                  <c:extLst xmlns:c15="http://schemas.microsoft.com/office/drawing/2012/chart">
                    <c:ext xmlns:c15="http://schemas.microsoft.com/office/drawing/2012/chart" uri="{CE6537A1-D6FC-4f65-9D91-7224C49458BB}">
                      <c15:spPr xmlns:c15="http://schemas.microsoft.com/office/drawing/2012/chart">
                        <a:prstGeom prst="wedgeRectCallout">
                          <a:avLst/>
                        </a:prstGeom>
                        <a:noFill/>
                        <a:ln>
                          <a:noFill/>
                        </a:ln>
                      </c15:spPr>
                    </c:ext>
                  </c:extLst>
                </c:dLbls>
                <c:cat>
                  <c:strRef>
                    <c:extLst xmlns:c15="http://schemas.microsoft.com/office/drawing/2012/chart">
                      <c:ext xmlns:c15="http://schemas.microsoft.com/office/drawing/2012/chart" uri="{02D57815-91ED-43cb-92C2-25804820EDAC}">
                        <c15:formulaRef>
                          <c15:sqref>(' Dados Predial'!$B$24:$B$27,' Dados Predial'!$B$29:$B$30,' Dados Predial'!$B$32)</c15:sqref>
                        </c15:formulaRef>
                      </c:ext>
                    </c:extLst>
                    <c:strCache>
                      <c:ptCount val="7"/>
                      <c:pt idx="0">
                        <c:v>Alvenaria</c:v>
                      </c:pt>
                      <c:pt idx="1">
                        <c:v>Elétrica</c:v>
                      </c:pt>
                      <c:pt idx="2">
                        <c:v>Hidráulica</c:v>
                      </c:pt>
                      <c:pt idx="3">
                        <c:v>Marcenaria</c:v>
                      </c:pt>
                      <c:pt idx="4">
                        <c:v>Outros</c:v>
                      </c:pt>
                      <c:pt idx="5">
                        <c:v>Pintura</c:v>
                      </c:pt>
                      <c:pt idx="6">
                        <c:v>Vidraçaria</c:v>
                      </c:pt>
                    </c:strCache>
                  </c:strRef>
                </c:cat>
                <c:val>
                  <c:numRef>
                    <c:extLst xmlns:c15="http://schemas.microsoft.com/office/drawing/2012/chart">
                      <c:ext xmlns:c15="http://schemas.microsoft.com/office/drawing/2012/chart" uri="{02D57815-91ED-43cb-92C2-25804820EDAC}">
                        <c15:formulaRef>
                          <c15:sqref>(' Dados Predial'!$H$24:$H$27,' Dados Predial'!$H$29:$H$30,' Dados Predial'!$H$32)</c15:sqref>
                        </c15:formulaRef>
                      </c:ext>
                    </c:extLst>
                    <c:numCache>
                      <c:formatCode>_("R$"* #,##0.00_);_("R$"* \(#,##0.00\);_("R$"* "-"??_);_(@_)</c:formatCode>
                      <c:ptCount val="7"/>
                      <c:pt idx="0">
                        <c:v>0</c:v>
                      </c:pt>
                      <c:pt idx="1">
                        <c:v>0</c:v>
                      </c:pt>
                      <c:pt idx="2">
                        <c:v>0</c:v>
                      </c:pt>
                      <c:pt idx="3">
                        <c:v>0</c:v>
                      </c:pt>
                      <c:pt idx="4">
                        <c:v>0</c:v>
                      </c:pt>
                      <c:pt idx="5">
                        <c:v>0</c:v>
                      </c:pt>
                      <c:pt idx="6">
                        <c:v>0</c:v>
                      </c:pt>
                    </c:numCache>
                  </c:numRef>
                </c:val>
                <c:extLst xmlns:c15="http://schemas.microsoft.com/office/drawing/2012/chart">
                  <c:ext xmlns:c16="http://schemas.microsoft.com/office/drawing/2014/chart" uri="{C3380CC4-5D6E-409C-BE32-E72D297353CC}">
                    <c16:uniqueId val="{000000CA-54E7-47D0-ACBA-0E52EE59FEA1}"/>
                  </c:ext>
                </c:extLst>
              </c15:ser>
            </c15:filteredPieSeries>
            <c15:filteredPieSeries>
              <c15:ser>
                <c:idx val="6"/>
                <c:order val="6"/>
                <c:tx>
                  <c:strRef>
                    <c:extLst xmlns:c15="http://schemas.microsoft.com/office/drawing/2012/chart">
                      <c:ext xmlns:c15="http://schemas.microsoft.com/office/drawing/2012/chart" uri="{02D57815-91ED-43cb-92C2-25804820EDAC}">
                        <c15:formulaRef>
                          <c15:sqref>' Dados Predial'!$I$23</c15:sqref>
                        </c15:formulaRef>
                      </c:ext>
                    </c:extLst>
                    <c:strCache>
                      <c:ptCount val="1"/>
                      <c:pt idx="0">
                        <c:v>jul</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CC-54E7-47D0-ACBA-0E52EE59FEA1}"/>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CE-54E7-47D0-ACBA-0E52EE59FEA1}"/>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D0-54E7-47D0-ACBA-0E52EE59FEA1}"/>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D2-54E7-47D0-ACBA-0E52EE59FEA1}"/>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D4-54E7-47D0-ACBA-0E52EE59FEA1}"/>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D6-54E7-47D0-ACBA-0E52EE59FEA1}"/>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D8-54E7-47D0-ACBA-0E52EE59FEA1}"/>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DA-54E7-47D0-ACBA-0E52EE59FEA1}"/>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DC-54E7-47D0-ACBA-0E52EE59FEA1}"/>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DE-54E7-47D0-ACBA-0E52EE59FEA1}"/>
                    </c:ext>
                  </c:extLst>
                </c:dPt>
                <c:dPt>
                  <c:idx val="1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E0-54E7-47D0-ACBA-0E52EE59FEA1}"/>
                    </c:ext>
                  </c:extLst>
                </c:dPt>
                <c:dPt>
                  <c:idx val="11"/>
                  <c:bubble3D val="0"/>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E2-54E7-47D0-ACBA-0E52EE59FEA1}"/>
                    </c:ext>
                  </c:extLst>
                </c:dPt>
                <c:dPt>
                  <c:idx val="12"/>
                  <c:bubble3D val="0"/>
                  <c:spPr>
                    <a:gradFill rotWithShape="1">
                      <a:gsLst>
                        <a:gs pos="0">
                          <a:schemeClr val="accent1">
                            <a:lumMod val="80000"/>
                            <a:lumOff val="20000"/>
                            <a:shade val="51000"/>
                            <a:satMod val="130000"/>
                          </a:schemeClr>
                        </a:gs>
                        <a:gs pos="80000">
                          <a:schemeClr val="accent1">
                            <a:lumMod val="80000"/>
                            <a:lumOff val="20000"/>
                            <a:shade val="93000"/>
                            <a:satMod val="130000"/>
                          </a:schemeClr>
                        </a:gs>
                        <a:gs pos="100000">
                          <a:schemeClr val="accent1">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E4-54E7-47D0-ACBA-0E52EE59FEA1}"/>
                    </c:ext>
                  </c:extLst>
                </c:dPt>
                <c:dPt>
                  <c:idx val="13"/>
                  <c:bubble3D val="0"/>
                  <c:spPr>
                    <a:gradFill rotWithShape="1">
                      <a:gsLst>
                        <a:gs pos="0">
                          <a:schemeClr val="accent2">
                            <a:lumMod val="80000"/>
                            <a:lumOff val="20000"/>
                            <a:shade val="51000"/>
                            <a:satMod val="130000"/>
                          </a:schemeClr>
                        </a:gs>
                        <a:gs pos="80000">
                          <a:schemeClr val="accent2">
                            <a:lumMod val="80000"/>
                            <a:lumOff val="20000"/>
                            <a:shade val="93000"/>
                            <a:satMod val="130000"/>
                          </a:schemeClr>
                        </a:gs>
                        <a:gs pos="100000">
                          <a:schemeClr val="accent2">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E6-54E7-47D0-ACBA-0E52EE59FEA1}"/>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t-BR"/>
                    </a:p>
                  </c:txPr>
                  <c:dLblPos val="outEnd"/>
                  <c:showLegendKey val="0"/>
                  <c:showVal val="0"/>
                  <c:showCatName val="1"/>
                  <c:showSerName val="0"/>
                  <c:showPercent val="1"/>
                  <c:showBubbleSize val="0"/>
                  <c:showLeaderLines val="0"/>
                  <c:extLst xmlns:c15="http://schemas.microsoft.com/office/drawing/2012/chart">
                    <c:ext xmlns:c15="http://schemas.microsoft.com/office/drawing/2012/chart" uri="{CE6537A1-D6FC-4f65-9D91-7224C49458BB}">
                      <c15:spPr xmlns:c15="http://schemas.microsoft.com/office/drawing/2012/chart">
                        <a:prstGeom prst="wedgeRectCallout">
                          <a:avLst/>
                        </a:prstGeom>
                        <a:noFill/>
                        <a:ln>
                          <a:noFill/>
                        </a:ln>
                      </c15:spPr>
                    </c:ext>
                  </c:extLst>
                </c:dLbls>
                <c:cat>
                  <c:strRef>
                    <c:extLst xmlns:c15="http://schemas.microsoft.com/office/drawing/2012/chart">
                      <c:ext xmlns:c15="http://schemas.microsoft.com/office/drawing/2012/chart" uri="{02D57815-91ED-43cb-92C2-25804820EDAC}">
                        <c15:formulaRef>
                          <c15:sqref>(' Dados Predial'!$B$24:$B$27,' Dados Predial'!$B$29:$B$30,' Dados Predial'!$B$32)</c15:sqref>
                        </c15:formulaRef>
                      </c:ext>
                    </c:extLst>
                    <c:strCache>
                      <c:ptCount val="7"/>
                      <c:pt idx="0">
                        <c:v>Alvenaria</c:v>
                      </c:pt>
                      <c:pt idx="1">
                        <c:v>Elétrica</c:v>
                      </c:pt>
                      <c:pt idx="2">
                        <c:v>Hidráulica</c:v>
                      </c:pt>
                      <c:pt idx="3">
                        <c:v>Marcenaria</c:v>
                      </c:pt>
                      <c:pt idx="4">
                        <c:v>Outros</c:v>
                      </c:pt>
                      <c:pt idx="5">
                        <c:v>Pintura</c:v>
                      </c:pt>
                      <c:pt idx="6">
                        <c:v>Vidraçaria</c:v>
                      </c:pt>
                    </c:strCache>
                  </c:strRef>
                </c:cat>
                <c:val>
                  <c:numRef>
                    <c:extLst xmlns:c15="http://schemas.microsoft.com/office/drawing/2012/chart">
                      <c:ext xmlns:c15="http://schemas.microsoft.com/office/drawing/2012/chart" uri="{02D57815-91ED-43cb-92C2-25804820EDAC}">
                        <c15:formulaRef>
                          <c15:sqref>(' Dados Predial'!$I$24:$I$27,' Dados Predial'!$I$29:$I$30,' Dados Predial'!$I$32)</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E7-54E7-47D0-ACBA-0E52EE59FEA1}"/>
                  </c:ext>
                </c:extLst>
              </c15:ser>
            </c15:filteredPieSeries>
            <c15:filteredPieSeries>
              <c15:ser>
                <c:idx val="7"/>
                <c:order val="7"/>
                <c:tx>
                  <c:strRef>
                    <c:extLst xmlns:c15="http://schemas.microsoft.com/office/drawing/2012/chart">
                      <c:ext xmlns:c15="http://schemas.microsoft.com/office/drawing/2012/chart" uri="{02D57815-91ED-43cb-92C2-25804820EDAC}">
                        <c15:formulaRef>
                          <c15:sqref>' Dados Predial'!$J$23</c15:sqref>
                        </c15:formulaRef>
                      </c:ext>
                    </c:extLst>
                    <c:strCache>
                      <c:ptCount val="1"/>
                      <c:pt idx="0">
                        <c:v>ago</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E9-54E7-47D0-ACBA-0E52EE59FEA1}"/>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EB-54E7-47D0-ACBA-0E52EE59FEA1}"/>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ED-54E7-47D0-ACBA-0E52EE59FEA1}"/>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EF-54E7-47D0-ACBA-0E52EE59FEA1}"/>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F1-54E7-47D0-ACBA-0E52EE59FEA1}"/>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F3-54E7-47D0-ACBA-0E52EE59FEA1}"/>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F5-54E7-47D0-ACBA-0E52EE59FEA1}"/>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F7-54E7-47D0-ACBA-0E52EE59FEA1}"/>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F9-54E7-47D0-ACBA-0E52EE59FEA1}"/>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FB-54E7-47D0-ACBA-0E52EE59FEA1}"/>
                    </c:ext>
                  </c:extLst>
                </c:dPt>
                <c:dPt>
                  <c:idx val="1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FD-54E7-47D0-ACBA-0E52EE59FEA1}"/>
                    </c:ext>
                  </c:extLst>
                </c:dPt>
                <c:dPt>
                  <c:idx val="11"/>
                  <c:bubble3D val="0"/>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0FF-54E7-47D0-ACBA-0E52EE59FEA1}"/>
                    </c:ext>
                  </c:extLst>
                </c:dPt>
                <c:dPt>
                  <c:idx val="12"/>
                  <c:bubble3D val="0"/>
                  <c:spPr>
                    <a:gradFill rotWithShape="1">
                      <a:gsLst>
                        <a:gs pos="0">
                          <a:schemeClr val="accent1">
                            <a:lumMod val="80000"/>
                            <a:lumOff val="20000"/>
                            <a:shade val="51000"/>
                            <a:satMod val="130000"/>
                          </a:schemeClr>
                        </a:gs>
                        <a:gs pos="80000">
                          <a:schemeClr val="accent1">
                            <a:lumMod val="80000"/>
                            <a:lumOff val="20000"/>
                            <a:shade val="93000"/>
                            <a:satMod val="130000"/>
                          </a:schemeClr>
                        </a:gs>
                        <a:gs pos="100000">
                          <a:schemeClr val="accent1">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01-54E7-47D0-ACBA-0E52EE59FEA1}"/>
                    </c:ext>
                  </c:extLst>
                </c:dPt>
                <c:dPt>
                  <c:idx val="13"/>
                  <c:bubble3D val="0"/>
                  <c:spPr>
                    <a:gradFill rotWithShape="1">
                      <a:gsLst>
                        <a:gs pos="0">
                          <a:schemeClr val="accent2">
                            <a:lumMod val="80000"/>
                            <a:lumOff val="20000"/>
                            <a:shade val="51000"/>
                            <a:satMod val="130000"/>
                          </a:schemeClr>
                        </a:gs>
                        <a:gs pos="80000">
                          <a:schemeClr val="accent2">
                            <a:lumMod val="80000"/>
                            <a:lumOff val="20000"/>
                            <a:shade val="93000"/>
                            <a:satMod val="130000"/>
                          </a:schemeClr>
                        </a:gs>
                        <a:gs pos="100000">
                          <a:schemeClr val="accent2">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03-54E7-47D0-ACBA-0E52EE59FEA1}"/>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t-BR"/>
                    </a:p>
                  </c:txPr>
                  <c:dLblPos val="outEnd"/>
                  <c:showLegendKey val="0"/>
                  <c:showVal val="0"/>
                  <c:showCatName val="1"/>
                  <c:showSerName val="0"/>
                  <c:showPercent val="1"/>
                  <c:showBubbleSize val="0"/>
                  <c:showLeaderLines val="0"/>
                  <c:extLst xmlns:c15="http://schemas.microsoft.com/office/drawing/2012/chart">
                    <c:ext xmlns:c15="http://schemas.microsoft.com/office/drawing/2012/chart" uri="{CE6537A1-D6FC-4f65-9D91-7224C49458BB}">
                      <c15:spPr xmlns:c15="http://schemas.microsoft.com/office/drawing/2012/chart">
                        <a:prstGeom prst="wedgeRectCallout">
                          <a:avLst/>
                        </a:prstGeom>
                        <a:noFill/>
                        <a:ln>
                          <a:noFill/>
                        </a:ln>
                      </c15:spPr>
                    </c:ext>
                  </c:extLst>
                </c:dLbls>
                <c:cat>
                  <c:strRef>
                    <c:extLst xmlns:c15="http://schemas.microsoft.com/office/drawing/2012/chart">
                      <c:ext xmlns:c15="http://schemas.microsoft.com/office/drawing/2012/chart" uri="{02D57815-91ED-43cb-92C2-25804820EDAC}">
                        <c15:formulaRef>
                          <c15:sqref>(' Dados Predial'!$B$24:$B$27,' Dados Predial'!$B$29:$B$30,' Dados Predial'!$B$32)</c15:sqref>
                        </c15:formulaRef>
                      </c:ext>
                    </c:extLst>
                    <c:strCache>
                      <c:ptCount val="7"/>
                      <c:pt idx="0">
                        <c:v>Alvenaria</c:v>
                      </c:pt>
                      <c:pt idx="1">
                        <c:v>Elétrica</c:v>
                      </c:pt>
                      <c:pt idx="2">
                        <c:v>Hidráulica</c:v>
                      </c:pt>
                      <c:pt idx="3">
                        <c:v>Marcenaria</c:v>
                      </c:pt>
                      <c:pt idx="4">
                        <c:v>Outros</c:v>
                      </c:pt>
                      <c:pt idx="5">
                        <c:v>Pintura</c:v>
                      </c:pt>
                      <c:pt idx="6">
                        <c:v>Vidraçaria</c:v>
                      </c:pt>
                    </c:strCache>
                  </c:strRef>
                </c:cat>
                <c:val>
                  <c:numRef>
                    <c:extLst xmlns:c15="http://schemas.microsoft.com/office/drawing/2012/chart">
                      <c:ext xmlns:c15="http://schemas.microsoft.com/office/drawing/2012/chart" uri="{02D57815-91ED-43cb-92C2-25804820EDAC}">
                        <c15:formulaRef>
                          <c15:sqref>(' Dados Predial'!$J$24:$J$27,' Dados Predial'!$J$29:$J$30,' Dados Predial'!$J$32)</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104-54E7-47D0-ACBA-0E52EE59FEA1}"/>
                  </c:ext>
                </c:extLst>
              </c15:ser>
            </c15:filteredPieSeries>
            <c15:filteredPieSeries>
              <c15:ser>
                <c:idx val="8"/>
                <c:order val="8"/>
                <c:tx>
                  <c:strRef>
                    <c:extLst xmlns:c15="http://schemas.microsoft.com/office/drawing/2012/chart">
                      <c:ext xmlns:c15="http://schemas.microsoft.com/office/drawing/2012/chart" uri="{02D57815-91ED-43cb-92C2-25804820EDAC}">
                        <c15:formulaRef>
                          <c15:sqref>' Dados Predial'!$K$23</c15:sqref>
                        </c15:formulaRef>
                      </c:ext>
                    </c:extLst>
                    <c:strCache>
                      <c:ptCount val="1"/>
                      <c:pt idx="0">
                        <c:v>set</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06-54E7-47D0-ACBA-0E52EE59FEA1}"/>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08-54E7-47D0-ACBA-0E52EE59FEA1}"/>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0A-54E7-47D0-ACBA-0E52EE59FEA1}"/>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0C-54E7-47D0-ACBA-0E52EE59FEA1}"/>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0E-54E7-47D0-ACBA-0E52EE59FEA1}"/>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10-54E7-47D0-ACBA-0E52EE59FEA1}"/>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12-54E7-47D0-ACBA-0E52EE59FEA1}"/>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14-54E7-47D0-ACBA-0E52EE59FEA1}"/>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16-54E7-47D0-ACBA-0E52EE59FEA1}"/>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18-54E7-47D0-ACBA-0E52EE59FEA1}"/>
                    </c:ext>
                  </c:extLst>
                </c:dPt>
                <c:dPt>
                  <c:idx val="1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1A-54E7-47D0-ACBA-0E52EE59FEA1}"/>
                    </c:ext>
                  </c:extLst>
                </c:dPt>
                <c:dPt>
                  <c:idx val="11"/>
                  <c:bubble3D val="0"/>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1C-54E7-47D0-ACBA-0E52EE59FEA1}"/>
                    </c:ext>
                  </c:extLst>
                </c:dPt>
                <c:dPt>
                  <c:idx val="12"/>
                  <c:bubble3D val="0"/>
                  <c:spPr>
                    <a:gradFill rotWithShape="1">
                      <a:gsLst>
                        <a:gs pos="0">
                          <a:schemeClr val="accent1">
                            <a:lumMod val="80000"/>
                            <a:lumOff val="20000"/>
                            <a:shade val="51000"/>
                            <a:satMod val="130000"/>
                          </a:schemeClr>
                        </a:gs>
                        <a:gs pos="80000">
                          <a:schemeClr val="accent1">
                            <a:lumMod val="80000"/>
                            <a:lumOff val="20000"/>
                            <a:shade val="93000"/>
                            <a:satMod val="130000"/>
                          </a:schemeClr>
                        </a:gs>
                        <a:gs pos="100000">
                          <a:schemeClr val="accent1">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1E-54E7-47D0-ACBA-0E52EE59FEA1}"/>
                    </c:ext>
                  </c:extLst>
                </c:dPt>
                <c:dPt>
                  <c:idx val="13"/>
                  <c:bubble3D val="0"/>
                  <c:spPr>
                    <a:gradFill rotWithShape="1">
                      <a:gsLst>
                        <a:gs pos="0">
                          <a:schemeClr val="accent2">
                            <a:lumMod val="80000"/>
                            <a:lumOff val="20000"/>
                            <a:shade val="51000"/>
                            <a:satMod val="130000"/>
                          </a:schemeClr>
                        </a:gs>
                        <a:gs pos="80000">
                          <a:schemeClr val="accent2">
                            <a:lumMod val="80000"/>
                            <a:lumOff val="20000"/>
                            <a:shade val="93000"/>
                            <a:satMod val="130000"/>
                          </a:schemeClr>
                        </a:gs>
                        <a:gs pos="100000">
                          <a:schemeClr val="accent2">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20-54E7-47D0-ACBA-0E52EE59FEA1}"/>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t-BR"/>
                    </a:p>
                  </c:txPr>
                  <c:dLblPos val="outEnd"/>
                  <c:showLegendKey val="0"/>
                  <c:showVal val="0"/>
                  <c:showCatName val="1"/>
                  <c:showSerName val="0"/>
                  <c:showPercent val="1"/>
                  <c:showBubbleSize val="0"/>
                  <c:showLeaderLines val="0"/>
                  <c:extLst xmlns:c15="http://schemas.microsoft.com/office/drawing/2012/chart">
                    <c:ext xmlns:c15="http://schemas.microsoft.com/office/drawing/2012/chart" uri="{CE6537A1-D6FC-4f65-9D91-7224C49458BB}">
                      <c15:spPr xmlns:c15="http://schemas.microsoft.com/office/drawing/2012/chart">
                        <a:prstGeom prst="wedgeRectCallout">
                          <a:avLst/>
                        </a:prstGeom>
                        <a:noFill/>
                        <a:ln>
                          <a:noFill/>
                        </a:ln>
                      </c15:spPr>
                    </c:ext>
                  </c:extLst>
                </c:dLbls>
                <c:cat>
                  <c:strRef>
                    <c:extLst xmlns:c15="http://schemas.microsoft.com/office/drawing/2012/chart">
                      <c:ext xmlns:c15="http://schemas.microsoft.com/office/drawing/2012/chart" uri="{02D57815-91ED-43cb-92C2-25804820EDAC}">
                        <c15:formulaRef>
                          <c15:sqref>(' Dados Predial'!$B$24:$B$27,' Dados Predial'!$B$29:$B$30,' Dados Predial'!$B$32)</c15:sqref>
                        </c15:formulaRef>
                      </c:ext>
                    </c:extLst>
                    <c:strCache>
                      <c:ptCount val="7"/>
                      <c:pt idx="0">
                        <c:v>Alvenaria</c:v>
                      </c:pt>
                      <c:pt idx="1">
                        <c:v>Elétrica</c:v>
                      </c:pt>
                      <c:pt idx="2">
                        <c:v>Hidráulica</c:v>
                      </c:pt>
                      <c:pt idx="3">
                        <c:v>Marcenaria</c:v>
                      </c:pt>
                      <c:pt idx="4">
                        <c:v>Outros</c:v>
                      </c:pt>
                      <c:pt idx="5">
                        <c:v>Pintura</c:v>
                      </c:pt>
                      <c:pt idx="6">
                        <c:v>Vidraçaria</c:v>
                      </c:pt>
                    </c:strCache>
                  </c:strRef>
                </c:cat>
                <c:val>
                  <c:numRef>
                    <c:extLst xmlns:c15="http://schemas.microsoft.com/office/drawing/2012/chart">
                      <c:ext xmlns:c15="http://schemas.microsoft.com/office/drawing/2012/chart" uri="{02D57815-91ED-43cb-92C2-25804820EDAC}">
                        <c15:formulaRef>
                          <c15:sqref>(' Dados Predial'!$K$24:$K$27,' Dados Predial'!$K$29:$K$30,' Dados Predial'!$K$32)</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121-54E7-47D0-ACBA-0E52EE59FEA1}"/>
                  </c:ext>
                </c:extLst>
              </c15:ser>
            </c15:filteredPieSeries>
            <c15:filteredPieSeries>
              <c15:ser>
                <c:idx val="9"/>
                <c:order val="9"/>
                <c:tx>
                  <c:strRef>
                    <c:extLst xmlns:c15="http://schemas.microsoft.com/office/drawing/2012/chart">
                      <c:ext xmlns:c15="http://schemas.microsoft.com/office/drawing/2012/chart" uri="{02D57815-91ED-43cb-92C2-25804820EDAC}">
                        <c15:formulaRef>
                          <c15:sqref>' Dados Predial'!$L$23</c15:sqref>
                        </c15:formulaRef>
                      </c:ext>
                    </c:extLst>
                    <c:strCache>
                      <c:ptCount val="1"/>
                      <c:pt idx="0">
                        <c:v>out</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23-54E7-47D0-ACBA-0E52EE59FEA1}"/>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25-54E7-47D0-ACBA-0E52EE59FEA1}"/>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27-54E7-47D0-ACBA-0E52EE59FEA1}"/>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29-54E7-47D0-ACBA-0E52EE59FEA1}"/>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2B-54E7-47D0-ACBA-0E52EE59FEA1}"/>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2D-54E7-47D0-ACBA-0E52EE59FEA1}"/>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2F-54E7-47D0-ACBA-0E52EE59FEA1}"/>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31-54E7-47D0-ACBA-0E52EE59FEA1}"/>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33-54E7-47D0-ACBA-0E52EE59FEA1}"/>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35-54E7-47D0-ACBA-0E52EE59FEA1}"/>
                    </c:ext>
                  </c:extLst>
                </c:dPt>
                <c:dPt>
                  <c:idx val="1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37-54E7-47D0-ACBA-0E52EE59FEA1}"/>
                    </c:ext>
                  </c:extLst>
                </c:dPt>
                <c:dPt>
                  <c:idx val="11"/>
                  <c:bubble3D val="0"/>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39-54E7-47D0-ACBA-0E52EE59FEA1}"/>
                    </c:ext>
                  </c:extLst>
                </c:dPt>
                <c:dPt>
                  <c:idx val="12"/>
                  <c:bubble3D val="0"/>
                  <c:spPr>
                    <a:gradFill rotWithShape="1">
                      <a:gsLst>
                        <a:gs pos="0">
                          <a:schemeClr val="accent1">
                            <a:lumMod val="80000"/>
                            <a:lumOff val="20000"/>
                            <a:shade val="51000"/>
                            <a:satMod val="130000"/>
                          </a:schemeClr>
                        </a:gs>
                        <a:gs pos="80000">
                          <a:schemeClr val="accent1">
                            <a:lumMod val="80000"/>
                            <a:lumOff val="20000"/>
                            <a:shade val="93000"/>
                            <a:satMod val="130000"/>
                          </a:schemeClr>
                        </a:gs>
                        <a:gs pos="100000">
                          <a:schemeClr val="accent1">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3B-54E7-47D0-ACBA-0E52EE59FEA1}"/>
                    </c:ext>
                  </c:extLst>
                </c:dPt>
                <c:dPt>
                  <c:idx val="13"/>
                  <c:bubble3D val="0"/>
                  <c:spPr>
                    <a:gradFill rotWithShape="1">
                      <a:gsLst>
                        <a:gs pos="0">
                          <a:schemeClr val="accent2">
                            <a:lumMod val="80000"/>
                            <a:lumOff val="20000"/>
                            <a:shade val="51000"/>
                            <a:satMod val="130000"/>
                          </a:schemeClr>
                        </a:gs>
                        <a:gs pos="80000">
                          <a:schemeClr val="accent2">
                            <a:lumMod val="80000"/>
                            <a:lumOff val="20000"/>
                            <a:shade val="93000"/>
                            <a:satMod val="130000"/>
                          </a:schemeClr>
                        </a:gs>
                        <a:gs pos="100000">
                          <a:schemeClr val="accent2">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3D-54E7-47D0-ACBA-0E52EE59FEA1}"/>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t-BR"/>
                    </a:p>
                  </c:txPr>
                  <c:dLblPos val="outEnd"/>
                  <c:showLegendKey val="0"/>
                  <c:showVal val="0"/>
                  <c:showCatName val="1"/>
                  <c:showSerName val="0"/>
                  <c:showPercent val="1"/>
                  <c:showBubbleSize val="0"/>
                  <c:showLeaderLines val="0"/>
                  <c:extLst xmlns:c15="http://schemas.microsoft.com/office/drawing/2012/chart">
                    <c:ext xmlns:c15="http://schemas.microsoft.com/office/drawing/2012/chart" uri="{CE6537A1-D6FC-4f65-9D91-7224C49458BB}">
                      <c15:spPr xmlns:c15="http://schemas.microsoft.com/office/drawing/2012/chart">
                        <a:prstGeom prst="wedgeRectCallout">
                          <a:avLst/>
                        </a:prstGeom>
                        <a:noFill/>
                        <a:ln>
                          <a:noFill/>
                        </a:ln>
                      </c15:spPr>
                    </c:ext>
                  </c:extLst>
                </c:dLbls>
                <c:cat>
                  <c:strRef>
                    <c:extLst xmlns:c15="http://schemas.microsoft.com/office/drawing/2012/chart">
                      <c:ext xmlns:c15="http://schemas.microsoft.com/office/drawing/2012/chart" uri="{02D57815-91ED-43cb-92C2-25804820EDAC}">
                        <c15:formulaRef>
                          <c15:sqref>(' Dados Predial'!$B$24:$B$27,' Dados Predial'!$B$29:$B$30,' Dados Predial'!$B$32)</c15:sqref>
                        </c15:formulaRef>
                      </c:ext>
                    </c:extLst>
                    <c:strCache>
                      <c:ptCount val="7"/>
                      <c:pt idx="0">
                        <c:v>Alvenaria</c:v>
                      </c:pt>
                      <c:pt idx="1">
                        <c:v>Elétrica</c:v>
                      </c:pt>
                      <c:pt idx="2">
                        <c:v>Hidráulica</c:v>
                      </c:pt>
                      <c:pt idx="3">
                        <c:v>Marcenaria</c:v>
                      </c:pt>
                      <c:pt idx="4">
                        <c:v>Outros</c:v>
                      </c:pt>
                      <c:pt idx="5">
                        <c:v>Pintura</c:v>
                      </c:pt>
                      <c:pt idx="6">
                        <c:v>Vidraçaria</c:v>
                      </c:pt>
                    </c:strCache>
                  </c:strRef>
                </c:cat>
                <c:val>
                  <c:numRef>
                    <c:extLst xmlns:c15="http://schemas.microsoft.com/office/drawing/2012/chart">
                      <c:ext xmlns:c15="http://schemas.microsoft.com/office/drawing/2012/chart" uri="{02D57815-91ED-43cb-92C2-25804820EDAC}">
                        <c15:formulaRef>
                          <c15:sqref>(' Dados Predial'!$L$24:$L$27,' Dados Predial'!$L$29:$L$30,' Dados Predial'!$L$32)</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13E-54E7-47D0-ACBA-0E52EE59FEA1}"/>
                  </c:ext>
                </c:extLst>
              </c15:ser>
            </c15:filteredPieSeries>
            <c15:filteredPieSeries>
              <c15:ser>
                <c:idx val="10"/>
                <c:order val="10"/>
                <c:tx>
                  <c:strRef>
                    <c:extLst xmlns:c15="http://schemas.microsoft.com/office/drawing/2012/chart">
                      <c:ext xmlns:c15="http://schemas.microsoft.com/office/drawing/2012/chart" uri="{02D57815-91ED-43cb-92C2-25804820EDAC}">
                        <c15:formulaRef>
                          <c15:sqref>' Dados Predial'!$M$23</c15:sqref>
                        </c15:formulaRef>
                      </c:ext>
                    </c:extLst>
                    <c:strCache>
                      <c:ptCount val="1"/>
                      <c:pt idx="0">
                        <c:v>nov</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40-54E7-47D0-ACBA-0E52EE59FEA1}"/>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42-54E7-47D0-ACBA-0E52EE59FEA1}"/>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44-54E7-47D0-ACBA-0E52EE59FEA1}"/>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46-54E7-47D0-ACBA-0E52EE59FEA1}"/>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48-54E7-47D0-ACBA-0E52EE59FEA1}"/>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4A-54E7-47D0-ACBA-0E52EE59FEA1}"/>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4C-54E7-47D0-ACBA-0E52EE59FEA1}"/>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4E-54E7-47D0-ACBA-0E52EE59FEA1}"/>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50-54E7-47D0-ACBA-0E52EE59FEA1}"/>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52-54E7-47D0-ACBA-0E52EE59FEA1}"/>
                    </c:ext>
                  </c:extLst>
                </c:dPt>
                <c:dPt>
                  <c:idx val="1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54-54E7-47D0-ACBA-0E52EE59FEA1}"/>
                    </c:ext>
                  </c:extLst>
                </c:dPt>
                <c:dPt>
                  <c:idx val="11"/>
                  <c:bubble3D val="0"/>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56-54E7-47D0-ACBA-0E52EE59FEA1}"/>
                    </c:ext>
                  </c:extLst>
                </c:dPt>
                <c:dPt>
                  <c:idx val="12"/>
                  <c:bubble3D val="0"/>
                  <c:spPr>
                    <a:gradFill rotWithShape="1">
                      <a:gsLst>
                        <a:gs pos="0">
                          <a:schemeClr val="accent1">
                            <a:lumMod val="80000"/>
                            <a:lumOff val="20000"/>
                            <a:shade val="51000"/>
                            <a:satMod val="130000"/>
                          </a:schemeClr>
                        </a:gs>
                        <a:gs pos="80000">
                          <a:schemeClr val="accent1">
                            <a:lumMod val="80000"/>
                            <a:lumOff val="20000"/>
                            <a:shade val="93000"/>
                            <a:satMod val="130000"/>
                          </a:schemeClr>
                        </a:gs>
                        <a:gs pos="100000">
                          <a:schemeClr val="accent1">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58-54E7-47D0-ACBA-0E52EE59FEA1}"/>
                    </c:ext>
                  </c:extLst>
                </c:dPt>
                <c:dPt>
                  <c:idx val="13"/>
                  <c:bubble3D val="0"/>
                  <c:spPr>
                    <a:gradFill rotWithShape="1">
                      <a:gsLst>
                        <a:gs pos="0">
                          <a:schemeClr val="accent2">
                            <a:lumMod val="80000"/>
                            <a:lumOff val="20000"/>
                            <a:shade val="51000"/>
                            <a:satMod val="130000"/>
                          </a:schemeClr>
                        </a:gs>
                        <a:gs pos="80000">
                          <a:schemeClr val="accent2">
                            <a:lumMod val="80000"/>
                            <a:lumOff val="20000"/>
                            <a:shade val="93000"/>
                            <a:satMod val="130000"/>
                          </a:schemeClr>
                        </a:gs>
                        <a:gs pos="100000">
                          <a:schemeClr val="accent2">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5A-54E7-47D0-ACBA-0E52EE59FEA1}"/>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t-BR"/>
                    </a:p>
                  </c:txPr>
                  <c:dLblPos val="outEnd"/>
                  <c:showLegendKey val="0"/>
                  <c:showVal val="0"/>
                  <c:showCatName val="1"/>
                  <c:showSerName val="0"/>
                  <c:showPercent val="1"/>
                  <c:showBubbleSize val="0"/>
                  <c:showLeaderLines val="0"/>
                  <c:extLst xmlns:c15="http://schemas.microsoft.com/office/drawing/2012/chart">
                    <c:ext xmlns:c15="http://schemas.microsoft.com/office/drawing/2012/chart" uri="{CE6537A1-D6FC-4f65-9D91-7224C49458BB}">
                      <c15:spPr xmlns:c15="http://schemas.microsoft.com/office/drawing/2012/chart">
                        <a:prstGeom prst="wedgeRectCallout">
                          <a:avLst/>
                        </a:prstGeom>
                        <a:noFill/>
                        <a:ln>
                          <a:noFill/>
                        </a:ln>
                      </c15:spPr>
                    </c:ext>
                  </c:extLst>
                </c:dLbls>
                <c:cat>
                  <c:strRef>
                    <c:extLst xmlns:c15="http://schemas.microsoft.com/office/drawing/2012/chart">
                      <c:ext xmlns:c15="http://schemas.microsoft.com/office/drawing/2012/chart" uri="{02D57815-91ED-43cb-92C2-25804820EDAC}">
                        <c15:formulaRef>
                          <c15:sqref>(' Dados Predial'!$B$24:$B$27,' Dados Predial'!$B$29:$B$30,' Dados Predial'!$B$32)</c15:sqref>
                        </c15:formulaRef>
                      </c:ext>
                    </c:extLst>
                    <c:strCache>
                      <c:ptCount val="7"/>
                      <c:pt idx="0">
                        <c:v>Alvenaria</c:v>
                      </c:pt>
                      <c:pt idx="1">
                        <c:v>Elétrica</c:v>
                      </c:pt>
                      <c:pt idx="2">
                        <c:v>Hidráulica</c:v>
                      </c:pt>
                      <c:pt idx="3">
                        <c:v>Marcenaria</c:v>
                      </c:pt>
                      <c:pt idx="4">
                        <c:v>Outros</c:v>
                      </c:pt>
                      <c:pt idx="5">
                        <c:v>Pintura</c:v>
                      </c:pt>
                      <c:pt idx="6">
                        <c:v>Vidraçaria</c:v>
                      </c:pt>
                    </c:strCache>
                  </c:strRef>
                </c:cat>
                <c:val>
                  <c:numRef>
                    <c:extLst xmlns:c15="http://schemas.microsoft.com/office/drawing/2012/chart">
                      <c:ext xmlns:c15="http://schemas.microsoft.com/office/drawing/2012/chart" uri="{02D57815-91ED-43cb-92C2-25804820EDAC}">
                        <c15:formulaRef>
                          <c15:sqref>(' Dados Predial'!$M$24:$M$27,' Dados Predial'!$M$29:$M$30,' Dados Predial'!$M$32)</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15B-54E7-47D0-ACBA-0E52EE59FEA1}"/>
                  </c:ext>
                </c:extLst>
              </c15:ser>
            </c15:filteredPieSeries>
            <c15:filteredPieSeries>
              <c15:ser>
                <c:idx val="11"/>
                <c:order val="11"/>
                <c:tx>
                  <c:strRef>
                    <c:extLst xmlns:c15="http://schemas.microsoft.com/office/drawing/2012/chart">
                      <c:ext xmlns:c15="http://schemas.microsoft.com/office/drawing/2012/chart" uri="{02D57815-91ED-43cb-92C2-25804820EDAC}">
                        <c15:formulaRef>
                          <c15:sqref>' Dados Predial'!$N$23</c15:sqref>
                        </c15:formulaRef>
                      </c:ext>
                    </c:extLst>
                    <c:strCache>
                      <c:ptCount val="1"/>
                      <c:pt idx="0">
                        <c:v>dez</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5D-54E7-47D0-ACBA-0E52EE59FEA1}"/>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5F-54E7-47D0-ACBA-0E52EE59FEA1}"/>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61-54E7-47D0-ACBA-0E52EE59FEA1}"/>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63-54E7-47D0-ACBA-0E52EE59FEA1}"/>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65-54E7-47D0-ACBA-0E52EE59FEA1}"/>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67-54E7-47D0-ACBA-0E52EE59FEA1}"/>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69-54E7-47D0-ACBA-0E52EE59FEA1}"/>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6B-54E7-47D0-ACBA-0E52EE59FEA1}"/>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6D-54E7-47D0-ACBA-0E52EE59FEA1}"/>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6F-54E7-47D0-ACBA-0E52EE59FEA1}"/>
                    </c:ext>
                  </c:extLst>
                </c:dPt>
                <c:dPt>
                  <c:idx val="1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71-54E7-47D0-ACBA-0E52EE59FEA1}"/>
                    </c:ext>
                  </c:extLst>
                </c:dPt>
                <c:dPt>
                  <c:idx val="11"/>
                  <c:bubble3D val="0"/>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73-54E7-47D0-ACBA-0E52EE59FEA1}"/>
                    </c:ext>
                  </c:extLst>
                </c:dPt>
                <c:dPt>
                  <c:idx val="12"/>
                  <c:bubble3D val="0"/>
                  <c:spPr>
                    <a:gradFill rotWithShape="1">
                      <a:gsLst>
                        <a:gs pos="0">
                          <a:schemeClr val="accent1">
                            <a:lumMod val="80000"/>
                            <a:lumOff val="20000"/>
                            <a:shade val="51000"/>
                            <a:satMod val="130000"/>
                          </a:schemeClr>
                        </a:gs>
                        <a:gs pos="80000">
                          <a:schemeClr val="accent1">
                            <a:lumMod val="80000"/>
                            <a:lumOff val="20000"/>
                            <a:shade val="93000"/>
                            <a:satMod val="130000"/>
                          </a:schemeClr>
                        </a:gs>
                        <a:gs pos="100000">
                          <a:schemeClr val="accent1">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75-54E7-47D0-ACBA-0E52EE59FEA1}"/>
                    </c:ext>
                  </c:extLst>
                </c:dPt>
                <c:dPt>
                  <c:idx val="13"/>
                  <c:bubble3D val="0"/>
                  <c:spPr>
                    <a:gradFill rotWithShape="1">
                      <a:gsLst>
                        <a:gs pos="0">
                          <a:schemeClr val="accent2">
                            <a:lumMod val="80000"/>
                            <a:lumOff val="20000"/>
                            <a:shade val="51000"/>
                            <a:satMod val="130000"/>
                          </a:schemeClr>
                        </a:gs>
                        <a:gs pos="80000">
                          <a:schemeClr val="accent2">
                            <a:lumMod val="80000"/>
                            <a:lumOff val="20000"/>
                            <a:shade val="93000"/>
                            <a:satMod val="130000"/>
                          </a:schemeClr>
                        </a:gs>
                        <a:gs pos="100000">
                          <a:schemeClr val="accent2">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77-54E7-47D0-ACBA-0E52EE59FEA1}"/>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t-BR"/>
                    </a:p>
                  </c:txPr>
                  <c:dLblPos val="outEnd"/>
                  <c:showLegendKey val="0"/>
                  <c:showVal val="0"/>
                  <c:showCatName val="1"/>
                  <c:showSerName val="0"/>
                  <c:showPercent val="1"/>
                  <c:showBubbleSize val="0"/>
                  <c:showLeaderLines val="0"/>
                  <c:extLst xmlns:c15="http://schemas.microsoft.com/office/drawing/2012/chart">
                    <c:ext xmlns:c15="http://schemas.microsoft.com/office/drawing/2012/chart" uri="{CE6537A1-D6FC-4f65-9D91-7224C49458BB}">
                      <c15:spPr xmlns:c15="http://schemas.microsoft.com/office/drawing/2012/chart">
                        <a:prstGeom prst="wedgeRectCallout">
                          <a:avLst/>
                        </a:prstGeom>
                        <a:noFill/>
                        <a:ln>
                          <a:noFill/>
                        </a:ln>
                      </c15:spPr>
                    </c:ext>
                  </c:extLst>
                </c:dLbls>
                <c:cat>
                  <c:strRef>
                    <c:extLst xmlns:c15="http://schemas.microsoft.com/office/drawing/2012/chart">
                      <c:ext xmlns:c15="http://schemas.microsoft.com/office/drawing/2012/chart" uri="{02D57815-91ED-43cb-92C2-25804820EDAC}">
                        <c15:formulaRef>
                          <c15:sqref>(' Dados Predial'!$B$24:$B$27,' Dados Predial'!$B$29:$B$30,' Dados Predial'!$B$32)</c15:sqref>
                        </c15:formulaRef>
                      </c:ext>
                    </c:extLst>
                    <c:strCache>
                      <c:ptCount val="7"/>
                      <c:pt idx="0">
                        <c:v>Alvenaria</c:v>
                      </c:pt>
                      <c:pt idx="1">
                        <c:v>Elétrica</c:v>
                      </c:pt>
                      <c:pt idx="2">
                        <c:v>Hidráulica</c:v>
                      </c:pt>
                      <c:pt idx="3">
                        <c:v>Marcenaria</c:v>
                      </c:pt>
                      <c:pt idx="4">
                        <c:v>Outros</c:v>
                      </c:pt>
                      <c:pt idx="5">
                        <c:v>Pintura</c:v>
                      </c:pt>
                      <c:pt idx="6">
                        <c:v>Vidraçaria</c:v>
                      </c:pt>
                    </c:strCache>
                  </c:strRef>
                </c:cat>
                <c:val>
                  <c:numRef>
                    <c:extLst xmlns:c15="http://schemas.microsoft.com/office/drawing/2012/chart">
                      <c:ext xmlns:c15="http://schemas.microsoft.com/office/drawing/2012/chart" uri="{02D57815-91ED-43cb-92C2-25804820EDAC}">
                        <c15:formulaRef>
                          <c15:sqref>(' Dados Predial'!$N$24:$N$27,' Dados Predial'!$N$29:$N$30,' Dados Predial'!$N$32)</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178-54E7-47D0-ACBA-0E52EE59FEA1}"/>
                  </c:ext>
                </c:extLst>
              </c15:ser>
            </c15:filteredPieSeries>
            <c15:filteredPieSeries>
              <c15:ser>
                <c:idx val="13"/>
                <c:order val="13"/>
                <c:tx>
                  <c:strRef>
                    <c:extLst xmlns:c15="http://schemas.microsoft.com/office/drawing/2012/chart">
                      <c:ext xmlns:c15="http://schemas.microsoft.com/office/drawing/2012/chart" uri="{02D57815-91ED-43cb-92C2-25804820EDAC}">
                        <c15:formulaRef>
                          <c15:sqref>' Dados Predial'!$P$23</c15:sqref>
                        </c15:formulaRef>
                      </c:ext>
                    </c:extLst>
                    <c:strCache>
                      <c:ptCount val="1"/>
                      <c:pt idx="0">
                        <c:v>média</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7A-54E7-47D0-ACBA-0E52EE59FEA1}"/>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7C-54E7-47D0-ACBA-0E52EE59FEA1}"/>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7E-54E7-47D0-ACBA-0E52EE59FEA1}"/>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80-54E7-47D0-ACBA-0E52EE59FEA1}"/>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82-54E7-47D0-ACBA-0E52EE59FEA1}"/>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84-54E7-47D0-ACBA-0E52EE59FEA1}"/>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86-54E7-47D0-ACBA-0E52EE59FEA1}"/>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88-54E7-47D0-ACBA-0E52EE59FEA1}"/>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8A-54E7-47D0-ACBA-0E52EE59FEA1}"/>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8C-54E7-47D0-ACBA-0E52EE59FEA1}"/>
                    </c:ext>
                  </c:extLst>
                </c:dPt>
                <c:dPt>
                  <c:idx val="1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8E-54E7-47D0-ACBA-0E52EE59FEA1}"/>
                    </c:ext>
                  </c:extLst>
                </c:dPt>
                <c:dPt>
                  <c:idx val="11"/>
                  <c:bubble3D val="0"/>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90-54E7-47D0-ACBA-0E52EE59FEA1}"/>
                    </c:ext>
                  </c:extLst>
                </c:dPt>
                <c:dPt>
                  <c:idx val="12"/>
                  <c:bubble3D val="0"/>
                  <c:spPr>
                    <a:gradFill rotWithShape="1">
                      <a:gsLst>
                        <a:gs pos="0">
                          <a:schemeClr val="accent1">
                            <a:lumMod val="80000"/>
                            <a:lumOff val="20000"/>
                            <a:shade val="51000"/>
                            <a:satMod val="130000"/>
                          </a:schemeClr>
                        </a:gs>
                        <a:gs pos="80000">
                          <a:schemeClr val="accent1">
                            <a:lumMod val="80000"/>
                            <a:lumOff val="20000"/>
                            <a:shade val="93000"/>
                            <a:satMod val="130000"/>
                          </a:schemeClr>
                        </a:gs>
                        <a:gs pos="100000">
                          <a:schemeClr val="accent1">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92-54E7-47D0-ACBA-0E52EE59FEA1}"/>
                    </c:ext>
                  </c:extLst>
                </c:dPt>
                <c:dPt>
                  <c:idx val="13"/>
                  <c:bubble3D val="0"/>
                  <c:spPr>
                    <a:gradFill rotWithShape="1">
                      <a:gsLst>
                        <a:gs pos="0">
                          <a:schemeClr val="accent2">
                            <a:lumMod val="80000"/>
                            <a:lumOff val="20000"/>
                            <a:shade val="51000"/>
                            <a:satMod val="130000"/>
                          </a:schemeClr>
                        </a:gs>
                        <a:gs pos="80000">
                          <a:schemeClr val="accent2">
                            <a:lumMod val="80000"/>
                            <a:lumOff val="20000"/>
                            <a:shade val="93000"/>
                            <a:satMod val="130000"/>
                          </a:schemeClr>
                        </a:gs>
                        <a:gs pos="100000">
                          <a:schemeClr val="accent2">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94-54E7-47D0-ACBA-0E52EE59FEA1}"/>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t-BR"/>
                    </a:p>
                  </c:txPr>
                  <c:dLblPos val="outEnd"/>
                  <c:showLegendKey val="0"/>
                  <c:showVal val="0"/>
                  <c:showCatName val="1"/>
                  <c:showSerName val="0"/>
                  <c:showPercent val="1"/>
                  <c:showBubbleSize val="0"/>
                  <c:showLeaderLines val="0"/>
                  <c:extLst xmlns:c15="http://schemas.microsoft.com/office/drawing/2012/chart">
                    <c:ext xmlns:c15="http://schemas.microsoft.com/office/drawing/2012/chart" uri="{CE6537A1-D6FC-4f65-9D91-7224C49458BB}">
                      <c15:spPr xmlns:c15="http://schemas.microsoft.com/office/drawing/2012/chart">
                        <a:prstGeom prst="wedgeRectCallout">
                          <a:avLst/>
                        </a:prstGeom>
                        <a:noFill/>
                        <a:ln>
                          <a:noFill/>
                        </a:ln>
                      </c15:spPr>
                    </c:ext>
                  </c:extLst>
                </c:dLbls>
                <c:cat>
                  <c:strRef>
                    <c:extLst xmlns:c15="http://schemas.microsoft.com/office/drawing/2012/chart">
                      <c:ext xmlns:c15="http://schemas.microsoft.com/office/drawing/2012/chart" uri="{02D57815-91ED-43cb-92C2-25804820EDAC}">
                        <c15:formulaRef>
                          <c15:sqref>(' Dados Predial'!$B$24:$B$27,' Dados Predial'!$B$29:$B$30,' Dados Predial'!$B$32)</c15:sqref>
                        </c15:formulaRef>
                      </c:ext>
                    </c:extLst>
                    <c:strCache>
                      <c:ptCount val="7"/>
                      <c:pt idx="0">
                        <c:v>Alvenaria</c:v>
                      </c:pt>
                      <c:pt idx="1">
                        <c:v>Elétrica</c:v>
                      </c:pt>
                      <c:pt idx="2">
                        <c:v>Hidráulica</c:v>
                      </c:pt>
                      <c:pt idx="3">
                        <c:v>Marcenaria</c:v>
                      </c:pt>
                      <c:pt idx="4">
                        <c:v>Outros</c:v>
                      </c:pt>
                      <c:pt idx="5">
                        <c:v>Pintura</c:v>
                      </c:pt>
                      <c:pt idx="6">
                        <c:v>Vidraçaria</c:v>
                      </c:pt>
                    </c:strCache>
                  </c:strRef>
                </c:cat>
                <c:val>
                  <c:numRef>
                    <c:extLst xmlns:c15="http://schemas.microsoft.com/office/drawing/2012/chart">
                      <c:ext xmlns:c15="http://schemas.microsoft.com/office/drawing/2012/chart" uri="{02D57815-91ED-43cb-92C2-25804820EDAC}">
                        <c15:formulaRef>
                          <c15:sqref>(' Dados Predial'!$P$24:$P$27,' Dados Predial'!$P$29:$P$30,' Dados Predial'!$P$32)</c15:sqref>
                        </c15:formulaRef>
                      </c:ext>
                    </c:extLst>
                    <c:numCache>
                      <c:formatCode>_("R$"* #,##0.00_);_("R$"* \(#,##0.00\);_("R$"* "-"??_);_(@_)</c:formatCode>
                      <c:ptCount val="7"/>
                      <c:pt idx="0">
                        <c:v>0</c:v>
                      </c:pt>
                      <c:pt idx="1">
                        <c:v>33.333333333333336</c:v>
                      </c:pt>
                      <c:pt idx="2">
                        <c:v>0</c:v>
                      </c:pt>
                      <c:pt idx="3">
                        <c:v>0</c:v>
                      </c:pt>
                      <c:pt idx="4">
                        <c:v>242.84833333333336</c:v>
                      </c:pt>
                      <c:pt idx="5">
                        <c:v>0</c:v>
                      </c:pt>
                      <c:pt idx="6">
                        <c:v>0</c:v>
                      </c:pt>
                    </c:numCache>
                  </c:numRef>
                </c:val>
                <c:extLst xmlns:c15="http://schemas.microsoft.com/office/drawing/2012/chart">
                  <c:ext xmlns:c16="http://schemas.microsoft.com/office/drawing/2014/chart" uri="{C3380CC4-5D6E-409C-BE32-E72D297353CC}">
                    <c16:uniqueId val="{00000195-54E7-47D0-ACBA-0E52EE59FEA1}"/>
                  </c:ext>
                </c:extLst>
              </c15:ser>
            </c15:filteredPieSeries>
            <c15:filteredPieSeries>
              <c15:ser>
                <c:idx val="14"/>
                <c:order val="14"/>
                <c:tx>
                  <c:strRef>
                    <c:extLst xmlns:c15="http://schemas.microsoft.com/office/drawing/2012/chart">
                      <c:ext xmlns:c15="http://schemas.microsoft.com/office/drawing/2012/chart" uri="{02D57815-91ED-43cb-92C2-25804820EDAC}">
                        <c15:formulaRef>
                          <c15:sqref>' Dados Predial'!$Q$23</c15:sqref>
                        </c15:formulaRef>
                      </c:ext>
                    </c:extLst>
                    <c:strCache>
                      <c:ptCount val="1"/>
                      <c:pt idx="0">
                        <c:v>per capta</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97-54E7-47D0-ACBA-0E52EE59FEA1}"/>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99-54E7-47D0-ACBA-0E52EE59FEA1}"/>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9B-54E7-47D0-ACBA-0E52EE59FEA1}"/>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9D-54E7-47D0-ACBA-0E52EE59FEA1}"/>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9F-54E7-47D0-ACBA-0E52EE59FEA1}"/>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A1-54E7-47D0-ACBA-0E52EE59FEA1}"/>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A3-54E7-47D0-ACBA-0E52EE59FEA1}"/>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A5-54E7-47D0-ACBA-0E52EE59FEA1}"/>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A7-54E7-47D0-ACBA-0E52EE59FEA1}"/>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A9-54E7-47D0-ACBA-0E52EE59FEA1}"/>
                    </c:ext>
                  </c:extLst>
                </c:dPt>
                <c:dPt>
                  <c:idx val="1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AB-54E7-47D0-ACBA-0E52EE59FEA1}"/>
                    </c:ext>
                  </c:extLst>
                </c:dPt>
                <c:dPt>
                  <c:idx val="11"/>
                  <c:bubble3D val="0"/>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AD-54E7-47D0-ACBA-0E52EE59FEA1}"/>
                    </c:ext>
                  </c:extLst>
                </c:dPt>
                <c:dPt>
                  <c:idx val="12"/>
                  <c:bubble3D val="0"/>
                  <c:spPr>
                    <a:gradFill rotWithShape="1">
                      <a:gsLst>
                        <a:gs pos="0">
                          <a:schemeClr val="accent1">
                            <a:lumMod val="80000"/>
                            <a:lumOff val="20000"/>
                            <a:shade val="51000"/>
                            <a:satMod val="130000"/>
                          </a:schemeClr>
                        </a:gs>
                        <a:gs pos="80000">
                          <a:schemeClr val="accent1">
                            <a:lumMod val="80000"/>
                            <a:lumOff val="20000"/>
                            <a:shade val="93000"/>
                            <a:satMod val="130000"/>
                          </a:schemeClr>
                        </a:gs>
                        <a:gs pos="100000">
                          <a:schemeClr val="accent1">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AF-54E7-47D0-ACBA-0E52EE59FEA1}"/>
                    </c:ext>
                  </c:extLst>
                </c:dPt>
                <c:dPt>
                  <c:idx val="13"/>
                  <c:bubble3D val="0"/>
                  <c:spPr>
                    <a:gradFill rotWithShape="1">
                      <a:gsLst>
                        <a:gs pos="0">
                          <a:schemeClr val="accent2">
                            <a:lumMod val="80000"/>
                            <a:lumOff val="20000"/>
                            <a:shade val="51000"/>
                            <a:satMod val="130000"/>
                          </a:schemeClr>
                        </a:gs>
                        <a:gs pos="80000">
                          <a:schemeClr val="accent2">
                            <a:lumMod val="80000"/>
                            <a:lumOff val="20000"/>
                            <a:shade val="93000"/>
                            <a:satMod val="130000"/>
                          </a:schemeClr>
                        </a:gs>
                        <a:gs pos="100000">
                          <a:schemeClr val="accent2">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B1-54E7-47D0-ACBA-0E52EE59FEA1}"/>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t-BR"/>
                    </a:p>
                  </c:txPr>
                  <c:dLblPos val="outEnd"/>
                  <c:showLegendKey val="0"/>
                  <c:showVal val="0"/>
                  <c:showCatName val="1"/>
                  <c:showSerName val="0"/>
                  <c:showPercent val="1"/>
                  <c:showBubbleSize val="0"/>
                  <c:showLeaderLines val="0"/>
                  <c:extLst xmlns:c15="http://schemas.microsoft.com/office/drawing/2012/chart">
                    <c:ext xmlns:c15="http://schemas.microsoft.com/office/drawing/2012/chart" uri="{CE6537A1-D6FC-4f65-9D91-7224C49458BB}">
                      <c15:spPr xmlns:c15="http://schemas.microsoft.com/office/drawing/2012/chart">
                        <a:prstGeom prst="wedgeRectCallout">
                          <a:avLst/>
                        </a:prstGeom>
                        <a:noFill/>
                        <a:ln>
                          <a:noFill/>
                        </a:ln>
                      </c15:spPr>
                    </c:ext>
                  </c:extLst>
                </c:dLbls>
                <c:cat>
                  <c:strRef>
                    <c:extLst xmlns:c15="http://schemas.microsoft.com/office/drawing/2012/chart">
                      <c:ext xmlns:c15="http://schemas.microsoft.com/office/drawing/2012/chart" uri="{02D57815-91ED-43cb-92C2-25804820EDAC}">
                        <c15:formulaRef>
                          <c15:sqref>(' Dados Predial'!$B$24:$B$27,' Dados Predial'!$B$29:$B$30,' Dados Predial'!$B$32)</c15:sqref>
                        </c15:formulaRef>
                      </c:ext>
                    </c:extLst>
                    <c:strCache>
                      <c:ptCount val="7"/>
                      <c:pt idx="0">
                        <c:v>Alvenaria</c:v>
                      </c:pt>
                      <c:pt idx="1">
                        <c:v>Elétrica</c:v>
                      </c:pt>
                      <c:pt idx="2">
                        <c:v>Hidráulica</c:v>
                      </c:pt>
                      <c:pt idx="3">
                        <c:v>Marcenaria</c:v>
                      </c:pt>
                      <c:pt idx="4">
                        <c:v>Outros</c:v>
                      </c:pt>
                      <c:pt idx="5">
                        <c:v>Pintura</c:v>
                      </c:pt>
                      <c:pt idx="6">
                        <c:v>Vidraçaria</c:v>
                      </c:pt>
                    </c:strCache>
                  </c:strRef>
                </c:cat>
                <c:val>
                  <c:numRef>
                    <c:extLst xmlns:c15="http://schemas.microsoft.com/office/drawing/2012/chart">
                      <c:ext xmlns:c15="http://schemas.microsoft.com/office/drawing/2012/chart" uri="{02D57815-91ED-43cb-92C2-25804820EDAC}">
                        <c15:formulaRef>
                          <c15:sqref>(' Dados Predial'!$Q$24:$Q$27,' Dados Predial'!$Q$29:$Q$30,' Dados Predial'!$Q$32)</c15:sqref>
                        </c15:formulaRef>
                      </c:ext>
                    </c:extLst>
                    <c:numCache>
                      <c:formatCode>_("R$"* #,##0.00_);_("R$"* \(#,##0.00\);_("R$"* "-"??_);_(@_)</c:formatCode>
                      <c:ptCount val="7"/>
                      <c:pt idx="0">
                        <c:v>0</c:v>
                      </c:pt>
                      <c:pt idx="1">
                        <c:v>0.11299435028248589</c:v>
                      </c:pt>
                      <c:pt idx="2">
                        <c:v>0</c:v>
                      </c:pt>
                      <c:pt idx="3">
                        <c:v>0</c:v>
                      </c:pt>
                      <c:pt idx="4">
                        <c:v>0.82321468926553676</c:v>
                      </c:pt>
                      <c:pt idx="5">
                        <c:v>0</c:v>
                      </c:pt>
                      <c:pt idx="6">
                        <c:v>0</c:v>
                      </c:pt>
                    </c:numCache>
                  </c:numRef>
                </c:val>
                <c:extLst xmlns:c15="http://schemas.microsoft.com/office/drawing/2012/chart">
                  <c:ext xmlns:c16="http://schemas.microsoft.com/office/drawing/2014/chart" uri="{C3380CC4-5D6E-409C-BE32-E72D297353CC}">
                    <c16:uniqueId val="{000001B2-54E7-47D0-ACBA-0E52EE59FEA1}"/>
                  </c:ext>
                </c:extLst>
              </c15:ser>
            </c15:filteredPieSeries>
            <c15:filteredPieSeries>
              <c15:ser>
                <c:idx val="15"/>
                <c:order val="15"/>
                <c:tx>
                  <c:strRef>
                    <c:extLst xmlns:c15="http://schemas.microsoft.com/office/drawing/2012/chart">
                      <c:ext xmlns:c15="http://schemas.microsoft.com/office/drawing/2012/chart" uri="{02D57815-91ED-43cb-92C2-25804820EDAC}">
                        <c15:formulaRef>
                          <c15:sqref>' Dados Predial'!$R$23</c15:sqref>
                        </c15:formulaRef>
                      </c:ext>
                    </c:extLst>
                    <c:strCache>
                      <c:ptCount val="1"/>
                      <c:pt idx="0">
                        <c:v>Cons/m²</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B4-54E7-47D0-ACBA-0E52EE59FEA1}"/>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B6-54E7-47D0-ACBA-0E52EE59FEA1}"/>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B8-54E7-47D0-ACBA-0E52EE59FEA1}"/>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BA-54E7-47D0-ACBA-0E52EE59FEA1}"/>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BC-54E7-47D0-ACBA-0E52EE59FEA1}"/>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BE-54E7-47D0-ACBA-0E52EE59FEA1}"/>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C0-54E7-47D0-ACBA-0E52EE59FEA1}"/>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C2-54E7-47D0-ACBA-0E52EE59FEA1}"/>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C4-54E7-47D0-ACBA-0E52EE59FEA1}"/>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C6-54E7-47D0-ACBA-0E52EE59FEA1}"/>
                    </c:ext>
                  </c:extLst>
                </c:dPt>
                <c:dPt>
                  <c:idx val="1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C8-54E7-47D0-ACBA-0E52EE59FEA1}"/>
                    </c:ext>
                  </c:extLst>
                </c:dPt>
                <c:dPt>
                  <c:idx val="11"/>
                  <c:bubble3D val="0"/>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CA-54E7-47D0-ACBA-0E52EE59FEA1}"/>
                    </c:ext>
                  </c:extLst>
                </c:dPt>
                <c:dPt>
                  <c:idx val="12"/>
                  <c:bubble3D val="0"/>
                  <c:spPr>
                    <a:gradFill rotWithShape="1">
                      <a:gsLst>
                        <a:gs pos="0">
                          <a:schemeClr val="accent1">
                            <a:lumMod val="80000"/>
                            <a:lumOff val="20000"/>
                            <a:shade val="51000"/>
                            <a:satMod val="130000"/>
                          </a:schemeClr>
                        </a:gs>
                        <a:gs pos="80000">
                          <a:schemeClr val="accent1">
                            <a:lumMod val="80000"/>
                            <a:lumOff val="20000"/>
                            <a:shade val="93000"/>
                            <a:satMod val="130000"/>
                          </a:schemeClr>
                        </a:gs>
                        <a:gs pos="100000">
                          <a:schemeClr val="accent1">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CC-54E7-47D0-ACBA-0E52EE59FEA1}"/>
                    </c:ext>
                  </c:extLst>
                </c:dPt>
                <c:dPt>
                  <c:idx val="13"/>
                  <c:bubble3D val="0"/>
                  <c:spPr>
                    <a:gradFill rotWithShape="1">
                      <a:gsLst>
                        <a:gs pos="0">
                          <a:schemeClr val="accent2">
                            <a:lumMod val="80000"/>
                            <a:lumOff val="20000"/>
                            <a:shade val="51000"/>
                            <a:satMod val="130000"/>
                          </a:schemeClr>
                        </a:gs>
                        <a:gs pos="80000">
                          <a:schemeClr val="accent2">
                            <a:lumMod val="80000"/>
                            <a:lumOff val="20000"/>
                            <a:shade val="93000"/>
                            <a:satMod val="130000"/>
                          </a:schemeClr>
                        </a:gs>
                        <a:gs pos="100000">
                          <a:schemeClr val="accent2">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CE-54E7-47D0-ACBA-0E52EE59FEA1}"/>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t-BR"/>
                    </a:p>
                  </c:txPr>
                  <c:dLblPos val="outEnd"/>
                  <c:showLegendKey val="0"/>
                  <c:showVal val="0"/>
                  <c:showCatName val="1"/>
                  <c:showSerName val="0"/>
                  <c:showPercent val="1"/>
                  <c:showBubbleSize val="0"/>
                  <c:showLeaderLines val="0"/>
                  <c:extLst xmlns:c15="http://schemas.microsoft.com/office/drawing/2012/chart">
                    <c:ext xmlns:c15="http://schemas.microsoft.com/office/drawing/2012/chart" uri="{CE6537A1-D6FC-4f65-9D91-7224C49458BB}">
                      <c15:spPr xmlns:c15="http://schemas.microsoft.com/office/drawing/2012/chart">
                        <a:prstGeom prst="wedgeRectCallout">
                          <a:avLst/>
                        </a:prstGeom>
                        <a:noFill/>
                        <a:ln>
                          <a:noFill/>
                        </a:ln>
                      </c15:spPr>
                    </c:ext>
                  </c:extLst>
                </c:dLbls>
                <c:cat>
                  <c:strRef>
                    <c:extLst xmlns:c15="http://schemas.microsoft.com/office/drawing/2012/chart">
                      <c:ext xmlns:c15="http://schemas.microsoft.com/office/drawing/2012/chart" uri="{02D57815-91ED-43cb-92C2-25804820EDAC}">
                        <c15:formulaRef>
                          <c15:sqref>(' Dados Predial'!$B$24:$B$27,' Dados Predial'!$B$29:$B$30,' Dados Predial'!$B$32)</c15:sqref>
                        </c15:formulaRef>
                      </c:ext>
                    </c:extLst>
                    <c:strCache>
                      <c:ptCount val="7"/>
                      <c:pt idx="0">
                        <c:v>Alvenaria</c:v>
                      </c:pt>
                      <c:pt idx="1">
                        <c:v>Elétrica</c:v>
                      </c:pt>
                      <c:pt idx="2">
                        <c:v>Hidráulica</c:v>
                      </c:pt>
                      <c:pt idx="3">
                        <c:v>Marcenaria</c:v>
                      </c:pt>
                      <c:pt idx="4">
                        <c:v>Outros</c:v>
                      </c:pt>
                      <c:pt idx="5">
                        <c:v>Pintura</c:v>
                      </c:pt>
                      <c:pt idx="6">
                        <c:v>Vidraçaria</c:v>
                      </c:pt>
                    </c:strCache>
                  </c:strRef>
                </c:cat>
                <c:val>
                  <c:numRef>
                    <c:extLst xmlns:c15="http://schemas.microsoft.com/office/drawing/2012/chart">
                      <c:ext xmlns:c15="http://schemas.microsoft.com/office/drawing/2012/chart" uri="{02D57815-91ED-43cb-92C2-25804820EDAC}">
                        <c15:formulaRef>
                          <c15:sqref>(' Dados Predial'!$R$24:$R$27,' Dados Predial'!$R$29:$R$30,' Dados Predial'!$R$32)</c15:sqref>
                        </c15:formulaRef>
                      </c:ext>
                    </c:extLst>
                    <c:numCache>
                      <c:formatCode>_("R$"* #,##0.00_);_("R$"* \(#,##0.00\);_("R$"* "-"??_);_(@_)</c:formatCode>
                      <c:ptCount val="7"/>
                      <c:pt idx="0">
                        <c:v>0</c:v>
                      </c:pt>
                      <c:pt idx="1">
                        <c:v>9.5148655501923439E-3</c:v>
                      </c:pt>
                      <c:pt idx="2">
                        <c:v>0</c:v>
                      </c:pt>
                      <c:pt idx="3">
                        <c:v>0</c:v>
                      </c:pt>
                      <c:pt idx="4">
                        <c:v>6.932007722264881E-2</c:v>
                      </c:pt>
                      <c:pt idx="5">
                        <c:v>0</c:v>
                      </c:pt>
                      <c:pt idx="6">
                        <c:v>0</c:v>
                      </c:pt>
                    </c:numCache>
                  </c:numRef>
                </c:val>
                <c:extLst xmlns:c15="http://schemas.microsoft.com/office/drawing/2012/chart">
                  <c:ext xmlns:c16="http://schemas.microsoft.com/office/drawing/2014/chart" uri="{C3380CC4-5D6E-409C-BE32-E72D297353CC}">
                    <c16:uniqueId val="{000001CF-54E7-47D0-ACBA-0E52EE59FEA1}"/>
                  </c:ext>
                </c:extLst>
              </c15:ser>
            </c15:filteredPieSeries>
            <c15:filteredPieSeries>
              <c15:ser>
                <c:idx val="16"/>
                <c:order val="16"/>
                <c:tx>
                  <c:strRef>
                    <c:extLst xmlns:c15="http://schemas.microsoft.com/office/drawing/2012/chart">
                      <c:ext xmlns:c15="http://schemas.microsoft.com/office/drawing/2012/chart" uri="{02D57815-91ED-43cb-92C2-25804820EDAC}">
                        <c15:formulaRef>
                          <c15:sqref>' Dados Predial'!$S$23</c15:sqref>
                        </c15:formulaRef>
                      </c:ext>
                    </c:extLst>
                    <c:strCache>
                      <c:ptCount val="1"/>
                      <c:pt idx="0">
                        <c:v>Percentual</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D1-54E7-47D0-ACBA-0E52EE59FEA1}"/>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D3-54E7-47D0-ACBA-0E52EE59FEA1}"/>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D5-54E7-47D0-ACBA-0E52EE59FEA1}"/>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D7-54E7-47D0-ACBA-0E52EE59FEA1}"/>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D9-54E7-47D0-ACBA-0E52EE59FEA1}"/>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DB-54E7-47D0-ACBA-0E52EE59FEA1}"/>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DD-54E7-47D0-ACBA-0E52EE59FEA1}"/>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DF-54E7-47D0-ACBA-0E52EE59FEA1}"/>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E1-54E7-47D0-ACBA-0E52EE59FEA1}"/>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E3-54E7-47D0-ACBA-0E52EE59FEA1}"/>
                    </c:ext>
                  </c:extLst>
                </c:dPt>
                <c:dPt>
                  <c:idx val="1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E5-54E7-47D0-ACBA-0E52EE59FEA1}"/>
                    </c:ext>
                  </c:extLst>
                </c:dPt>
                <c:dPt>
                  <c:idx val="11"/>
                  <c:bubble3D val="0"/>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E7-54E7-47D0-ACBA-0E52EE59FEA1}"/>
                    </c:ext>
                  </c:extLst>
                </c:dPt>
                <c:dPt>
                  <c:idx val="12"/>
                  <c:bubble3D val="0"/>
                  <c:spPr>
                    <a:gradFill rotWithShape="1">
                      <a:gsLst>
                        <a:gs pos="0">
                          <a:schemeClr val="accent1">
                            <a:lumMod val="80000"/>
                            <a:lumOff val="20000"/>
                            <a:shade val="51000"/>
                            <a:satMod val="130000"/>
                          </a:schemeClr>
                        </a:gs>
                        <a:gs pos="80000">
                          <a:schemeClr val="accent1">
                            <a:lumMod val="80000"/>
                            <a:lumOff val="20000"/>
                            <a:shade val="93000"/>
                            <a:satMod val="130000"/>
                          </a:schemeClr>
                        </a:gs>
                        <a:gs pos="100000">
                          <a:schemeClr val="accent1">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E9-54E7-47D0-ACBA-0E52EE59FEA1}"/>
                    </c:ext>
                  </c:extLst>
                </c:dPt>
                <c:dPt>
                  <c:idx val="13"/>
                  <c:bubble3D val="0"/>
                  <c:spPr>
                    <a:gradFill rotWithShape="1">
                      <a:gsLst>
                        <a:gs pos="0">
                          <a:schemeClr val="accent2">
                            <a:lumMod val="80000"/>
                            <a:lumOff val="20000"/>
                            <a:shade val="51000"/>
                            <a:satMod val="130000"/>
                          </a:schemeClr>
                        </a:gs>
                        <a:gs pos="80000">
                          <a:schemeClr val="accent2">
                            <a:lumMod val="80000"/>
                            <a:lumOff val="20000"/>
                            <a:shade val="93000"/>
                            <a:satMod val="130000"/>
                          </a:schemeClr>
                        </a:gs>
                        <a:gs pos="100000">
                          <a:schemeClr val="accent2">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5="http://schemas.microsoft.com/office/drawing/2012/chart">
                    <c:ext xmlns:c16="http://schemas.microsoft.com/office/drawing/2014/chart" uri="{C3380CC4-5D6E-409C-BE32-E72D297353CC}">
                      <c16:uniqueId val="{000001EB-54E7-47D0-ACBA-0E52EE59FEA1}"/>
                    </c:ext>
                  </c:extLst>
                </c:dPt>
                <c:dLbls>
                  <c:dLbl>
                    <c:idx val="0"/>
                    <c:layout>
                      <c:manualLayout>
                        <c:x val="3.2533908786107728E-2"/>
                        <c:y val="-6.3959509764153185E-3"/>
                      </c:manualLayout>
                    </c:layout>
                    <c:dLblPos val="bestFit"/>
                    <c:showLegendKey val="0"/>
                    <c:showVal val="0"/>
                    <c:showCatName val="1"/>
                    <c:showSerName val="0"/>
                    <c:showPercent val="1"/>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1D1-54E7-47D0-ACBA-0E52EE59FEA1}"/>
                      </c:ext>
                    </c:extLst>
                  </c:dLbl>
                  <c:dLbl>
                    <c:idx val="1"/>
                    <c:layout>
                      <c:manualLayout>
                        <c:x val="1.5978356403834999E-2"/>
                        <c:y val="7.2929271600626969E-3"/>
                      </c:manualLayout>
                    </c:layout>
                    <c:dLblPos val="bestFit"/>
                    <c:showLegendKey val="0"/>
                    <c:showVal val="0"/>
                    <c:showCatName val="1"/>
                    <c:showSerName val="0"/>
                    <c:showPercent val="1"/>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1D3-54E7-47D0-ACBA-0E52EE59FEA1}"/>
                      </c:ext>
                    </c:extLst>
                  </c:dLbl>
                  <c:dLbl>
                    <c:idx val="2"/>
                    <c:layout>
                      <c:manualLayout>
                        <c:x val="-1.1663973684364821E-2"/>
                        <c:y val="4.1903128281913393E-2"/>
                      </c:manualLayout>
                    </c:layout>
                    <c:dLblPos val="bestFit"/>
                    <c:showLegendKey val="0"/>
                    <c:showVal val="0"/>
                    <c:showCatName val="1"/>
                    <c:showSerName val="0"/>
                    <c:showPercent val="1"/>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1D5-54E7-47D0-ACBA-0E52EE59FEA1}"/>
                      </c:ext>
                    </c:extLst>
                  </c:dLbl>
                  <c:dLbl>
                    <c:idx val="3"/>
                    <c:layout>
                      <c:manualLayout>
                        <c:x val="-1.2916810961720942E-2"/>
                        <c:y val="-3.301522059800977E-3"/>
                      </c:manualLayout>
                    </c:layout>
                    <c:dLblPos val="bestFit"/>
                    <c:showLegendKey val="0"/>
                    <c:showVal val="0"/>
                    <c:showCatName val="1"/>
                    <c:showSerName val="0"/>
                    <c:showPercent val="1"/>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1D7-54E7-47D0-ACBA-0E52EE59FEA1}"/>
                      </c:ext>
                    </c:extLst>
                  </c:dLbl>
                  <c:dLbl>
                    <c:idx val="6"/>
                    <c:layout>
                      <c:manualLayout>
                        <c:x val="2.0377519363277228E-3"/>
                        <c:y val="-6.1720381940452068E-2"/>
                      </c:manualLayout>
                    </c:layout>
                    <c:dLblPos val="bestFit"/>
                    <c:showLegendKey val="0"/>
                    <c:showVal val="0"/>
                    <c:showCatName val="1"/>
                    <c:showSerName val="0"/>
                    <c:showPercent val="1"/>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1DD-54E7-47D0-ACBA-0E52EE59FEA1}"/>
                      </c:ext>
                    </c:extLst>
                  </c:dLbl>
                  <c:dLbl>
                    <c:idx val="10"/>
                    <c:layout>
                      <c:manualLayout>
                        <c:x val="-3.8460818289608546E-2"/>
                        <c:y val="4.2171986046752187E-2"/>
                      </c:manualLayout>
                    </c:layout>
                    <c:dLblPos val="bestFit"/>
                    <c:showLegendKey val="0"/>
                    <c:showVal val="0"/>
                    <c:showCatName val="1"/>
                    <c:showSerName val="0"/>
                    <c:showPercent val="1"/>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1E5-54E7-47D0-ACBA-0E52EE59FEA1}"/>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t-BR"/>
                    </a:p>
                  </c:txPr>
                  <c:dLblPos val="bestFit"/>
                  <c:showLegendKey val="0"/>
                  <c:showVal val="0"/>
                  <c:showCatName val="1"/>
                  <c:showSerName val="0"/>
                  <c:showPercent val="1"/>
                  <c:showBubbleSize val="0"/>
                  <c:showLeaderLines val="0"/>
                  <c:extLst xmlns:c15="http://schemas.microsoft.com/office/drawing/2012/chart">
                    <c:ext xmlns:c15="http://schemas.microsoft.com/office/drawing/2012/chart" uri="{CE6537A1-D6FC-4f65-9D91-7224C49458BB}">
                      <c15:spPr xmlns:c15="http://schemas.microsoft.com/office/drawing/2012/chart">
                        <a:prstGeom prst="wedgeRectCallout">
                          <a:avLst/>
                        </a:prstGeom>
                        <a:noFill/>
                        <a:ln>
                          <a:noFill/>
                        </a:ln>
                      </c15:spPr>
                    </c:ext>
                  </c:extLst>
                </c:dLbls>
                <c:cat>
                  <c:strRef>
                    <c:extLst xmlns:c15="http://schemas.microsoft.com/office/drawing/2012/chart">
                      <c:ext xmlns:c15="http://schemas.microsoft.com/office/drawing/2012/chart" uri="{02D57815-91ED-43cb-92C2-25804820EDAC}">
                        <c15:formulaRef>
                          <c15:sqref>(' Dados Predial'!$B$24:$B$27,' Dados Predial'!$B$29:$B$30,' Dados Predial'!$B$32)</c15:sqref>
                        </c15:formulaRef>
                      </c:ext>
                    </c:extLst>
                    <c:strCache>
                      <c:ptCount val="7"/>
                      <c:pt idx="0">
                        <c:v>Alvenaria</c:v>
                      </c:pt>
                      <c:pt idx="1">
                        <c:v>Elétrica</c:v>
                      </c:pt>
                      <c:pt idx="2">
                        <c:v>Hidráulica</c:v>
                      </c:pt>
                      <c:pt idx="3">
                        <c:v>Marcenaria</c:v>
                      </c:pt>
                      <c:pt idx="4">
                        <c:v>Outros</c:v>
                      </c:pt>
                      <c:pt idx="5">
                        <c:v>Pintura</c:v>
                      </c:pt>
                      <c:pt idx="6">
                        <c:v>Vidraçaria</c:v>
                      </c:pt>
                    </c:strCache>
                  </c:strRef>
                </c:cat>
                <c:val>
                  <c:numRef>
                    <c:extLst xmlns:c15="http://schemas.microsoft.com/office/drawing/2012/chart">
                      <c:ext xmlns:c15="http://schemas.microsoft.com/office/drawing/2012/chart" uri="{02D57815-91ED-43cb-92C2-25804820EDAC}">
                        <c15:formulaRef>
                          <c15:sqref>(' Dados Predial'!$S$24:$S$27,' Dados Predial'!$S$29:$S$30,' Dados Predial'!$S$32)</c15:sqref>
                        </c15:formulaRef>
                      </c:ext>
                    </c:extLst>
                    <c:numCache>
                      <c:formatCode>0.00%</c:formatCode>
                      <c:ptCount val="7"/>
                      <c:pt idx="0">
                        <c:v>0</c:v>
                      </c:pt>
                      <c:pt idx="1">
                        <c:v>0.24138700975806987</c:v>
                      </c:pt>
                      <c:pt idx="2">
                        <c:v>0</c:v>
                      </c:pt>
                      <c:pt idx="3">
                        <c:v>0</c:v>
                      </c:pt>
                      <c:pt idx="4">
                        <c:v>1.7586129902419303</c:v>
                      </c:pt>
                      <c:pt idx="5">
                        <c:v>0</c:v>
                      </c:pt>
                      <c:pt idx="6">
                        <c:v>0</c:v>
                      </c:pt>
                    </c:numCache>
                  </c:numRef>
                </c:val>
                <c:extLst xmlns:c15="http://schemas.microsoft.com/office/drawing/2012/chart">
                  <c:ext xmlns:c16="http://schemas.microsoft.com/office/drawing/2014/chart" uri="{C3380CC4-5D6E-409C-BE32-E72D297353CC}">
                    <c16:uniqueId val="{000001EC-54E7-47D0-ACBA-0E52EE59FEA1}"/>
                  </c:ext>
                </c:extLst>
              </c15:ser>
            </c15:filteredPieSeries>
          </c:ext>
        </c:extLst>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t-B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Emissão CO² (Kg)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tx>
            <c:v>2020</c:v>
          </c:tx>
          <c:spPr>
            <a:solidFill>
              <a:schemeClr val="accent1"/>
            </a:solidFill>
            <a:ln>
              <a:noFill/>
            </a:ln>
            <a:effectLst/>
          </c:spPr>
          <c:invertIfNegative val="0"/>
          <c:cat>
            <c:strRef>
              <c:f>'Dados (Emissão CO²)'!$B$4:$M$4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'Dados (Emissão CO²)'!$B$5:$M$5</c:f>
              <c:numCache>
                <c:formatCode>#,##0.00</c:formatCode>
                <c:ptCount val="12"/>
                <c:pt idx="0">
                  <c:v>3142.56</c:v>
                </c:pt>
                <c:pt idx="1">
                  <c:v>1163.3759999999997</c:v>
                </c:pt>
                <c:pt idx="2">
                  <c:v>1465.348</c:v>
                </c:pt>
                <c:pt idx="3">
                  <c:v>115.64800000000001</c:v>
                </c:pt>
                <c:pt idx="4">
                  <c:v>780.73599999999988</c:v>
                </c:pt>
                <c:pt idx="5">
                  <c:v>2575.34</c:v>
                </c:pt>
                <c:pt idx="6">
                  <c:v>1911.32</c:v>
                </c:pt>
                <c:pt idx="7">
                  <c:v>3197.9520000000002</c:v>
                </c:pt>
                <c:pt idx="8">
                  <c:v>637.43200000000002</c:v>
                </c:pt>
                <c:pt idx="9">
                  <c:v>882.7328</c:v>
                </c:pt>
                <c:pt idx="10">
                  <c:v>3058.4143999999997</c:v>
                </c:pt>
                <c:pt idx="11">
                  <c:v>1456.6480000000001</c:v>
                </c:pt>
              </c:numCache>
            </c:numRef>
          </c:val>
          <c:extLst>
            <c:ext xmlns:c16="http://schemas.microsoft.com/office/drawing/2014/chart" uri="{C3380CC4-5D6E-409C-BE32-E72D297353CC}">
              <c16:uniqueId val="{00000000-DA6A-4EEC-BB2F-DC183F925552}"/>
            </c:ext>
          </c:extLst>
        </c:ser>
        <c:ser>
          <c:idx val="1"/>
          <c:order val="1"/>
          <c:tx>
            <c:v>2021</c:v>
          </c:tx>
          <c:spPr>
            <a:solidFill>
              <a:schemeClr val="accent2"/>
            </a:solidFill>
            <a:ln>
              <a:noFill/>
            </a:ln>
            <a:effectLst/>
          </c:spPr>
          <c:invertIfNegative val="0"/>
          <c:cat>
            <c:strRef>
              <c:f>'Dados (Emissão CO²)'!$B$4:$M$4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'Dados (Emissão CO²)'!$B$6:$M$6</c:f>
              <c:numCache>
                <c:formatCode>#,##0.00</c:formatCode>
                <c:ptCount val="12"/>
                <c:pt idx="0">
                  <c:v>1568.8879999999999</c:v>
                </c:pt>
                <c:pt idx="1">
                  <c:v>3726.6520000000005</c:v>
                </c:pt>
                <c:pt idx="2">
                  <c:v>529.50800000000004</c:v>
                </c:pt>
                <c:pt idx="3">
                  <c:v>383.32</c:v>
                </c:pt>
                <c:pt idx="4">
                  <c:v>1151.248</c:v>
                </c:pt>
                <c:pt idx="5">
                  <c:v>372.65199999999999</c:v>
                </c:pt>
                <c:pt idx="6">
                  <c:v>586.27199999999993</c:v>
                </c:pt>
                <c:pt idx="7">
                  <c:v>505.34399999999994</c:v>
                </c:pt>
                <c:pt idx="8">
                  <c:v>626.52800000000002</c:v>
                </c:pt>
                <c:pt idx="9">
                  <c:v>251.49599999999995</c:v>
                </c:pt>
                <c:pt idx="10">
                  <c:v>855.56</c:v>
                </c:pt>
                <c:pt idx="11">
                  <c:v>1074.896</c:v>
                </c:pt>
              </c:numCache>
            </c:numRef>
          </c:val>
          <c:extLst>
            <c:ext xmlns:c16="http://schemas.microsoft.com/office/drawing/2014/chart" uri="{C3380CC4-5D6E-409C-BE32-E72D297353CC}">
              <c16:uniqueId val="{00000001-DA6A-4EEC-BB2F-DC183F925552}"/>
            </c:ext>
          </c:extLst>
        </c:ser>
        <c:ser>
          <c:idx val="2"/>
          <c:order val="2"/>
          <c:tx>
            <c:v>2022</c:v>
          </c:tx>
          <c:spPr>
            <a:solidFill>
              <a:schemeClr val="accent3"/>
            </a:solidFill>
            <a:ln>
              <a:noFill/>
            </a:ln>
            <a:effectLst/>
          </c:spPr>
          <c:invertIfNegative val="0"/>
          <c:cat>
            <c:strRef>
              <c:f>'Dados (Emissão CO²)'!$B$4:$M$4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'Dados (Emissão CO²)'!$B$7:$M$7</c:f>
              <c:numCache>
                <c:formatCode>#,##0.00</c:formatCode>
                <c:ptCount val="12"/>
                <c:pt idx="0">
                  <c:v>662.74799999999993</c:v>
                </c:pt>
                <c:pt idx="1">
                  <c:v>834.89599999999996</c:v>
                </c:pt>
                <c:pt idx="2">
                  <c:v>418.23599999999999</c:v>
                </c:pt>
                <c:pt idx="3">
                  <c:v>1003.3879999999999</c:v>
                </c:pt>
                <c:pt idx="4">
                  <c:v>1327.74</c:v>
                </c:pt>
                <c:pt idx="5">
                  <c:v>923.21199999999999</c:v>
                </c:pt>
                <c:pt idx="6">
                  <c:v>192.99200000000002</c:v>
                </c:pt>
                <c:pt idx="7">
                  <c:v>0</c:v>
                </c:pt>
                <c:pt idx="8">
                  <c:v>0</c:v>
                </c:pt>
                <c:pt idx="9">
                  <c:v>0</c:v>
                </c:pt>
                <c:pt idx="10">
                  <c:v>0</c:v>
                </c:pt>
                <c:pt idx="11">
                  <c:v>0</c:v>
                </c:pt>
              </c:numCache>
            </c:numRef>
          </c:val>
          <c:extLst>
            <c:ext xmlns:c16="http://schemas.microsoft.com/office/drawing/2014/chart" uri="{C3380CC4-5D6E-409C-BE32-E72D297353CC}">
              <c16:uniqueId val="{00000002-DA6A-4EEC-BB2F-DC183F925552}"/>
            </c:ext>
          </c:extLst>
        </c:ser>
        <c:dLbls>
          <c:showLegendKey val="0"/>
          <c:showVal val="0"/>
          <c:showCatName val="0"/>
          <c:showSerName val="0"/>
          <c:showPercent val="0"/>
          <c:showBubbleSize val="0"/>
        </c:dLbls>
        <c:gapWidth val="219"/>
        <c:overlap val="-27"/>
        <c:axId val="20614592"/>
        <c:axId val="20612096"/>
      </c:barChart>
      <c:catAx>
        <c:axId val="20614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0612096"/>
        <c:crosses val="autoZero"/>
        <c:auto val="1"/>
        <c:lblAlgn val="ctr"/>
        <c:lblOffset val="100"/>
        <c:noMultiLvlLbl val="0"/>
      </c:catAx>
      <c:valAx>
        <c:axId val="206120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0614592"/>
        <c:crosses val="autoZero"/>
        <c:crossBetween val="between"/>
      </c:valAx>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pt-B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 km 2022</a:t>
            </a:r>
          </a:p>
        </c:rich>
      </c:tx>
      <c:overlay val="0"/>
      <c:spPr>
        <a:solidFill>
          <a:schemeClr val="accent5">
            <a:lumMod val="20000"/>
            <a:lumOff val="80000"/>
          </a:schemeClr>
        </a:solid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tx>
            <c:v>km 2022</c:v>
          </c:tx>
          <c:spPr>
            <a:solidFill>
              <a:schemeClr val="accent1"/>
            </a:solidFill>
            <a:ln>
              <a:noFill/>
            </a:ln>
            <a:effectLst/>
          </c:spPr>
          <c:invertIfNegative val="0"/>
          <c:cat>
            <c:strRef>
              <c:f>'Dados (Km) (2)'!$B$51:$M$51</c:f>
              <c:strCache>
                <c:ptCount val="12"/>
                <c:pt idx="1">
                  <c:v>jan</c:v>
                </c:pt>
                <c:pt idx="2">
                  <c:v>fev</c:v>
                </c:pt>
                <c:pt idx="3">
                  <c:v>mar</c:v>
                </c:pt>
                <c:pt idx="4">
                  <c:v>abr</c:v>
                </c:pt>
                <c:pt idx="5">
                  <c:v>mai</c:v>
                </c:pt>
                <c:pt idx="6">
                  <c:v>jun</c:v>
                </c:pt>
                <c:pt idx="7">
                  <c:v>jul</c:v>
                </c:pt>
                <c:pt idx="8">
                  <c:v>ago</c:v>
                </c:pt>
                <c:pt idx="9">
                  <c:v>set</c:v>
                </c:pt>
                <c:pt idx="10">
                  <c:v>out</c:v>
                </c:pt>
                <c:pt idx="11">
                  <c:v>nov</c:v>
                </c:pt>
              </c:strCache>
            </c:strRef>
          </c:cat>
          <c:val>
            <c:numRef>
              <c:f>'Dados (Km) (2)'!$B$52:$M$52</c:f>
              <c:numCache>
                <c:formatCode>#,##0</c:formatCode>
                <c:ptCount val="12"/>
                <c:pt idx="1">
                  <c:v>1177</c:v>
                </c:pt>
                <c:pt idx="2">
                  <c:v>4140</c:v>
                </c:pt>
                <c:pt idx="3">
                  <c:v>1557</c:v>
                </c:pt>
                <c:pt idx="4">
                  <c:v>2008</c:v>
                </c:pt>
                <c:pt idx="5">
                  <c:v>2870</c:v>
                </c:pt>
                <c:pt idx="6">
                  <c:v>3180</c:v>
                </c:pt>
                <c:pt idx="7">
                  <c:v>0</c:v>
                </c:pt>
                <c:pt idx="8">
                  <c:v>0</c:v>
                </c:pt>
                <c:pt idx="9">
                  <c:v>0</c:v>
                </c:pt>
                <c:pt idx="10">
                  <c:v>0</c:v>
                </c:pt>
                <c:pt idx="11">
                  <c:v>0</c:v>
                </c:pt>
              </c:numCache>
            </c:numRef>
          </c:val>
          <c:extLst>
            <c:ext xmlns:c16="http://schemas.microsoft.com/office/drawing/2014/chart" uri="{C3380CC4-5D6E-409C-BE32-E72D297353CC}">
              <c16:uniqueId val="{00000000-C171-4064-97ED-7F1317F930F6}"/>
            </c:ext>
          </c:extLst>
        </c:ser>
        <c:dLbls>
          <c:showLegendKey val="0"/>
          <c:showVal val="0"/>
          <c:showCatName val="0"/>
          <c:showSerName val="0"/>
          <c:showPercent val="0"/>
          <c:showBubbleSize val="0"/>
        </c:dLbls>
        <c:gapWidth val="219"/>
        <c:overlap val="-27"/>
        <c:axId val="1703925935"/>
        <c:axId val="1703926351"/>
      </c:barChart>
      <c:lineChart>
        <c:grouping val="standard"/>
        <c:varyColors val="0"/>
        <c:ser>
          <c:idx val="1"/>
          <c:order val="1"/>
          <c:tx>
            <c:v>Meta 2022</c:v>
          </c:tx>
          <c:spPr>
            <a:ln w="28575" cap="rnd">
              <a:solidFill>
                <a:schemeClr val="accent2"/>
              </a:solidFill>
              <a:round/>
            </a:ln>
            <a:effectLst/>
          </c:spPr>
          <c:marker>
            <c:symbol val="none"/>
          </c:marker>
          <c:cat>
            <c:strRef>
              <c:f>'Dados (Km) (2)'!$B$51:$M$51</c:f>
              <c:strCache>
                <c:ptCount val="12"/>
                <c:pt idx="1">
                  <c:v>jan</c:v>
                </c:pt>
                <c:pt idx="2">
                  <c:v>fev</c:v>
                </c:pt>
                <c:pt idx="3">
                  <c:v>mar</c:v>
                </c:pt>
                <c:pt idx="4">
                  <c:v>abr</c:v>
                </c:pt>
                <c:pt idx="5">
                  <c:v>mai</c:v>
                </c:pt>
                <c:pt idx="6">
                  <c:v>jun</c:v>
                </c:pt>
                <c:pt idx="7">
                  <c:v>jul</c:v>
                </c:pt>
                <c:pt idx="8">
                  <c:v>ago</c:v>
                </c:pt>
                <c:pt idx="9">
                  <c:v>set</c:v>
                </c:pt>
                <c:pt idx="10">
                  <c:v>out</c:v>
                </c:pt>
                <c:pt idx="11">
                  <c:v>nov</c:v>
                </c:pt>
              </c:strCache>
            </c:strRef>
          </c:cat>
          <c:val>
            <c:numRef>
              <c:f>'Dados (Km) (2)'!$B$53:$M$53</c:f>
              <c:numCache>
                <c:formatCode>#,##0</c:formatCode>
                <c:ptCount val="12"/>
                <c:pt idx="1">
                  <c:v>1412.3999999999999</c:v>
                </c:pt>
                <c:pt idx="2">
                  <c:v>4968</c:v>
                </c:pt>
                <c:pt idx="3">
                  <c:v>1868.3999999999999</c:v>
                </c:pt>
                <c:pt idx="4">
                  <c:v>2409.6</c:v>
                </c:pt>
                <c:pt idx="5">
                  <c:v>3444</c:v>
                </c:pt>
                <c:pt idx="6">
                  <c:v>3816</c:v>
                </c:pt>
                <c:pt idx="7">
                  <c:v>0</c:v>
                </c:pt>
                <c:pt idx="8">
                  <c:v>0</c:v>
                </c:pt>
                <c:pt idx="9">
                  <c:v>0</c:v>
                </c:pt>
                <c:pt idx="10">
                  <c:v>0</c:v>
                </c:pt>
                <c:pt idx="11">
                  <c:v>0</c:v>
                </c:pt>
              </c:numCache>
            </c:numRef>
          </c:val>
          <c:smooth val="1"/>
          <c:extLst>
            <c:ext xmlns:c16="http://schemas.microsoft.com/office/drawing/2014/chart" uri="{C3380CC4-5D6E-409C-BE32-E72D297353CC}">
              <c16:uniqueId val="{00000001-C171-4064-97ED-7F1317F930F6}"/>
            </c:ext>
          </c:extLst>
        </c:ser>
        <c:dLbls>
          <c:showLegendKey val="0"/>
          <c:showVal val="0"/>
          <c:showCatName val="0"/>
          <c:showSerName val="0"/>
          <c:showPercent val="0"/>
          <c:showBubbleSize val="0"/>
        </c:dLbls>
        <c:marker val="1"/>
        <c:smooth val="0"/>
        <c:axId val="1701265599"/>
        <c:axId val="1701246463"/>
      </c:lineChart>
      <c:catAx>
        <c:axId val="17039259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703926351"/>
        <c:crosses val="autoZero"/>
        <c:auto val="1"/>
        <c:lblAlgn val="ctr"/>
        <c:lblOffset val="100"/>
        <c:noMultiLvlLbl val="0"/>
      </c:catAx>
      <c:valAx>
        <c:axId val="1703926351"/>
        <c:scaling>
          <c:orientation val="minMax"/>
        </c:scaling>
        <c:delete val="0"/>
        <c:axPos val="l"/>
        <c:majorGridlines>
          <c:spPr>
            <a:ln w="9525" cap="flat" cmpd="sng" algn="ctr">
              <a:no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703925935"/>
        <c:crosses val="autoZero"/>
        <c:crossBetween val="between"/>
      </c:valAx>
      <c:valAx>
        <c:axId val="1701246463"/>
        <c:scaling>
          <c:orientation val="minMax"/>
        </c:scaling>
        <c:delete val="1"/>
        <c:axPos val="r"/>
        <c:numFmt formatCode="#,##0" sourceLinked="1"/>
        <c:majorTickMark val="out"/>
        <c:minorTickMark val="none"/>
        <c:tickLblPos val="nextTo"/>
        <c:crossAx val="1701265599"/>
        <c:crosses val="max"/>
        <c:crossBetween val="between"/>
      </c:valAx>
      <c:catAx>
        <c:axId val="1701265599"/>
        <c:scaling>
          <c:orientation val="minMax"/>
        </c:scaling>
        <c:delete val="1"/>
        <c:axPos val="b"/>
        <c:numFmt formatCode="General" sourceLinked="1"/>
        <c:majorTickMark val="out"/>
        <c:minorTickMark val="none"/>
        <c:tickLblPos val="nextTo"/>
        <c:crossAx val="1701246463"/>
        <c:crosses val="autoZero"/>
        <c:auto val="1"/>
        <c:lblAlgn val="ctr"/>
        <c:lblOffset val="100"/>
        <c:noMultiLvlLbl val="0"/>
      </c:catAx>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US"/>
              <a:t>Emissão CO² (kg)</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pt-BR"/>
        </a:p>
      </c:txPr>
    </c:title>
    <c:autoTitleDeleted val="0"/>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t-B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'Dados (Emissão CO²)'!$B$4:$M$4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'Dados (Emissão CO²)'!$B$5:$M$5</c:f>
              <c:numCache>
                <c:formatCode>#,##0.00</c:formatCode>
                <c:ptCount val="12"/>
                <c:pt idx="0">
                  <c:v>404.37599999999992</c:v>
                </c:pt>
                <c:pt idx="1">
                  <c:v>918.73599999999999</c:v>
                </c:pt>
                <c:pt idx="2">
                  <c:v>401.71599999999995</c:v>
                </c:pt>
                <c:pt idx="3">
                  <c:v>649.20799999999997</c:v>
                </c:pt>
                <c:pt idx="4">
                  <c:v>638.06399999999996</c:v>
                </c:pt>
                <c:pt idx="5">
                  <c:v>863.96799999999996</c:v>
                </c:pt>
                <c:pt idx="6">
                  <c:v>0</c:v>
                </c:pt>
                <c:pt idx="7">
                  <c:v>0</c:v>
                </c:pt>
                <c:pt idx="8">
                  <c:v>0</c:v>
                </c:pt>
                <c:pt idx="9">
                  <c:v>0</c:v>
                </c:pt>
                <c:pt idx="10">
                  <c:v>0</c:v>
                </c:pt>
                <c:pt idx="11">
                  <c:v>0</c:v>
                </c:pt>
              </c:numCache>
            </c:numRef>
          </c:val>
          <c:extLst>
            <c:ext xmlns:c16="http://schemas.microsoft.com/office/drawing/2014/chart" uri="{C3380CC4-5D6E-409C-BE32-E72D297353CC}">
              <c16:uniqueId val="{00000000-4A8C-4262-A82B-FBA490E8196C}"/>
            </c:ext>
          </c:extLst>
        </c:ser>
        <c:dLbls>
          <c:dLblPos val="inEnd"/>
          <c:showLegendKey val="0"/>
          <c:showVal val="1"/>
          <c:showCatName val="0"/>
          <c:showSerName val="0"/>
          <c:showPercent val="0"/>
          <c:showBubbleSize val="0"/>
        </c:dLbls>
        <c:gapWidth val="41"/>
        <c:axId val="990588288"/>
        <c:axId val="990586208"/>
      </c:barChart>
      <c:catAx>
        <c:axId val="9905882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pt-BR"/>
          </a:p>
        </c:txPr>
        <c:crossAx val="990586208"/>
        <c:crosses val="autoZero"/>
        <c:auto val="1"/>
        <c:lblAlgn val="ctr"/>
        <c:lblOffset val="100"/>
        <c:noMultiLvlLbl val="0"/>
      </c:catAx>
      <c:valAx>
        <c:axId val="990586208"/>
        <c:scaling>
          <c:orientation val="minMax"/>
        </c:scaling>
        <c:delete val="1"/>
        <c:axPos val="l"/>
        <c:numFmt formatCode="#,##0.00" sourceLinked="1"/>
        <c:majorTickMark val="none"/>
        <c:minorTickMark val="none"/>
        <c:tickLblPos val="nextTo"/>
        <c:crossAx val="9905882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pt-B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ysClr val="windowText" lastClr="000000"/>
                </a:solidFill>
                <a:latin typeface="Calibri" panose="020F0502020204030204" pitchFamily="34" charset="0"/>
                <a:ea typeface="+mn-ea"/>
                <a:cs typeface="+mn-cs"/>
              </a:defRPr>
            </a:pPr>
            <a:r>
              <a:rPr lang="pt-BR"/>
              <a:t>Consumo (kwh)</a:t>
            </a:r>
          </a:p>
        </c:rich>
      </c:tx>
      <c:overlay val="0"/>
      <c:spPr>
        <a:noFill/>
        <a:ln>
          <a:noFill/>
        </a:ln>
        <a:effectLst/>
      </c:spPr>
      <c:txPr>
        <a:bodyPr rot="0" spcFirstLastPara="1" vertOverflow="ellipsis" vert="horz" wrap="square" anchor="ctr" anchorCtr="1"/>
        <a:lstStyle/>
        <a:p>
          <a:pPr>
            <a:defRPr sz="1800" b="1" i="0" u="none" strike="noStrike" kern="1200" baseline="0">
              <a:solidFill>
                <a:sysClr val="windowText" lastClr="000000"/>
              </a:solidFill>
              <a:latin typeface="Calibri" panose="020F0502020204030204" pitchFamily="34" charset="0"/>
              <a:ea typeface="+mn-ea"/>
              <a:cs typeface="+mn-cs"/>
            </a:defRPr>
          </a:pPr>
          <a:endParaRPr lang="pt-BR"/>
        </a:p>
      </c:txPr>
    </c:title>
    <c:autoTitleDeleted val="0"/>
    <c:plotArea>
      <c:layout>
        <c:manualLayout>
          <c:layoutTarget val="inner"/>
          <c:xMode val="edge"/>
          <c:yMode val="edge"/>
          <c:x val="0.11490835070007085"/>
          <c:y val="0.25246543384738074"/>
          <c:w val="0.86135064076081347"/>
          <c:h val="0.45272707172506194"/>
        </c:manualLayout>
      </c:layout>
      <c:barChart>
        <c:barDir val="col"/>
        <c:grouping val="clustered"/>
        <c:varyColors val="0"/>
        <c:ser>
          <c:idx val="0"/>
          <c:order val="1"/>
          <c:tx>
            <c:strRef>
              <c:f>Dados!$A$6</c:f>
              <c:strCache>
                <c:ptCount val="1"/>
                <c:pt idx="0">
                  <c:v>2014</c:v>
                </c:pt>
              </c:strCache>
            </c:strRef>
          </c:tx>
          <c:spPr>
            <a:solidFill>
              <a:schemeClr val="accent6"/>
            </a:solidFill>
            <a:ln>
              <a:noFill/>
            </a:ln>
            <a:effectLst/>
          </c:spPr>
          <c:invertIfNegative val="0"/>
          <c:cat>
            <c:strRef>
              <c:f>Dados!$B$4:$M$4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Dados!$B$6:$M$6</c:f>
            </c:numRef>
          </c:val>
          <c:extLst>
            <c:ext xmlns:c16="http://schemas.microsoft.com/office/drawing/2014/chart" uri="{C3380CC4-5D6E-409C-BE32-E72D297353CC}">
              <c16:uniqueId val="{00000000-B178-4F89-9D13-F40D4C71894D}"/>
            </c:ext>
          </c:extLst>
        </c:ser>
        <c:ser>
          <c:idx val="4"/>
          <c:order val="2"/>
          <c:tx>
            <c:strRef>
              <c:f>Dados!$A$7</c:f>
              <c:strCache>
                <c:ptCount val="1"/>
                <c:pt idx="0">
                  <c:v>2015</c:v>
                </c:pt>
              </c:strCache>
            </c:strRef>
          </c:tx>
          <c:spPr>
            <a:solidFill>
              <a:schemeClr val="accent5">
                <a:lumMod val="60000"/>
              </a:schemeClr>
            </a:solidFill>
            <a:ln>
              <a:noFill/>
            </a:ln>
            <a:effectLst/>
          </c:spPr>
          <c:invertIfNegative val="0"/>
          <c:cat>
            <c:strRef>
              <c:f>Dados!$B$4:$M$4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Dados!$B$7:$M$7</c:f>
            </c:numRef>
          </c:val>
          <c:extLst>
            <c:ext xmlns:c16="http://schemas.microsoft.com/office/drawing/2014/chart" uri="{C3380CC4-5D6E-409C-BE32-E72D297353CC}">
              <c16:uniqueId val="{00000001-B178-4F89-9D13-F40D4C71894D}"/>
            </c:ext>
          </c:extLst>
        </c:ser>
        <c:ser>
          <c:idx val="3"/>
          <c:order val="0"/>
          <c:tx>
            <c:strRef>
              <c:f>Dados!$A$5</c:f>
              <c:strCache>
                <c:ptCount val="1"/>
                <c:pt idx="0">
                  <c:v>2013</c:v>
                </c:pt>
              </c:strCache>
            </c:strRef>
          </c:tx>
          <c:spPr>
            <a:solidFill>
              <a:schemeClr val="accent6">
                <a:lumMod val="60000"/>
              </a:schemeClr>
            </a:solidFill>
            <a:ln>
              <a:noFill/>
            </a:ln>
            <a:effectLst/>
          </c:spPr>
          <c:invertIfNegative val="0"/>
          <c:cat>
            <c:strRef>
              <c:f>Dados!$B$4:$M$4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Dados!$B$5:$M$5</c:f>
            </c:numRef>
          </c:val>
          <c:extLst>
            <c:ext xmlns:c16="http://schemas.microsoft.com/office/drawing/2014/chart" uri="{C3380CC4-5D6E-409C-BE32-E72D297353CC}">
              <c16:uniqueId val="{00000002-B178-4F89-9D13-F40D4C71894D}"/>
            </c:ext>
          </c:extLst>
        </c:ser>
        <c:ser>
          <c:idx val="1"/>
          <c:order val="3"/>
          <c:tx>
            <c:strRef>
              <c:f>Dados!$A$8</c:f>
              <c:strCache>
                <c:ptCount val="1"/>
                <c:pt idx="0">
                  <c:v>2016</c:v>
                </c:pt>
              </c:strCache>
              <c:extLst xmlns:c15="http://schemas.microsoft.com/office/drawing/2012/chart"/>
            </c:strRef>
          </c:tx>
          <c:spPr>
            <a:solidFill>
              <a:schemeClr val="accent5"/>
            </a:solidFill>
            <a:ln>
              <a:noFill/>
            </a:ln>
            <a:effectLst/>
          </c:spPr>
          <c:invertIfNegative val="0"/>
          <c:cat>
            <c:strRef>
              <c:f>Dados!$B$4:$M$4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extLst xmlns:c15="http://schemas.microsoft.com/office/drawing/2012/chart"/>
            </c:strRef>
          </c:cat>
          <c:val>
            <c:numRef>
              <c:f>Dados!$B$8:$M$8</c:f>
              <c:extLst xmlns:c15="http://schemas.microsoft.com/office/drawing/2012/chart"/>
            </c:numRef>
          </c:val>
          <c:extLst xmlns:c15="http://schemas.microsoft.com/office/drawing/2012/chart">
            <c:ext xmlns:c16="http://schemas.microsoft.com/office/drawing/2014/chart" uri="{C3380CC4-5D6E-409C-BE32-E72D297353CC}">
              <c16:uniqueId val="{00000003-B178-4F89-9D13-F40D4C71894D}"/>
            </c:ext>
          </c:extLst>
        </c:ser>
        <c:ser>
          <c:idx val="2"/>
          <c:order val="4"/>
          <c:tx>
            <c:strRef>
              <c:f>Dados!$A$9</c:f>
              <c:strCache>
                <c:ptCount val="1"/>
                <c:pt idx="0">
                  <c:v>2017</c:v>
                </c:pt>
              </c:strCache>
            </c:strRef>
          </c:tx>
          <c:spPr>
            <a:solidFill>
              <a:schemeClr val="accent4"/>
            </a:solidFill>
            <a:ln>
              <a:noFill/>
            </a:ln>
            <a:effectLst/>
          </c:spPr>
          <c:invertIfNegative val="0"/>
          <c:cat>
            <c:strRef>
              <c:f>Dados!$B$4:$M$4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Dados!$B$9:$M$9</c:f>
            </c:numRef>
          </c:val>
          <c:extLst>
            <c:ext xmlns:c16="http://schemas.microsoft.com/office/drawing/2014/chart" uri="{C3380CC4-5D6E-409C-BE32-E72D297353CC}">
              <c16:uniqueId val="{00000004-B178-4F89-9D13-F40D4C71894D}"/>
            </c:ext>
          </c:extLst>
        </c:ser>
        <c:ser>
          <c:idx val="5"/>
          <c:order val="5"/>
          <c:tx>
            <c:strRef>
              <c:f>Dados!$A$10</c:f>
              <c:strCache>
                <c:ptCount val="1"/>
                <c:pt idx="0">
                  <c:v>2018</c:v>
                </c:pt>
              </c:strCache>
            </c:strRef>
          </c:tx>
          <c:spPr>
            <a:solidFill>
              <a:schemeClr val="accent4">
                <a:lumMod val="60000"/>
              </a:schemeClr>
            </a:solidFill>
            <a:ln>
              <a:noFill/>
            </a:ln>
            <a:effectLst/>
          </c:spPr>
          <c:invertIfNegative val="0"/>
          <c:cat>
            <c:strRef>
              <c:f>Dados!$B$4:$M$4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Dados!$B$10:$M$10</c:f>
            </c:numRef>
          </c:val>
          <c:extLst>
            <c:ext xmlns:c16="http://schemas.microsoft.com/office/drawing/2014/chart" uri="{C3380CC4-5D6E-409C-BE32-E72D297353CC}">
              <c16:uniqueId val="{00000005-B178-4F89-9D13-F40D4C71894D}"/>
            </c:ext>
          </c:extLst>
        </c:ser>
        <c:ser>
          <c:idx val="6"/>
          <c:order val="6"/>
          <c:tx>
            <c:strRef>
              <c:f>Dados!$A$11</c:f>
              <c:strCache>
                <c:ptCount val="1"/>
                <c:pt idx="0">
                  <c:v>2019</c:v>
                </c:pt>
              </c:strCache>
            </c:strRef>
          </c:tx>
          <c:spPr>
            <a:solidFill>
              <a:schemeClr val="accent6">
                <a:lumMod val="80000"/>
                <a:lumOff val="20000"/>
              </a:schemeClr>
            </a:solidFill>
            <a:ln>
              <a:noFill/>
            </a:ln>
            <a:effectLst/>
          </c:spPr>
          <c:invertIfNegative val="0"/>
          <c:cat>
            <c:strRef>
              <c:f>Dados!$B$4:$M$4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Dados!$B$11:$M$11</c:f>
            </c:numRef>
          </c:val>
          <c:extLst>
            <c:ext xmlns:c16="http://schemas.microsoft.com/office/drawing/2014/chart" uri="{C3380CC4-5D6E-409C-BE32-E72D297353CC}">
              <c16:uniqueId val="{00000006-B178-4F89-9D13-F40D4C71894D}"/>
            </c:ext>
          </c:extLst>
        </c:ser>
        <c:ser>
          <c:idx val="7"/>
          <c:order val="7"/>
          <c:tx>
            <c:strRef>
              <c:f>Dados!$A$12</c:f>
              <c:strCache>
                <c:ptCount val="1"/>
                <c:pt idx="0">
                  <c:v>2021</c:v>
                </c:pt>
              </c:strCache>
            </c:strRef>
          </c:tx>
          <c:spPr>
            <a:solidFill>
              <a:schemeClr val="accent5">
                <a:lumMod val="80000"/>
                <a:lumOff val="20000"/>
              </a:schemeClr>
            </a:solidFill>
            <a:ln>
              <a:noFill/>
            </a:ln>
            <a:effectLst/>
          </c:spPr>
          <c:invertIfNegative val="0"/>
          <c:cat>
            <c:strRef>
              <c:f>Dados!$B$4:$M$4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Dados!$B$12:$M$12</c:f>
              <c:numCache>
                <c:formatCode>_(* #,##0_);_(* \(#,##0\);_(* "-"??_);_(@_)</c:formatCode>
                <c:ptCount val="12"/>
                <c:pt idx="0">
                  <c:v>21436</c:v>
                </c:pt>
                <c:pt idx="1">
                  <c:v>31769</c:v>
                </c:pt>
                <c:pt idx="2">
                  <c:v>26141</c:v>
                </c:pt>
                <c:pt idx="3">
                  <c:v>29868</c:v>
                </c:pt>
                <c:pt idx="4">
                  <c:v>28876</c:v>
                </c:pt>
                <c:pt idx="5">
                  <c:v>18930</c:v>
                </c:pt>
                <c:pt idx="6">
                  <c:v>21617</c:v>
                </c:pt>
                <c:pt idx="7">
                  <c:v>18293</c:v>
                </c:pt>
                <c:pt idx="8">
                  <c:v>21279</c:v>
                </c:pt>
                <c:pt idx="9">
                  <c:v>18293</c:v>
                </c:pt>
                <c:pt idx="10">
                  <c:v>23761</c:v>
                </c:pt>
                <c:pt idx="11">
                  <c:v>27810</c:v>
                </c:pt>
              </c:numCache>
            </c:numRef>
          </c:val>
          <c:extLst>
            <c:ext xmlns:c16="http://schemas.microsoft.com/office/drawing/2014/chart" uri="{C3380CC4-5D6E-409C-BE32-E72D297353CC}">
              <c16:uniqueId val="{00000007-B178-4F89-9D13-F40D4C71894D}"/>
            </c:ext>
          </c:extLst>
        </c:ser>
        <c:ser>
          <c:idx val="8"/>
          <c:order val="8"/>
          <c:tx>
            <c:strRef>
              <c:f>Dados!$A$13</c:f>
              <c:strCache>
                <c:ptCount val="1"/>
                <c:pt idx="0">
                  <c:v>2022</c:v>
                </c:pt>
              </c:strCache>
            </c:strRef>
          </c:tx>
          <c:spPr>
            <a:solidFill>
              <a:schemeClr val="accent4">
                <a:lumMod val="80000"/>
                <a:lumOff val="20000"/>
              </a:schemeClr>
            </a:solidFill>
            <a:ln>
              <a:noFill/>
            </a:ln>
            <a:effectLst/>
          </c:spPr>
          <c:invertIfNegative val="0"/>
          <c:cat>
            <c:strRef>
              <c:f>Dados!$B$4:$M$4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Dados!$B$13:$M$13</c:f>
              <c:numCache>
                <c:formatCode>_(* #,##0_);_(* \(#,##0\);_(* "-"??_);_(@_)</c:formatCode>
                <c:ptCount val="12"/>
                <c:pt idx="0">
                  <c:v>30737</c:v>
                </c:pt>
                <c:pt idx="1">
                  <c:v>38003</c:v>
                </c:pt>
                <c:pt idx="2">
                  <c:v>34403</c:v>
                </c:pt>
                <c:pt idx="3">
                  <c:v>39511</c:v>
                </c:pt>
                <c:pt idx="4">
                  <c:v>30537</c:v>
                </c:pt>
                <c:pt idx="5">
                  <c:v>22840</c:v>
                </c:pt>
              </c:numCache>
            </c:numRef>
          </c:val>
          <c:extLst>
            <c:ext xmlns:c16="http://schemas.microsoft.com/office/drawing/2014/chart" uri="{C3380CC4-5D6E-409C-BE32-E72D297353CC}">
              <c16:uniqueId val="{00000008-B178-4F89-9D13-F40D4C71894D}"/>
            </c:ext>
          </c:extLst>
        </c:ser>
        <c:dLbls>
          <c:showLegendKey val="0"/>
          <c:showVal val="0"/>
          <c:showCatName val="0"/>
          <c:showSerName val="0"/>
          <c:showPercent val="0"/>
          <c:showBubbleSize val="0"/>
        </c:dLbls>
        <c:gapWidth val="150"/>
        <c:axId val="-1757091952"/>
        <c:axId val="-1752049536"/>
      </c:barChart>
      <c:lineChart>
        <c:grouping val="standard"/>
        <c:varyColors val="0"/>
        <c:ser>
          <c:idx val="9"/>
          <c:order val="9"/>
          <c:tx>
            <c:strRef>
              <c:f>Dados!$A$15</c:f>
              <c:strCache>
                <c:ptCount val="1"/>
                <c:pt idx="0">
                  <c:v>Meta 2022</c:v>
                </c:pt>
              </c:strCache>
            </c:strRef>
          </c:tx>
          <c:spPr>
            <a:ln w="19050" cap="rnd" cmpd="sng" algn="ctr">
              <a:solidFill>
                <a:schemeClr val="accent6">
                  <a:lumMod val="80000"/>
                </a:schemeClr>
              </a:solidFill>
              <a:prstDash val="solid"/>
              <a:round/>
            </a:ln>
            <a:effectLst/>
          </c:spPr>
          <c:marker>
            <c:symbol val="none"/>
          </c:marker>
          <c:cat>
            <c:strRef>
              <c:f>Dados!$B$4:$M$4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Dados!$B$15:$M$15</c:f>
              <c:numCache>
                <c:formatCode>_(* #,##0_);_(* \(#,##0\);_(* "-"??_);_(@_)</c:formatCode>
                <c:ptCount val="12"/>
                <c:pt idx="0">
                  <c:v>25723.200000000001</c:v>
                </c:pt>
                <c:pt idx="1">
                  <c:v>38122.800000000003</c:v>
                </c:pt>
                <c:pt idx="2">
                  <c:v>31369.200000000001</c:v>
                </c:pt>
                <c:pt idx="3">
                  <c:v>35841.599999999999</c:v>
                </c:pt>
                <c:pt idx="4">
                  <c:v>34651.199999999997</c:v>
                </c:pt>
                <c:pt idx="5">
                  <c:v>22716</c:v>
                </c:pt>
                <c:pt idx="6">
                  <c:v>25940.400000000001</c:v>
                </c:pt>
                <c:pt idx="7">
                  <c:v>21951.599999999999</c:v>
                </c:pt>
                <c:pt idx="8">
                  <c:v>25534.799999999999</c:v>
                </c:pt>
                <c:pt idx="9">
                  <c:v>21951.599999999999</c:v>
                </c:pt>
                <c:pt idx="10">
                  <c:v>28513.200000000001</c:v>
                </c:pt>
                <c:pt idx="11">
                  <c:v>33372</c:v>
                </c:pt>
              </c:numCache>
            </c:numRef>
          </c:val>
          <c:smooth val="0"/>
          <c:extLst>
            <c:ext xmlns:c16="http://schemas.microsoft.com/office/drawing/2014/chart" uri="{C3380CC4-5D6E-409C-BE32-E72D297353CC}">
              <c16:uniqueId val="{00000009-B178-4F89-9D13-F40D4C71894D}"/>
            </c:ext>
          </c:extLst>
        </c:ser>
        <c:dLbls>
          <c:showLegendKey val="0"/>
          <c:showVal val="0"/>
          <c:showCatName val="0"/>
          <c:showSerName val="0"/>
          <c:showPercent val="0"/>
          <c:showBubbleSize val="0"/>
        </c:dLbls>
        <c:marker val="1"/>
        <c:smooth val="0"/>
        <c:axId val="-1757091952"/>
        <c:axId val="-1752049536"/>
      </c:lineChart>
      <c:catAx>
        <c:axId val="-1757091952"/>
        <c:scaling>
          <c:orientation val="minMax"/>
        </c:scaling>
        <c:delete val="0"/>
        <c:axPos val="b"/>
        <c:numFmt formatCode="General" sourceLinked="1"/>
        <c:majorTickMark val="out"/>
        <c:minorTickMark val="none"/>
        <c:tickLblPos val="nextTo"/>
        <c:spPr>
          <a:noFill/>
          <a:ln w="12700" cap="flat" cmpd="sng" algn="ctr">
            <a:solidFill>
              <a:schemeClr val="lt1">
                <a:lumMod val="95000"/>
                <a:alpha val="54000"/>
              </a:schemeClr>
            </a:solidFill>
            <a:prstDash val="solid"/>
            <a:round/>
          </a:ln>
          <a:effectLst/>
        </c:spPr>
        <c:txPr>
          <a:bodyPr rot="0" spcFirstLastPara="1" vertOverflow="ellipsis" wrap="square" anchor="ctr" anchorCtr="1"/>
          <a:lstStyle/>
          <a:p>
            <a:pPr>
              <a:defRPr sz="1000" b="0" i="0" u="none" strike="noStrike" kern="1200" baseline="0">
                <a:solidFill>
                  <a:sysClr val="windowText" lastClr="000000"/>
                </a:solidFill>
                <a:latin typeface="Calibri" panose="020F0502020204030204" pitchFamily="34" charset="0"/>
                <a:ea typeface="+mn-ea"/>
                <a:cs typeface="+mn-cs"/>
              </a:defRPr>
            </a:pPr>
            <a:endParaRPr lang="pt-BR"/>
          </a:p>
        </c:txPr>
        <c:crossAx val="-1752049536"/>
        <c:crosses val="autoZero"/>
        <c:auto val="1"/>
        <c:lblAlgn val="ctr"/>
        <c:lblOffset val="100"/>
        <c:noMultiLvlLbl val="0"/>
      </c:catAx>
      <c:valAx>
        <c:axId val="-1752049536"/>
        <c:scaling>
          <c:orientation val="minMax"/>
        </c:scaling>
        <c:delete val="0"/>
        <c:axPos val="l"/>
        <c:numFmt formatCode="_(* #,##0_);_(* \(#,##0\);_(* &quot;-&quot;??_);_(@_)" sourceLinked="1"/>
        <c:majorTickMark val="out"/>
        <c:minorTickMark val="none"/>
        <c:tickLblPos val="nextTo"/>
        <c:spPr>
          <a:noFill/>
          <a:ln w="6350" cap="flat" cmpd="sng" algn="ctr">
            <a:noFill/>
            <a:prstDash val="solid"/>
            <a:round/>
          </a:ln>
          <a:effectLst/>
        </c:spPr>
        <c:txPr>
          <a:bodyPr rot="0" spcFirstLastPara="1" vertOverflow="ellipsis" wrap="square" anchor="ctr" anchorCtr="1"/>
          <a:lstStyle/>
          <a:p>
            <a:pPr>
              <a:defRPr sz="1000" b="0" i="0" u="none" strike="noStrike" kern="1200" baseline="0">
                <a:solidFill>
                  <a:sysClr val="windowText" lastClr="000000"/>
                </a:solidFill>
                <a:latin typeface="Calibri" panose="020F0502020204030204" pitchFamily="34" charset="0"/>
                <a:ea typeface="+mn-ea"/>
                <a:cs typeface="+mn-cs"/>
              </a:defRPr>
            </a:pPr>
            <a:endParaRPr lang="pt-BR"/>
          </a:p>
        </c:txPr>
        <c:crossAx val="-1757091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mn-cs"/>
            </a:defRPr>
          </a:pPr>
          <a:endParaRPr lang="pt-BR"/>
        </a:p>
      </c:txPr>
    </c:legend>
    <c:plotVisOnly val="1"/>
    <c:dispBlanksAs val="gap"/>
    <c:showDLblsOverMax val="0"/>
  </c:chart>
  <c:spPr>
    <a:solidFill>
      <a:schemeClr val="bg1">
        <a:lumMod val="65000"/>
      </a:schemeClr>
    </a:solidFill>
    <a:ln w="6350" cap="flat" cmpd="sng" algn="ctr">
      <a:noFill/>
      <a:prstDash val="solid"/>
      <a:round/>
    </a:ln>
    <a:effectLst/>
  </c:spPr>
  <c:txPr>
    <a:bodyPr/>
    <a:lstStyle/>
    <a:p>
      <a:pPr>
        <a:defRPr baseline="0">
          <a:solidFill>
            <a:sysClr val="windowText" lastClr="000000"/>
          </a:solidFill>
          <a:latin typeface="Calibri" panose="020F0502020204030204" pitchFamily="34" charset="0"/>
        </a:defRPr>
      </a:pPr>
      <a:endParaRPr lang="pt-B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ysClr val="windowText" lastClr="000000"/>
                </a:solidFill>
                <a:latin typeface="Calibri" panose="020F0502020204030204" pitchFamily="34" charset="0"/>
                <a:ea typeface="+mn-ea"/>
                <a:cs typeface="+mn-cs"/>
              </a:defRPr>
            </a:pPr>
            <a:r>
              <a:rPr lang="pt-BR"/>
              <a:t>Consumo (kwh)</a:t>
            </a:r>
          </a:p>
        </c:rich>
      </c:tx>
      <c:overlay val="0"/>
      <c:spPr>
        <a:noFill/>
        <a:ln>
          <a:noFill/>
        </a:ln>
        <a:effectLst/>
      </c:spPr>
      <c:txPr>
        <a:bodyPr rot="0" spcFirstLastPara="1" vertOverflow="ellipsis" vert="horz" wrap="square" anchor="ctr" anchorCtr="1"/>
        <a:lstStyle/>
        <a:p>
          <a:pPr>
            <a:defRPr sz="1800" b="1" i="0" u="none" strike="noStrike" kern="1200" baseline="0">
              <a:solidFill>
                <a:sysClr val="windowText" lastClr="000000"/>
              </a:solidFill>
              <a:latin typeface="Calibri" panose="020F0502020204030204" pitchFamily="34" charset="0"/>
              <a:ea typeface="+mn-ea"/>
              <a:cs typeface="+mn-cs"/>
            </a:defRPr>
          </a:pPr>
          <a:endParaRPr lang="pt-BR"/>
        </a:p>
      </c:txPr>
    </c:title>
    <c:autoTitleDeleted val="0"/>
    <c:plotArea>
      <c:layout>
        <c:manualLayout>
          <c:layoutTarget val="inner"/>
          <c:xMode val="edge"/>
          <c:yMode val="edge"/>
          <c:x val="0.11490835070007085"/>
          <c:y val="0.25246543384738074"/>
          <c:w val="0.86135064076081347"/>
          <c:h val="0.45272707172506194"/>
        </c:manualLayout>
      </c:layout>
      <c:barChart>
        <c:barDir val="col"/>
        <c:grouping val="clustered"/>
        <c:varyColors val="0"/>
        <c:ser>
          <c:idx val="0"/>
          <c:order val="1"/>
          <c:tx>
            <c:strRef>
              <c:f>Dados!$A$6</c:f>
              <c:strCache>
                <c:ptCount val="1"/>
                <c:pt idx="0">
                  <c:v>2014</c:v>
                </c:pt>
              </c:strCache>
            </c:strRef>
          </c:tx>
          <c:spPr>
            <a:solidFill>
              <a:schemeClr val="accent6"/>
            </a:solidFill>
            <a:ln>
              <a:noFill/>
            </a:ln>
            <a:effectLst/>
          </c:spPr>
          <c:invertIfNegative val="0"/>
          <c:cat>
            <c:strRef>
              <c:f>Dados!$B$4:$M$4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Dados!$B$6:$M$6</c:f>
            </c:numRef>
          </c:val>
          <c:extLst>
            <c:ext xmlns:c16="http://schemas.microsoft.com/office/drawing/2014/chart" uri="{C3380CC4-5D6E-409C-BE32-E72D297353CC}">
              <c16:uniqueId val="{00000000-A281-4536-9F2D-E8D20A557F2F}"/>
            </c:ext>
          </c:extLst>
        </c:ser>
        <c:ser>
          <c:idx val="4"/>
          <c:order val="2"/>
          <c:tx>
            <c:strRef>
              <c:f>Dados!$A$7</c:f>
              <c:strCache>
                <c:ptCount val="1"/>
                <c:pt idx="0">
                  <c:v>2015</c:v>
                </c:pt>
              </c:strCache>
            </c:strRef>
          </c:tx>
          <c:spPr>
            <a:solidFill>
              <a:schemeClr val="accent5">
                <a:lumMod val="60000"/>
              </a:schemeClr>
            </a:solidFill>
            <a:ln>
              <a:noFill/>
            </a:ln>
            <a:effectLst/>
          </c:spPr>
          <c:invertIfNegative val="0"/>
          <c:cat>
            <c:strRef>
              <c:f>Dados!$B$4:$M$4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Dados!$B$7:$M$7</c:f>
            </c:numRef>
          </c:val>
          <c:extLst>
            <c:ext xmlns:c16="http://schemas.microsoft.com/office/drawing/2014/chart" uri="{C3380CC4-5D6E-409C-BE32-E72D297353CC}">
              <c16:uniqueId val="{00000001-A281-4536-9F2D-E8D20A557F2F}"/>
            </c:ext>
          </c:extLst>
        </c:ser>
        <c:ser>
          <c:idx val="3"/>
          <c:order val="0"/>
          <c:tx>
            <c:strRef>
              <c:f>Dados!$A$5</c:f>
              <c:strCache>
                <c:ptCount val="1"/>
                <c:pt idx="0">
                  <c:v>2013</c:v>
                </c:pt>
              </c:strCache>
            </c:strRef>
          </c:tx>
          <c:spPr>
            <a:solidFill>
              <a:schemeClr val="accent6">
                <a:lumMod val="60000"/>
              </a:schemeClr>
            </a:solidFill>
            <a:ln>
              <a:noFill/>
            </a:ln>
            <a:effectLst/>
          </c:spPr>
          <c:invertIfNegative val="0"/>
          <c:cat>
            <c:strRef>
              <c:f>Dados!$B$4:$M$4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Dados!$B$5:$M$5</c:f>
            </c:numRef>
          </c:val>
          <c:extLst>
            <c:ext xmlns:c16="http://schemas.microsoft.com/office/drawing/2014/chart" uri="{C3380CC4-5D6E-409C-BE32-E72D297353CC}">
              <c16:uniqueId val="{00000002-A281-4536-9F2D-E8D20A557F2F}"/>
            </c:ext>
          </c:extLst>
        </c:ser>
        <c:ser>
          <c:idx val="1"/>
          <c:order val="3"/>
          <c:tx>
            <c:strRef>
              <c:f>Dados!$A$8</c:f>
              <c:strCache>
                <c:ptCount val="1"/>
                <c:pt idx="0">
                  <c:v>2016</c:v>
                </c:pt>
              </c:strCache>
              <c:extLst xmlns:c15="http://schemas.microsoft.com/office/drawing/2012/chart"/>
            </c:strRef>
          </c:tx>
          <c:spPr>
            <a:solidFill>
              <a:schemeClr val="accent5"/>
            </a:solidFill>
            <a:ln>
              <a:noFill/>
            </a:ln>
            <a:effectLst/>
          </c:spPr>
          <c:invertIfNegative val="0"/>
          <c:cat>
            <c:strRef>
              <c:f>Dados!$B$4:$M$4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extLst xmlns:c15="http://schemas.microsoft.com/office/drawing/2012/chart"/>
            </c:strRef>
          </c:cat>
          <c:val>
            <c:numRef>
              <c:f>Dados!$B$8:$M$8</c:f>
              <c:extLst xmlns:c15="http://schemas.microsoft.com/office/drawing/2012/chart"/>
            </c:numRef>
          </c:val>
          <c:extLst xmlns:c15="http://schemas.microsoft.com/office/drawing/2012/chart">
            <c:ext xmlns:c16="http://schemas.microsoft.com/office/drawing/2014/chart" uri="{C3380CC4-5D6E-409C-BE32-E72D297353CC}">
              <c16:uniqueId val="{00000003-A281-4536-9F2D-E8D20A557F2F}"/>
            </c:ext>
          </c:extLst>
        </c:ser>
        <c:ser>
          <c:idx val="2"/>
          <c:order val="4"/>
          <c:tx>
            <c:strRef>
              <c:f>Dados!$A$9</c:f>
              <c:strCache>
                <c:ptCount val="1"/>
                <c:pt idx="0">
                  <c:v>2017</c:v>
                </c:pt>
              </c:strCache>
            </c:strRef>
          </c:tx>
          <c:spPr>
            <a:solidFill>
              <a:schemeClr val="accent4"/>
            </a:solidFill>
            <a:ln>
              <a:noFill/>
            </a:ln>
            <a:effectLst/>
          </c:spPr>
          <c:invertIfNegative val="0"/>
          <c:cat>
            <c:strRef>
              <c:f>Dados!$B$4:$M$4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Dados!$B$9:$M$9</c:f>
            </c:numRef>
          </c:val>
          <c:extLst>
            <c:ext xmlns:c16="http://schemas.microsoft.com/office/drawing/2014/chart" uri="{C3380CC4-5D6E-409C-BE32-E72D297353CC}">
              <c16:uniqueId val="{00000004-A281-4536-9F2D-E8D20A557F2F}"/>
            </c:ext>
          </c:extLst>
        </c:ser>
        <c:ser>
          <c:idx val="5"/>
          <c:order val="5"/>
          <c:tx>
            <c:strRef>
              <c:f>Dados!$A$10</c:f>
              <c:strCache>
                <c:ptCount val="1"/>
                <c:pt idx="0">
                  <c:v>2018</c:v>
                </c:pt>
              </c:strCache>
            </c:strRef>
          </c:tx>
          <c:spPr>
            <a:solidFill>
              <a:schemeClr val="accent4">
                <a:lumMod val="60000"/>
              </a:schemeClr>
            </a:solidFill>
            <a:ln>
              <a:noFill/>
            </a:ln>
            <a:effectLst/>
          </c:spPr>
          <c:invertIfNegative val="0"/>
          <c:cat>
            <c:strRef>
              <c:f>Dados!$B$4:$M$4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Dados!$B$10:$M$10</c:f>
            </c:numRef>
          </c:val>
          <c:extLst>
            <c:ext xmlns:c16="http://schemas.microsoft.com/office/drawing/2014/chart" uri="{C3380CC4-5D6E-409C-BE32-E72D297353CC}">
              <c16:uniqueId val="{00000005-A281-4536-9F2D-E8D20A557F2F}"/>
            </c:ext>
          </c:extLst>
        </c:ser>
        <c:ser>
          <c:idx val="6"/>
          <c:order val="6"/>
          <c:tx>
            <c:strRef>
              <c:f>Dados!$A$11</c:f>
              <c:strCache>
                <c:ptCount val="1"/>
                <c:pt idx="0">
                  <c:v>2019</c:v>
                </c:pt>
              </c:strCache>
            </c:strRef>
          </c:tx>
          <c:spPr>
            <a:solidFill>
              <a:schemeClr val="accent6">
                <a:lumMod val="80000"/>
                <a:lumOff val="20000"/>
              </a:schemeClr>
            </a:solidFill>
            <a:ln>
              <a:noFill/>
            </a:ln>
            <a:effectLst/>
          </c:spPr>
          <c:invertIfNegative val="0"/>
          <c:cat>
            <c:strRef>
              <c:f>Dados!$B$4:$M$4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Dados!$B$11:$M$11</c:f>
            </c:numRef>
          </c:val>
          <c:extLst>
            <c:ext xmlns:c16="http://schemas.microsoft.com/office/drawing/2014/chart" uri="{C3380CC4-5D6E-409C-BE32-E72D297353CC}">
              <c16:uniqueId val="{00000006-A281-4536-9F2D-E8D20A557F2F}"/>
            </c:ext>
          </c:extLst>
        </c:ser>
        <c:ser>
          <c:idx val="7"/>
          <c:order val="7"/>
          <c:tx>
            <c:strRef>
              <c:f>Dados!$A$12</c:f>
              <c:strCache>
                <c:ptCount val="1"/>
                <c:pt idx="0">
                  <c:v>2021</c:v>
                </c:pt>
              </c:strCache>
            </c:strRef>
          </c:tx>
          <c:spPr>
            <a:solidFill>
              <a:schemeClr val="accent5">
                <a:lumMod val="80000"/>
                <a:lumOff val="20000"/>
              </a:schemeClr>
            </a:solidFill>
            <a:ln>
              <a:noFill/>
            </a:ln>
            <a:effectLst/>
          </c:spPr>
          <c:invertIfNegative val="0"/>
          <c:cat>
            <c:strRef>
              <c:f>Dados!$B$4:$M$4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Dados!$B$12:$M$12</c:f>
              <c:numCache>
                <c:formatCode>_(* #,##0_);_(* \(#,##0\);_(* "-"??_);_(@_)</c:formatCode>
                <c:ptCount val="12"/>
                <c:pt idx="0">
                  <c:v>21720</c:v>
                </c:pt>
                <c:pt idx="1">
                  <c:v>22560</c:v>
                </c:pt>
                <c:pt idx="2">
                  <c:v>19602</c:v>
                </c:pt>
                <c:pt idx="3">
                  <c:v>16660</c:v>
                </c:pt>
                <c:pt idx="4">
                  <c:v>15100</c:v>
                </c:pt>
                <c:pt idx="5">
                  <c:v>21489</c:v>
                </c:pt>
                <c:pt idx="6">
                  <c:v>16795</c:v>
                </c:pt>
                <c:pt idx="7">
                  <c:v>17536</c:v>
                </c:pt>
                <c:pt idx="8">
                  <c:v>14988</c:v>
                </c:pt>
                <c:pt idx="9">
                  <c:v>13095</c:v>
                </c:pt>
                <c:pt idx="10">
                  <c:v>14658</c:v>
                </c:pt>
                <c:pt idx="11">
                  <c:v>17083</c:v>
                </c:pt>
              </c:numCache>
            </c:numRef>
          </c:val>
          <c:extLst>
            <c:ext xmlns:c16="http://schemas.microsoft.com/office/drawing/2014/chart" uri="{C3380CC4-5D6E-409C-BE32-E72D297353CC}">
              <c16:uniqueId val="{00000007-A281-4536-9F2D-E8D20A557F2F}"/>
            </c:ext>
          </c:extLst>
        </c:ser>
        <c:ser>
          <c:idx val="8"/>
          <c:order val="8"/>
          <c:tx>
            <c:strRef>
              <c:f>Dados!$A$13</c:f>
              <c:strCache>
                <c:ptCount val="1"/>
                <c:pt idx="0">
                  <c:v>2022</c:v>
                </c:pt>
              </c:strCache>
            </c:strRef>
          </c:tx>
          <c:spPr>
            <a:solidFill>
              <a:schemeClr val="accent4">
                <a:lumMod val="80000"/>
                <a:lumOff val="20000"/>
              </a:schemeClr>
            </a:solidFill>
            <a:ln>
              <a:noFill/>
            </a:ln>
            <a:effectLst/>
          </c:spPr>
          <c:invertIfNegative val="0"/>
          <c:cat>
            <c:strRef>
              <c:f>Dados!$B$4:$M$4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Dados!$B$13:$M$13</c:f>
              <c:numCache>
                <c:formatCode>_(* #,##0_);_(* \(#,##0\);_(* "-"??_);_(@_)</c:formatCode>
                <c:ptCount val="12"/>
                <c:pt idx="0">
                  <c:v>20267</c:v>
                </c:pt>
                <c:pt idx="1">
                  <c:v>31226</c:v>
                </c:pt>
                <c:pt idx="2">
                  <c:v>24304</c:v>
                </c:pt>
                <c:pt idx="3">
                  <c:v>24156</c:v>
                </c:pt>
                <c:pt idx="4">
                  <c:v>16999</c:v>
                </c:pt>
                <c:pt idx="5">
                  <c:v>18300</c:v>
                </c:pt>
              </c:numCache>
            </c:numRef>
          </c:val>
          <c:extLst>
            <c:ext xmlns:c16="http://schemas.microsoft.com/office/drawing/2014/chart" uri="{C3380CC4-5D6E-409C-BE32-E72D297353CC}">
              <c16:uniqueId val="{00000008-A281-4536-9F2D-E8D20A557F2F}"/>
            </c:ext>
          </c:extLst>
        </c:ser>
        <c:dLbls>
          <c:showLegendKey val="0"/>
          <c:showVal val="0"/>
          <c:showCatName val="0"/>
          <c:showSerName val="0"/>
          <c:showPercent val="0"/>
          <c:showBubbleSize val="0"/>
        </c:dLbls>
        <c:gapWidth val="150"/>
        <c:axId val="-1757091952"/>
        <c:axId val="-1752049536"/>
      </c:barChart>
      <c:lineChart>
        <c:grouping val="standard"/>
        <c:varyColors val="0"/>
        <c:ser>
          <c:idx val="9"/>
          <c:order val="9"/>
          <c:tx>
            <c:strRef>
              <c:f>Dados!$A$14</c:f>
              <c:strCache>
                <c:ptCount val="1"/>
                <c:pt idx="0">
                  <c:v>Meta 2022</c:v>
                </c:pt>
              </c:strCache>
            </c:strRef>
          </c:tx>
          <c:spPr>
            <a:ln w="19050" cap="rnd" cmpd="sng" algn="ctr">
              <a:solidFill>
                <a:schemeClr val="accent6">
                  <a:lumMod val="80000"/>
                </a:schemeClr>
              </a:solidFill>
              <a:prstDash val="solid"/>
              <a:round/>
            </a:ln>
            <a:effectLst/>
          </c:spPr>
          <c:marker>
            <c:symbol val="none"/>
          </c:marker>
          <c:cat>
            <c:strRef>
              <c:f>Dados!$B$4:$M$4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Dados!$B$14:$M$14</c:f>
              <c:numCache>
                <c:formatCode>_(* #,##0_);_(* \(#,##0\);_(* "-"??_);_(@_)</c:formatCode>
                <c:ptCount val="12"/>
                <c:pt idx="0">
                  <c:v>26064</c:v>
                </c:pt>
                <c:pt idx="1">
                  <c:v>27072</c:v>
                </c:pt>
                <c:pt idx="2">
                  <c:v>23522.400000000001</c:v>
                </c:pt>
                <c:pt idx="3">
                  <c:v>19992</c:v>
                </c:pt>
                <c:pt idx="4">
                  <c:v>18120</c:v>
                </c:pt>
                <c:pt idx="5">
                  <c:v>25786.799999999999</c:v>
                </c:pt>
                <c:pt idx="6">
                  <c:v>20154</c:v>
                </c:pt>
                <c:pt idx="7">
                  <c:v>21043.200000000001</c:v>
                </c:pt>
                <c:pt idx="8">
                  <c:v>17985.599999999999</c:v>
                </c:pt>
                <c:pt idx="9">
                  <c:v>15714</c:v>
                </c:pt>
                <c:pt idx="10">
                  <c:v>17589.599999999999</c:v>
                </c:pt>
                <c:pt idx="11">
                  <c:v>20499.599999999999</c:v>
                </c:pt>
              </c:numCache>
            </c:numRef>
          </c:val>
          <c:smooth val="1"/>
          <c:extLst>
            <c:ext xmlns:c16="http://schemas.microsoft.com/office/drawing/2014/chart" uri="{C3380CC4-5D6E-409C-BE32-E72D297353CC}">
              <c16:uniqueId val="{00000009-A281-4536-9F2D-E8D20A557F2F}"/>
            </c:ext>
          </c:extLst>
        </c:ser>
        <c:dLbls>
          <c:showLegendKey val="0"/>
          <c:showVal val="0"/>
          <c:showCatName val="0"/>
          <c:showSerName val="0"/>
          <c:showPercent val="0"/>
          <c:showBubbleSize val="0"/>
        </c:dLbls>
        <c:marker val="1"/>
        <c:smooth val="0"/>
        <c:axId val="-1757091952"/>
        <c:axId val="-1752049536"/>
      </c:lineChart>
      <c:catAx>
        <c:axId val="-1757091952"/>
        <c:scaling>
          <c:orientation val="minMax"/>
        </c:scaling>
        <c:delete val="0"/>
        <c:axPos val="b"/>
        <c:numFmt formatCode="General" sourceLinked="1"/>
        <c:majorTickMark val="out"/>
        <c:minorTickMark val="none"/>
        <c:tickLblPos val="nextTo"/>
        <c:spPr>
          <a:noFill/>
          <a:ln w="12700" cap="flat" cmpd="sng" algn="ctr">
            <a:solidFill>
              <a:schemeClr val="lt1">
                <a:lumMod val="95000"/>
                <a:alpha val="54000"/>
              </a:schemeClr>
            </a:solidFill>
            <a:prstDash val="solid"/>
            <a:round/>
          </a:ln>
          <a:effectLst/>
        </c:spPr>
        <c:txPr>
          <a:bodyPr rot="0" spcFirstLastPara="1" vertOverflow="ellipsis" wrap="square" anchor="ctr" anchorCtr="1"/>
          <a:lstStyle/>
          <a:p>
            <a:pPr>
              <a:defRPr sz="1000" b="0" i="0" u="none" strike="noStrike" kern="1200" baseline="0">
                <a:solidFill>
                  <a:sysClr val="windowText" lastClr="000000"/>
                </a:solidFill>
                <a:latin typeface="Calibri" panose="020F0502020204030204" pitchFamily="34" charset="0"/>
                <a:ea typeface="+mn-ea"/>
                <a:cs typeface="+mn-cs"/>
              </a:defRPr>
            </a:pPr>
            <a:endParaRPr lang="pt-BR"/>
          </a:p>
        </c:txPr>
        <c:crossAx val="-1752049536"/>
        <c:crosses val="autoZero"/>
        <c:auto val="1"/>
        <c:lblAlgn val="ctr"/>
        <c:lblOffset val="100"/>
        <c:noMultiLvlLbl val="0"/>
      </c:catAx>
      <c:valAx>
        <c:axId val="-1752049536"/>
        <c:scaling>
          <c:orientation val="minMax"/>
        </c:scaling>
        <c:delete val="0"/>
        <c:axPos val="l"/>
        <c:numFmt formatCode="_(* #,##0_);_(* \(#,##0\);_(* &quot;-&quot;??_);_(@_)" sourceLinked="1"/>
        <c:majorTickMark val="out"/>
        <c:minorTickMark val="none"/>
        <c:tickLblPos val="nextTo"/>
        <c:spPr>
          <a:noFill/>
          <a:ln w="6350" cap="flat" cmpd="sng" algn="ctr">
            <a:noFill/>
            <a:prstDash val="solid"/>
            <a:round/>
          </a:ln>
          <a:effectLst/>
        </c:spPr>
        <c:txPr>
          <a:bodyPr rot="0" spcFirstLastPara="1" vertOverflow="ellipsis" wrap="square" anchor="ctr" anchorCtr="1"/>
          <a:lstStyle/>
          <a:p>
            <a:pPr>
              <a:defRPr sz="1000" b="0" i="0" u="none" strike="noStrike" kern="1200" baseline="0">
                <a:solidFill>
                  <a:sysClr val="windowText" lastClr="000000"/>
                </a:solidFill>
                <a:latin typeface="Calibri" panose="020F0502020204030204" pitchFamily="34" charset="0"/>
                <a:ea typeface="+mn-ea"/>
                <a:cs typeface="+mn-cs"/>
              </a:defRPr>
            </a:pPr>
            <a:endParaRPr lang="pt-BR"/>
          </a:p>
        </c:txPr>
        <c:crossAx val="-1757091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mn-cs"/>
            </a:defRPr>
          </a:pPr>
          <a:endParaRPr lang="pt-BR"/>
        </a:p>
      </c:txPr>
    </c:legend>
    <c:plotVisOnly val="1"/>
    <c:dispBlanksAs val="gap"/>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6350" cap="flat" cmpd="sng" algn="ctr">
      <a:noFill/>
      <a:prstDash val="solid"/>
      <a:round/>
    </a:ln>
    <a:effectLst/>
  </c:spPr>
  <c:txPr>
    <a:bodyPr/>
    <a:lstStyle/>
    <a:p>
      <a:pPr>
        <a:defRPr baseline="0">
          <a:solidFill>
            <a:sysClr val="windowText" lastClr="000000"/>
          </a:solidFill>
          <a:latin typeface="Calibri" panose="020F0502020204030204" pitchFamily="34" charset="0"/>
        </a:defRPr>
      </a:pPr>
      <a:endParaRPr lang="pt-BR"/>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ysClr val="windowText" lastClr="000000"/>
                </a:solidFill>
                <a:latin typeface="Calibri" panose="020F0502020204030204" pitchFamily="34" charset="0"/>
                <a:ea typeface="+mn-ea"/>
                <a:cs typeface="+mn-cs"/>
              </a:defRPr>
            </a:pPr>
            <a:r>
              <a:rPr lang="pt-BR"/>
              <a:t>Consumo (kwh)</a:t>
            </a:r>
          </a:p>
        </c:rich>
      </c:tx>
      <c:overlay val="0"/>
      <c:spPr>
        <a:noFill/>
        <a:ln>
          <a:noFill/>
        </a:ln>
        <a:effectLst/>
      </c:spPr>
      <c:txPr>
        <a:bodyPr rot="0" spcFirstLastPara="1" vertOverflow="ellipsis" vert="horz" wrap="square" anchor="ctr" anchorCtr="1"/>
        <a:lstStyle/>
        <a:p>
          <a:pPr>
            <a:defRPr sz="1800" b="1" i="0" u="none" strike="noStrike" kern="1200" baseline="0">
              <a:solidFill>
                <a:sysClr val="windowText" lastClr="000000"/>
              </a:solidFill>
              <a:latin typeface="Calibri" panose="020F0502020204030204" pitchFamily="34" charset="0"/>
              <a:ea typeface="+mn-ea"/>
              <a:cs typeface="+mn-cs"/>
            </a:defRPr>
          </a:pPr>
          <a:endParaRPr lang="pt-BR"/>
        </a:p>
      </c:txPr>
    </c:title>
    <c:autoTitleDeleted val="0"/>
    <c:plotArea>
      <c:layout>
        <c:manualLayout>
          <c:layoutTarget val="inner"/>
          <c:xMode val="edge"/>
          <c:yMode val="edge"/>
          <c:x val="0.11490835070007085"/>
          <c:y val="0.25246543384738074"/>
          <c:w val="0.86135064076081347"/>
          <c:h val="0.45272707172506194"/>
        </c:manualLayout>
      </c:layout>
      <c:barChart>
        <c:barDir val="col"/>
        <c:grouping val="clustered"/>
        <c:varyColors val="0"/>
        <c:ser>
          <c:idx val="0"/>
          <c:order val="1"/>
          <c:tx>
            <c:strRef>
              <c:f>Dados!$A$6</c:f>
              <c:strCache>
                <c:ptCount val="1"/>
                <c:pt idx="0">
                  <c:v>2014</c:v>
                </c:pt>
              </c:strCache>
            </c:strRef>
          </c:tx>
          <c:spPr>
            <a:solidFill>
              <a:schemeClr val="accent6"/>
            </a:solidFill>
            <a:ln>
              <a:noFill/>
            </a:ln>
            <a:effectLst/>
          </c:spPr>
          <c:invertIfNegative val="0"/>
          <c:cat>
            <c:strRef>
              <c:f>Dados!$B$4:$M$4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Dados!$B$6:$M$6</c:f>
            </c:numRef>
          </c:val>
          <c:extLst>
            <c:ext xmlns:c16="http://schemas.microsoft.com/office/drawing/2014/chart" uri="{C3380CC4-5D6E-409C-BE32-E72D297353CC}">
              <c16:uniqueId val="{00000000-AE4E-47E7-BEFD-AC0A58126F91}"/>
            </c:ext>
          </c:extLst>
        </c:ser>
        <c:ser>
          <c:idx val="1"/>
          <c:order val="3"/>
          <c:tx>
            <c:strRef>
              <c:f>Dados!$A$8</c:f>
              <c:strCache>
                <c:ptCount val="1"/>
                <c:pt idx="0">
                  <c:v>2016</c:v>
                </c:pt>
              </c:strCache>
            </c:strRef>
          </c:tx>
          <c:spPr>
            <a:solidFill>
              <a:schemeClr val="accent5"/>
            </a:solidFill>
            <a:ln>
              <a:noFill/>
            </a:ln>
            <a:effectLst/>
          </c:spPr>
          <c:invertIfNegative val="0"/>
          <c:cat>
            <c:strRef>
              <c:f>Dados!$B$4:$M$4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Dados!$B$8:$M$8</c:f>
            </c:numRef>
          </c:val>
          <c:extLst>
            <c:ext xmlns:c16="http://schemas.microsoft.com/office/drawing/2014/chart" uri="{C3380CC4-5D6E-409C-BE32-E72D297353CC}">
              <c16:uniqueId val="{00000001-AE4E-47E7-BEFD-AC0A58126F91}"/>
            </c:ext>
          </c:extLst>
        </c:ser>
        <c:ser>
          <c:idx val="4"/>
          <c:order val="2"/>
          <c:tx>
            <c:strRef>
              <c:f>Dados!$A$7</c:f>
              <c:strCache>
                <c:ptCount val="1"/>
                <c:pt idx="0">
                  <c:v>2015</c:v>
                </c:pt>
              </c:strCache>
            </c:strRef>
          </c:tx>
          <c:spPr>
            <a:solidFill>
              <a:schemeClr val="accent5">
                <a:lumMod val="60000"/>
              </a:schemeClr>
            </a:solidFill>
            <a:ln>
              <a:noFill/>
            </a:ln>
            <a:effectLst/>
          </c:spPr>
          <c:invertIfNegative val="0"/>
          <c:cat>
            <c:strRef>
              <c:f>Dados!$B$4:$M$4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Dados!$B$7:$M$7</c:f>
            </c:numRef>
          </c:val>
          <c:extLst>
            <c:ext xmlns:c16="http://schemas.microsoft.com/office/drawing/2014/chart" uri="{C3380CC4-5D6E-409C-BE32-E72D297353CC}">
              <c16:uniqueId val="{00000002-AE4E-47E7-BEFD-AC0A58126F91}"/>
            </c:ext>
          </c:extLst>
        </c:ser>
        <c:ser>
          <c:idx val="3"/>
          <c:order val="0"/>
          <c:tx>
            <c:strRef>
              <c:f>Dados!$A$5</c:f>
              <c:strCache>
                <c:ptCount val="1"/>
                <c:pt idx="0">
                  <c:v>2013</c:v>
                </c:pt>
              </c:strCache>
            </c:strRef>
          </c:tx>
          <c:spPr>
            <a:solidFill>
              <a:schemeClr val="accent6">
                <a:lumMod val="60000"/>
              </a:schemeClr>
            </a:solidFill>
            <a:ln>
              <a:noFill/>
            </a:ln>
            <a:effectLst/>
          </c:spPr>
          <c:invertIfNegative val="0"/>
          <c:cat>
            <c:strRef>
              <c:f>Dados!$B$4:$M$4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Dados!$B$5:$M$5</c:f>
            </c:numRef>
          </c:val>
          <c:extLst>
            <c:ext xmlns:c16="http://schemas.microsoft.com/office/drawing/2014/chart" uri="{C3380CC4-5D6E-409C-BE32-E72D297353CC}">
              <c16:uniqueId val="{00000003-AE4E-47E7-BEFD-AC0A58126F91}"/>
            </c:ext>
          </c:extLst>
        </c:ser>
        <c:ser>
          <c:idx val="2"/>
          <c:order val="4"/>
          <c:tx>
            <c:strRef>
              <c:f>Dados!$A$9</c:f>
              <c:strCache>
                <c:ptCount val="1"/>
                <c:pt idx="0">
                  <c:v>2017</c:v>
                </c:pt>
              </c:strCache>
            </c:strRef>
          </c:tx>
          <c:spPr>
            <a:solidFill>
              <a:schemeClr val="accent4"/>
            </a:solidFill>
            <a:ln>
              <a:noFill/>
            </a:ln>
            <a:effectLst/>
          </c:spPr>
          <c:invertIfNegative val="0"/>
          <c:cat>
            <c:strRef>
              <c:f>Dados!$B$4:$M$4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Dados!$B$9:$M$9</c:f>
            </c:numRef>
          </c:val>
          <c:extLst>
            <c:ext xmlns:c16="http://schemas.microsoft.com/office/drawing/2014/chart" uri="{C3380CC4-5D6E-409C-BE32-E72D297353CC}">
              <c16:uniqueId val="{00000004-AE4E-47E7-BEFD-AC0A58126F91}"/>
            </c:ext>
          </c:extLst>
        </c:ser>
        <c:ser>
          <c:idx val="5"/>
          <c:order val="5"/>
          <c:tx>
            <c:strRef>
              <c:f>Dados!$A$10</c:f>
              <c:strCache>
                <c:ptCount val="1"/>
                <c:pt idx="0">
                  <c:v>2018</c:v>
                </c:pt>
              </c:strCache>
            </c:strRef>
          </c:tx>
          <c:spPr>
            <a:solidFill>
              <a:schemeClr val="accent4">
                <a:lumMod val="60000"/>
              </a:schemeClr>
            </a:solidFill>
            <a:ln>
              <a:noFill/>
            </a:ln>
            <a:effectLst/>
          </c:spPr>
          <c:invertIfNegative val="0"/>
          <c:cat>
            <c:strRef>
              <c:f>Dados!$B$4:$M$4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Dados!$B$10:$M$10</c:f>
            </c:numRef>
          </c:val>
          <c:extLst>
            <c:ext xmlns:c16="http://schemas.microsoft.com/office/drawing/2014/chart" uri="{C3380CC4-5D6E-409C-BE32-E72D297353CC}">
              <c16:uniqueId val="{00000005-AE4E-47E7-BEFD-AC0A58126F91}"/>
            </c:ext>
          </c:extLst>
        </c:ser>
        <c:ser>
          <c:idx val="6"/>
          <c:order val="6"/>
          <c:tx>
            <c:strRef>
              <c:f>Dados!$A$11</c:f>
              <c:strCache>
                <c:ptCount val="1"/>
                <c:pt idx="0">
                  <c:v>2019</c:v>
                </c:pt>
              </c:strCache>
            </c:strRef>
          </c:tx>
          <c:spPr>
            <a:solidFill>
              <a:schemeClr val="accent6">
                <a:lumMod val="80000"/>
                <a:lumOff val="20000"/>
              </a:schemeClr>
            </a:solidFill>
            <a:ln>
              <a:noFill/>
            </a:ln>
            <a:effectLst/>
          </c:spPr>
          <c:invertIfNegative val="0"/>
          <c:cat>
            <c:strRef>
              <c:f>Dados!$B$4:$M$4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Dados!$B$11:$M$11</c:f>
            </c:numRef>
          </c:val>
          <c:extLst>
            <c:ext xmlns:c16="http://schemas.microsoft.com/office/drawing/2014/chart" uri="{C3380CC4-5D6E-409C-BE32-E72D297353CC}">
              <c16:uniqueId val="{00000006-AE4E-47E7-BEFD-AC0A58126F91}"/>
            </c:ext>
          </c:extLst>
        </c:ser>
        <c:ser>
          <c:idx val="7"/>
          <c:order val="7"/>
          <c:tx>
            <c:strRef>
              <c:f>Dados!$A$12</c:f>
              <c:strCache>
                <c:ptCount val="1"/>
                <c:pt idx="0">
                  <c:v>2021</c:v>
                </c:pt>
              </c:strCache>
            </c:strRef>
          </c:tx>
          <c:spPr>
            <a:solidFill>
              <a:schemeClr val="accent5">
                <a:lumMod val="80000"/>
                <a:lumOff val="20000"/>
              </a:schemeClr>
            </a:solidFill>
            <a:ln>
              <a:noFill/>
            </a:ln>
            <a:effectLst/>
          </c:spPr>
          <c:invertIfNegative val="0"/>
          <c:cat>
            <c:strRef>
              <c:f>Dados!$B$4:$M$4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Dados!$B$12:$M$12</c:f>
              <c:numCache>
                <c:formatCode>_(* #,##0_);_(* \(#,##0\);_(* "-"??_);_(@_)</c:formatCode>
                <c:ptCount val="12"/>
                <c:pt idx="0">
                  <c:v>5018</c:v>
                </c:pt>
                <c:pt idx="1">
                  <c:v>5168</c:v>
                </c:pt>
                <c:pt idx="2">
                  <c:v>5192</c:v>
                </c:pt>
                <c:pt idx="3">
                  <c:v>6587</c:v>
                </c:pt>
                <c:pt idx="4">
                  <c:v>5727</c:v>
                </c:pt>
                <c:pt idx="5">
                  <c:v>5126</c:v>
                </c:pt>
                <c:pt idx="6">
                  <c:v>4711</c:v>
                </c:pt>
                <c:pt idx="7">
                  <c:v>5115</c:v>
                </c:pt>
                <c:pt idx="8">
                  <c:v>4697</c:v>
                </c:pt>
                <c:pt idx="9">
                  <c:v>5087</c:v>
                </c:pt>
                <c:pt idx="10">
                  <c:v>3833</c:v>
                </c:pt>
                <c:pt idx="11">
                  <c:v>4957</c:v>
                </c:pt>
              </c:numCache>
            </c:numRef>
          </c:val>
          <c:extLst>
            <c:ext xmlns:c16="http://schemas.microsoft.com/office/drawing/2014/chart" uri="{C3380CC4-5D6E-409C-BE32-E72D297353CC}">
              <c16:uniqueId val="{00000007-AE4E-47E7-BEFD-AC0A58126F91}"/>
            </c:ext>
          </c:extLst>
        </c:ser>
        <c:ser>
          <c:idx val="8"/>
          <c:order val="8"/>
          <c:tx>
            <c:strRef>
              <c:f>Dados!$A$13</c:f>
              <c:strCache>
                <c:ptCount val="1"/>
                <c:pt idx="0">
                  <c:v>2022</c:v>
                </c:pt>
              </c:strCache>
            </c:strRef>
          </c:tx>
          <c:spPr>
            <a:solidFill>
              <a:schemeClr val="accent4">
                <a:lumMod val="80000"/>
                <a:lumOff val="20000"/>
              </a:schemeClr>
            </a:solidFill>
            <a:ln>
              <a:noFill/>
            </a:ln>
            <a:effectLst/>
          </c:spPr>
          <c:invertIfNegative val="0"/>
          <c:cat>
            <c:strRef>
              <c:f>Dados!$B$4:$M$4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Dados!$B$13:$M$13</c:f>
              <c:numCache>
                <c:formatCode>_(* #,##0_);_(* \(#,##0\);_(* "-"??_);_(@_)</c:formatCode>
                <c:ptCount val="12"/>
                <c:pt idx="0">
                  <c:v>5881</c:v>
                </c:pt>
                <c:pt idx="1">
                  <c:v>6946</c:v>
                </c:pt>
                <c:pt idx="2">
                  <c:v>7137</c:v>
                </c:pt>
                <c:pt idx="3">
                  <c:v>6400</c:v>
                </c:pt>
                <c:pt idx="4">
                  <c:v>6194</c:v>
                </c:pt>
                <c:pt idx="5">
                  <c:v>5805</c:v>
                </c:pt>
              </c:numCache>
            </c:numRef>
          </c:val>
          <c:extLst>
            <c:ext xmlns:c16="http://schemas.microsoft.com/office/drawing/2014/chart" uri="{C3380CC4-5D6E-409C-BE32-E72D297353CC}">
              <c16:uniqueId val="{00000008-AE4E-47E7-BEFD-AC0A58126F91}"/>
            </c:ext>
          </c:extLst>
        </c:ser>
        <c:dLbls>
          <c:showLegendKey val="0"/>
          <c:showVal val="0"/>
          <c:showCatName val="0"/>
          <c:showSerName val="0"/>
          <c:showPercent val="0"/>
          <c:showBubbleSize val="0"/>
        </c:dLbls>
        <c:gapWidth val="150"/>
        <c:axId val="-1757091952"/>
        <c:axId val="-1752049536"/>
      </c:barChart>
      <c:lineChart>
        <c:grouping val="standard"/>
        <c:varyColors val="0"/>
        <c:ser>
          <c:idx val="9"/>
          <c:order val="9"/>
          <c:tx>
            <c:strRef>
              <c:f>Dados!$A$14</c:f>
              <c:strCache>
                <c:ptCount val="1"/>
                <c:pt idx="0">
                  <c:v>Meta 2022</c:v>
                </c:pt>
              </c:strCache>
            </c:strRef>
          </c:tx>
          <c:spPr>
            <a:ln w="19050" cap="rnd" cmpd="sng" algn="ctr">
              <a:solidFill>
                <a:schemeClr val="accent6">
                  <a:lumMod val="80000"/>
                </a:schemeClr>
              </a:solidFill>
              <a:prstDash val="solid"/>
              <a:round/>
            </a:ln>
            <a:effectLst/>
          </c:spPr>
          <c:marker>
            <c:symbol val="none"/>
          </c:marker>
          <c:cat>
            <c:strRef>
              <c:f>Dados!$B$4:$M$4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Dados!$B$14:$M$14</c:f>
              <c:numCache>
                <c:formatCode>_(* #,##0_);_(* \(#,##0\);_(* "-"??_);_(@_)</c:formatCode>
                <c:ptCount val="12"/>
                <c:pt idx="0">
                  <c:v>6021.6</c:v>
                </c:pt>
                <c:pt idx="1">
                  <c:v>6201.6</c:v>
                </c:pt>
                <c:pt idx="2">
                  <c:v>6230.4</c:v>
                </c:pt>
                <c:pt idx="3">
                  <c:v>7904.4</c:v>
                </c:pt>
                <c:pt idx="4">
                  <c:v>6872.4</c:v>
                </c:pt>
                <c:pt idx="5">
                  <c:v>6151.2</c:v>
                </c:pt>
                <c:pt idx="6">
                  <c:v>5653.2</c:v>
                </c:pt>
                <c:pt idx="7">
                  <c:v>6138</c:v>
                </c:pt>
                <c:pt idx="8">
                  <c:v>5636.4</c:v>
                </c:pt>
                <c:pt idx="9">
                  <c:v>6104.4</c:v>
                </c:pt>
                <c:pt idx="10">
                  <c:v>4599.6000000000004</c:v>
                </c:pt>
                <c:pt idx="11">
                  <c:v>5948.4</c:v>
                </c:pt>
              </c:numCache>
            </c:numRef>
          </c:val>
          <c:smooth val="1"/>
          <c:extLst>
            <c:ext xmlns:c16="http://schemas.microsoft.com/office/drawing/2014/chart" uri="{C3380CC4-5D6E-409C-BE32-E72D297353CC}">
              <c16:uniqueId val="{00000009-AE4E-47E7-BEFD-AC0A58126F91}"/>
            </c:ext>
          </c:extLst>
        </c:ser>
        <c:dLbls>
          <c:showLegendKey val="0"/>
          <c:showVal val="0"/>
          <c:showCatName val="0"/>
          <c:showSerName val="0"/>
          <c:showPercent val="0"/>
          <c:showBubbleSize val="0"/>
        </c:dLbls>
        <c:marker val="1"/>
        <c:smooth val="0"/>
        <c:axId val="-1757091952"/>
        <c:axId val="-1752049536"/>
      </c:lineChart>
      <c:catAx>
        <c:axId val="-1757091952"/>
        <c:scaling>
          <c:orientation val="minMax"/>
        </c:scaling>
        <c:delete val="0"/>
        <c:axPos val="b"/>
        <c:numFmt formatCode="General" sourceLinked="1"/>
        <c:majorTickMark val="out"/>
        <c:minorTickMark val="none"/>
        <c:tickLblPos val="nextTo"/>
        <c:spPr>
          <a:noFill/>
          <a:ln w="12700" cap="flat" cmpd="sng" algn="ctr">
            <a:solidFill>
              <a:schemeClr val="lt1">
                <a:lumMod val="95000"/>
                <a:alpha val="54000"/>
              </a:schemeClr>
            </a:solidFill>
            <a:prstDash val="solid"/>
            <a:round/>
          </a:ln>
          <a:effectLst/>
        </c:spPr>
        <c:txPr>
          <a:bodyPr rot="0" spcFirstLastPara="1" vertOverflow="ellipsis" wrap="square" anchor="ctr" anchorCtr="1"/>
          <a:lstStyle/>
          <a:p>
            <a:pPr>
              <a:defRPr sz="1000" b="0" i="0" u="none" strike="noStrike" kern="1200" baseline="0">
                <a:solidFill>
                  <a:sysClr val="windowText" lastClr="000000"/>
                </a:solidFill>
                <a:latin typeface="Calibri" panose="020F0502020204030204" pitchFamily="34" charset="0"/>
                <a:ea typeface="+mn-ea"/>
                <a:cs typeface="+mn-cs"/>
              </a:defRPr>
            </a:pPr>
            <a:endParaRPr lang="pt-BR"/>
          </a:p>
        </c:txPr>
        <c:crossAx val="-1752049536"/>
        <c:crosses val="autoZero"/>
        <c:auto val="1"/>
        <c:lblAlgn val="ctr"/>
        <c:lblOffset val="100"/>
        <c:noMultiLvlLbl val="0"/>
      </c:catAx>
      <c:valAx>
        <c:axId val="-1752049536"/>
        <c:scaling>
          <c:orientation val="minMax"/>
        </c:scaling>
        <c:delete val="0"/>
        <c:axPos val="l"/>
        <c:numFmt formatCode="_(* #,##0_);_(* \(#,##0\);_(* &quot;-&quot;??_);_(@_)" sourceLinked="1"/>
        <c:majorTickMark val="out"/>
        <c:minorTickMark val="none"/>
        <c:tickLblPos val="nextTo"/>
        <c:spPr>
          <a:noFill/>
          <a:ln w="6350" cap="flat" cmpd="sng" algn="ctr">
            <a:noFill/>
            <a:prstDash val="solid"/>
            <a:round/>
          </a:ln>
          <a:effectLst/>
        </c:spPr>
        <c:txPr>
          <a:bodyPr rot="0" spcFirstLastPara="1" vertOverflow="ellipsis" wrap="square" anchor="ctr" anchorCtr="1"/>
          <a:lstStyle/>
          <a:p>
            <a:pPr>
              <a:defRPr sz="1000" b="0" i="0" u="none" strike="noStrike" kern="1200" baseline="0">
                <a:solidFill>
                  <a:sysClr val="windowText" lastClr="000000"/>
                </a:solidFill>
                <a:latin typeface="Calibri" panose="020F0502020204030204" pitchFamily="34" charset="0"/>
                <a:ea typeface="+mn-ea"/>
                <a:cs typeface="+mn-cs"/>
              </a:defRPr>
            </a:pPr>
            <a:endParaRPr lang="pt-BR"/>
          </a:p>
        </c:txPr>
        <c:crossAx val="-1757091952"/>
        <c:crosses val="autoZero"/>
        <c:crossBetween val="between"/>
      </c:valAx>
      <c:spPr>
        <a:noFill/>
        <a:ln>
          <a:solidFill>
            <a:schemeClr val="accent1">
              <a:lumMod val="20000"/>
              <a:lumOff val="80000"/>
            </a:schemeClr>
          </a:solid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mn-cs"/>
            </a:defRPr>
          </a:pPr>
          <a:endParaRPr lang="pt-BR"/>
        </a:p>
      </c:txPr>
    </c:legend>
    <c:plotVisOnly val="1"/>
    <c:dispBlanksAs val="gap"/>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6350" cap="flat" cmpd="sng" algn="ctr">
      <a:solidFill>
        <a:schemeClr val="accent1">
          <a:lumMod val="40000"/>
          <a:lumOff val="60000"/>
        </a:schemeClr>
      </a:solidFill>
      <a:prstDash val="solid"/>
      <a:round/>
    </a:ln>
    <a:effectLst/>
  </c:spPr>
  <c:txPr>
    <a:bodyPr/>
    <a:lstStyle/>
    <a:p>
      <a:pPr>
        <a:defRPr baseline="0">
          <a:solidFill>
            <a:sysClr val="windowText" lastClr="000000"/>
          </a:solidFill>
          <a:latin typeface="Calibri" panose="020F0502020204030204" pitchFamily="34" charset="0"/>
        </a:defRPr>
      </a:pPr>
      <a:endParaRPr lang="pt-B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ysClr val="windowText" lastClr="000000"/>
                </a:solidFill>
                <a:latin typeface="Calibri" panose="020F0502020204030204" pitchFamily="34" charset="0"/>
                <a:ea typeface="+mn-ea"/>
                <a:cs typeface="+mn-cs"/>
              </a:defRPr>
            </a:pPr>
            <a:r>
              <a:rPr lang="pt-BR"/>
              <a:t>Consumo (kwh)</a:t>
            </a:r>
          </a:p>
        </c:rich>
      </c:tx>
      <c:overlay val="0"/>
      <c:spPr>
        <a:noFill/>
        <a:ln>
          <a:noFill/>
        </a:ln>
        <a:effectLst/>
      </c:spPr>
      <c:txPr>
        <a:bodyPr rot="0" spcFirstLastPara="1" vertOverflow="ellipsis" vert="horz" wrap="square" anchor="ctr" anchorCtr="1"/>
        <a:lstStyle/>
        <a:p>
          <a:pPr>
            <a:defRPr sz="1800" b="1" i="0" u="none" strike="noStrike" kern="1200" baseline="0">
              <a:solidFill>
                <a:sysClr val="windowText" lastClr="000000"/>
              </a:solidFill>
              <a:latin typeface="Calibri" panose="020F0502020204030204" pitchFamily="34" charset="0"/>
              <a:ea typeface="+mn-ea"/>
              <a:cs typeface="+mn-cs"/>
            </a:defRPr>
          </a:pPr>
          <a:endParaRPr lang="pt-BR"/>
        </a:p>
      </c:txPr>
    </c:title>
    <c:autoTitleDeleted val="0"/>
    <c:plotArea>
      <c:layout>
        <c:manualLayout>
          <c:layoutTarget val="inner"/>
          <c:xMode val="edge"/>
          <c:yMode val="edge"/>
          <c:x val="0.11490835070007085"/>
          <c:y val="0.25246543384738074"/>
          <c:w val="0.86135064076081347"/>
          <c:h val="0.45272707172506194"/>
        </c:manualLayout>
      </c:layout>
      <c:barChart>
        <c:barDir val="col"/>
        <c:grouping val="clustered"/>
        <c:varyColors val="0"/>
        <c:ser>
          <c:idx val="0"/>
          <c:order val="1"/>
          <c:tx>
            <c:strRef>
              <c:f>Dados!$A$6</c:f>
              <c:strCache>
                <c:ptCount val="1"/>
                <c:pt idx="0">
                  <c:v>2014</c:v>
                </c:pt>
              </c:strCache>
            </c:strRef>
          </c:tx>
          <c:spPr>
            <a:solidFill>
              <a:schemeClr val="accent6"/>
            </a:solidFill>
            <a:ln>
              <a:noFill/>
            </a:ln>
            <a:effectLst/>
          </c:spPr>
          <c:invertIfNegative val="0"/>
          <c:cat>
            <c:strRef>
              <c:f>Dados!$B$4:$M$4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Dados!$B$6:$M$6</c:f>
            </c:numRef>
          </c:val>
          <c:extLst>
            <c:ext xmlns:c16="http://schemas.microsoft.com/office/drawing/2014/chart" uri="{C3380CC4-5D6E-409C-BE32-E72D297353CC}">
              <c16:uniqueId val="{00000000-1F9D-4D04-8837-D6BF727938A5}"/>
            </c:ext>
          </c:extLst>
        </c:ser>
        <c:ser>
          <c:idx val="1"/>
          <c:order val="3"/>
          <c:tx>
            <c:strRef>
              <c:f>Dados!$A$8</c:f>
              <c:strCache>
                <c:ptCount val="1"/>
                <c:pt idx="0">
                  <c:v>2016</c:v>
                </c:pt>
              </c:strCache>
            </c:strRef>
          </c:tx>
          <c:spPr>
            <a:solidFill>
              <a:schemeClr val="accent5"/>
            </a:solidFill>
            <a:ln>
              <a:noFill/>
            </a:ln>
            <a:effectLst/>
          </c:spPr>
          <c:invertIfNegative val="0"/>
          <c:cat>
            <c:strRef>
              <c:f>Dados!$B$4:$M$4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Dados!$B$8:$M$8</c:f>
            </c:numRef>
          </c:val>
          <c:extLst>
            <c:ext xmlns:c16="http://schemas.microsoft.com/office/drawing/2014/chart" uri="{C3380CC4-5D6E-409C-BE32-E72D297353CC}">
              <c16:uniqueId val="{00000001-1F9D-4D04-8837-D6BF727938A5}"/>
            </c:ext>
          </c:extLst>
        </c:ser>
        <c:ser>
          <c:idx val="4"/>
          <c:order val="2"/>
          <c:tx>
            <c:strRef>
              <c:f>Dados!$A$7</c:f>
              <c:strCache>
                <c:ptCount val="1"/>
                <c:pt idx="0">
                  <c:v>2015</c:v>
                </c:pt>
              </c:strCache>
            </c:strRef>
          </c:tx>
          <c:spPr>
            <a:solidFill>
              <a:schemeClr val="accent5">
                <a:lumMod val="60000"/>
              </a:schemeClr>
            </a:solidFill>
            <a:ln>
              <a:noFill/>
            </a:ln>
            <a:effectLst/>
          </c:spPr>
          <c:invertIfNegative val="0"/>
          <c:cat>
            <c:strRef>
              <c:f>Dados!$B$4:$M$4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Dados!$B$7:$M$7</c:f>
            </c:numRef>
          </c:val>
          <c:extLst>
            <c:ext xmlns:c16="http://schemas.microsoft.com/office/drawing/2014/chart" uri="{C3380CC4-5D6E-409C-BE32-E72D297353CC}">
              <c16:uniqueId val="{00000002-1F9D-4D04-8837-D6BF727938A5}"/>
            </c:ext>
          </c:extLst>
        </c:ser>
        <c:ser>
          <c:idx val="3"/>
          <c:order val="0"/>
          <c:tx>
            <c:strRef>
              <c:f>Dados!$A$5</c:f>
              <c:strCache>
                <c:ptCount val="1"/>
                <c:pt idx="0">
                  <c:v>2013</c:v>
                </c:pt>
              </c:strCache>
            </c:strRef>
          </c:tx>
          <c:spPr>
            <a:solidFill>
              <a:schemeClr val="accent6">
                <a:lumMod val="60000"/>
              </a:schemeClr>
            </a:solidFill>
            <a:ln>
              <a:noFill/>
            </a:ln>
            <a:effectLst/>
          </c:spPr>
          <c:invertIfNegative val="0"/>
          <c:cat>
            <c:strRef>
              <c:f>Dados!$B$4:$M$4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Dados!$B$5:$M$5</c:f>
            </c:numRef>
          </c:val>
          <c:extLst>
            <c:ext xmlns:c16="http://schemas.microsoft.com/office/drawing/2014/chart" uri="{C3380CC4-5D6E-409C-BE32-E72D297353CC}">
              <c16:uniqueId val="{00000003-1F9D-4D04-8837-D6BF727938A5}"/>
            </c:ext>
          </c:extLst>
        </c:ser>
        <c:ser>
          <c:idx val="2"/>
          <c:order val="4"/>
          <c:tx>
            <c:strRef>
              <c:f>Dados!$A$9</c:f>
              <c:strCache>
                <c:ptCount val="1"/>
                <c:pt idx="0">
                  <c:v>2017</c:v>
                </c:pt>
              </c:strCache>
            </c:strRef>
          </c:tx>
          <c:spPr>
            <a:solidFill>
              <a:schemeClr val="accent4"/>
            </a:solidFill>
            <a:ln>
              <a:noFill/>
            </a:ln>
            <a:effectLst/>
          </c:spPr>
          <c:invertIfNegative val="0"/>
          <c:cat>
            <c:strRef>
              <c:f>Dados!$B$4:$M$4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Dados!$B$9:$M$9</c:f>
            </c:numRef>
          </c:val>
          <c:extLst>
            <c:ext xmlns:c16="http://schemas.microsoft.com/office/drawing/2014/chart" uri="{C3380CC4-5D6E-409C-BE32-E72D297353CC}">
              <c16:uniqueId val="{00000004-1F9D-4D04-8837-D6BF727938A5}"/>
            </c:ext>
          </c:extLst>
        </c:ser>
        <c:ser>
          <c:idx val="5"/>
          <c:order val="5"/>
          <c:tx>
            <c:strRef>
              <c:f>Dados!$A$10</c:f>
              <c:strCache>
                <c:ptCount val="1"/>
                <c:pt idx="0">
                  <c:v>2018</c:v>
                </c:pt>
              </c:strCache>
            </c:strRef>
          </c:tx>
          <c:spPr>
            <a:solidFill>
              <a:schemeClr val="accent4">
                <a:lumMod val="60000"/>
              </a:schemeClr>
            </a:solidFill>
            <a:ln>
              <a:noFill/>
            </a:ln>
            <a:effectLst/>
          </c:spPr>
          <c:invertIfNegative val="0"/>
          <c:cat>
            <c:strRef>
              <c:f>Dados!$B$4:$M$4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Dados!$B$10:$M$10</c:f>
            </c:numRef>
          </c:val>
          <c:extLst>
            <c:ext xmlns:c16="http://schemas.microsoft.com/office/drawing/2014/chart" uri="{C3380CC4-5D6E-409C-BE32-E72D297353CC}">
              <c16:uniqueId val="{00000005-1F9D-4D04-8837-D6BF727938A5}"/>
            </c:ext>
          </c:extLst>
        </c:ser>
        <c:ser>
          <c:idx val="6"/>
          <c:order val="6"/>
          <c:tx>
            <c:strRef>
              <c:f>Dados!$A$11</c:f>
              <c:strCache>
                <c:ptCount val="1"/>
                <c:pt idx="0">
                  <c:v>2019</c:v>
                </c:pt>
              </c:strCache>
            </c:strRef>
          </c:tx>
          <c:spPr>
            <a:solidFill>
              <a:schemeClr val="accent6">
                <a:lumMod val="80000"/>
                <a:lumOff val="20000"/>
              </a:schemeClr>
            </a:solidFill>
            <a:ln>
              <a:noFill/>
            </a:ln>
            <a:effectLst/>
          </c:spPr>
          <c:invertIfNegative val="0"/>
          <c:cat>
            <c:strRef>
              <c:f>Dados!$B$4:$M$4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Dados!$B$11:$M$11</c:f>
            </c:numRef>
          </c:val>
          <c:extLst>
            <c:ext xmlns:c16="http://schemas.microsoft.com/office/drawing/2014/chart" uri="{C3380CC4-5D6E-409C-BE32-E72D297353CC}">
              <c16:uniqueId val="{00000006-1F9D-4D04-8837-D6BF727938A5}"/>
            </c:ext>
          </c:extLst>
        </c:ser>
        <c:ser>
          <c:idx val="7"/>
          <c:order val="7"/>
          <c:tx>
            <c:strRef>
              <c:f>Dados!$A$12</c:f>
              <c:strCache>
                <c:ptCount val="1"/>
                <c:pt idx="0">
                  <c:v>2021</c:v>
                </c:pt>
              </c:strCache>
            </c:strRef>
          </c:tx>
          <c:spPr>
            <a:solidFill>
              <a:schemeClr val="accent5">
                <a:lumMod val="80000"/>
                <a:lumOff val="20000"/>
              </a:schemeClr>
            </a:solidFill>
            <a:ln>
              <a:noFill/>
            </a:ln>
            <a:effectLst/>
          </c:spPr>
          <c:invertIfNegative val="0"/>
          <c:cat>
            <c:strRef>
              <c:f>Dados!$B$4:$M$4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Dados!$B$12:$M$12</c:f>
              <c:numCache>
                <c:formatCode>_(* #,##0_);_(* \(#,##0\);_(* "-"??_);_(@_)</c:formatCode>
                <c:ptCount val="12"/>
                <c:pt idx="0">
                  <c:v>4527</c:v>
                </c:pt>
                <c:pt idx="1">
                  <c:v>10332</c:v>
                </c:pt>
                <c:pt idx="2">
                  <c:v>10626</c:v>
                </c:pt>
                <c:pt idx="3">
                  <c:v>9570</c:v>
                </c:pt>
                <c:pt idx="4">
                  <c:v>8122</c:v>
                </c:pt>
                <c:pt idx="5">
                  <c:v>6961</c:v>
                </c:pt>
                <c:pt idx="6">
                  <c:v>6288</c:v>
                </c:pt>
                <c:pt idx="7">
                  <c:v>6525</c:v>
                </c:pt>
                <c:pt idx="8">
                  <c:v>6742</c:v>
                </c:pt>
                <c:pt idx="9">
                  <c:v>7024</c:v>
                </c:pt>
                <c:pt idx="10">
                  <c:v>7074</c:v>
                </c:pt>
                <c:pt idx="11">
                  <c:v>7817</c:v>
                </c:pt>
              </c:numCache>
            </c:numRef>
          </c:val>
          <c:extLst>
            <c:ext xmlns:c16="http://schemas.microsoft.com/office/drawing/2014/chart" uri="{C3380CC4-5D6E-409C-BE32-E72D297353CC}">
              <c16:uniqueId val="{00000007-1F9D-4D04-8837-D6BF727938A5}"/>
            </c:ext>
          </c:extLst>
        </c:ser>
        <c:ser>
          <c:idx val="8"/>
          <c:order val="8"/>
          <c:tx>
            <c:strRef>
              <c:f>Dados!$A$13</c:f>
              <c:strCache>
                <c:ptCount val="1"/>
                <c:pt idx="0">
                  <c:v>2022</c:v>
                </c:pt>
              </c:strCache>
            </c:strRef>
          </c:tx>
          <c:spPr>
            <a:solidFill>
              <a:schemeClr val="accent4">
                <a:lumMod val="80000"/>
                <a:lumOff val="20000"/>
              </a:schemeClr>
            </a:solidFill>
            <a:ln>
              <a:noFill/>
            </a:ln>
            <a:effectLst/>
          </c:spPr>
          <c:invertIfNegative val="0"/>
          <c:cat>
            <c:strRef>
              <c:f>Dados!$B$4:$M$4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Dados!$B$13:$M$13</c:f>
              <c:numCache>
                <c:formatCode>_(* #,##0_);_(* \(#,##0\);_(* "-"??_);_(@_)</c:formatCode>
                <c:ptCount val="12"/>
                <c:pt idx="0">
                  <c:v>5881</c:v>
                </c:pt>
                <c:pt idx="1">
                  <c:v>6946</c:v>
                </c:pt>
                <c:pt idx="2">
                  <c:v>7137</c:v>
                </c:pt>
                <c:pt idx="3">
                  <c:v>6400</c:v>
                </c:pt>
                <c:pt idx="4">
                  <c:v>6194</c:v>
                </c:pt>
                <c:pt idx="5">
                  <c:v>5571</c:v>
                </c:pt>
              </c:numCache>
            </c:numRef>
          </c:val>
          <c:extLst>
            <c:ext xmlns:c16="http://schemas.microsoft.com/office/drawing/2014/chart" uri="{C3380CC4-5D6E-409C-BE32-E72D297353CC}">
              <c16:uniqueId val="{00000008-1F9D-4D04-8837-D6BF727938A5}"/>
            </c:ext>
          </c:extLst>
        </c:ser>
        <c:dLbls>
          <c:showLegendKey val="0"/>
          <c:showVal val="0"/>
          <c:showCatName val="0"/>
          <c:showSerName val="0"/>
          <c:showPercent val="0"/>
          <c:showBubbleSize val="0"/>
        </c:dLbls>
        <c:gapWidth val="150"/>
        <c:axId val="-1757091952"/>
        <c:axId val="-1752049536"/>
      </c:barChart>
      <c:lineChart>
        <c:grouping val="standard"/>
        <c:varyColors val="0"/>
        <c:ser>
          <c:idx val="9"/>
          <c:order val="9"/>
          <c:tx>
            <c:strRef>
              <c:f>Dados!$A$14</c:f>
              <c:strCache>
                <c:ptCount val="1"/>
                <c:pt idx="0">
                  <c:v>Meta 2022</c:v>
                </c:pt>
              </c:strCache>
            </c:strRef>
          </c:tx>
          <c:spPr>
            <a:ln w="19050" cap="rnd" cmpd="sng" algn="ctr">
              <a:solidFill>
                <a:schemeClr val="accent6">
                  <a:lumMod val="80000"/>
                </a:schemeClr>
              </a:solidFill>
              <a:prstDash val="solid"/>
              <a:round/>
            </a:ln>
            <a:effectLst/>
          </c:spPr>
          <c:marker>
            <c:symbol val="none"/>
          </c:marker>
          <c:cat>
            <c:strRef>
              <c:f>Dados!$B$4:$M$4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Dados!$B$14:$M$14</c:f>
              <c:numCache>
                <c:formatCode>_(* #,##0_);_(* \(#,##0\);_(* "-"??_);_(@_)</c:formatCode>
                <c:ptCount val="12"/>
                <c:pt idx="0">
                  <c:v>5432.4</c:v>
                </c:pt>
                <c:pt idx="1">
                  <c:v>12398.4</c:v>
                </c:pt>
                <c:pt idx="2">
                  <c:v>12751.2</c:v>
                </c:pt>
                <c:pt idx="3">
                  <c:v>11484</c:v>
                </c:pt>
                <c:pt idx="4">
                  <c:v>9746.4</c:v>
                </c:pt>
                <c:pt idx="5">
                  <c:v>8353.2000000000007</c:v>
                </c:pt>
                <c:pt idx="6">
                  <c:v>7545.6</c:v>
                </c:pt>
                <c:pt idx="7">
                  <c:v>7830</c:v>
                </c:pt>
                <c:pt idx="8">
                  <c:v>8090.4</c:v>
                </c:pt>
                <c:pt idx="9">
                  <c:v>8428.7999999999993</c:v>
                </c:pt>
                <c:pt idx="10">
                  <c:v>8488.7999999999993</c:v>
                </c:pt>
                <c:pt idx="11">
                  <c:v>9380.4</c:v>
                </c:pt>
              </c:numCache>
            </c:numRef>
          </c:val>
          <c:smooth val="0"/>
          <c:extLst>
            <c:ext xmlns:c16="http://schemas.microsoft.com/office/drawing/2014/chart" uri="{C3380CC4-5D6E-409C-BE32-E72D297353CC}">
              <c16:uniqueId val="{00000009-1F9D-4D04-8837-D6BF727938A5}"/>
            </c:ext>
          </c:extLst>
        </c:ser>
        <c:dLbls>
          <c:showLegendKey val="0"/>
          <c:showVal val="0"/>
          <c:showCatName val="0"/>
          <c:showSerName val="0"/>
          <c:showPercent val="0"/>
          <c:showBubbleSize val="0"/>
        </c:dLbls>
        <c:marker val="1"/>
        <c:smooth val="0"/>
        <c:axId val="-1757091952"/>
        <c:axId val="-1752049536"/>
      </c:lineChart>
      <c:catAx>
        <c:axId val="-1757091952"/>
        <c:scaling>
          <c:orientation val="minMax"/>
        </c:scaling>
        <c:delete val="0"/>
        <c:axPos val="b"/>
        <c:numFmt formatCode="General" sourceLinked="1"/>
        <c:majorTickMark val="out"/>
        <c:minorTickMark val="none"/>
        <c:tickLblPos val="nextTo"/>
        <c:spPr>
          <a:noFill/>
          <a:ln w="12700" cap="flat" cmpd="sng" algn="ctr">
            <a:solidFill>
              <a:schemeClr val="lt1">
                <a:lumMod val="95000"/>
                <a:alpha val="54000"/>
              </a:schemeClr>
            </a:solidFill>
            <a:prstDash val="solid"/>
            <a:round/>
          </a:ln>
          <a:effectLst/>
        </c:spPr>
        <c:txPr>
          <a:bodyPr rot="0" spcFirstLastPara="1" vertOverflow="ellipsis" wrap="square" anchor="ctr" anchorCtr="1"/>
          <a:lstStyle/>
          <a:p>
            <a:pPr>
              <a:defRPr sz="1000" b="0" i="0" u="none" strike="noStrike" kern="1200" baseline="0">
                <a:solidFill>
                  <a:sysClr val="windowText" lastClr="000000"/>
                </a:solidFill>
                <a:latin typeface="Calibri" panose="020F0502020204030204" pitchFamily="34" charset="0"/>
                <a:ea typeface="+mn-ea"/>
                <a:cs typeface="+mn-cs"/>
              </a:defRPr>
            </a:pPr>
            <a:endParaRPr lang="pt-BR"/>
          </a:p>
        </c:txPr>
        <c:crossAx val="-1752049536"/>
        <c:crosses val="autoZero"/>
        <c:auto val="1"/>
        <c:lblAlgn val="ctr"/>
        <c:lblOffset val="100"/>
        <c:noMultiLvlLbl val="0"/>
      </c:catAx>
      <c:valAx>
        <c:axId val="-1752049536"/>
        <c:scaling>
          <c:orientation val="minMax"/>
        </c:scaling>
        <c:delete val="0"/>
        <c:axPos val="l"/>
        <c:numFmt formatCode="_(* #,##0_);_(* \(#,##0\);_(* &quot;-&quot;??_);_(@_)" sourceLinked="1"/>
        <c:majorTickMark val="out"/>
        <c:minorTickMark val="none"/>
        <c:tickLblPos val="nextTo"/>
        <c:spPr>
          <a:noFill/>
          <a:ln w="6350" cap="flat" cmpd="sng" algn="ctr">
            <a:noFill/>
            <a:prstDash val="solid"/>
            <a:round/>
          </a:ln>
          <a:effectLst/>
        </c:spPr>
        <c:txPr>
          <a:bodyPr rot="0" spcFirstLastPara="1" vertOverflow="ellipsis" wrap="square" anchor="ctr" anchorCtr="1"/>
          <a:lstStyle/>
          <a:p>
            <a:pPr>
              <a:defRPr sz="1000" b="0" i="0" u="none" strike="noStrike" kern="1200" baseline="0">
                <a:solidFill>
                  <a:sysClr val="windowText" lastClr="000000"/>
                </a:solidFill>
                <a:latin typeface="Calibri" panose="020F0502020204030204" pitchFamily="34" charset="0"/>
                <a:ea typeface="+mn-ea"/>
                <a:cs typeface="+mn-cs"/>
              </a:defRPr>
            </a:pPr>
            <a:endParaRPr lang="pt-BR"/>
          </a:p>
        </c:txPr>
        <c:crossAx val="-1757091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mn-cs"/>
            </a:defRPr>
          </a:pPr>
          <a:endParaRPr lang="pt-BR"/>
        </a:p>
      </c:txPr>
    </c:legend>
    <c:plotVisOnly val="1"/>
    <c:dispBlanksAs val="gap"/>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6350" cap="flat" cmpd="sng" algn="ctr">
      <a:noFill/>
      <a:prstDash val="solid"/>
      <a:round/>
    </a:ln>
    <a:effectLst/>
  </c:spPr>
  <c:txPr>
    <a:bodyPr/>
    <a:lstStyle/>
    <a:p>
      <a:pPr>
        <a:defRPr baseline="0">
          <a:solidFill>
            <a:sysClr val="windowText" lastClr="000000"/>
          </a:solidFill>
          <a:latin typeface="Calibri" panose="020F0502020204030204" pitchFamily="34" charset="0"/>
        </a:defRPr>
      </a:pPr>
      <a:endParaRPr lang="pt-BR"/>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ysClr val="windowText" lastClr="000000"/>
                </a:solidFill>
                <a:latin typeface="Calibri" panose="020F0502020204030204" pitchFamily="34" charset="0"/>
                <a:ea typeface="+mn-ea"/>
                <a:cs typeface="+mn-cs"/>
              </a:defRPr>
            </a:pPr>
            <a:r>
              <a:rPr lang="pt-BR"/>
              <a:t>Consumo (kwh)</a:t>
            </a:r>
          </a:p>
        </c:rich>
      </c:tx>
      <c:overlay val="0"/>
      <c:spPr>
        <a:noFill/>
        <a:ln>
          <a:noFill/>
        </a:ln>
        <a:effectLst/>
      </c:spPr>
      <c:txPr>
        <a:bodyPr rot="0" spcFirstLastPara="1" vertOverflow="ellipsis" vert="horz" wrap="square" anchor="ctr" anchorCtr="1"/>
        <a:lstStyle/>
        <a:p>
          <a:pPr>
            <a:defRPr sz="1800" b="1" i="0" u="none" strike="noStrike" kern="1200" baseline="0">
              <a:solidFill>
                <a:sysClr val="windowText" lastClr="000000"/>
              </a:solidFill>
              <a:latin typeface="Calibri" panose="020F0502020204030204" pitchFamily="34" charset="0"/>
              <a:ea typeface="+mn-ea"/>
              <a:cs typeface="+mn-cs"/>
            </a:defRPr>
          </a:pPr>
          <a:endParaRPr lang="pt-BR"/>
        </a:p>
      </c:txPr>
    </c:title>
    <c:autoTitleDeleted val="0"/>
    <c:plotArea>
      <c:layout>
        <c:manualLayout>
          <c:layoutTarget val="inner"/>
          <c:xMode val="edge"/>
          <c:yMode val="edge"/>
          <c:x val="0.11490835070007085"/>
          <c:y val="0.25246543384738074"/>
          <c:w val="0.86135064076081347"/>
          <c:h val="0.45272707172506194"/>
        </c:manualLayout>
      </c:layout>
      <c:barChart>
        <c:barDir val="col"/>
        <c:grouping val="clustered"/>
        <c:varyColors val="0"/>
        <c:ser>
          <c:idx val="0"/>
          <c:order val="1"/>
          <c:tx>
            <c:strRef>
              <c:f>Dados!$A$6</c:f>
              <c:strCache>
                <c:ptCount val="1"/>
                <c:pt idx="0">
                  <c:v>2014</c:v>
                </c:pt>
              </c:strCache>
            </c:strRef>
          </c:tx>
          <c:spPr>
            <a:solidFill>
              <a:schemeClr val="accent6"/>
            </a:solidFill>
            <a:ln>
              <a:noFill/>
            </a:ln>
            <a:effectLst/>
          </c:spPr>
          <c:invertIfNegative val="0"/>
          <c:cat>
            <c:strRef>
              <c:f>Dados!$B$4:$M$4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Dados!$B$6:$M$6</c:f>
            </c:numRef>
          </c:val>
          <c:extLst>
            <c:ext xmlns:c16="http://schemas.microsoft.com/office/drawing/2014/chart" uri="{C3380CC4-5D6E-409C-BE32-E72D297353CC}">
              <c16:uniqueId val="{00000000-FBD3-4F6F-9176-5294CD9B3C66}"/>
            </c:ext>
          </c:extLst>
        </c:ser>
        <c:ser>
          <c:idx val="1"/>
          <c:order val="3"/>
          <c:tx>
            <c:strRef>
              <c:f>Dados!$A$8</c:f>
              <c:strCache>
                <c:ptCount val="1"/>
                <c:pt idx="0">
                  <c:v>2016</c:v>
                </c:pt>
              </c:strCache>
            </c:strRef>
          </c:tx>
          <c:spPr>
            <a:solidFill>
              <a:schemeClr val="accent5"/>
            </a:solidFill>
            <a:ln>
              <a:noFill/>
            </a:ln>
            <a:effectLst/>
          </c:spPr>
          <c:invertIfNegative val="0"/>
          <c:cat>
            <c:strRef>
              <c:f>Dados!$B$4:$M$4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Dados!$B$8:$M$8</c:f>
            </c:numRef>
          </c:val>
          <c:extLst>
            <c:ext xmlns:c16="http://schemas.microsoft.com/office/drawing/2014/chart" uri="{C3380CC4-5D6E-409C-BE32-E72D297353CC}">
              <c16:uniqueId val="{00000001-FBD3-4F6F-9176-5294CD9B3C66}"/>
            </c:ext>
          </c:extLst>
        </c:ser>
        <c:ser>
          <c:idx val="4"/>
          <c:order val="2"/>
          <c:tx>
            <c:strRef>
              <c:f>Dados!$A$7</c:f>
              <c:strCache>
                <c:ptCount val="1"/>
                <c:pt idx="0">
                  <c:v>2015</c:v>
                </c:pt>
              </c:strCache>
            </c:strRef>
          </c:tx>
          <c:spPr>
            <a:solidFill>
              <a:schemeClr val="accent5">
                <a:lumMod val="60000"/>
              </a:schemeClr>
            </a:solidFill>
            <a:ln>
              <a:noFill/>
            </a:ln>
            <a:effectLst/>
          </c:spPr>
          <c:invertIfNegative val="0"/>
          <c:cat>
            <c:strRef>
              <c:f>Dados!$B$4:$M$4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Dados!$B$7:$M$7</c:f>
            </c:numRef>
          </c:val>
          <c:extLst>
            <c:ext xmlns:c16="http://schemas.microsoft.com/office/drawing/2014/chart" uri="{C3380CC4-5D6E-409C-BE32-E72D297353CC}">
              <c16:uniqueId val="{00000002-FBD3-4F6F-9176-5294CD9B3C66}"/>
            </c:ext>
          </c:extLst>
        </c:ser>
        <c:ser>
          <c:idx val="3"/>
          <c:order val="0"/>
          <c:tx>
            <c:strRef>
              <c:f>Dados!$A$5</c:f>
              <c:strCache>
                <c:ptCount val="1"/>
                <c:pt idx="0">
                  <c:v>2013</c:v>
                </c:pt>
              </c:strCache>
            </c:strRef>
          </c:tx>
          <c:spPr>
            <a:solidFill>
              <a:schemeClr val="accent6">
                <a:lumMod val="60000"/>
              </a:schemeClr>
            </a:solidFill>
            <a:ln>
              <a:noFill/>
            </a:ln>
            <a:effectLst/>
          </c:spPr>
          <c:invertIfNegative val="0"/>
          <c:cat>
            <c:strRef>
              <c:f>Dados!$B$4:$M$4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Dados!$B$5:$M$5</c:f>
            </c:numRef>
          </c:val>
          <c:extLst>
            <c:ext xmlns:c16="http://schemas.microsoft.com/office/drawing/2014/chart" uri="{C3380CC4-5D6E-409C-BE32-E72D297353CC}">
              <c16:uniqueId val="{00000003-FBD3-4F6F-9176-5294CD9B3C66}"/>
            </c:ext>
          </c:extLst>
        </c:ser>
        <c:ser>
          <c:idx val="2"/>
          <c:order val="4"/>
          <c:tx>
            <c:strRef>
              <c:f>Dados!$A$9</c:f>
              <c:strCache>
                <c:ptCount val="1"/>
                <c:pt idx="0">
                  <c:v>2017</c:v>
                </c:pt>
              </c:strCache>
            </c:strRef>
          </c:tx>
          <c:spPr>
            <a:solidFill>
              <a:schemeClr val="accent4"/>
            </a:solidFill>
            <a:ln>
              <a:noFill/>
            </a:ln>
            <a:effectLst/>
          </c:spPr>
          <c:invertIfNegative val="0"/>
          <c:cat>
            <c:strRef>
              <c:f>Dados!$B$4:$M$4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Dados!$B$9:$M$9</c:f>
            </c:numRef>
          </c:val>
          <c:extLst>
            <c:ext xmlns:c16="http://schemas.microsoft.com/office/drawing/2014/chart" uri="{C3380CC4-5D6E-409C-BE32-E72D297353CC}">
              <c16:uniqueId val="{00000004-FBD3-4F6F-9176-5294CD9B3C66}"/>
            </c:ext>
          </c:extLst>
        </c:ser>
        <c:ser>
          <c:idx val="5"/>
          <c:order val="5"/>
          <c:tx>
            <c:strRef>
              <c:f>Dados!$A$10</c:f>
              <c:strCache>
                <c:ptCount val="1"/>
                <c:pt idx="0">
                  <c:v>2018</c:v>
                </c:pt>
              </c:strCache>
            </c:strRef>
          </c:tx>
          <c:spPr>
            <a:solidFill>
              <a:schemeClr val="accent4">
                <a:lumMod val="60000"/>
              </a:schemeClr>
            </a:solidFill>
            <a:ln>
              <a:noFill/>
            </a:ln>
            <a:effectLst/>
          </c:spPr>
          <c:invertIfNegative val="0"/>
          <c:cat>
            <c:strRef>
              <c:f>Dados!$B$4:$M$4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Dados!$B$10:$M$10</c:f>
            </c:numRef>
          </c:val>
          <c:extLst>
            <c:ext xmlns:c16="http://schemas.microsoft.com/office/drawing/2014/chart" uri="{C3380CC4-5D6E-409C-BE32-E72D297353CC}">
              <c16:uniqueId val="{00000005-FBD3-4F6F-9176-5294CD9B3C66}"/>
            </c:ext>
          </c:extLst>
        </c:ser>
        <c:ser>
          <c:idx val="6"/>
          <c:order val="6"/>
          <c:tx>
            <c:strRef>
              <c:f>Dados!$A$11</c:f>
              <c:strCache>
                <c:ptCount val="1"/>
                <c:pt idx="0">
                  <c:v>2019</c:v>
                </c:pt>
              </c:strCache>
            </c:strRef>
          </c:tx>
          <c:spPr>
            <a:solidFill>
              <a:schemeClr val="accent6">
                <a:lumMod val="80000"/>
                <a:lumOff val="20000"/>
              </a:schemeClr>
            </a:solidFill>
            <a:ln>
              <a:noFill/>
            </a:ln>
            <a:effectLst/>
          </c:spPr>
          <c:invertIfNegative val="0"/>
          <c:cat>
            <c:strRef>
              <c:f>Dados!$B$4:$M$4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Dados!$B$11:$M$11</c:f>
            </c:numRef>
          </c:val>
          <c:extLst>
            <c:ext xmlns:c16="http://schemas.microsoft.com/office/drawing/2014/chart" uri="{C3380CC4-5D6E-409C-BE32-E72D297353CC}">
              <c16:uniqueId val="{00000006-FBD3-4F6F-9176-5294CD9B3C66}"/>
            </c:ext>
          </c:extLst>
        </c:ser>
        <c:ser>
          <c:idx val="7"/>
          <c:order val="7"/>
          <c:tx>
            <c:strRef>
              <c:f>Dados!$A$12</c:f>
              <c:strCache>
                <c:ptCount val="1"/>
                <c:pt idx="0">
                  <c:v>2021</c:v>
                </c:pt>
              </c:strCache>
            </c:strRef>
          </c:tx>
          <c:spPr>
            <a:solidFill>
              <a:schemeClr val="accent5">
                <a:lumMod val="80000"/>
                <a:lumOff val="20000"/>
              </a:schemeClr>
            </a:solidFill>
            <a:ln>
              <a:noFill/>
            </a:ln>
            <a:effectLst/>
          </c:spPr>
          <c:invertIfNegative val="0"/>
          <c:cat>
            <c:strRef>
              <c:f>Dados!$B$4:$M$4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Dados!$B$12:$M$12</c:f>
              <c:numCache>
                <c:formatCode>_(* #,##0_);_(* \(#,##0\);_(* "-"??_);_(@_)</c:formatCode>
                <c:ptCount val="12"/>
                <c:pt idx="0">
                  <c:v>5682</c:v>
                </c:pt>
                <c:pt idx="1">
                  <c:v>6358</c:v>
                </c:pt>
                <c:pt idx="2">
                  <c:v>6444</c:v>
                </c:pt>
                <c:pt idx="3">
                  <c:v>4740</c:v>
                </c:pt>
                <c:pt idx="4">
                  <c:v>4392</c:v>
                </c:pt>
                <c:pt idx="5">
                  <c:v>5813</c:v>
                </c:pt>
                <c:pt idx="6">
                  <c:v>6136</c:v>
                </c:pt>
                <c:pt idx="7">
                  <c:v>7537</c:v>
                </c:pt>
                <c:pt idx="8">
                  <c:v>6192</c:v>
                </c:pt>
                <c:pt idx="9">
                  <c:v>4813</c:v>
                </c:pt>
                <c:pt idx="10">
                  <c:v>5873</c:v>
                </c:pt>
                <c:pt idx="11">
                  <c:v>4838</c:v>
                </c:pt>
              </c:numCache>
            </c:numRef>
          </c:val>
          <c:extLst>
            <c:ext xmlns:c16="http://schemas.microsoft.com/office/drawing/2014/chart" uri="{C3380CC4-5D6E-409C-BE32-E72D297353CC}">
              <c16:uniqueId val="{00000007-FBD3-4F6F-9176-5294CD9B3C66}"/>
            </c:ext>
          </c:extLst>
        </c:ser>
        <c:ser>
          <c:idx val="8"/>
          <c:order val="8"/>
          <c:tx>
            <c:strRef>
              <c:f>Dados!$A$13</c:f>
              <c:strCache>
                <c:ptCount val="1"/>
                <c:pt idx="0">
                  <c:v>2022</c:v>
                </c:pt>
              </c:strCache>
            </c:strRef>
          </c:tx>
          <c:spPr>
            <a:solidFill>
              <a:schemeClr val="accent4">
                <a:lumMod val="80000"/>
                <a:lumOff val="20000"/>
              </a:schemeClr>
            </a:solidFill>
            <a:ln>
              <a:noFill/>
            </a:ln>
            <a:effectLst/>
          </c:spPr>
          <c:invertIfNegative val="0"/>
          <c:cat>
            <c:strRef>
              <c:f>Dados!$B$4:$M$4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Dados!$B$13:$M$13</c:f>
              <c:numCache>
                <c:formatCode>_(* #,##0_);_(* \(#,##0\);_(* "-"??_);_(@_)</c:formatCode>
                <c:ptCount val="12"/>
                <c:pt idx="0">
                  <c:v>5994</c:v>
                </c:pt>
                <c:pt idx="1">
                  <c:v>7023</c:v>
                </c:pt>
                <c:pt idx="2">
                  <c:v>7316</c:v>
                </c:pt>
                <c:pt idx="3">
                  <c:v>5677</c:v>
                </c:pt>
                <c:pt idx="4">
                  <c:v>4527</c:v>
                </c:pt>
                <c:pt idx="5">
                  <c:v>5781</c:v>
                </c:pt>
              </c:numCache>
            </c:numRef>
          </c:val>
          <c:extLst>
            <c:ext xmlns:c16="http://schemas.microsoft.com/office/drawing/2014/chart" uri="{C3380CC4-5D6E-409C-BE32-E72D297353CC}">
              <c16:uniqueId val="{00000008-FBD3-4F6F-9176-5294CD9B3C66}"/>
            </c:ext>
          </c:extLst>
        </c:ser>
        <c:dLbls>
          <c:showLegendKey val="0"/>
          <c:showVal val="0"/>
          <c:showCatName val="0"/>
          <c:showSerName val="0"/>
          <c:showPercent val="0"/>
          <c:showBubbleSize val="0"/>
        </c:dLbls>
        <c:gapWidth val="150"/>
        <c:axId val="-1757091952"/>
        <c:axId val="-1752049536"/>
      </c:barChart>
      <c:lineChart>
        <c:grouping val="standard"/>
        <c:varyColors val="0"/>
        <c:ser>
          <c:idx val="9"/>
          <c:order val="9"/>
          <c:tx>
            <c:strRef>
              <c:f>Dados!$A$14</c:f>
              <c:strCache>
                <c:ptCount val="1"/>
                <c:pt idx="0">
                  <c:v>Meta 2022</c:v>
                </c:pt>
              </c:strCache>
            </c:strRef>
          </c:tx>
          <c:spPr>
            <a:ln w="19050" cap="rnd" cmpd="sng" algn="ctr">
              <a:solidFill>
                <a:schemeClr val="accent6">
                  <a:lumMod val="80000"/>
                </a:schemeClr>
              </a:solidFill>
              <a:prstDash val="solid"/>
              <a:round/>
            </a:ln>
            <a:effectLst/>
          </c:spPr>
          <c:marker>
            <c:symbol val="none"/>
          </c:marker>
          <c:cat>
            <c:strRef>
              <c:f>Dados!$B$4:$M$4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Dados!$B$14:$M$14</c:f>
              <c:numCache>
                <c:formatCode>_(* #,##0_);_(* \(#,##0\);_(* "-"??_);_(@_)</c:formatCode>
                <c:ptCount val="12"/>
                <c:pt idx="0">
                  <c:v>6818.4</c:v>
                </c:pt>
                <c:pt idx="1">
                  <c:v>7629.6</c:v>
                </c:pt>
                <c:pt idx="2">
                  <c:v>7732.8</c:v>
                </c:pt>
                <c:pt idx="3">
                  <c:v>5688</c:v>
                </c:pt>
                <c:pt idx="4">
                  <c:v>5270.4</c:v>
                </c:pt>
                <c:pt idx="5">
                  <c:v>6975.6</c:v>
                </c:pt>
                <c:pt idx="6">
                  <c:v>7363.2</c:v>
                </c:pt>
                <c:pt idx="7">
                  <c:v>9044.4</c:v>
                </c:pt>
                <c:pt idx="8">
                  <c:v>7430.4</c:v>
                </c:pt>
                <c:pt idx="9">
                  <c:v>5775.6</c:v>
                </c:pt>
                <c:pt idx="10">
                  <c:v>7047.6</c:v>
                </c:pt>
                <c:pt idx="11">
                  <c:v>5805.6</c:v>
                </c:pt>
              </c:numCache>
            </c:numRef>
          </c:val>
          <c:smooth val="1"/>
          <c:extLst>
            <c:ext xmlns:c16="http://schemas.microsoft.com/office/drawing/2014/chart" uri="{C3380CC4-5D6E-409C-BE32-E72D297353CC}">
              <c16:uniqueId val="{00000009-FBD3-4F6F-9176-5294CD9B3C66}"/>
            </c:ext>
          </c:extLst>
        </c:ser>
        <c:dLbls>
          <c:showLegendKey val="0"/>
          <c:showVal val="0"/>
          <c:showCatName val="0"/>
          <c:showSerName val="0"/>
          <c:showPercent val="0"/>
          <c:showBubbleSize val="0"/>
        </c:dLbls>
        <c:marker val="1"/>
        <c:smooth val="0"/>
        <c:axId val="-1757091952"/>
        <c:axId val="-1752049536"/>
      </c:lineChart>
      <c:catAx>
        <c:axId val="-1757091952"/>
        <c:scaling>
          <c:orientation val="minMax"/>
        </c:scaling>
        <c:delete val="0"/>
        <c:axPos val="b"/>
        <c:numFmt formatCode="General" sourceLinked="1"/>
        <c:majorTickMark val="out"/>
        <c:minorTickMark val="none"/>
        <c:tickLblPos val="nextTo"/>
        <c:spPr>
          <a:noFill/>
          <a:ln w="12700" cap="flat" cmpd="sng" algn="ctr">
            <a:solidFill>
              <a:schemeClr val="lt1">
                <a:lumMod val="95000"/>
                <a:alpha val="54000"/>
              </a:schemeClr>
            </a:solidFill>
            <a:prstDash val="solid"/>
            <a:round/>
          </a:ln>
          <a:effectLst/>
        </c:spPr>
        <c:txPr>
          <a:bodyPr rot="0" spcFirstLastPara="1" vertOverflow="ellipsis" wrap="square" anchor="ctr" anchorCtr="1"/>
          <a:lstStyle/>
          <a:p>
            <a:pPr>
              <a:defRPr sz="1000" b="0" i="0" u="none" strike="noStrike" kern="1200" baseline="0">
                <a:solidFill>
                  <a:sysClr val="windowText" lastClr="000000"/>
                </a:solidFill>
                <a:latin typeface="Calibri" panose="020F0502020204030204" pitchFamily="34" charset="0"/>
                <a:ea typeface="+mn-ea"/>
                <a:cs typeface="+mn-cs"/>
              </a:defRPr>
            </a:pPr>
            <a:endParaRPr lang="pt-BR"/>
          </a:p>
        </c:txPr>
        <c:crossAx val="-1752049536"/>
        <c:crosses val="autoZero"/>
        <c:auto val="1"/>
        <c:lblAlgn val="ctr"/>
        <c:lblOffset val="100"/>
        <c:noMultiLvlLbl val="0"/>
      </c:catAx>
      <c:valAx>
        <c:axId val="-1752049536"/>
        <c:scaling>
          <c:orientation val="minMax"/>
        </c:scaling>
        <c:delete val="0"/>
        <c:axPos val="l"/>
        <c:numFmt formatCode="_(* #,##0_);_(* \(#,##0\);_(* &quot;-&quot;??_);_(@_)" sourceLinked="1"/>
        <c:majorTickMark val="out"/>
        <c:minorTickMark val="none"/>
        <c:tickLblPos val="nextTo"/>
        <c:spPr>
          <a:noFill/>
          <a:ln w="6350" cap="flat" cmpd="sng" algn="ctr">
            <a:noFill/>
            <a:prstDash val="solid"/>
            <a:round/>
          </a:ln>
          <a:effectLst/>
        </c:spPr>
        <c:txPr>
          <a:bodyPr rot="0" spcFirstLastPara="1" vertOverflow="ellipsis" wrap="square" anchor="ctr" anchorCtr="1"/>
          <a:lstStyle/>
          <a:p>
            <a:pPr>
              <a:defRPr sz="1000" b="0" i="0" u="none" strike="noStrike" kern="1200" baseline="0">
                <a:solidFill>
                  <a:sysClr val="windowText" lastClr="000000"/>
                </a:solidFill>
                <a:latin typeface="Calibri" panose="020F0502020204030204" pitchFamily="34" charset="0"/>
                <a:ea typeface="+mn-ea"/>
                <a:cs typeface="+mn-cs"/>
              </a:defRPr>
            </a:pPr>
            <a:endParaRPr lang="pt-BR"/>
          </a:p>
        </c:txPr>
        <c:crossAx val="-1757091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mn-cs"/>
            </a:defRPr>
          </a:pPr>
          <a:endParaRPr lang="pt-BR"/>
        </a:p>
      </c:txPr>
    </c:legend>
    <c:plotVisOnly val="1"/>
    <c:dispBlanksAs val="gap"/>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6350" cap="flat" cmpd="sng" algn="ctr">
      <a:noFill/>
      <a:prstDash val="solid"/>
      <a:round/>
    </a:ln>
    <a:effectLst/>
  </c:spPr>
  <c:txPr>
    <a:bodyPr/>
    <a:lstStyle/>
    <a:p>
      <a:pPr>
        <a:defRPr baseline="0">
          <a:solidFill>
            <a:sysClr val="windowText" lastClr="000000"/>
          </a:solidFill>
          <a:latin typeface="Calibri" panose="020F0502020204030204" pitchFamily="34" charset="0"/>
        </a:defRPr>
      </a:pPr>
      <a:endParaRPr lang="pt-B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7BA380DD0C33F43B1C41C9915400D97" ma:contentTypeVersion="8" ma:contentTypeDescription="Create a new document." ma:contentTypeScope="" ma:versionID="e4679c684178fb7ba1d84f8405c3652b">
  <xsd:schema xmlns:xsd="http://www.w3.org/2001/XMLSchema" xmlns:xs="http://www.w3.org/2001/XMLSchema" xmlns:p="http://schemas.microsoft.com/office/2006/metadata/properties" xmlns:ns2="2670b29f-ba6f-4d06-80ad-842a29d5c743" xmlns:ns3="4d9e8f28-2fd6-46d3-b235-1021f8e33c6c" targetNamespace="http://schemas.microsoft.com/office/2006/metadata/properties" ma:root="true" ma:fieldsID="3f3c035a75df9b3568ece8583c60eb9a" ns2:_="" ns3:_="">
    <xsd:import namespace="2670b29f-ba6f-4d06-80ad-842a29d5c743"/>
    <xsd:import namespace="4d9e8f28-2fd6-46d3-b235-1021f8e33c6c"/>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3:SharedWithUsers" minOccurs="0"/>
                <xsd:element ref="ns3:SharedWithDetails"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70b29f-ba6f-4d06-80ad-842a29d5c7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d9e8f28-2fd6-46d3-b235-1021f8e33c6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4d9e8f28-2fd6-46d3-b235-1021f8e33c6c">
      <UserInfo>
        <DisplayName>Helenice Pinto de Mello</DisplayName>
        <AccountId>22</AccountId>
        <AccountType/>
      </UserInfo>
      <UserInfo>
        <DisplayName>Rodrigo Perrone Soares</DisplayName>
        <AccountId>77</AccountId>
        <AccountType/>
      </UserInfo>
    </SharedWithUsers>
  </documentManagement>
</p:properties>
</file>

<file path=customXml/itemProps1.xml><?xml version="1.0" encoding="utf-8"?>
<ds:datastoreItem xmlns:ds="http://schemas.openxmlformats.org/officeDocument/2006/customXml" ds:itemID="{9D3D6DE3-BD6B-456F-960F-3B361B1D6659}">
  <ds:schemaRefs>
    <ds:schemaRef ds:uri="http://schemas.openxmlformats.org/officeDocument/2006/bibliography"/>
  </ds:schemaRefs>
</ds:datastoreItem>
</file>

<file path=customXml/itemProps2.xml><?xml version="1.0" encoding="utf-8"?>
<ds:datastoreItem xmlns:ds="http://schemas.openxmlformats.org/officeDocument/2006/customXml" ds:itemID="{C196C300-8B6E-422D-8544-87F8D8616EE8}">
  <ds:schemaRefs>
    <ds:schemaRef ds:uri="http://schemas.microsoft.com/sharepoint/v3/contenttype/forms"/>
  </ds:schemaRefs>
</ds:datastoreItem>
</file>

<file path=customXml/itemProps3.xml><?xml version="1.0" encoding="utf-8"?>
<ds:datastoreItem xmlns:ds="http://schemas.openxmlformats.org/officeDocument/2006/customXml" ds:itemID="{CC20B454-2399-4A4F-86AC-9618E0A296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70b29f-ba6f-4d06-80ad-842a29d5c743"/>
    <ds:schemaRef ds:uri="4d9e8f28-2fd6-46d3-b235-1021f8e33c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498CDCB-8230-4893-823E-3D50B9F4428C}">
  <ds:schemaRefs>
    <ds:schemaRef ds:uri="http://schemas.microsoft.com/office/2006/metadata/properties"/>
    <ds:schemaRef ds:uri="http://schemas.microsoft.com/office/infopath/2007/PartnerControls"/>
    <ds:schemaRef ds:uri="4d9e8f28-2fd6-46d3-b235-1021f8e33c6c"/>
  </ds:schemaRefs>
</ds:datastoreItem>
</file>

<file path=docProps/app.xml><?xml version="1.0" encoding="utf-8"?>
<Properties xmlns="http://schemas.openxmlformats.org/officeDocument/2006/extended-properties" xmlns:vt="http://schemas.openxmlformats.org/officeDocument/2006/docPropsVTypes">
  <Template>Normal</Template>
  <TotalTime>624</TotalTime>
  <Pages>98</Pages>
  <Words>7293</Words>
  <Characters>39383</Characters>
  <Application>Microsoft Office Word</Application>
  <DocSecurity>0</DocSecurity>
  <Lines>328</Lines>
  <Paragraphs>93</Paragraphs>
  <ScaleCrop>false</ScaleCrop>
  <HeadingPairs>
    <vt:vector size="2" baseType="variant">
      <vt:variant>
        <vt:lpstr>Título</vt:lpstr>
      </vt:variant>
      <vt:variant>
        <vt:i4>1</vt:i4>
      </vt:variant>
    </vt:vector>
  </HeadingPairs>
  <TitlesOfParts>
    <vt:vector size="1" baseType="lpstr">
      <vt:lpstr/>
    </vt:vector>
  </TitlesOfParts>
  <Company>AGU</Company>
  <LinksUpToDate>false</LinksUpToDate>
  <CharactersWithSpaces>46583</CharactersWithSpaces>
  <SharedDoc>false</SharedDoc>
  <HLinks>
    <vt:vector size="246" baseType="variant">
      <vt:variant>
        <vt:i4>1835056</vt:i4>
      </vt:variant>
      <vt:variant>
        <vt:i4>242</vt:i4>
      </vt:variant>
      <vt:variant>
        <vt:i4>0</vt:i4>
      </vt:variant>
      <vt:variant>
        <vt:i4>5</vt:i4>
      </vt:variant>
      <vt:variant>
        <vt:lpwstr/>
      </vt:variant>
      <vt:variant>
        <vt:lpwstr>_Toc79071164</vt:lpwstr>
      </vt:variant>
      <vt:variant>
        <vt:i4>1769520</vt:i4>
      </vt:variant>
      <vt:variant>
        <vt:i4>236</vt:i4>
      </vt:variant>
      <vt:variant>
        <vt:i4>0</vt:i4>
      </vt:variant>
      <vt:variant>
        <vt:i4>5</vt:i4>
      </vt:variant>
      <vt:variant>
        <vt:lpwstr/>
      </vt:variant>
      <vt:variant>
        <vt:lpwstr>_Toc79071163</vt:lpwstr>
      </vt:variant>
      <vt:variant>
        <vt:i4>1703984</vt:i4>
      </vt:variant>
      <vt:variant>
        <vt:i4>230</vt:i4>
      </vt:variant>
      <vt:variant>
        <vt:i4>0</vt:i4>
      </vt:variant>
      <vt:variant>
        <vt:i4>5</vt:i4>
      </vt:variant>
      <vt:variant>
        <vt:lpwstr/>
      </vt:variant>
      <vt:variant>
        <vt:lpwstr>_Toc79071162</vt:lpwstr>
      </vt:variant>
      <vt:variant>
        <vt:i4>1638448</vt:i4>
      </vt:variant>
      <vt:variant>
        <vt:i4>224</vt:i4>
      </vt:variant>
      <vt:variant>
        <vt:i4>0</vt:i4>
      </vt:variant>
      <vt:variant>
        <vt:i4>5</vt:i4>
      </vt:variant>
      <vt:variant>
        <vt:lpwstr/>
      </vt:variant>
      <vt:variant>
        <vt:lpwstr>_Toc79071161</vt:lpwstr>
      </vt:variant>
      <vt:variant>
        <vt:i4>1572912</vt:i4>
      </vt:variant>
      <vt:variant>
        <vt:i4>218</vt:i4>
      </vt:variant>
      <vt:variant>
        <vt:i4>0</vt:i4>
      </vt:variant>
      <vt:variant>
        <vt:i4>5</vt:i4>
      </vt:variant>
      <vt:variant>
        <vt:lpwstr/>
      </vt:variant>
      <vt:variant>
        <vt:lpwstr>_Toc79071160</vt:lpwstr>
      </vt:variant>
      <vt:variant>
        <vt:i4>1114163</vt:i4>
      </vt:variant>
      <vt:variant>
        <vt:i4>212</vt:i4>
      </vt:variant>
      <vt:variant>
        <vt:i4>0</vt:i4>
      </vt:variant>
      <vt:variant>
        <vt:i4>5</vt:i4>
      </vt:variant>
      <vt:variant>
        <vt:lpwstr/>
      </vt:variant>
      <vt:variant>
        <vt:lpwstr>_Toc79071159</vt:lpwstr>
      </vt:variant>
      <vt:variant>
        <vt:i4>1048627</vt:i4>
      </vt:variant>
      <vt:variant>
        <vt:i4>206</vt:i4>
      </vt:variant>
      <vt:variant>
        <vt:i4>0</vt:i4>
      </vt:variant>
      <vt:variant>
        <vt:i4>5</vt:i4>
      </vt:variant>
      <vt:variant>
        <vt:lpwstr/>
      </vt:variant>
      <vt:variant>
        <vt:lpwstr>_Toc79071158</vt:lpwstr>
      </vt:variant>
      <vt:variant>
        <vt:i4>2031667</vt:i4>
      </vt:variant>
      <vt:variant>
        <vt:i4>200</vt:i4>
      </vt:variant>
      <vt:variant>
        <vt:i4>0</vt:i4>
      </vt:variant>
      <vt:variant>
        <vt:i4>5</vt:i4>
      </vt:variant>
      <vt:variant>
        <vt:lpwstr/>
      </vt:variant>
      <vt:variant>
        <vt:lpwstr>_Toc79071157</vt:lpwstr>
      </vt:variant>
      <vt:variant>
        <vt:i4>1966131</vt:i4>
      </vt:variant>
      <vt:variant>
        <vt:i4>194</vt:i4>
      </vt:variant>
      <vt:variant>
        <vt:i4>0</vt:i4>
      </vt:variant>
      <vt:variant>
        <vt:i4>5</vt:i4>
      </vt:variant>
      <vt:variant>
        <vt:lpwstr/>
      </vt:variant>
      <vt:variant>
        <vt:lpwstr>_Toc79071156</vt:lpwstr>
      </vt:variant>
      <vt:variant>
        <vt:i4>1900595</vt:i4>
      </vt:variant>
      <vt:variant>
        <vt:i4>188</vt:i4>
      </vt:variant>
      <vt:variant>
        <vt:i4>0</vt:i4>
      </vt:variant>
      <vt:variant>
        <vt:i4>5</vt:i4>
      </vt:variant>
      <vt:variant>
        <vt:lpwstr/>
      </vt:variant>
      <vt:variant>
        <vt:lpwstr>_Toc79071155</vt:lpwstr>
      </vt:variant>
      <vt:variant>
        <vt:i4>1835059</vt:i4>
      </vt:variant>
      <vt:variant>
        <vt:i4>182</vt:i4>
      </vt:variant>
      <vt:variant>
        <vt:i4>0</vt:i4>
      </vt:variant>
      <vt:variant>
        <vt:i4>5</vt:i4>
      </vt:variant>
      <vt:variant>
        <vt:lpwstr/>
      </vt:variant>
      <vt:variant>
        <vt:lpwstr>_Toc79071154</vt:lpwstr>
      </vt:variant>
      <vt:variant>
        <vt:i4>1769523</vt:i4>
      </vt:variant>
      <vt:variant>
        <vt:i4>176</vt:i4>
      </vt:variant>
      <vt:variant>
        <vt:i4>0</vt:i4>
      </vt:variant>
      <vt:variant>
        <vt:i4>5</vt:i4>
      </vt:variant>
      <vt:variant>
        <vt:lpwstr/>
      </vt:variant>
      <vt:variant>
        <vt:lpwstr>_Toc79071153</vt:lpwstr>
      </vt:variant>
      <vt:variant>
        <vt:i4>1703987</vt:i4>
      </vt:variant>
      <vt:variant>
        <vt:i4>170</vt:i4>
      </vt:variant>
      <vt:variant>
        <vt:i4>0</vt:i4>
      </vt:variant>
      <vt:variant>
        <vt:i4>5</vt:i4>
      </vt:variant>
      <vt:variant>
        <vt:lpwstr/>
      </vt:variant>
      <vt:variant>
        <vt:lpwstr>_Toc79071152</vt:lpwstr>
      </vt:variant>
      <vt:variant>
        <vt:i4>1638451</vt:i4>
      </vt:variant>
      <vt:variant>
        <vt:i4>164</vt:i4>
      </vt:variant>
      <vt:variant>
        <vt:i4>0</vt:i4>
      </vt:variant>
      <vt:variant>
        <vt:i4>5</vt:i4>
      </vt:variant>
      <vt:variant>
        <vt:lpwstr/>
      </vt:variant>
      <vt:variant>
        <vt:lpwstr>_Toc79071151</vt:lpwstr>
      </vt:variant>
      <vt:variant>
        <vt:i4>1572915</vt:i4>
      </vt:variant>
      <vt:variant>
        <vt:i4>158</vt:i4>
      </vt:variant>
      <vt:variant>
        <vt:i4>0</vt:i4>
      </vt:variant>
      <vt:variant>
        <vt:i4>5</vt:i4>
      </vt:variant>
      <vt:variant>
        <vt:lpwstr/>
      </vt:variant>
      <vt:variant>
        <vt:lpwstr>_Toc79071150</vt:lpwstr>
      </vt:variant>
      <vt:variant>
        <vt:i4>1114162</vt:i4>
      </vt:variant>
      <vt:variant>
        <vt:i4>152</vt:i4>
      </vt:variant>
      <vt:variant>
        <vt:i4>0</vt:i4>
      </vt:variant>
      <vt:variant>
        <vt:i4>5</vt:i4>
      </vt:variant>
      <vt:variant>
        <vt:lpwstr/>
      </vt:variant>
      <vt:variant>
        <vt:lpwstr>_Toc79071149</vt:lpwstr>
      </vt:variant>
      <vt:variant>
        <vt:i4>1048626</vt:i4>
      </vt:variant>
      <vt:variant>
        <vt:i4>146</vt:i4>
      </vt:variant>
      <vt:variant>
        <vt:i4>0</vt:i4>
      </vt:variant>
      <vt:variant>
        <vt:i4>5</vt:i4>
      </vt:variant>
      <vt:variant>
        <vt:lpwstr/>
      </vt:variant>
      <vt:variant>
        <vt:lpwstr>_Toc79071148</vt:lpwstr>
      </vt:variant>
      <vt:variant>
        <vt:i4>2031666</vt:i4>
      </vt:variant>
      <vt:variant>
        <vt:i4>140</vt:i4>
      </vt:variant>
      <vt:variant>
        <vt:i4>0</vt:i4>
      </vt:variant>
      <vt:variant>
        <vt:i4>5</vt:i4>
      </vt:variant>
      <vt:variant>
        <vt:lpwstr/>
      </vt:variant>
      <vt:variant>
        <vt:lpwstr>_Toc79071147</vt:lpwstr>
      </vt:variant>
      <vt:variant>
        <vt:i4>1966130</vt:i4>
      </vt:variant>
      <vt:variant>
        <vt:i4>134</vt:i4>
      </vt:variant>
      <vt:variant>
        <vt:i4>0</vt:i4>
      </vt:variant>
      <vt:variant>
        <vt:i4>5</vt:i4>
      </vt:variant>
      <vt:variant>
        <vt:lpwstr/>
      </vt:variant>
      <vt:variant>
        <vt:lpwstr>_Toc79071146</vt:lpwstr>
      </vt:variant>
      <vt:variant>
        <vt:i4>1900594</vt:i4>
      </vt:variant>
      <vt:variant>
        <vt:i4>128</vt:i4>
      </vt:variant>
      <vt:variant>
        <vt:i4>0</vt:i4>
      </vt:variant>
      <vt:variant>
        <vt:i4>5</vt:i4>
      </vt:variant>
      <vt:variant>
        <vt:lpwstr/>
      </vt:variant>
      <vt:variant>
        <vt:lpwstr>_Toc79071145</vt:lpwstr>
      </vt:variant>
      <vt:variant>
        <vt:i4>1835058</vt:i4>
      </vt:variant>
      <vt:variant>
        <vt:i4>122</vt:i4>
      </vt:variant>
      <vt:variant>
        <vt:i4>0</vt:i4>
      </vt:variant>
      <vt:variant>
        <vt:i4>5</vt:i4>
      </vt:variant>
      <vt:variant>
        <vt:lpwstr/>
      </vt:variant>
      <vt:variant>
        <vt:lpwstr>_Toc79071144</vt:lpwstr>
      </vt:variant>
      <vt:variant>
        <vt:i4>1769522</vt:i4>
      </vt:variant>
      <vt:variant>
        <vt:i4>116</vt:i4>
      </vt:variant>
      <vt:variant>
        <vt:i4>0</vt:i4>
      </vt:variant>
      <vt:variant>
        <vt:i4>5</vt:i4>
      </vt:variant>
      <vt:variant>
        <vt:lpwstr/>
      </vt:variant>
      <vt:variant>
        <vt:lpwstr>_Toc79071143</vt:lpwstr>
      </vt:variant>
      <vt:variant>
        <vt:i4>1703986</vt:i4>
      </vt:variant>
      <vt:variant>
        <vt:i4>110</vt:i4>
      </vt:variant>
      <vt:variant>
        <vt:i4>0</vt:i4>
      </vt:variant>
      <vt:variant>
        <vt:i4>5</vt:i4>
      </vt:variant>
      <vt:variant>
        <vt:lpwstr/>
      </vt:variant>
      <vt:variant>
        <vt:lpwstr>_Toc79071142</vt:lpwstr>
      </vt:variant>
      <vt:variant>
        <vt:i4>1638450</vt:i4>
      </vt:variant>
      <vt:variant>
        <vt:i4>104</vt:i4>
      </vt:variant>
      <vt:variant>
        <vt:i4>0</vt:i4>
      </vt:variant>
      <vt:variant>
        <vt:i4>5</vt:i4>
      </vt:variant>
      <vt:variant>
        <vt:lpwstr/>
      </vt:variant>
      <vt:variant>
        <vt:lpwstr>_Toc79071141</vt:lpwstr>
      </vt:variant>
      <vt:variant>
        <vt:i4>1572914</vt:i4>
      </vt:variant>
      <vt:variant>
        <vt:i4>98</vt:i4>
      </vt:variant>
      <vt:variant>
        <vt:i4>0</vt:i4>
      </vt:variant>
      <vt:variant>
        <vt:i4>5</vt:i4>
      </vt:variant>
      <vt:variant>
        <vt:lpwstr/>
      </vt:variant>
      <vt:variant>
        <vt:lpwstr>_Toc79071140</vt:lpwstr>
      </vt:variant>
      <vt:variant>
        <vt:i4>1114165</vt:i4>
      </vt:variant>
      <vt:variant>
        <vt:i4>92</vt:i4>
      </vt:variant>
      <vt:variant>
        <vt:i4>0</vt:i4>
      </vt:variant>
      <vt:variant>
        <vt:i4>5</vt:i4>
      </vt:variant>
      <vt:variant>
        <vt:lpwstr/>
      </vt:variant>
      <vt:variant>
        <vt:lpwstr>_Toc79071139</vt:lpwstr>
      </vt:variant>
      <vt:variant>
        <vt:i4>1048629</vt:i4>
      </vt:variant>
      <vt:variant>
        <vt:i4>86</vt:i4>
      </vt:variant>
      <vt:variant>
        <vt:i4>0</vt:i4>
      </vt:variant>
      <vt:variant>
        <vt:i4>5</vt:i4>
      </vt:variant>
      <vt:variant>
        <vt:lpwstr/>
      </vt:variant>
      <vt:variant>
        <vt:lpwstr>_Toc79071138</vt:lpwstr>
      </vt:variant>
      <vt:variant>
        <vt:i4>2031669</vt:i4>
      </vt:variant>
      <vt:variant>
        <vt:i4>80</vt:i4>
      </vt:variant>
      <vt:variant>
        <vt:i4>0</vt:i4>
      </vt:variant>
      <vt:variant>
        <vt:i4>5</vt:i4>
      </vt:variant>
      <vt:variant>
        <vt:lpwstr/>
      </vt:variant>
      <vt:variant>
        <vt:lpwstr>_Toc79071137</vt:lpwstr>
      </vt:variant>
      <vt:variant>
        <vt:i4>1966133</vt:i4>
      </vt:variant>
      <vt:variant>
        <vt:i4>74</vt:i4>
      </vt:variant>
      <vt:variant>
        <vt:i4>0</vt:i4>
      </vt:variant>
      <vt:variant>
        <vt:i4>5</vt:i4>
      </vt:variant>
      <vt:variant>
        <vt:lpwstr/>
      </vt:variant>
      <vt:variant>
        <vt:lpwstr>_Toc79071136</vt:lpwstr>
      </vt:variant>
      <vt:variant>
        <vt:i4>1900597</vt:i4>
      </vt:variant>
      <vt:variant>
        <vt:i4>68</vt:i4>
      </vt:variant>
      <vt:variant>
        <vt:i4>0</vt:i4>
      </vt:variant>
      <vt:variant>
        <vt:i4>5</vt:i4>
      </vt:variant>
      <vt:variant>
        <vt:lpwstr/>
      </vt:variant>
      <vt:variant>
        <vt:lpwstr>_Toc79071135</vt:lpwstr>
      </vt:variant>
      <vt:variant>
        <vt:i4>1835061</vt:i4>
      </vt:variant>
      <vt:variant>
        <vt:i4>62</vt:i4>
      </vt:variant>
      <vt:variant>
        <vt:i4>0</vt:i4>
      </vt:variant>
      <vt:variant>
        <vt:i4>5</vt:i4>
      </vt:variant>
      <vt:variant>
        <vt:lpwstr/>
      </vt:variant>
      <vt:variant>
        <vt:lpwstr>_Toc79071134</vt:lpwstr>
      </vt:variant>
      <vt:variant>
        <vt:i4>1769525</vt:i4>
      </vt:variant>
      <vt:variant>
        <vt:i4>56</vt:i4>
      </vt:variant>
      <vt:variant>
        <vt:i4>0</vt:i4>
      </vt:variant>
      <vt:variant>
        <vt:i4>5</vt:i4>
      </vt:variant>
      <vt:variant>
        <vt:lpwstr/>
      </vt:variant>
      <vt:variant>
        <vt:lpwstr>_Toc79071133</vt:lpwstr>
      </vt:variant>
      <vt:variant>
        <vt:i4>1703989</vt:i4>
      </vt:variant>
      <vt:variant>
        <vt:i4>50</vt:i4>
      </vt:variant>
      <vt:variant>
        <vt:i4>0</vt:i4>
      </vt:variant>
      <vt:variant>
        <vt:i4>5</vt:i4>
      </vt:variant>
      <vt:variant>
        <vt:lpwstr/>
      </vt:variant>
      <vt:variant>
        <vt:lpwstr>_Toc79071132</vt:lpwstr>
      </vt:variant>
      <vt:variant>
        <vt:i4>1638453</vt:i4>
      </vt:variant>
      <vt:variant>
        <vt:i4>44</vt:i4>
      </vt:variant>
      <vt:variant>
        <vt:i4>0</vt:i4>
      </vt:variant>
      <vt:variant>
        <vt:i4>5</vt:i4>
      </vt:variant>
      <vt:variant>
        <vt:lpwstr/>
      </vt:variant>
      <vt:variant>
        <vt:lpwstr>_Toc79071131</vt:lpwstr>
      </vt:variant>
      <vt:variant>
        <vt:i4>1572917</vt:i4>
      </vt:variant>
      <vt:variant>
        <vt:i4>38</vt:i4>
      </vt:variant>
      <vt:variant>
        <vt:i4>0</vt:i4>
      </vt:variant>
      <vt:variant>
        <vt:i4>5</vt:i4>
      </vt:variant>
      <vt:variant>
        <vt:lpwstr/>
      </vt:variant>
      <vt:variant>
        <vt:lpwstr>_Toc79071130</vt:lpwstr>
      </vt:variant>
      <vt:variant>
        <vt:i4>1114164</vt:i4>
      </vt:variant>
      <vt:variant>
        <vt:i4>32</vt:i4>
      </vt:variant>
      <vt:variant>
        <vt:i4>0</vt:i4>
      </vt:variant>
      <vt:variant>
        <vt:i4>5</vt:i4>
      </vt:variant>
      <vt:variant>
        <vt:lpwstr/>
      </vt:variant>
      <vt:variant>
        <vt:lpwstr>_Toc79071129</vt:lpwstr>
      </vt:variant>
      <vt:variant>
        <vt:i4>1048628</vt:i4>
      </vt:variant>
      <vt:variant>
        <vt:i4>26</vt:i4>
      </vt:variant>
      <vt:variant>
        <vt:i4>0</vt:i4>
      </vt:variant>
      <vt:variant>
        <vt:i4>5</vt:i4>
      </vt:variant>
      <vt:variant>
        <vt:lpwstr/>
      </vt:variant>
      <vt:variant>
        <vt:lpwstr>_Toc79071128</vt:lpwstr>
      </vt:variant>
      <vt:variant>
        <vt:i4>2031668</vt:i4>
      </vt:variant>
      <vt:variant>
        <vt:i4>20</vt:i4>
      </vt:variant>
      <vt:variant>
        <vt:i4>0</vt:i4>
      </vt:variant>
      <vt:variant>
        <vt:i4>5</vt:i4>
      </vt:variant>
      <vt:variant>
        <vt:lpwstr/>
      </vt:variant>
      <vt:variant>
        <vt:lpwstr>_Toc79071127</vt:lpwstr>
      </vt:variant>
      <vt:variant>
        <vt:i4>1966132</vt:i4>
      </vt:variant>
      <vt:variant>
        <vt:i4>14</vt:i4>
      </vt:variant>
      <vt:variant>
        <vt:i4>0</vt:i4>
      </vt:variant>
      <vt:variant>
        <vt:i4>5</vt:i4>
      </vt:variant>
      <vt:variant>
        <vt:lpwstr/>
      </vt:variant>
      <vt:variant>
        <vt:lpwstr>_Toc79071126</vt:lpwstr>
      </vt:variant>
      <vt:variant>
        <vt:i4>1900596</vt:i4>
      </vt:variant>
      <vt:variant>
        <vt:i4>8</vt:i4>
      </vt:variant>
      <vt:variant>
        <vt:i4>0</vt:i4>
      </vt:variant>
      <vt:variant>
        <vt:i4>5</vt:i4>
      </vt:variant>
      <vt:variant>
        <vt:lpwstr/>
      </vt:variant>
      <vt:variant>
        <vt:lpwstr>_Toc79071125</vt:lpwstr>
      </vt:variant>
      <vt:variant>
        <vt:i4>6815822</vt:i4>
      </vt:variant>
      <vt:variant>
        <vt:i4>3</vt:i4>
      </vt:variant>
      <vt:variant>
        <vt:i4>0</vt:i4>
      </vt:variant>
      <vt:variant>
        <vt:i4>5</vt:i4>
      </vt:variant>
      <vt:variant>
        <vt:lpwstr>mailto:sga.clogsustentab@agu.gov.br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Alexandre Luiz da Silva Veiga</cp:lastModifiedBy>
  <cp:revision>24</cp:revision>
  <cp:lastPrinted>2022-04-29T15:43:00Z</cp:lastPrinted>
  <dcterms:created xsi:type="dcterms:W3CDTF">2022-08-24T18:31:00Z</dcterms:created>
  <dcterms:modified xsi:type="dcterms:W3CDTF">2022-09-14T13:16:00Z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0x010100E7BA380DD0C33F43B1C41C9915400D97</vt:lpwstr>
  </property>
  <property fmtid="{D5CDD505-2E9C-101B-9397-08002B2CF9AE}" pid="3" name="AuthorIds_UIVersion_2048">
    <vt:lpwstr>11</vt:lpwstr>
  </property>
</Properties>
</file>