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A0F4C" w14:textId="740BB313" w:rsidR="00EB116B" w:rsidRDefault="00DB19FC">
      <w:r>
        <w:rPr>
          <w:noProof/>
          <w:lang w:eastAsia="pt-BR"/>
        </w:rPr>
        <w:drawing>
          <wp:anchor distT="0" distB="0" distL="114300" distR="114300" simplePos="0" relativeHeight="251707392" behindDoc="1" locked="0" layoutInCell="1" allowOverlap="1" wp14:anchorId="326C4A17" wp14:editId="3AF331E8">
            <wp:simplePos x="0" y="0"/>
            <wp:positionH relativeFrom="column">
              <wp:posOffset>-914400</wp:posOffset>
            </wp:positionH>
            <wp:positionV relativeFrom="margin">
              <wp:posOffset>-1072988</wp:posOffset>
            </wp:positionV>
            <wp:extent cx="7559675" cy="10689590"/>
            <wp:effectExtent l="0" t="0" r="317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r w:rsidR="00CE1024">
        <w:rPr>
          <w:noProof/>
          <w:lang w:eastAsia="pt-BR"/>
        </w:rPr>
        <mc:AlternateContent>
          <mc:Choice Requires="wps">
            <w:drawing>
              <wp:anchor distT="0" distB="0" distL="114300" distR="114300" simplePos="0" relativeHeight="251660288" behindDoc="0" locked="0" layoutInCell="1" allowOverlap="1" wp14:anchorId="093E3707" wp14:editId="7FE1D250">
                <wp:simplePos x="0" y="0"/>
                <wp:positionH relativeFrom="column">
                  <wp:posOffset>1885950</wp:posOffset>
                </wp:positionH>
                <wp:positionV relativeFrom="paragraph">
                  <wp:posOffset>6371854</wp:posOffset>
                </wp:positionV>
                <wp:extent cx="3990975" cy="113347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90975" cy="1133475"/>
                        </a:xfrm>
                        <a:prstGeom prst="rect">
                          <a:avLst/>
                        </a:prstGeom>
                        <a:noFill/>
                        <a:ln w="6350">
                          <a:noFill/>
                        </a:ln>
                      </wps:spPr>
                      <wps:txbx>
                        <w:txbxContent>
                          <w:p w14:paraId="68620782" w14:textId="44352D56" w:rsidR="00EB116B" w:rsidRPr="00ED285A" w:rsidRDefault="00EB116B">
                            <w:pPr>
                              <w:rPr>
                                <w:rFonts w:ascii="Arial" w:hAnsi="Arial" w:cs="Arial"/>
                                <w:color w:val="FFFFFF" w:themeColor="background1"/>
                              </w:rPr>
                            </w:pPr>
                            <w:r w:rsidRPr="00ED285A">
                              <w:rPr>
                                <w:rFonts w:ascii="Arial" w:hAnsi="Arial" w:cs="Arial"/>
                                <w:b/>
                                <w:bCs/>
                                <w:color w:val="FFFFFF" w:themeColor="background1"/>
                                <w:sz w:val="50"/>
                                <w:szCs w:val="50"/>
                              </w:rPr>
                              <w:t>Contratação emergencial</w:t>
                            </w:r>
                            <w:r w:rsidRPr="00ED285A">
                              <w:rPr>
                                <w:rFonts w:ascii="Arial" w:hAnsi="Arial" w:cs="Arial"/>
                                <w:color w:val="FFFFFF" w:themeColor="background1"/>
                              </w:rPr>
                              <w:br/>
                            </w:r>
                            <w:r w:rsidRPr="00ED285A">
                              <w:rPr>
                                <w:rFonts w:ascii="Arial" w:hAnsi="Arial" w:cs="Arial"/>
                                <w:color w:val="FFFFFF" w:themeColor="background1"/>
                                <w:sz w:val="44"/>
                                <w:szCs w:val="44"/>
                              </w:rPr>
                              <w:t>SEM SRP</w:t>
                            </w:r>
                            <w:r w:rsidRPr="00ED285A">
                              <w:rPr>
                                <w:rFonts w:ascii="Arial" w:hAnsi="Arial" w:cs="Arial"/>
                                <w:color w:val="FFFFFF" w:themeColor="background1"/>
                                <w:sz w:val="44"/>
                                <w:szCs w:val="44"/>
                              </w:rPr>
                              <w:br/>
                              <w:t xml:space="preserve">Lei </w:t>
                            </w:r>
                            <w:r w:rsidR="00F053EC">
                              <w:rPr>
                                <w:rFonts w:ascii="Arial" w:hAnsi="Arial" w:cs="Arial"/>
                                <w:color w:val="FFFFFF" w:themeColor="background1"/>
                                <w:sz w:val="44"/>
                                <w:szCs w:val="44"/>
                              </w:rPr>
                              <w:t xml:space="preserve">n° </w:t>
                            </w:r>
                            <w:r w:rsidRPr="00ED285A">
                              <w:rPr>
                                <w:rFonts w:ascii="Arial" w:hAnsi="Arial" w:cs="Arial"/>
                                <w:color w:val="FFFFFF" w:themeColor="background1"/>
                                <w:sz w:val="44"/>
                                <w:szCs w:val="44"/>
                              </w:rPr>
                              <w:t>14.133</w:t>
                            </w:r>
                            <w:r w:rsidR="00F053EC">
                              <w:rPr>
                                <w:rFonts w:ascii="Arial" w:hAnsi="Arial" w:cs="Arial"/>
                                <w:color w:val="FFFFFF" w:themeColor="background1"/>
                                <w:sz w:val="44"/>
                                <w:szCs w:val="44"/>
                              </w:rPr>
                              <w:t>/</w:t>
                            </w:r>
                            <w:r w:rsidRPr="00ED285A">
                              <w:rPr>
                                <w:rFonts w:ascii="Arial" w:hAnsi="Arial" w:cs="Arial"/>
                                <w:color w:val="FFFFFF" w:themeColor="background1"/>
                                <w:sz w:val="44"/>
                                <w:szCs w:val="4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3E3707" id="_x0000_t202" coordsize="21600,21600" o:spt="202" path="m,l,21600r21600,l21600,xe">
                <v:stroke joinstyle="miter"/>
                <v:path gradientshapeok="t" o:connecttype="rect"/>
              </v:shapetype>
              <v:shape id="Caixa de Texto 3" o:spid="_x0000_s1026" type="#_x0000_t202" style="position:absolute;margin-left:148.5pt;margin-top:501.7pt;width:314.25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" filled="f" stroked="f" strokeweight=".5pt">
                <v:textbox>
                  <w:txbxContent>
                    <w:p w14:paraId="68620782" w14:textId="44352D56" w:rsidR="00EB116B" w:rsidRPr="00ED285A" w:rsidRDefault="00EB116B">
                      <w:pPr>
                        <w:rPr>
                          <w:rFonts w:ascii="Arial" w:hAnsi="Arial" w:cs="Arial"/>
                          <w:color w:val="FFFFFF" w:themeColor="background1"/>
                        </w:rPr>
                      </w:pPr>
                      <w:r w:rsidRPr="00ED285A">
                        <w:rPr>
                          <w:rFonts w:ascii="Arial" w:hAnsi="Arial" w:cs="Arial"/>
                          <w:b/>
                          <w:bCs/>
                          <w:color w:val="FFFFFF" w:themeColor="background1"/>
                          <w:sz w:val="50"/>
                          <w:szCs w:val="50"/>
                        </w:rPr>
                        <w:t>Contratação emergencial</w:t>
                      </w:r>
                      <w:r w:rsidRPr="00ED285A">
                        <w:rPr>
                          <w:rFonts w:ascii="Arial" w:hAnsi="Arial" w:cs="Arial"/>
                          <w:color w:val="FFFFFF" w:themeColor="background1"/>
                        </w:rPr>
                        <w:br/>
                      </w:r>
                      <w:r w:rsidRPr="00ED285A">
                        <w:rPr>
                          <w:rFonts w:ascii="Arial" w:hAnsi="Arial" w:cs="Arial"/>
                          <w:color w:val="FFFFFF" w:themeColor="background1"/>
                          <w:sz w:val="44"/>
                          <w:szCs w:val="44"/>
                        </w:rPr>
                        <w:t>SEM SRP</w:t>
                      </w:r>
                      <w:r w:rsidRPr="00ED285A">
                        <w:rPr>
                          <w:rFonts w:ascii="Arial" w:hAnsi="Arial" w:cs="Arial"/>
                          <w:color w:val="FFFFFF" w:themeColor="background1"/>
                          <w:sz w:val="44"/>
                          <w:szCs w:val="44"/>
                        </w:rPr>
                        <w:br/>
                        <w:t xml:space="preserve">Lei </w:t>
                      </w:r>
                      <w:r w:rsidR="00F053EC">
                        <w:rPr>
                          <w:rFonts w:ascii="Arial" w:hAnsi="Arial" w:cs="Arial"/>
                          <w:color w:val="FFFFFF" w:themeColor="background1"/>
                          <w:sz w:val="44"/>
                          <w:szCs w:val="44"/>
                        </w:rPr>
                        <w:t xml:space="preserve">n° </w:t>
                      </w:r>
                      <w:r w:rsidRPr="00ED285A">
                        <w:rPr>
                          <w:rFonts w:ascii="Arial" w:hAnsi="Arial" w:cs="Arial"/>
                          <w:color w:val="FFFFFF" w:themeColor="background1"/>
                          <w:sz w:val="44"/>
                          <w:szCs w:val="44"/>
                        </w:rPr>
                        <w:t>14.133</w:t>
                      </w:r>
                      <w:r w:rsidR="00F053EC">
                        <w:rPr>
                          <w:rFonts w:ascii="Arial" w:hAnsi="Arial" w:cs="Arial"/>
                          <w:color w:val="FFFFFF" w:themeColor="background1"/>
                          <w:sz w:val="44"/>
                          <w:szCs w:val="44"/>
                        </w:rPr>
                        <w:t>/</w:t>
                      </w:r>
                      <w:r w:rsidRPr="00ED285A">
                        <w:rPr>
                          <w:rFonts w:ascii="Arial" w:hAnsi="Arial" w:cs="Arial"/>
                          <w:color w:val="FFFFFF" w:themeColor="background1"/>
                          <w:sz w:val="44"/>
                          <w:szCs w:val="44"/>
                        </w:rPr>
                        <w:t>2021</w:t>
                      </w:r>
                    </w:p>
                  </w:txbxContent>
                </v:textbox>
              </v:shape>
            </w:pict>
          </mc:Fallback>
        </mc:AlternateContent>
      </w:r>
      <w:r w:rsidR="0015045D">
        <w:rPr>
          <w:noProof/>
          <w:lang w:eastAsia="pt-BR"/>
        </w:rPr>
        <w:drawing>
          <wp:anchor distT="0" distB="0" distL="114300" distR="114300" simplePos="0" relativeHeight="251708416" behindDoc="1" locked="0" layoutInCell="1" allowOverlap="1" wp14:anchorId="1C00D053" wp14:editId="634EC9F8">
            <wp:simplePos x="0" y="0"/>
            <wp:positionH relativeFrom="margin">
              <wp:posOffset>2442845</wp:posOffset>
            </wp:positionH>
            <wp:positionV relativeFrom="paragraph">
              <wp:posOffset>9039225</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15045D">
        <w:rPr>
          <w:noProof/>
        </w:rPr>
        <w:t xml:space="preserve">  </w:t>
      </w:r>
      <w:r w:rsidR="00EB116B">
        <w:br w:type="page"/>
      </w:r>
    </w:p>
    <w:p w14:paraId="74659B53" w14:textId="7C85E1A3" w:rsidR="00A850AD" w:rsidRDefault="00520060" w:rsidP="00A850AD">
      <w:pPr>
        <w:rPr>
          <w:color w:val="FFFFFF" w:themeColor="background1"/>
        </w:rPr>
      </w:pPr>
      <w:r>
        <w:rPr>
          <w:noProof/>
          <w:lang w:eastAsia="pt-BR"/>
        </w:rPr>
        <w:lastRenderedPageBreak/>
        <mc:AlternateContent>
          <mc:Choice Requires="wps">
            <w:drawing>
              <wp:anchor distT="0" distB="0" distL="114300" distR="114300" simplePos="0" relativeHeight="251663360" behindDoc="0" locked="0" layoutInCell="1" allowOverlap="1" wp14:anchorId="71B3D532" wp14:editId="73597227">
                <wp:simplePos x="0" y="0"/>
                <wp:positionH relativeFrom="column">
                  <wp:posOffset>9525</wp:posOffset>
                </wp:positionH>
                <wp:positionV relativeFrom="paragraph">
                  <wp:posOffset>209550</wp:posOffset>
                </wp:positionV>
                <wp:extent cx="6299835" cy="4143375"/>
                <wp:effectExtent l="19050" t="19050" r="24765" b="28575"/>
                <wp:wrapNone/>
                <wp:docPr id="11" name="Retângulo: Cantos Arredondados 11"/>
                <wp:cNvGraphicFramePr/>
                <a:graphic xmlns:a="http://schemas.openxmlformats.org/drawingml/2006/main">
                  <a:graphicData uri="http://schemas.microsoft.com/office/word/2010/wordprocessingShape">
                    <wps:wsp>
                      <wps:cNvSpPr/>
                      <wps:spPr>
                        <a:xfrm>
                          <a:off x="0" y="0"/>
                          <a:ext cx="6299835" cy="4143375"/>
                        </a:xfrm>
                        <a:prstGeom prst="roundRect">
                          <a:avLst>
                            <a:gd name="adj" fmla="val 295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2B4FAB94"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pretende uniformizar a atuação consultiva </w:t>
                            </w:r>
                            <w:r w:rsidRPr="00A850AD">
                              <w:rPr>
                                <w:rFonts w:ascii="Arial" w:eastAsia="Times New Roman" w:hAnsi="Arial" w:cs="Arial"/>
                                <w:color w:val="FFFFFF" w:themeColor="background1"/>
                                <w:sz w:val="20"/>
                                <w:szCs w:val="20"/>
                              </w:rPr>
                              <w:br/>
                              <w:t>no âmbito da Procuradoria-Geral Federal.</w:t>
                            </w:r>
                          </w:p>
                          <w:p w14:paraId="2A760FE7"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0E4CE12B"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Os pareceres estão em permanente aperfeiçoamento pela Câmara </w:t>
                            </w:r>
                            <w:r w:rsidRPr="00A850AD">
                              <w:rPr>
                                <w:rFonts w:ascii="Arial" w:eastAsia="Times New Roman" w:hAnsi="Arial" w:cs="Arial"/>
                                <w:color w:val="FFFFFF" w:themeColor="background1"/>
                                <w:sz w:val="20"/>
                                <w:szCs w:val="20"/>
                              </w:rPr>
                              <w:br/>
                              <w:t>Permanente de Uniformização de Entendimentos Consultivos da PGF.</w:t>
                            </w:r>
                          </w:p>
                          <w:p w14:paraId="3666F6B4"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27132731"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O modelo foi elaborado pensando-se razoavelmente em tudo que pode </w:t>
                            </w:r>
                            <w:r w:rsidRPr="00A850AD">
                              <w:rPr>
                                <w:rFonts w:ascii="Arial" w:eastAsia="Calibri" w:hAnsi="Arial" w:cs="Arial"/>
                                <w:color w:val="FFFFFF" w:themeColor="background1"/>
                                <w:sz w:val="20"/>
                                <w:szCs w:val="20"/>
                              </w:rPr>
                              <w:br/>
                              <w:t xml:space="preserve">ser objeto de recomendação em um processo, de modo que nem sempre </w:t>
                            </w:r>
                            <w:r w:rsidRPr="00A850AD">
                              <w:rPr>
                                <w:rFonts w:ascii="Arial" w:eastAsia="Calibri" w:hAnsi="Arial" w:cs="Arial"/>
                                <w:color w:val="FFFFFF" w:themeColor="background1"/>
                                <w:sz w:val="20"/>
                                <w:szCs w:val="20"/>
                              </w:rPr>
                              <w:br/>
                              <w:t xml:space="preserve">precisará ser adotado de maneira integral. Recomenda-se que seja objeto </w:t>
                            </w:r>
                            <w:r w:rsidRPr="00A850AD">
                              <w:rPr>
                                <w:rFonts w:ascii="Arial" w:eastAsia="Calibri" w:hAnsi="Arial" w:cs="Arial"/>
                                <w:color w:val="FFFFFF" w:themeColor="background1"/>
                                <w:sz w:val="20"/>
                                <w:szCs w:val="20"/>
                              </w:rPr>
                              <w:br/>
                              <w:t xml:space="preserve">de avaliação crítica, pela Procuradoria Federal junto à Autarquia ou </w:t>
                            </w:r>
                            <w:r w:rsidRPr="00A850AD">
                              <w:rPr>
                                <w:rFonts w:ascii="Arial" w:eastAsia="Calibri" w:hAnsi="Arial" w:cs="Arial"/>
                                <w:color w:val="FFFFFF" w:themeColor="background1"/>
                                <w:sz w:val="20"/>
                                <w:szCs w:val="20"/>
                              </w:rPr>
                              <w:br/>
                              <w:t xml:space="preserve">Fundação Pública Federal, de acordo com as peculiaridades da entidade, </w:t>
                            </w:r>
                            <w:r w:rsidRPr="00A850AD">
                              <w:rPr>
                                <w:rFonts w:ascii="Arial" w:eastAsia="Calibri" w:hAnsi="Arial" w:cs="Arial"/>
                                <w:color w:val="FFFFFF" w:themeColor="background1"/>
                                <w:sz w:val="20"/>
                                <w:szCs w:val="20"/>
                              </w:rPr>
                              <w:br/>
                              <w:t xml:space="preserve">para excluir ou adaptar os trechos que abordam temas sobre os quais o </w:t>
                            </w:r>
                            <w:r w:rsidRPr="00A850AD">
                              <w:rPr>
                                <w:rFonts w:ascii="Arial" w:eastAsia="Calibri" w:hAnsi="Arial" w:cs="Arial"/>
                                <w:color w:val="FFFFFF" w:themeColor="background1"/>
                                <w:sz w:val="20"/>
                                <w:szCs w:val="20"/>
                              </w:rPr>
                              <w:br/>
                              <w:t>órgão consulente já tenha maturidade.</w:t>
                            </w:r>
                          </w:p>
                          <w:p w14:paraId="24D34770"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586855D9"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Após a devida personalização, recomenda-se seja cadastrado como </w:t>
                            </w:r>
                            <w:r w:rsidRPr="00A850AD">
                              <w:rPr>
                                <w:rFonts w:ascii="Arial" w:eastAsia="Calibri" w:hAnsi="Arial" w:cs="Arial"/>
                                <w:color w:val="FFFFFF" w:themeColor="background1"/>
                                <w:sz w:val="20"/>
                                <w:szCs w:val="20"/>
                              </w:rPr>
                              <w:br/>
                              <w:t>modelo local no SAPIENS, mais adequado a cada realidade.</w:t>
                            </w:r>
                          </w:p>
                          <w:p w14:paraId="35B24E95"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147D816C"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Destaca-se, no entanto, que somente o Procurador Federal oficiante, </w:t>
                            </w:r>
                            <w:r w:rsidRPr="00A850AD">
                              <w:rPr>
                                <w:rFonts w:ascii="Arial" w:eastAsia="Times New Roman" w:hAnsi="Arial" w:cs="Arial"/>
                                <w:color w:val="FFFFFF" w:themeColor="background1"/>
                                <w:sz w:val="20"/>
                                <w:szCs w:val="20"/>
                              </w:rPr>
                              <w:br/>
                              <w:t xml:space="preserve">no exercício de sua autonomia funcional, poderá avaliar a pertinência </w:t>
                            </w:r>
                            <w:r w:rsidRPr="00A850AD">
                              <w:rPr>
                                <w:rFonts w:ascii="Arial" w:eastAsia="Times New Roman" w:hAnsi="Arial" w:cs="Arial"/>
                                <w:color w:val="FFFFFF" w:themeColor="background1"/>
                                <w:sz w:val="20"/>
                                <w:szCs w:val="20"/>
                              </w:rPr>
                              <w:br/>
                              <w:t xml:space="preserve">de manter os textos integralmente ou a necessidade de inclusão de </w:t>
                            </w:r>
                            <w:r w:rsidRPr="00A850AD">
                              <w:rPr>
                                <w:rFonts w:ascii="Arial" w:eastAsia="Times New Roman"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3D532" id="Retângulo: Cantos Arredondados 11" o:spid="_x0000_s1027" style="position:absolute;margin-left:.75pt;margin-top:16.5pt;width:496.05pt;height:3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" filled="f" strokecolor="#f93" strokeweight="2.25pt">
                <v:stroke joinstyle="miter"/>
                <v:textbox>
                  <w:txbxContent>
                    <w:p w14:paraId="2B4FAB94"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pretende uniformizar a atuação consultiva </w:t>
                      </w:r>
                      <w:r w:rsidRPr="00A850AD">
                        <w:rPr>
                          <w:rFonts w:ascii="Arial" w:eastAsia="Times New Roman" w:hAnsi="Arial" w:cs="Arial"/>
                          <w:color w:val="FFFFFF" w:themeColor="background1"/>
                          <w:sz w:val="20"/>
                          <w:szCs w:val="20"/>
                        </w:rPr>
                        <w:br/>
                        <w:t>no âmbito da Procuradoria-Geral Federal.</w:t>
                      </w:r>
                    </w:p>
                    <w:p w14:paraId="2A760FE7"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0E4CE12B"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Os pareceres estão em permanente aperfeiçoamento pela Câmara </w:t>
                      </w:r>
                      <w:r w:rsidRPr="00A850AD">
                        <w:rPr>
                          <w:rFonts w:ascii="Arial" w:eastAsia="Times New Roman" w:hAnsi="Arial" w:cs="Arial"/>
                          <w:color w:val="FFFFFF" w:themeColor="background1"/>
                          <w:sz w:val="20"/>
                          <w:szCs w:val="20"/>
                        </w:rPr>
                        <w:br/>
                        <w:t>Permanente de Uniformização de Entendimentos Consultivos da PGF.</w:t>
                      </w:r>
                    </w:p>
                    <w:p w14:paraId="3666F6B4"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27132731"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O modelo foi elaborado pensando-se razoavelmente em tudo que pode </w:t>
                      </w:r>
                      <w:r w:rsidRPr="00A850AD">
                        <w:rPr>
                          <w:rFonts w:ascii="Arial" w:eastAsia="Calibri" w:hAnsi="Arial" w:cs="Arial"/>
                          <w:color w:val="FFFFFF" w:themeColor="background1"/>
                          <w:sz w:val="20"/>
                          <w:szCs w:val="20"/>
                        </w:rPr>
                        <w:br/>
                        <w:t xml:space="preserve">ser objeto de recomendação em um processo, de modo que nem sempre </w:t>
                      </w:r>
                      <w:r w:rsidRPr="00A850AD">
                        <w:rPr>
                          <w:rFonts w:ascii="Arial" w:eastAsia="Calibri" w:hAnsi="Arial" w:cs="Arial"/>
                          <w:color w:val="FFFFFF" w:themeColor="background1"/>
                          <w:sz w:val="20"/>
                          <w:szCs w:val="20"/>
                        </w:rPr>
                        <w:br/>
                        <w:t xml:space="preserve">precisará ser adotado de maneira integral. Recomenda-se que seja objeto </w:t>
                      </w:r>
                      <w:r w:rsidRPr="00A850AD">
                        <w:rPr>
                          <w:rFonts w:ascii="Arial" w:eastAsia="Calibri" w:hAnsi="Arial" w:cs="Arial"/>
                          <w:color w:val="FFFFFF" w:themeColor="background1"/>
                          <w:sz w:val="20"/>
                          <w:szCs w:val="20"/>
                        </w:rPr>
                        <w:br/>
                        <w:t xml:space="preserve">de avaliação crítica, pela Procuradoria Federal junto à Autarquia ou </w:t>
                      </w:r>
                      <w:r w:rsidRPr="00A850AD">
                        <w:rPr>
                          <w:rFonts w:ascii="Arial" w:eastAsia="Calibri" w:hAnsi="Arial" w:cs="Arial"/>
                          <w:color w:val="FFFFFF" w:themeColor="background1"/>
                          <w:sz w:val="20"/>
                          <w:szCs w:val="20"/>
                        </w:rPr>
                        <w:br/>
                        <w:t xml:space="preserve">Fundação Pública Federal, de acordo com as peculiaridades da entidade, </w:t>
                      </w:r>
                      <w:r w:rsidRPr="00A850AD">
                        <w:rPr>
                          <w:rFonts w:ascii="Arial" w:eastAsia="Calibri" w:hAnsi="Arial" w:cs="Arial"/>
                          <w:color w:val="FFFFFF" w:themeColor="background1"/>
                          <w:sz w:val="20"/>
                          <w:szCs w:val="20"/>
                        </w:rPr>
                        <w:br/>
                        <w:t xml:space="preserve">para excluir ou adaptar os trechos que abordam temas sobre os quais o </w:t>
                      </w:r>
                      <w:r w:rsidRPr="00A850AD">
                        <w:rPr>
                          <w:rFonts w:ascii="Arial" w:eastAsia="Calibri" w:hAnsi="Arial" w:cs="Arial"/>
                          <w:color w:val="FFFFFF" w:themeColor="background1"/>
                          <w:sz w:val="20"/>
                          <w:szCs w:val="20"/>
                        </w:rPr>
                        <w:br/>
                        <w:t>órgão consulente já tenha maturidade.</w:t>
                      </w:r>
                    </w:p>
                    <w:p w14:paraId="24D34770"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586855D9"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Calibri" w:hAnsi="Arial" w:cs="Arial"/>
                          <w:color w:val="FFFFFF" w:themeColor="background1"/>
                          <w:sz w:val="20"/>
                          <w:szCs w:val="20"/>
                        </w:rPr>
                        <w:t xml:space="preserve">Após a devida personalização, recomenda-se seja cadastrado como </w:t>
                      </w:r>
                      <w:r w:rsidRPr="00A850AD">
                        <w:rPr>
                          <w:rFonts w:ascii="Arial" w:eastAsia="Calibri" w:hAnsi="Arial" w:cs="Arial"/>
                          <w:color w:val="FFFFFF" w:themeColor="background1"/>
                          <w:sz w:val="20"/>
                          <w:szCs w:val="20"/>
                        </w:rPr>
                        <w:br/>
                        <w:t>modelo local no SAPIENS, mais adequado a cada realidade.</w:t>
                      </w:r>
                    </w:p>
                    <w:p w14:paraId="35B24E95" w14:textId="77777777" w:rsidR="00A850AD" w:rsidRPr="00A850AD" w:rsidRDefault="00A850AD" w:rsidP="00A850AD">
                      <w:pPr>
                        <w:pStyle w:val="PargrafodaLista"/>
                        <w:ind w:left="2410"/>
                        <w:rPr>
                          <w:rFonts w:ascii="Arial" w:eastAsia="Times New Roman" w:hAnsi="Arial" w:cs="Arial"/>
                          <w:color w:val="FFFFFF" w:themeColor="background1"/>
                          <w:sz w:val="20"/>
                          <w:szCs w:val="20"/>
                        </w:rPr>
                      </w:pPr>
                    </w:p>
                    <w:p w14:paraId="147D816C" w14:textId="77777777" w:rsidR="00A850AD" w:rsidRPr="00A850AD" w:rsidRDefault="00A850AD" w:rsidP="00040C45">
                      <w:pPr>
                        <w:pStyle w:val="PargrafodaLista"/>
                        <w:numPr>
                          <w:ilvl w:val="0"/>
                          <w:numId w:val="13"/>
                        </w:numPr>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Destaca-se, no entanto, que somente o Procurador Federal oficiante, </w:t>
                      </w:r>
                      <w:r w:rsidRPr="00A850AD">
                        <w:rPr>
                          <w:rFonts w:ascii="Arial" w:eastAsia="Times New Roman" w:hAnsi="Arial" w:cs="Arial"/>
                          <w:color w:val="FFFFFF" w:themeColor="background1"/>
                          <w:sz w:val="20"/>
                          <w:szCs w:val="20"/>
                        </w:rPr>
                        <w:br/>
                        <w:t xml:space="preserve">no exercício de sua autonomia funcional, poderá avaliar a pertinência </w:t>
                      </w:r>
                      <w:r w:rsidRPr="00A850AD">
                        <w:rPr>
                          <w:rFonts w:ascii="Arial" w:eastAsia="Times New Roman" w:hAnsi="Arial" w:cs="Arial"/>
                          <w:color w:val="FFFFFF" w:themeColor="background1"/>
                          <w:sz w:val="20"/>
                          <w:szCs w:val="20"/>
                        </w:rPr>
                        <w:br/>
                        <w:t xml:space="preserve">de manter os textos integralmente ou a necessidade de inclusão de </w:t>
                      </w:r>
                      <w:r w:rsidRPr="00A850AD">
                        <w:rPr>
                          <w:rFonts w:ascii="Arial" w:eastAsia="Times New Roman" w:hAnsi="Arial" w:cs="Arial"/>
                          <w:color w:val="FFFFFF" w:themeColor="background1"/>
                          <w:sz w:val="20"/>
                          <w:szCs w:val="20"/>
                        </w:rPr>
                        <w:br/>
                        <w:t>um ou de diversos tópicos para adequar ao caso concreto.</w:t>
                      </w:r>
                    </w:p>
                  </w:txbxContent>
                </v:textbox>
              </v:roundrect>
            </w:pict>
          </mc:Fallback>
        </mc:AlternateContent>
      </w:r>
      <w:r>
        <w:rPr>
          <w:noProof/>
          <w:lang w:eastAsia="pt-BR"/>
        </w:rPr>
        <mc:AlternateContent>
          <mc:Choice Requires="wps">
            <w:drawing>
              <wp:anchor distT="0" distB="0" distL="114300" distR="114300" simplePos="0" relativeHeight="251662336" behindDoc="0" locked="0" layoutInCell="1" allowOverlap="1" wp14:anchorId="425C83C7" wp14:editId="6D6268C0">
                <wp:simplePos x="0" y="0"/>
                <wp:positionH relativeFrom="column">
                  <wp:posOffset>-104775</wp:posOffset>
                </wp:positionH>
                <wp:positionV relativeFrom="paragraph">
                  <wp:posOffset>114300</wp:posOffset>
                </wp:positionV>
                <wp:extent cx="6299835" cy="4114800"/>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4114800"/>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839AAB9"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C83C7" id="Retângulo: Cantos Arredondados 9" o:spid="_x0000_s1028" style="position:absolute;margin-left:-8.25pt;margin-top:9pt;width:496.05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" fillcolor="#154b5d" stroked="f" strokeweight="1pt">
                <v:stroke joinstyle="miter"/>
                <v:textbox>
                  <w:txbxContent>
                    <w:p w14:paraId="5839AAB9"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7043FB72" wp14:editId="41D48264">
                <wp:simplePos x="0" y="0"/>
                <wp:positionH relativeFrom="column">
                  <wp:posOffset>-285750</wp:posOffset>
                </wp:positionH>
                <wp:positionV relativeFrom="paragraph">
                  <wp:posOffset>586</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D324F" w14:textId="77777777" w:rsidR="00A850AD" w:rsidRPr="00A850AD" w:rsidRDefault="00A850AD" w:rsidP="00A850AD">
                            <w:pPr>
                              <w:jc w:val="center"/>
                              <w:rPr>
                                <w:rFonts w:ascii="Arial" w:hAnsi="Arial" w:cs="Arial"/>
                                <w:b/>
                                <w:bCs/>
                              </w:rPr>
                            </w:pPr>
                            <w:r w:rsidRPr="00A850AD">
                              <w:rPr>
                                <w:rFonts w:ascii="Arial" w:hAnsi="Arial" w:cs="Arial"/>
                                <w:b/>
                                <w:bCs/>
                              </w:rPr>
                              <w:t xml:space="preserve">POR QUE UTILIZAR </w:t>
                            </w:r>
                            <w:r w:rsidRPr="00A850AD">
                              <w:rPr>
                                <w:rFonts w:ascii="Arial" w:hAnsi="Arial" w:cs="Arial"/>
                                <w:b/>
                                <w:bCs/>
                              </w:rPr>
                              <w:br/>
                              <w:t>ESTE MODELO?</w:t>
                            </w:r>
                            <w:r w:rsidRPr="00A850AD">
                              <w:rPr>
                                <w:rFonts w:ascii="Arial" w:hAnsi="Arial" w:cs="Arial"/>
                                <w:b/>
                                <w:bCs/>
                                <w:noProof/>
                                <w:lang w:eastAsia="pt-BR"/>
                              </w:rPr>
                              <w:drawing>
                                <wp:inline distT="0" distB="0" distL="0" distR="0" wp14:anchorId="3489399F" wp14:editId="0F745EC8">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3FB72" id="Retângulo: Cantos Arredondados 1" o:spid="_x0000_s1029" style="position:absolute;margin-left:-22.5pt;margin-top:.05pt;width:114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" fillcolor="#f93" stroked="f" strokeweight="1pt">
                <v:stroke joinstyle="miter"/>
                <v:textbox>
                  <w:txbxContent>
                    <w:p w14:paraId="3F7D324F" w14:textId="77777777" w:rsidR="00A850AD" w:rsidRPr="00A850AD" w:rsidRDefault="00A850AD" w:rsidP="00A850AD">
                      <w:pPr>
                        <w:jc w:val="center"/>
                        <w:rPr>
                          <w:rFonts w:ascii="Arial" w:hAnsi="Arial" w:cs="Arial"/>
                          <w:b/>
                          <w:bCs/>
                        </w:rPr>
                      </w:pPr>
                      <w:r w:rsidRPr="00A850AD">
                        <w:rPr>
                          <w:rFonts w:ascii="Arial" w:hAnsi="Arial" w:cs="Arial"/>
                          <w:b/>
                          <w:bCs/>
                        </w:rPr>
                        <w:t xml:space="preserve">POR QUE UTILIZAR </w:t>
                      </w:r>
                      <w:r w:rsidRPr="00A850AD">
                        <w:rPr>
                          <w:rFonts w:ascii="Arial" w:hAnsi="Arial" w:cs="Arial"/>
                          <w:b/>
                          <w:bCs/>
                        </w:rPr>
                        <w:br/>
                        <w:t>ESTE MODELO?</w:t>
                      </w:r>
                      <w:r w:rsidRPr="00A850AD">
                        <w:rPr>
                          <w:rFonts w:ascii="Arial" w:hAnsi="Arial" w:cs="Arial"/>
                          <w:b/>
                          <w:bCs/>
                          <w:noProof/>
                          <w:lang w:eastAsia="pt-BR"/>
                        </w:rPr>
                        <w:drawing>
                          <wp:inline distT="0" distB="0" distL="0" distR="0" wp14:anchorId="3489399F" wp14:editId="0F745EC8">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7904A5E0" w14:textId="26B3BA21" w:rsidR="00A850AD" w:rsidRDefault="00520060" w:rsidP="00A850AD">
      <w:pPr>
        <w:rPr>
          <w:color w:val="FFFFFF" w:themeColor="background1"/>
        </w:rPr>
      </w:pPr>
      <w:r>
        <w:rPr>
          <w:noProof/>
          <w:lang w:eastAsia="pt-BR"/>
        </w:rPr>
        <mc:AlternateContent>
          <mc:Choice Requires="wps">
            <w:drawing>
              <wp:anchor distT="0" distB="0" distL="114300" distR="114300" simplePos="0" relativeHeight="251666432" behindDoc="0" locked="0" layoutInCell="1" allowOverlap="1" wp14:anchorId="713ACB0D" wp14:editId="698B66BB">
                <wp:simplePos x="0" y="0"/>
                <wp:positionH relativeFrom="column">
                  <wp:posOffset>9525</wp:posOffset>
                </wp:positionH>
                <wp:positionV relativeFrom="paragraph">
                  <wp:posOffset>4606925</wp:posOffset>
                </wp:positionV>
                <wp:extent cx="6299835" cy="1438275"/>
                <wp:effectExtent l="19050" t="19050" r="24765" b="28575"/>
                <wp:wrapNone/>
                <wp:docPr id="24" name="Retângulo: Cantos Arredondados 24"/>
                <wp:cNvGraphicFramePr/>
                <a:graphic xmlns:a="http://schemas.openxmlformats.org/drawingml/2006/main">
                  <a:graphicData uri="http://schemas.microsoft.com/office/word/2010/wordprocessingShape">
                    <wps:wsp>
                      <wps:cNvSpPr/>
                      <wps:spPr>
                        <a:xfrm>
                          <a:off x="0" y="0"/>
                          <a:ext cx="6299835" cy="1438275"/>
                        </a:xfrm>
                        <a:prstGeom prst="roundRect">
                          <a:avLst>
                            <a:gd name="adj" fmla="val 739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1C5855E7" w14:textId="77777777" w:rsidR="00A850AD" w:rsidRDefault="00A850AD" w:rsidP="00A850AD">
                            <w:pPr>
                              <w:spacing w:after="0"/>
                            </w:pPr>
                          </w:p>
                          <w:p w14:paraId="03E44CC6" w14:textId="77777777" w:rsidR="00A850AD" w:rsidRPr="00A850AD" w:rsidRDefault="00A850AD" w:rsidP="00040C45">
                            <w:pPr>
                              <w:pStyle w:val="PargrafodaLista"/>
                              <w:numPr>
                                <w:ilvl w:val="0"/>
                                <w:numId w:val="14"/>
                              </w:numPr>
                              <w:spacing w:line="240" w:lineRule="auto"/>
                              <w:rPr>
                                <w:rStyle w:val="Hyperlink"/>
                                <w:rFonts w:ascii="Arial" w:eastAsia="Times New Roman" w:hAnsi="Arial" w:cs="Arial"/>
                                <w:color w:val="FFFFFF" w:themeColor="background1"/>
                                <w:sz w:val="20"/>
                                <w:szCs w:val="20"/>
                                <w:u w:val="none"/>
                              </w:rPr>
                            </w:pPr>
                            <w:r w:rsidRPr="00A850AD">
                              <w:rPr>
                                <w:rFonts w:ascii="Arial" w:eastAsia="Times New Roman" w:hAnsi="Arial" w:cs="Arial"/>
                                <w:color w:val="FFFFFF" w:themeColor="background1"/>
                                <w:sz w:val="20"/>
                                <w:szCs w:val="20"/>
                              </w:rPr>
                              <w:t xml:space="preserve">Parecer sobre aquisições, serviços com ou sem dedicação exclusiva de </w:t>
                            </w:r>
                            <w:r w:rsidRPr="00A850AD">
                              <w:rPr>
                                <w:rFonts w:ascii="Arial" w:eastAsia="Times New Roman" w:hAnsi="Arial" w:cs="Arial"/>
                                <w:color w:val="FFFFFF" w:themeColor="background1"/>
                                <w:sz w:val="20"/>
                                <w:szCs w:val="20"/>
                              </w:rPr>
                              <w:br/>
                              <w:t xml:space="preserve">mão de obra e serviços de engenharia, por dispensa de licitação, em </w:t>
                            </w:r>
                            <w:r w:rsidRPr="00A850AD">
                              <w:rPr>
                                <w:rFonts w:ascii="Arial" w:eastAsia="Times New Roman" w:hAnsi="Arial" w:cs="Arial"/>
                                <w:color w:val="FFFFFF" w:themeColor="background1"/>
                                <w:sz w:val="20"/>
                                <w:szCs w:val="20"/>
                              </w:rPr>
                              <w:br/>
                              <w:t xml:space="preserve">situações de emergência ou calamidade pública previstas no artigo 75, </w:t>
                            </w:r>
                            <w:r w:rsidRPr="00A850AD">
                              <w:rPr>
                                <w:rFonts w:ascii="Arial" w:eastAsia="Times New Roman" w:hAnsi="Arial" w:cs="Arial"/>
                                <w:color w:val="FFFFFF" w:themeColor="background1"/>
                                <w:sz w:val="20"/>
                                <w:szCs w:val="20"/>
                              </w:rPr>
                              <w:br/>
                              <w:t>VIII, da Lei n.º 14.133, de 2021.</w:t>
                            </w:r>
                          </w:p>
                          <w:p w14:paraId="6861F0D7" w14:textId="77777777" w:rsidR="00A850AD" w:rsidRPr="0074048F" w:rsidRDefault="00A850AD" w:rsidP="00A850AD">
                            <w:pPr>
                              <w:pStyle w:val="PargrafodaLista"/>
                              <w:ind w:left="2136"/>
                              <w:rPr>
                                <w:rFonts w:ascii="Ubuntu" w:eastAsia="Times New Roman" w:hAnsi="Ubuntu" w:cs="Times New Roman"/>
                                <w:color w:val="FFFFFF" w:themeColor="background1"/>
                                <w:sz w:val="20"/>
                                <w:szCs w:val="20"/>
                              </w:rPr>
                            </w:pPr>
                          </w:p>
                          <w:p w14:paraId="106148B1" w14:textId="77777777" w:rsidR="00A850AD" w:rsidRPr="000F5532" w:rsidRDefault="00A850AD" w:rsidP="00A850AD">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ACB0D" id="Retângulo: Cantos Arredondados 24" o:spid="_x0000_s1030" style="position:absolute;margin-left:.75pt;margin-top:362.75pt;width:496.05pt;height:1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" filled="f" strokecolor="#f93" strokeweight="2.25pt">
                <v:stroke joinstyle="miter"/>
                <v:textbox>
                  <w:txbxContent>
                    <w:p w14:paraId="1C5855E7" w14:textId="77777777" w:rsidR="00A850AD" w:rsidRDefault="00A850AD" w:rsidP="00A850AD">
                      <w:pPr>
                        <w:spacing w:after="0"/>
                      </w:pPr>
                    </w:p>
                    <w:p w14:paraId="03E44CC6" w14:textId="77777777" w:rsidR="00A850AD" w:rsidRPr="00A850AD" w:rsidRDefault="00A850AD" w:rsidP="00040C45">
                      <w:pPr>
                        <w:pStyle w:val="PargrafodaLista"/>
                        <w:numPr>
                          <w:ilvl w:val="0"/>
                          <w:numId w:val="14"/>
                        </w:numPr>
                        <w:spacing w:line="240" w:lineRule="auto"/>
                        <w:rPr>
                          <w:rStyle w:val="Hyperlink"/>
                          <w:rFonts w:ascii="Arial" w:eastAsia="Times New Roman" w:hAnsi="Arial" w:cs="Arial"/>
                          <w:color w:val="FFFFFF" w:themeColor="background1"/>
                          <w:sz w:val="20"/>
                          <w:szCs w:val="20"/>
                          <w:u w:val="none"/>
                        </w:rPr>
                      </w:pPr>
                      <w:r w:rsidRPr="00A850AD">
                        <w:rPr>
                          <w:rFonts w:ascii="Arial" w:eastAsia="Times New Roman" w:hAnsi="Arial" w:cs="Arial"/>
                          <w:color w:val="FFFFFF" w:themeColor="background1"/>
                          <w:sz w:val="20"/>
                          <w:szCs w:val="20"/>
                        </w:rPr>
                        <w:t xml:space="preserve">Parecer sobre aquisições, serviços com ou sem dedicação exclusiva de </w:t>
                      </w:r>
                      <w:r w:rsidRPr="00A850AD">
                        <w:rPr>
                          <w:rFonts w:ascii="Arial" w:eastAsia="Times New Roman" w:hAnsi="Arial" w:cs="Arial"/>
                          <w:color w:val="FFFFFF" w:themeColor="background1"/>
                          <w:sz w:val="20"/>
                          <w:szCs w:val="20"/>
                        </w:rPr>
                        <w:br/>
                        <w:t xml:space="preserve">mão de obra e serviços de engenharia, por dispensa de licitação, em </w:t>
                      </w:r>
                      <w:r w:rsidRPr="00A850AD">
                        <w:rPr>
                          <w:rFonts w:ascii="Arial" w:eastAsia="Times New Roman" w:hAnsi="Arial" w:cs="Arial"/>
                          <w:color w:val="FFFFFF" w:themeColor="background1"/>
                          <w:sz w:val="20"/>
                          <w:szCs w:val="20"/>
                        </w:rPr>
                        <w:br/>
                        <w:t xml:space="preserve">situações de emergência ou calamidade pública previstas no artigo 75, </w:t>
                      </w:r>
                      <w:r w:rsidRPr="00A850AD">
                        <w:rPr>
                          <w:rFonts w:ascii="Arial" w:eastAsia="Times New Roman" w:hAnsi="Arial" w:cs="Arial"/>
                          <w:color w:val="FFFFFF" w:themeColor="background1"/>
                          <w:sz w:val="20"/>
                          <w:szCs w:val="20"/>
                        </w:rPr>
                        <w:br/>
                        <w:t>VIII, da Lei n.º 14.133, de 2021.</w:t>
                      </w:r>
                    </w:p>
                    <w:p w14:paraId="6861F0D7" w14:textId="77777777" w:rsidR="00A850AD" w:rsidRPr="0074048F" w:rsidRDefault="00A850AD" w:rsidP="00A850AD">
                      <w:pPr>
                        <w:pStyle w:val="PargrafodaLista"/>
                        <w:ind w:left="2136"/>
                        <w:rPr>
                          <w:rFonts w:ascii="Ubuntu" w:eastAsia="Times New Roman" w:hAnsi="Ubuntu" w:cs="Times New Roman"/>
                          <w:color w:val="FFFFFF" w:themeColor="background1"/>
                          <w:sz w:val="20"/>
                          <w:szCs w:val="20"/>
                        </w:rPr>
                      </w:pPr>
                    </w:p>
                    <w:p w14:paraId="106148B1" w14:textId="77777777" w:rsidR="00A850AD" w:rsidRPr="000F5532" w:rsidRDefault="00A850AD" w:rsidP="00A850AD">
                      <w:pPr>
                        <w:pStyle w:val="PargrafodaLista"/>
                        <w:ind w:left="2136"/>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5408" behindDoc="0" locked="0" layoutInCell="1" allowOverlap="1" wp14:anchorId="4EB4DE06" wp14:editId="3D971EF5">
                <wp:simplePos x="0" y="0"/>
                <wp:positionH relativeFrom="column">
                  <wp:posOffset>-104775</wp:posOffset>
                </wp:positionH>
                <wp:positionV relativeFrom="paragraph">
                  <wp:posOffset>4530725</wp:posOffset>
                </wp:positionV>
                <wp:extent cx="6299835" cy="1428750"/>
                <wp:effectExtent l="0" t="0" r="5715" b="0"/>
                <wp:wrapNone/>
                <wp:docPr id="23" name="Retângulo: Cantos Arredondados 23"/>
                <wp:cNvGraphicFramePr/>
                <a:graphic xmlns:a="http://schemas.openxmlformats.org/drawingml/2006/main">
                  <a:graphicData uri="http://schemas.microsoft.com/office/word/2010/wordprocessingShape">
                    <wps:wsp>
                      <wps:cNvSpPr/>
                      <wps:spPr>
                        <a:xfrm>
                          <a:off x="0" y="0"/>
                          <a:ext cx="6299835" cy="1428750"/>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360B500"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4DE06" id="Retângulo: Cantos Arredondados 23" o:spid="_x0000_s1031" style="position:absolute;margin-left:-8.25pt;margin-top:356.75pt;width:496.0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" fillcolor="#154b5d" stroked="f" strokeweight="1pt">
                <v:stroke joinstyle="miter"/>
                <v:textbox>
                  <w:txbxContent>
                    <w:p w14:paraId="3360B500"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7456" behindDoc="0" locked="0" layoutInCell="1" allowOverlap="1" wp14:anchorId="06695887" wp14:editId="07DA43FF">
                <wp:simplePos x="0" y="0"/>
                <wp:positionH relativeFrom="column">
                  <wp:posOffset>-285750</wp:posOffset>
                </wp:positionH>
                <wp:positionV relativeFrom="paragraph">
                  <wp:posOffset>4406998</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4E636" w14:textId="77777777" w:rsidR="00A850AD" w:rsidRPr="00A850AD" w:rsidRDefault="00A850AD" w:rsidP="00A850AD">
                            <w:pPr>
                              <w:jc w:val="center"/>
                              <w:rPr>
                                <w:rFonts w:ascii="Arial" w:hAnsi="Arial" w:cs="Arial"/>
                                <w:b/>
                                <w:bCs/>
                              </w:rPr>
                            </w:pPr>
                            <w:r w:rsidRPr="00A850AD">
                              <w:rPr>
                                <w:rFonts w:ascii="Arial" w:hAnsi="Arial" w:cs="Arial"/>
                                <w:b/>
                                <w:bCs/>
                              </w:rPr>
                              <w:t>HIPÓTESES DE APLICAÇÃO</w:t>
                            </w:r>
                            <w:r w:rsidRPr="00A850AD">
                              <w:rPr>
                                <w:rFonts w:ascii="Arial" w:hAnsi="Arial" w:cs="Arial"/>
                                <w:b/>
                                <w:bCs/>
                                <w:noProof/>
                                <w:lang w:eastAsia="pt-BR"/>
                              </w:rPr>
                              <w:drawing>
                                <wp:inline distT="0" distB="0" distL="0" distR="0" wp14:anchorId="65357E6A" wp14:editId="503F9C6C">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95887" id="Retângulo: Cantos Arredondados 20" o:spid="_x0000_s1032" style="position:absolute;margin-left:-22.5pt;margin-top:347pt;width:114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" fillcolor="#f93" stroked="f" strokeweight="1pt">
                <v:stroke joinstyle="miter"/>
                <v:textbox>
                  <w:txbxContent>
                    <w:p w14:paraId="7E64E636" w14:textId="77777777" w:rsidR="00A850AD" w:rsidRPr="00A850AD" w:rsidRDefault="00A850AD" w:rsidP="00A850AD">
                      <w:pPr>
                        <w:jc w:val="center"/>
                        <w:rPr>
                          <w:rFonts w:ascii="Arial" w:hAnsi="Arial" w:cs="Arial"/>
                          <w:b/>
                          <w:bCs/>
                        </w:rPr>
                      </w:pPr>
                      <w:r w:rsidRPr="00A850AD">
                        <w:rPr>
                          <w:rFonts w:ascii="Arial" w:hAnsi="Arial" w:cs="Arial"/>
                          <w:b/>
                          <w:bCs/>
                        </w:rPr>
                        <w:t>HIPÓTESES DE APLICAÇÃO</w:t>
                      </w:r>
                      <w:r w:rsidRPr="00A850AD">
                        <w:rPr>
                          <w:rFonts w:ascii="Arial" w:hAnsi="Arial" w:cs="Arial"/>
                          <w:b/>
                          <w:bCs/>
                          <w:noProof/>
                          <w:lang w:eastAsia="pt-BR"/>
                        </w:rPr>
                        <w:drawing>
                          <wp:inline distT="0" distB="0" distL="0" distR="0" wp14:anchorId="65357E6A" wp14:editId="503F9C6C">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670528" behindDoc="0" locked="0" layoutInCell="1" allowOverlap="1" wp14:anchorId="34C26221" wp14:editId="5919190F">
                <wp:simplePos x="0" y="0"/>
                <wp:positionH relativeFrom="column">
                  <wp:posOffset>-276225</wp:posOffset>
                </wp:positionH>
                <wp:positionV relativeFrom="paragraph">
                  <wp:posOffset>6343650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31ABC" w14:textId="77777777" w:rsidR="00A850AD" w:rsidRPr="00A06A28" w:rsidRDefault="00A850AD" w:rsidP="00A850AD">
                            <w:pPr>
                              <w:jc w:val="center"/>
                              <w:rPr>
                                <w:rFonts w:ascii="Ubuntu" w:hAnsi="Ubuntu"/>
                                <w:b/>
                                <w:bCs/>
                              </w:rPr>
                            </w:pPr>
                            <w:r w:rsidRPr="00A850AD">
                              <w:rPr>
                                <w:rFonts w:ascii="Arial" w:hAnsi="Arial" w:cs="Arial"/>
                                <w:b/>
                                <w:bCs/>
                              </w:rPr>
                              <w:t>NÃO APLICÁVEL</w:t>
                            </w:r>
                            <w:r>
                              <w:rPr>
                                <w:rFonts w:ascii="Ubuntu" w:hAnsi="Ubuntu"/>
                                <w:b/>
                                <w:bCs/>
                                <w:noProof/>
                                <w:lang w:eastAsia="pt-BR"/>
                              </w:rPr>
                              <w:drawing>
                                <wp:inline distT="0" distB="0" distL="0" distR="0" wp14:anchorId="2FB98A62" wp14:editId="7BFEADFC">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26221" id="Retângulo: Cantos Arredondados 27" o:spid="_x0000_s1033" style="position:absolute;margin-left:-21.75pt;margin-top:499.5pt;width:114pt;height:1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" fillcolor="#f93" stroked="f" strokeweight="1pt">
                <v:stroke joinstyle="miter"/>
                <v:textbox>
                  <w:txbxContent>
                    <w:p w14:paraId="65A31ABC" w14:textId="77777777" w:rsidR="00A850AD" w:rsidRPr="00A06A28" w:rsidRDefault="00A850AD" w:rsidP="00A850AD">
                      <w:pPr>
                        <w:jc w:val="center"/>
                        <w:rPr>
                          <w:rFonts w:ascii="Ubuntu" w:hAnsi="Ubuntu"/>
                          <w:b/>
                          <w:bCs/>
                        </w:rPr>
                      </w:pPr>
                      <w:r w:rsidRPr="00A850AD">
                        <w:rPr>
                          <w:rFonts w:ascii="Arial" w:hAnsi="Arial" w:cs="Arial"/>
                          <w:b/>
                          <w:bCs/>
                        </w:rPr>
                        <w:t>NÃO APLICÁVEL</w:t>
                      </w:r>
                      <w:r>
                        <w:rPr>
                          <w:rFonts w:ascii="Ubuntu" w:hAnsi="Ubuntu"/>
                          <w:b/>
                          <w:bCs/>
                          <w:noProof/>
                          <w:lang w:eastAsia="pt-BR"/>
                        </w:rPr>
                        <w:drawing>
                          <wp:inline distT="0" distB="0" distL="0" distR="0" wp14:anchorId="2FB98A62" wp14:editId="7BFEADFC">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668480" behindDoc="0" locked="0" layoutInCell="1" allowOverlap="1" wp14:anchorId="61F0A8B0" wp14:editId="32E3321C">
                <wp:simplePos x="0" y="0"/>
                <wp:positionH relativeFrom="column">
                  <wp:posOffset>-104775</wp:posOffset>
                </wp:positionH>
                <wp:positionV relativeFrom="paragraph">
                  <wp:posOffset>6467475</wp:posOffset>
                </wp:positionV>
                <wp:extent cx="6299835" cy="1838325"/>
                <wp:effectExtent l="0" t="0" r="5715" b="9525"/>
                <wp:wrapNone/>
                <wp:docPr id="31" name="Retângulo: Cantos Arredondados 31"/>
                <wp:cNvGraphicFramePr/>
                <a:graphic xmlns:a="http://schemas.openxmlformats.org/drawingml/2006/main">
                  <a:graphicData uri="http://schemas.microsoft.com/office/word/2010/wordprocessingShape">
                    <wps:wsp>
                      <wps:cNvSpPr/>
                      <wps:spPr>
                        <a:xfrm>
                          <a:off x="0" y="0"/>
                          <a:ext cx="6299835" cy="1838325"/>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E3EB6BA"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0A8B0" id="Retângulo: Cantos Arredondados 31" o:spid="_x0000_s1034" style="position:absolute;margin-left:-8.25pt;margin-top:509.25pt;width:496.05pt;height:1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" fillcolor="#154b5d" stroked="f" strokeweight="1pt">
                <v:stroke joinstyle="miter"/>
                <v:textbox>
                  <w:txbxContent>
                    <w:p w14:paraId="2E3EB6BA"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9504" behindDoc="0" locked="0" layoutInCell="1" allowOverlap="1" wp14:anchorId="6BA9A1CF" wp14:editId="510637F5">
                <wp:simplePos x="0" y="0"/>
                <wp:positionH relativeFrom="column">
                  <wp:posOffset>9525</wp:posOffset>
                </wp:positionH>
                <wp:positionV relativeFrom="paragraph">
                  <wp:posOffset>6553200</wp:posOffset>
                </wp:positionV>
                <wp:extent cx="6299835" cy="1847850"/>
                <wp:effectExtent l="19050" t="19050" r="24765" b="19050"/>
                <wp:wrapNone/>
                <wp:docPr id="32" name="Retângulo: Cantos Arredondados 32"/>
                <wp:cNvGraphicFramePr/>
                <a:graphic xmlns:a="http://schemas.openxmlformats.org/drawingml/2006/main">
                  <a:graphicData uri="http://schemas.microsoft.com/office/word/2010/wordprocessingShape">
                    <wps:wsp>
                      <wps:cNvSpPr/>
                      <wps:spPr>
                        <a:xfrm>
                          <a:off x="0" y="0"/>
                          <a:ext cx="6299835" cy="1847850"/>
                        </a:xfrm>
                        <a:prstGeom prst="roundRect">
                          <a:avLst>
                            <a:gd name="adj" fmla="val 606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3230380B" w14:textId="77777777"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Este modelo não é aplicável para contratações de TIC e procedimentos pelo </w:t>
                            </w:r>
                            <w:r w:rsidRPr="00A850AD">
                              <w:rPr>
                                <w:rFonts w:ascii="Arial" w:eastAsia="Times New Roman" w:hAnsi="Arial" w:cs="Arial"/>
                                <w:color w:val="FFFFFF" w:themeColor="background1"/>
                                <w:sz w:val="20"/>
                                <w:szCs w:val="20"/>
                              </w:rPr>
                              <w:br/>
                              <w:t>Sistema de Registro de Preços-SRP, regidos pela Nova Lei de Licitações.</w:t>
                            </w:r>
                          </w:p>
                          <w:p w14:paraId="7EE2C7A6" w14:textId="77777777" w:rsidR="00A850AD" w:rsidRPr="00A850AD" w:rsidRDefault="00A850AD" w:rsidP="00A850AD">
                            <w:pPr>
                              <w:pStyle w:val="PargrafodaLista"/>
                              <w:tabs>
                                <w:tab w:val="left" w:pos="2410"/>
                              </w:tabs>
                              <w:ind w:left="2410"/>
                              <w:rPr>
                                <w:rFonts w:ascii="Arial" w:eastAsia="Times New Roman" w:hAnsi="Arial" w:cs="Arial"/>
                                <w:color w:val="FFFFFF" w:themeColor="background1"/>
                                <w:sz w:val="20"/>
                                <w:szCs w:val="20"/>
                              </w:rPr>
                            </w:pPr>
                          </w:p>
                          <w:p w14:paraId="5D121A59" w14:textId="78CD44B9"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Processos instruídos com fundamento na Lei n.º 8.666, de 1993, </w:t>
                            </w:r>
                            <w:r w:rsidRPr="00A850AD">
                              <w:rPr>
                                <w:rFonts w:ascii="Arial" w:eastAsia="Times New Roman" w:hAnsi="Arial" w:cs="Arial"/>
                                <w:color w:val="FFFFFF" w:themeColor="background1"/>
                                <w:sz w:val="20"/>
                                <w:szCs w:val="20"/>
                              </w:rPr>
                              <w:br/>
                              <w:t xml:space="preserve">Lei n.º 10.520, de 2002, e Lei n.º 12.462, de 2011, nos termos do </w:t>
                            </w:r>
                            <w:r w:rsidRPr="00A850AD">
                              <w:rPr>
                                <w:rFonts w:ascii="Arial" w:eastAsia="Times New Roman" w:hAnsi="Arial" w:cs="Arial"/>
                                <w:color w:val="FFFFFF" w:themeColor="background1"/>
                                <w:sz w:val="20"/>
                                <w:szCs w:val="20"/>
                              </w:rPr>
                              <w:br/>
                              <w:t>art. 191 da Lei n.º 14.133, de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9A1CF" id="Retângulo: Cantos Arredondados 32" o:spid="_x0000_s1035" style="position:absolute;margin-left:.75pt;margin-top:516pt;width:496.0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" filled="f" strokecolor="#f93" strokeweight="2.25pt">
                <v:stroke joinstyle="miter"/>
                <v:textbox>
                  <w:txbxContent>
                    <w:p w14:paraId="3230380B" w14:textId="77777777"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Este modelo não é aplicável para contratações de TIC e procedimentos pelo </w:t>
                      </w:r>
                      <w:r w:rsidRPr="00A850AD">
                        <w:rPr>
                          <w:rFonts w:ascii="Arial" w:eastAsia="Times New Roman" w:hAnsi="Arial" w:cs="Arial"/>
                          <w:color w:val="FFFFFF" w:themeColor="background1"/>
                          <w:sz w:val="20"/>
                          <w:szCs w:val="20"/>
                        </w:rPr>
                        <w:br/>
                        <w:t>Sistema de Registro de Preços-SRP, regidos pela Nova Lei de Licitações.</w:t>
                      </w:r>
                    </w:p>
                    <w:p w14:paraId="7EE2C7A6" w14:textId="77777777" w:rsidR="00A850AD" w:rsidRPr="00A850AD" w:rsidRDefault="00A850AD" w:rsidP="00A850AD">
                      <w:pPr>
                        <w:pStyle w:val="PargrafodaLista"/>
                        <w:tabs>
                          <w:tab w:val="left" w:pos="2410"/>
                        </w:tabs>
                        <w:ind w:left="2410"/>
                        <w:rPr>
                          <w:rFonts w:ascii="Arial" w:eastAsia="Times New Roman" w:hAnsi="Arial" w:cs="Arial"/>
                          <w:color w:val="FFFFFF" w:themeColor="background1"/>
                          <w:sz w:val="20"/>
                          <w:szCs w:val="20"/>
                        </w:rPr>
                      </w:pPr>
                    </w:p>
                    <w:p w14:paraId="5D121A59" w14:textId="78CD44B9" w:rsidR="00A850AD" w:rsidRPr="00A850AD" w:rsidRDefault="00A850AD" w:rsidP="00040C45">
                      <w:pPr>
                        <w:pStyle w:val="PargrafodaLista"/>
                        <w:numPr>
                          <w:ilvl w:val="0"/>
                          <w:numId w:val="12"/>
                        </w:numPr>
                        <w:tabs>
                          <w:tab w:val="left" w:pos="2410"/>
                        </w:tabs>
                        <w:ind w:left="2410" w:hanging="283"/>
                        <w:rPr>
                          <w:rFonts w:ascii="Arial" w:eastAsia="Times New Roman" w:hAnsi="Arial" w:cs="Arial"/>
                          <w:color w:val="FFFFFF" w:themeColor="background1"/>
                          <w:sz w:val="20"/>
                          <w:szCs w:val="20"/>
                        </w:rPr>
                      </w:pPr>
                      <w:r w:rsidRPr="00A850AD">
                        <w:rPr>
                          <w:rFonts w:ascii="Arial" w:eastAsia="Times New Roman" w:hAnsi="Arial" w:cs="Arial"/>
                          <w:color w:val="FFFFFF" w:themeColor="background1"/>
                          <w:sz w:val="20"/>
                          <w:szCs w:val="20"/>
                        </w:rPr>
                        <w:t xml:space="preserve">Processos instruídos com fundamento na Lei n.º 8.666, de 1993, </w:t>
                      </w:r>
                      <w:r w:rsidRPr="00A850AD">
                        <w:rPr>
                          <w:rFonts w:ascii="Arial" w:eastAsia="Times New Roman" w:hAnsi="Arial" w:cs="Arial"/>
                          <w:color w:val="FFFFFF" w:themeColor="background1"/>
                          <w:sz w:val="20"/>
                          <w:szCs w:val="20"/>
                        </w:rPr>
                        <w:br/>
                        <w:t xml:space="preserve">Lei n.º 10.520, de 2002, e Lei n.º 12.462, de 2011, nos termos do </w:t>
                      </w:r>
                      <w:r w:rsidRPr="00A850AD">
                        <w:rPr>
                          <w:rFonts w:ascii="Arial" w:eastAsia="Times New Roman" w:hAnsi="Arial" w:cs="Arial"/>
                          <w:color w:val="FFFFFF" w:themeColor="background1"/>
                          <w:sz w:val="20"/>
                          <w:szCs w:val="20"/>
                        </w:rPr>
                        <w:br/>
                        <w:t>art. 191 da Lei n.º 14.133, de 2021.</w:t>
                      </w:r>
                    </w:p>
                  </w:txbxContent>
                </v:textbox>
              </v:roundrect>
            </w:pict>
          </mc:Fallback>
        </mc:AlternateContent>
      </w:r>
      <w:r w:rsidR="00A850AD">
        <w:rPr>
          <w:color w:val="FFFFFF" w:themeColor="background1"/>
        </w:rPr>
        <w:br w:type="page"/>
      </w:r>
    </w:p>
    <w:p w14:paraId="2D7DECC5" w14:textId="553777A4" w:rsidR="00A850AD" w:rsidRPr="00A06A28" w:rsidRDefault="00CE1024" w:rsidP="00A850AD">
      <w:pPr>
        <w:rPr>
          <w:color w:val="FFFFFF" w:themeColor="background1"/>
        </w:rPr>
      </w:pPr>
      <w:r w:rsidRPr="000C453D">
        <w:rPr>
          <w:noProof/>
          <w:color w:val="FFFFFF" w:themeColor="background1"/>
          <w:lang w:eastAsia="pt-BR"/>
        </w:rPr>
        <w:lastRenderedPageBreak/>
        <mc:AlternateContent>
          <mc:Choice Requires="wps">
            <w:drawing>
              <wp:anchor distT="0" distB="0" distL="114300" distR="114300" simplePos="0" relativeHeight="251699200" behindDoc="0" locked="0" layoutInCell="1" allowOverlap="1" wp14:anchorId="3531471D" wp14:editId="6271B0DA">
                <wp:simplePos x="0" y="0"/>
                <wp:positionH relativeFrom="column">
                  <wp:posOffset>-95250</wp:posOffset>
                </wp:positionH>
                <wp:positionV relativeFrom="paragraph">
                  <wp:posOffset>118110</wp:posOffset>
                </wp:positionV>
                <wp:extent cx="6299835" cy="251460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51460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EDDC028" w14:textId="77777777" w:rsidR="000C453D" w:rsidRPr="000F5532" w:rsidRDefault="000C453D" w:rsidP="000C453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1471D" id="Retângulo: Cantos Arredondados 53" o:spid="_x0000_s1036" style="position:absolute;margin-left:-7.5pt;margin-top:9.3pt;width:496.05pt;height:1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" fillcolor="#154b5d" stroked="f" strokeweight="1pt">
                <v:stroke joinstyle="miter"/>
                <v:textbox>
                  <w:txbxContent>
                    <w:p w14:paraId="5EDDC028" w14:textId="77777777" w:rsidR="000C453D" w:rsidRPr="000F5532" w:rsidRDefault="000C453D" w:rsidP="000C453D">
                      <w:pPr>
                        <w:ind w:left="2484"/>
                        <w:rPr>
                          <w:rFonts w:ascii="Ubuntu" w:hAnsi="Ubuntu"/>
                          <w:color w:val="FFFFFF" w:themeColor="background1"/>
                          <w:sz w:val="20"/>
                          <w:szCs w:val="20"/>
                        </w:rPr>
                      </w:pPr>
                    </w:p>
                  </w:txbxContent>
                </v:textbox>
              </v:roundrect>
            </w:pict>
          </mc:Fallback>
        </mc:AlternateContent>
      </w:r>
      <w:r w:rsidRPr="000C453D">
        <w:rPr>
          <w:noProof/>
          <w:color w:val="FFFFFF" w:themeColor="background1"/>
          <w:lang w:eastAsia="pt-BR"/>
        </w:rPr>
        <mc:AlternateContent>
          <mc:Choice Requires="wps">
            <w:drawing>
              <wp:anchor distT="0" distB="0" distL="114300" distR="114300" simplePos="0" relativeHeight="251700224" behindDoc="0" locked="0" layoutInCell="1" allowOverlap="1" wp14:anchorId="198C3873" wp14:editId="0A43B489">
                <wp:simplePos x="0" y="0"/>
                <wp:positionH relativeFrom="column">
                  <wp:posOffset>19050</wp:posOffset>
                </wp:positionH>
                <wp:positionV relativeFrom="paragraph">
                  <wp:posOffset>232410</wp:posOffset>
                </wp:positionV>
                <wp:extent cx="6299835" cy="2544445"/>
                <wp:effectExtent l="19050" t="19050" r="24765" b="27305"/>
                <wp:wrapNone/>
                <wp:docPr id="54" name="Retângulo: Cantos Arredondados 54"/>
                <wp:cNvGraphicFramePr/>
                <a:graphic xmlns:a="http://schemas.openxmlformats.org/drawingml/2006/main">
                  <a:graphicData uri="http://schemas.microsoft.com/office/word/2010/wordprocessingShape">
                    <wps:wsp>
                      <wps:cNvSpPr/>
                      <wps:spPr>
                        <a:xfrm>
                          <a:off x="0" y="0"/>
                          <a:ext cx="6299835" cy="2544445"/>
                        </a:xfrm>
                        <a:prstGeom prst="roundRect">
                          <a:avLst>
                            <a:gd name="adj" fmla="val 3454"/>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7C21A614" w14:textId="77777777" w:rsidR="000C453D" w:rsidRDefault="000C453D" w:rsidP="000C453D">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31ED4E85" w14:textId="77777777" w:rsidR="000C453D" w:rsidRDefault="000C453D" w:rsidP="000C453D">
                            <w:pPr>
                              <w:ind w:left="2136"/>
                              <w:jc w:val="both"/>
                              <w:rPr>
                                <w:rFonts w:ascii="Ubuntu" w:eastAsia="Times New Roman" w:hAnsi="Ubuntu" w:cs="Times New Roman"/>
                                <w:color w:val="FFFFFF" w:themeColor="background1"/>
                                <w:sz w:val="20"/>
                                <w:szCs w:val="20"/>
                              </w:rPr>
                            </w:pPr>
                          </w:p>
                          <w:p w14:paraId="77EA0487" w14:textId="77777777" w:rsidR="000C453D" w:rsidRDefault="000C453D" w:rsidP="000C453D">
                            <w:pPr>
                              <w:ind w:left="2136"/>
                              <w:jc w:val="both"/>
                              <w:rPr>
                                <w:rFonts w:ascii="Ubuntu" w:eastAsia="Times New Roman" w:hAnsi="Ubuntu" w:cs="Times New Roman"/>
                                <w:color w:val="FFFFFF" w:themeColor="background1"/>
                                <w:sz w:val="20"/>
                                <w:szCs w:val="20"/>
                              </w:rPr>
                            </w:pPr>
                          </w:p>
                          <w:p w14:paraId="67BCA26E" w14:textId="77777777" w:rsidR="000C453D" w:rsidRDefault="000C453D" w:rsidP="000C453D">
                            <w:pPr>
                              <w:ind w:left="2136"/>
                              <w:jc w:val="both"/>
                              <w:rPr>
                                <w:rFonts w:ascii="Ubuntu" w:eastAsia="Times New Roman" w:hAnsi="Ubuntu" w:cs="Times New Roman"/>
                                <w:color w:val="FFFFFF" w:themeColor="background1"/>
                                <w:sz w:val="20"/>
                                <w:szCs w:val="20"/>
                              </w:rPr>
                            </w:pPr>
                          </w:p>
                          <w:p w14:paraId="4AB04BAC" w14:textId="77777777" w:rsidR="000C453D" w:rsidRDefault="000C453D" w:rsidP="000C453D">
                            <w:pPr>
                              <w:ind w:left="2136"/>
                              <w:jc w:val="both"/>
                              <w:rPr>
                                <w:rFonts w:ascii="Ubuntu" w:eastAsia="Times New Roman" w:hAnsi="Ubuntu" w:cs="Times New Roman"/>
                                <w:color w:val="FFFFFF" w:themeColor="background1"/>
                                <w:sz w:val="20"/>
                                <w:szCs w:val="20"/>
                              </w:rPr>
                            </w:pPr>
                          </w:p>
                          <w:p w14:paraId="6853ED08" w14:textId="77777777" w:rsidR="000C453D" w:rsidRPr="008D09FB" w:rsidRDefault="000C453D" w:rsidP="000C453D">
                            <w:pPr>
                              <w:rPr>
                                <w:rFonts w:ascii="Ubuntu" w:hAnsi="Ubuntu"/>
                                <w:color w:val="FFFFFF" w:themeColor="background1"/>
                                <w:sz w:val="20"/>
                                <w:szCs w:val="20"/>
                              </w:rPr>
                            </w:pPr>
                          </w:p>
                          <w:p w14:paraId="373FC554" w14:textId="77777777" w:rsidR="000C453D" w:rsidRPr="00106C29" w:rsidRDefault="000C453D" w:rsidP="000C453D">
                            <w:pPr>
                              <w:rPr>
                                <w:rFonts w:ascii="Arial" w:hAnsi="Arial" w:cs="Arial"/>
                                <w:color w:val="FFFFFF" w:themeColor="background1"/>
                                <w:sz w:val="20"/>
                                <w:szCs w:val="20"/>
                              </w:rPr>
                            </w:pPr>
                          </w:p>
                          <w:p w14:paraId="2481FAFD" w14:textId="77777777" w:rsidR="000C453D" w:rsidRPr="00106C29" w:rsidRDefault="000C453D" w:rsidP="00040C45">
                            <w:pPr>
                              <w:numPr>
                                <w:ilvl w:val="0"/>
                                <w:numId w:val="5"/>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C3873" id="Retângulo: Cantos Arredondados 54" o:spid="_x0000_s1037" style="position:absolute;margin-left:1.5pt;margin-top:18.3pt;width:496.05pt;height:20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" filled="f" strokecolor="#f93" strokeweight="2.25pt">
                <v:stroke joinstyle="miter"/>
                <v:textbox>
                  <w:txbxContent>
                    <w:p w14:paraId="7C21A614" w14:textId="77777777" w:rsidR="000C453D" w:rsidRDefault="000C453D" w:rsidP="000C453D">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31ED4E85" w14:textId="77777777" w:rsidR="000C453D" w:rsidRDefault="000C453D" w:rsidP="000C453D">
                      <w:pPr>
                        <w:ind w:left="2136"/>
                        <w:jc w:val="both"/>
                        <w:rPr>
                          <w:rFonts w:ascii="Ubuntu" w:eastAsia="Times New Roman" w:hAnsi="Ubuntu" w:cs="Times New Roman"/>
                          <w:color w:val="FFFFFF" w:themeColor="background1"/>
                          <w:sz w:val="20"/>
                          <w:szCs w:val="20"/>
                        </w:rPr>
                      </w:pPr>
                    </w:p>
                    <w:p w14:paraId="77EA0487" w14:textId="77777777" w:rsidR="000C453D" w:rsidRDefault="000C453D" w:rsidP="000C453D">
                      <w:pPr>
                        <w:ind w:left="2136"/>
                        <w:jc w:val="both"/>
                        <w:rPr>
                          <w:rFonts w:ascii="Ubuntu" w:eastAsia="Times New Roman" w:hAnsi="Ubuntu" w:cs="Times New Roman"/>
                          <w:color w:val="FFFFFF" w:themeColor="background1"/>
                          <w:sz w:val="20"/>
                          <w:szCs w:val="20"/>
                        </w:rPr>
                      </w:pPr>
                    </w:p>
                    <w:p w14:paraId="67BCA26E" w14:textId="77777777" w:rsidR="000C453D" w:rsidRDefault="000C453D" w:rsidP="000C453D">
                      <w:pPr>
                        <w:ind w:left="2136"/>
                        <w:jc w:val="both"/>
                        <w:rPr>
                          <w:rFonts w:ascii="Ubuntu" w:eastAsia="Times New Roman" w:hAnsi="Ubuntu" w:cs="Times New Roman"/>
                          <w:color w:val="FFFFFF" w:themeColor="background1"/>
                          <w:sz w:val="20"/>
                          <w:szCs w:val="20"/>
                        </w:rPr>
                      </w:pPr>
                    </w:p>
                    <w:p w14:paraId="4AB04BAC" w14:textId="77777777" w:rsidR="000C453D" w:rsidRDefault="000C453D" w:rsidP="000C453D">
                      <w:pPr>
                        <w:ind w:left="2136"/>
                        <w:jc w:val="both"/>
                        <w:rPr>
                          <w:rFonts w:ascii="Ubuntu" w:eastAsia="Times New Roman" w:hAnsi="Ubuntu" w:cs="Times New Roman"/>
                          <w:color w:val="FFFFFF" w:themeColor="background1"/>
                          <w:sz w:val="20"/>
                          <w:szCs w:val="20"/>
                        </w:rPr>
                      </w:pPr>
                    </w:p>
                    <w:p w14:paraId="6853ED08" w14:textId="77777777" w:rsidR="000C453D" w:rsidRPr="008D09FB" w:rsidRDefault="000C453D" w:rsidP="000C453D">
                      <w:pPr>
                        <w:rPr>
                          <w:rFonts w:ascii="Ubuntu" w:hAnsi="Ubuntu"/>
                          <w:color w:val="FFFFFF" w:themeColor="background1"/>
                          <w:sz w:val="20"/>
                          <w:szCs w:val="20"/>
                        </w:rPr>
                      </w:pPr>
                    </w:p>
                    <w:p w14:paraId="373FC554" w14:textId="77777777" w:rsidR="000C453D" w:rsidRPr="00106C29" w:rsidRDefault="000C453D" w:rsidP="000C453D">
                      <w:pPr>
                        <w:rPr>
                          <w:rFonts w:ascii="Arial" w:hAnsi="Arial" w:cs="Arial"/>
                          <w:color w:val="FFFFFF" w:themeColor="background1"/>
                          <w:sz w:val="20"/>
                          <w:szCs w:val="20"/>
                        </w:rPr>
                      </w:pPr>
                    </w:p>
                    <w:p w14:paraId="2481FAFD" w14:textId="77777777" w:rsidR="000C453D" w:rsidRPr="00106C29" w:rsidRDefault="000C453D" w:rsidP="00040C45">
                      <w:pPr>
                        <w:numPr>
                          <w:ilvl w:val="0"/>
                          <w:numId w:val="5"/>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Pr="000C453D">
        <w:rPr>
          <w:noProof/>
          <w:color w:val="FFFFFF" w:themeColor="background1"/>
          <w:lang w:eastAsia="pt-BR"/>
        </w:rPr>
        <mc:AlternateContent>
          <mc:Choice Requires="wps">
            <w:drawing>
              <wp:anchor distT="0" distB="0" distL="114300" distR="114300" simplePos="0" relativeHeight="251701248" behindDoc="0" locked="0" layoutInCell="1" allowOverlap="1" wp14:anchorId="44C9044D" wp14:editId="2336D986">
                <wp:simplePos x="0" y="0"/>
                <wp:positionH relativeFrom="column">
                  <wp:posOffset>-276225</wp:posOffset>
                </wp:positionH>
                <wp:positionV relativeFrom="paragraph">
                  <wp:posOffset>3810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67CBA" w14:textId="77777777" w:rsidR="000C453D" w:rsidRPr="00106C29" w:rsidRDefault="000C453D" w:rsidP="000C453D">
                            <w:pPr>
                              <w:jc w:val="center"/>
                              <w:rPr>
                                <w:rFonts w:ascii="Arial" w:hAnsi="Arial" w:cs="Arial"/>
                                <w:b/>
                                <w:bCs/>
                              </w:rPr>
                            </w:pPr>
                            <w:r w:rsidRPr="00106C29">
                              <w:rPr>
                                <w:rFonts w:ascii="Arial" w:hAnsi="Arial" w:cs="Arial"/>
                                <w:b/>
                                <w:bCs/>
                              </w:rPr>
                              <w:t>COMO USAR?</w:t>
                            </w:r>
                          </w:p>
                          <w:p w14:paraId="276BA39E" w14:textId="77777777" w:rsidR="000C453D" w:rsidRPr="00A06A28" w:rsidRDefault="000C453D" w:rsidP="000C453D">
                            <w:pPr>
                              <w:jc w:val="center"/>
                              <w:rPr>
                                <w:rFonts w:ascii="Ubuntu" w:hAnsi="Ubuntu"/>
                                <w:b/>
                                <w:bCs/>
                              </w:rPr>
                            </w:pPr>
                            <w:r>
                              <w:rPr>
                                <w:rFonts w:ascii="Ubuntu" w:hAnsi="Ubuntu"/>
                                <w:b/>
                                <w:bCs/>
                                <w:noProof/>
                                <w:lang w:eastAsia="pt-BR"/>
                              </w:rPr>
                              <w:drawing>
                                <wp:inline distT="0" distB="0" distL="0" distR="0" wp14:anchorId="6770B924" wp14:editId="6A7B84A0">
                                  <wp:extent cx="923925" cy="1073964"/>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9044D" id="Retângulo: Cantos Arredondados 55" o:spid="_x0000_s1038" style="position:absolute;margin-left:-21.75pt;margin-top:.3pt;width:114pt;height:12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" fillcolor="#f93" stroked="f" strokeweight="1pt">
                <v:stroke joinstyle="miter"/>
                <v:textbox>
                  <w:txbxContent>
                    <w:p w14:paraId="29867CBA" w14:textId="77777777" w:rsidR="000C453D" w:rsidRPr="00106C29" w:rsidRDefault="000C453D" w:rsidP="000C453D">
                      <w:pPr>
                        <w:jc w:val="center"/>
                        <w:rPr>
                          <w:rFonts w:ascii="Arial" w:hAnsi="Arial" w:cs="Arial"/>
                          <w:b/>
                          <w:bCs/>
                        </w:rPr>
                      </w:pPr>
                      <w:r w:rsidRPr="00106C29">
                        <w:rPr>
                          <w:rFonts w:ascii="Arial" w:hAnsi="Arial" w:cs="Arial"/>
                          <w:b/>
                          <w:bCs/>
                        </w:rPr>
                        <w:t>COMO USAR?</w:t>
                      </w:r>
                    </w:p>
                    <w:p w14:paraId="276BA39E" w14:textId="77777777" w:rsidR="000C453D" w:rsidRPr="00A06A28" w:rsidRDefault="000C453D" w:rsidP="000C453D">
                      <w:pPr>
                        <w:jc w:val="center"/>
                        <w:rPr>
                          <w:rFonts w:ascii="Ubuntu" w:hAnsi="Ubuntu"/>
                          <w:b/>
                          <w:bCs/>
                        </w:rPr>
                      </w:pPr>
                      <w:r>
                        <w:rPr>
                          <w:rFonts w:ascii="Ubuntu" w:hAnsi="Ubuntu"/>
                          <w:b/>
                          <w:bCs/>
                          <w:noProof/>
                          <w:lang w:eastAsia="pt-BR"/>
                        </w:rPr>
                        <w:drawing>
                          <wp:inline distT="0" distB="0" distL="0" distR="0" wp14:anchorId="6770B924" wp14:editId="6A7B84A0">
                            <wp:extent cx="923925" cy="1073964"/>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Pr="000C453D">
        <w:rPr>
          <w:noProof/>
          <w:color w:val="FFFFFF" w:themeColor="background1"/>
          <w:lang w:eastAsia="pt-BR"/>
        </w:rPr>
        <mc:AlternateContent>
          <mc:Choice Requires="wps">
            <w:drawing>
              <wp:anchor distT="0" distB="0" distL="114300" distR="114300" simplePos="0" relativeHeight="251702272" behindDoc="0" locked="0" layoutInCell="1" allowOverlap="1" wp14:anchorId="75EFAA56" wp14:editId="07D22089">
                <wp:simplePos x="0" y="0"/>
                <wp:positionH relativeFrom="column">
                  <wp:posOffset>1409065</wp:posOffset>
                </wp:positionH>
                <wp:positionV relativeFrom="paragraph">
                  <wp:posOffset>366395</wp:posOffset>
                </wp:positionV>
                <wp:extent cx="1684655" cy="276225"/>
                <wp:effectExtent l="0" t="0" r="10795" b="2857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BD335" w14:textId="77777777" w:rsidR="000C453D" w:rsidRPr="00106C29" w:rsidRDefault="000C453D" w:rsidP="000C453D">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FAA56" id="Retângulo: Cantos Arredondados 66" o:spid="_x0000_s1039" style="position:absolute;margin-left:110.95pt;margin-top:28.85pt;width:132.6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" fillcolor="yellow" strokecolor="#1f3763 [1604]" strokeweight="1pt">
                <v:stroke joinstyle="miter"/>
                <v:textbox>
                  <w:txbxContent>
                    <w:p w14:paraId="1F9BD335" w14:textId="77777777" w:rsidR="000C453D" w:rsidRPr="00106C29" w:rsidRDefault="000C453D" w:rsidP="000C453D">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v:textbox>
              </v:roundrect>
            </w:pict>
          </mc:Fallback>
        </mc:AlternateContent>
      </w:r>
      <w:r w:rsidRPr="000C453D">
        <w:rPr>
          <w:noProof/>
          <w:color w:val="FFFFFF" w:themeColor="background1"/>
          <w:lang w:eastAsia="pt-BR"/>
        </w:rPr>
        <mc:AlternateContent>
          <mc:Choice Requires="wps">
            <w:drawing>
              <wp:anchor distT="0" distB="0" distL="114300" distR="114300" simplePos="0" relativeHeight="251703296" behindDoc="0" locked="0" layoutInCell="1" allowOverlap="1" wp14:anchorId="2B13D618" wp14:editId="3B7B64AD">
                <wp:simplePos x="0" y="0"/>
                <wp:positionH relativeFrom="column">
                  <wp:posOffset>1418590</wp:posOffset>
                </wp:positionH>
                <wp:positionV relativeFrom="paragraph">
                  <wp:posOffset>728345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24D01"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3D618" id="Retângulo: Cantos Arredondados 69" o:spid="_x0000_s1040" style="position:absolute;margin-left:111.7pt;margin-top:57.35pt;width:132.65pt;height:2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" fillcolor="white [3212]" stroked="f" strokeweight="1pt">
                <v:stroke joinstyle="miter"/>
                <v:textbox>
                  <w:txbxContent>
                    <w:p w14:paraId="38024D01"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v:textbox>
              </v:roundrect>
            </w:pict>
          </mc:Fallback>
        </mc:AlternateContent>
      </w:r>
      <w:r w:rsidRPr="000C453D">
        <w:rPr>
          <w:noProof/>
          <w:color w:val="FFFFFF" w:themeColor="background1"/>
          <w:lang w:eastAsia="pt-BR"/>
        </w:rPr>
        <mc:AlternateContent>
          <mc:Choice Requires="wps">
            <w:drawing>
              <wp:anchor distT="0" distB="0" distL="114300" distR="114300" simplePos="0" relativeHeight="251704320" behindDoc="0" locked="0" layoutInCell="1" allowOverlap="1" wp14:anchorId="7F70F3F5" wp14:editId="6C34AA6F">
                <wp:simplePos x="0" y="0"/>
                <wp:positionH relativeFrom="column">
                  <wp:posOffset>1418590</wp:posOffset>
                </wp:positionH>
                <wp:positionV relativeFrom="paragraph">
                  <wp:posOffset>1090295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0F468" w14:textId="77777777" w:rsidR="000C453D" w:rsidRPr="00106C29" w:rsidRDefault="000C453D" w:rsidP="000C453D">
                            <w:pPr>
                              <w:rPr>
                                <w:rFonts w:ascii="Arial" w:hAnsi="Arial" w:cs="Arial"/>
                                <w:color w:val="FF0000"/>
                                <w:sz w:val="20"/>
                                <w:szCs w:val="20"/>
                              </w:rPr>
                            </w:pPr>
                            <w:r w:rsidRPr="00106C29">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0F3F5" id="Retângulo: Cantos Arredondados 70" o:spid="_x0000_s1041" style="position:absolute;margin-left:111.7pt;margin-top:85.85pt;width:132.65pt;height:2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" fillcolor="white [3212]" stroked="f" strokeweight="1pt">
                <v:stroke joinstyle="miter"/>
                <v:textbox>
                  <w:txbxContent>
                    <w:p w14:paraId="4B50F468" w14:textId="77777777" w:rsidR="000C453D" w:rsidRPr="00106C29" w:rsidRDefault="000C453D" w:rsidP="000C453D">
                      <w:pPr>
                        <w:rPr>
                          <w:rFonts w:ascii="Arial" w:hAnsi="Arial" w:cs="Arial"/>
                          <w:color w:val="FF0000"/>
                          <w:sz w:val="20"/>
                          <w:szCs w:val="20"/>
                        </w:rPr>
                      </w:pPr>
                      <w:r w:rsidRPr="00106C29">
                        <w:rPr>
                          <w:rFonts w:ascii="Arial" w:hAnsi="Arial" w:cs="Arial"/>
                          <w:color w:val="FF0000"/>
                          <w:sz w:val="20"/>
                          <w:szCs w:val="20"/>
                        </w:rPr>
                        <w:t>Texto na cor Vermelha</w:t>
                      </w:r>
                    </w:p>
                  </w:txbxContent>
                </v:textbox>
              </v:roundrect>
            </w:pict>
          </mc:Fallback>
        </mc:AlternateContent>
      </w:r>
      <w:r w:rsidRPr="000C453D">
        <w:rPr>
          <w:noProof/>
          <w:color w:val="FFFFFF" w:themeColor="background1"/>
          <w:lang w:eastAsia="pt-BR"/>
        </w:rPr>
        <mc:AlternateContent>
          <mc:Choice Requires="wps">
            <w:drawing>
              <wp:anchor distT="0" distB="0" distL="114300" distR="114300" simplePos="0" relativeHeight="251705344" behindDoc="0" locked="0" layoutInCell="1" allowOverlap="1" wp14:anchorId="1E63DD6B" wp14:editId="36C63038">
                <wp:simplePos x="0" y="0"/>
                <wp:positionH relativeFrom="column">
                  <wp:posOffset>1418590</wp:posOffset>
                </wp:positionH>
                <wp:positionV relativeFrom="paragraph">
                  <wp:posOffset>1452245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D19D6"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3DD6B" id="Retângulo: Cantos Arredondados 71" o:spid="_x0000_s1042" style="position:absolute;margin-left:111.7pt;margin-top:114.35pt;width:132.75pt;height:2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" fillcolor="aqua" stroked="f" strokeweight="1pt">
                <v:stroke joinstyle="miter"/>
                <v:textbox>
                  <w:txbxContent>
                    <w:p w14:paraId="7BBD19D6" w14:textId="77777777" w:rsidR="000C453D" w:rsidRPr="00106C29" w:rsidRDefault="000C453D" w:rsidP="000C453D">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v:textbox>
              </v:roundrect>
            </w:pict>
          </mc:Fallback>
        </mc:AlternateContent>
      </w:r>
      <w:r w:rsidRPr="000C453D">
        <w:rPr>
          <w:noProof/>
          <w:color w:val="FFFFFF" w:themeColor="background1"/>
          <w:lang w:eastAsia="pt-BR"/>
        </w:rPr>
        <mc:AlternateContent>
          <mc:Choice Requires="wps">
            <w:drawing>
              <wp:anchor distT="0" distB="0" distL="114300" distR="114300" simplePos="0" relativeHeight="251706368" behindDoc="0" locked="0" layoutInCell="1" allowOverlap="1" wp14:anchorId="34797CAF" wp14:editId="00DCEEEA">
                <wp:simplePos x="0" y="0"/>
                <wp:positionH relativeFrom="column">
                  <wp:posOffset>3085465</wp:posOffset>
                </wp:positionH>
                <wp:positionV relativeFrom="paragraph">
                  <wp:posOffset>396240</wp:posOffset>
                </wp:positionV>
                <wp:extent cx="3105150" cy="2009775"/>
                <wp:effectExtent l="0" t="0" r="0" b="0"/>
                <wp:wrapNone/>
                <wp:docPr id="79" name="Caixa de Texto 79"/>
                <wp:cNvGraphicFramePr/>
                <a:graphic xmlns:a="http://schemas.openxmlformats.org/drawingml/2006/main">
                  <a:graphicData uri="http://schemas.microsoft.com/office/word/2010/wordprocessingShape">
                    <wps:wsp>
                      <wps:cNvSpPr txBox="1"/>
                      <wps:spPr>
                        <a:xfrm>
                          <a:off x="0" y="0"/>
                          <a:ext cx="3105150" cy="2009775"/>
                        </a:xfrm>
                        <a:prstGeom prst="rect">
                          <a:avLst/>
                        </a:prstGeom>
                        <a:noFill/>
                        <a:ln w="6350">
                          <a:noFill/>
                        </a:ln>
                      </wps:spPr>
                      <wps:txbx>
                        <w:txbxContent>
                          <w:p w14:paraId="209521B4" w14:textId="77777777" w:rsidR="000C453D" w:rsidRPr="00106C29" w:rsidRDefault="000C453D" w:rsidP="000C453D">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143AACB7" w14:textId="77777777" w:rsidR="000C453D" w:rsidRPr="00106C29" w:rsidRDefault="000C453D" w:rsidP="000C453D">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A00B668"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78628A05"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7CAF" id="Caixa de Texto 79" o:spid="_x0000_s1043" type="#_x0000_t202" style="position:absolute;margin-left:242.95pt;margin-top:31.2pt;width:244.5pt;height:15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" filled="f" stroked="f" strokeweight=".5pt">
                <v:textbox>
                  <w:txbxContent>
                    <w:p w14:paraId="209521B4" w14:textId="77777777" w:rsidR="000C453D" w:rsidRPr="00106C29" w:rsidRDefault="000C453D" w:rsidP="000C453D">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143AACB7" w14:textId="77777777" w:rsidR="000C453D" w:rsidRPr="00106C29" w:rsidRDefault="000C453D" w:rsidP="000C453D">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A00B668"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78628A05" w14:textId="77777777" w:rsidR="000C453D" w:rsidRPr="00106C29" w:rsidRDefault="000C453D" w:rsidP="000C453D">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A850AD">
        <w:rPr>
          <w:noProof/>
          <w:color w:val="FFFFFF" w:themeColor="background1"/>
          <w:lang w:eastAsia="pt-BR"/>
        </w:rPr>
        <mc:AlternateContent>
          <mc:Choice Requires="wps">
            <w:drawing>
              <wp:anchor distT="0" distB="0" distL="114300" distR="114300" simplePos="0" relativeHeight="251679744" behindDoc="0" locked="0" layoutInCell="1" allowOverlap="1" wp14:anchorId="52F10DD8" wp14:editId="613A6C42">
                <wp:simplePos x="0" y="0"/>
                <wp:positionH relativeFrom="column">
                  <wp:posOffset>2748915</wp:posOffset>
                </wp:positionH>
                <wp:positionV relativeFrom="paragraph">
                  <wp:posOffset>-318770</wp:posOffset>
                </wp:positionV>
                <wp:extent cx="3105150" cy="200025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00250"/>
                        </a:xfrm>
                        <a:prstGeom prst="rect">
                          <a:avLst/>
                        </a:prstGeom>
                        <a:noFill/>
                        <a:ln w="6350">
                          <a:noFill/>
                        </a:ln>
                      </wps:spPr>
                      <wps:txbx>
                        <w:txbxContent>
                          <w:p w14:paraId="2224E92E" w14:textId="77777777" w:rsidR="00A850AD" w:rsidRPr="00A850AD" w:rsidRDefault="00A850AD" w:rsidP="00A850AD">
                            <w:pPr>
                              <w:spacing w:line="480" w:lineRule="auto"/>
                              <w:rPr>
                                <w:rFonts w:ascii="Arial" w:hAnsi="Arial" w:cs="Arial"/>
                                <w:color w:val="FFFFFF" w:themeColor="background1"/>
                                <w:sz w:val="18"/>
                                <w:szCs w:val="18"/>
                              </w:rPr>
                            </w:pPr>
                            <w:r w:rsidRPr="00A850AD">
                              <w:rPr>
                                <w:rFonts w:ascii="Arial" w:hAnsi="Arial" w:cs="Arial"/>
                                <w:color w:val="FFFFFF" w:themeColor="background1"/>
                                <w:sz w:val="18"/>
                                <w:szCs w:val="18"/>
                              </w:rPr>
                              <w:t>Deverão ser excluídas.</w:t>
                            </w:r>
                          </w:p>
                          <w:p w14:paraId="7D125130" w14:textId="77777777" w:rsidR="00A850AD" w:rsidRPr="00A850AD" w:rsidRDefault="00A850AD" w:rsidP="00A850AD">
                            <w:pPr>
                              <w:spacing w:line="360" w:lineRule="auto"/>
                              <w:rPr>
                                <w:rFonts w:ascii="Arial" w:hAnsi="Arial" w:cs="Arial"/>
                                <w:color w:val="FFFFFF" w:themeColor="background1"/>
                                <w:sz w:val="18"/>
                                <w:szCs w:val="18"/>
                              </w:rPr>
                            </w:pPr>
                            <w:r w:rsidRPr="00A850AD">
                              <w:rPr>
                                <w:rFonts w:ascii="Arial" w:hAnsi="Arial" w:cs="Arial"/>
                                <w:color w:val="FFFFFF" w:themeColor="background1"/>
                                <w:sz w:val="18"/>
                                <w:szCs w:val="18"/>
                              </w:rPr>
                              <w:t>Texto sugerido para a estrutura do parecer.</w:t>
                            </w:r>
                          </w:p>
                          <w:p w14:paraId="42C1A994" w14:textId="77777777"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Estrutura para a avaliação e adaptação pelo Procurador, diante das peculiaridades do caso concreto.</w:t>
                            </w:r>
                          </w:p>
                          <w:p w14:paraId="1A937872" w14:textId="77777777" w:rsidR="00A850AD" w:rsidRPr="00A850AD" w:rsidRDefault="00A850AD" w:rsidP="00A850AD">
                            <w:pPr>
                              <w:spacing w:after="0" w:line="240" w:lineRule="auto"/>
                              <w:rPr>
                                <w:rFonts w:ascii="Arial" w:hAnsi="Arial" w:cs="Arial"/>
                                <w:color w:val="FFFFFF" w:themeColor="background1"/>
                                <w:sz w:val="18"/>
                                <w:szCs w:val="18"/>
                              </w:rPr>
                            </w:pPr>
                          </w:p>
                          <w:p w14:paraId="2680738C" w14:textId="41B5CD2A"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Indica existência de opções alternativas a serem adotadas pelo parecerista quando da análise do</w:t>
                            </w:r>
                            <w:r w:rsidRPr="00A850AD">
                              <w:rPr>
                                <w:rFonts w:ascii="Arial" w:hAnsi="Arial" w:cs="Arial"/>
                                <w:color w:val="FFFFFF" w:themeColor="background1"/>
                                <w:sz w:val="18"/>
                                <w:szCs w:val="18"/>
                              </w:rPr>
                              <w:br/>
                              <w:t xml:space="preserve">caso concreto. As opções são excludentes, </w:t>
                            </w:r>
                            <w:r w:rsidRPr="00A850AD">
                              <w:rPr>
                                <w:rFonts w:ascii="Arial" w:hAnsi="Arial" w:cs="Arial"/>
                                <w:color w:val="FFFFFF" w:themeColor="background1"/>
                                <w:sz w:val="18"/>
                                <w:szCs w:val="18"/>
                              </w:rPr>
                              <w:b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0DD8" id="Caixa de Texto 72" o:spid="_x0000_s1044" type="#_x0000_t202" style="position:absolute;margin-left:216.45pt;margin-top:-25.1pt;width:244.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" filled="f" stroked="f" strokeweight=".5pt">
                <v:textbox>
                  <w:txbxContent>
                    <w:p w14:paraId="2224E92E" w14:textId="77777777" w:rsidR="00A850AD" w:rsidRPr="00A850AD" w:rsidRDefault="00A850AD" w:rsidP="00A850AD">
                      <w:pPr>
                        <w:spacing w:line="480" w:lineRule="auto"/>
                        <w:rPr>
                          <w:rFonts w:ascii="Arial" w:hAnsi="Arial" w:cs="Arial"/>
                          <w:color w:val="FFFFFF" w:themeColor="background1"/>
                          <w:sz w:val="18"/>
                          <w:szCs w:val="18"/>
                        </w:rPr>
                      </w:pPr>
                      <w:r w:rsidRPr="00A850AD">
                        <w:rPr>
                          <w:rFonts w:ascii="Arial" w:hAnsi="Arial" w:cs="Arial"/>
                          <w:color w:val="FFFFFF" w:themeColor="background1"/>
                          <w:sz w:val="18"/>
                          <w:szCs w:val="18"/>
                        </w:rPr>
                        <w:t>Deverão ser excluídas.</w:t>
                      </w:r>
                    </w:p>
                    <w:p w14:paraId="7D125130" w14:textId="77777777" w:rsidR="00A850AD" w:rsidRPr="00A850AD" w:rsidRDefault="00A850AD" w:rsidP="00A850AD">
                      <w:pPr>
                        <w:spacing w:line="360" w:lineRule="auto"/>
                        <w:rPr>
                          <w:rFonts w:ascii="Arial" w:hAnsi="Arial" w:cs="Arial"/>
                          <w:color w:val="FFFFFF" w:themeColor="background1"/>
                          <w:sz w:val="18"/>
                          <w:szCs w:val="18"/>
                        </w:rPr>
                      </w:pPr>
                      <w:r w:rsidRPr="00A850AD">
                        <w:rPr>
                          <w:rFonts w:ascii="Arial" w:hAnsi="Arial" w:cs="Arial"/>
                          <w:color w:val="FFFFFF" w:themeColor="background1"/>
                          <w:sz w:val="18"/>
                          <w:szCs w:val="18"/>
                        </w:rPr>
                        <w:t>Texto sugerido para a estrutura do parecer.</w:t>
                      </w:r>
                    </w:p>
                    <w:p w14:paraId="42C1A994" w14:textId="77777777"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Estrutura para a avaliação e adaptação pelo Procurador, diante das peculiaridades do caso concreto.</w:t>
                      </w:r>
                    </w:p>
                    <w:p w14:paraId="1A937872" w14:textId="77777777" w:rsidR="00A850AD" w:rsidRPr="00A850AD" w:rsidRDefault="00A850AD" w:rsidP="00A850AD">
                      <w:pPr>
                        <w:spacing w:after="0" w:line="240" w:lineRule="auto"/>
                        <w:rPr>
                          <w:rFonts w:ascii="Arial" w:hAnsi="Arial" w:cs="Arial"/>
                          <w:color w:val="FFFFFF" w:themeColor="background1"/>
                          <w:sz w:val="18"/>
                          <w:szCs w:val="18"/>
                        </w:rPr>
                      </w:pPr>
                    </w:p>
                    <w:p w14:paraId="2680738C" w14:textId="41B5CD2A" w:rsidR="00A850AD" w:rsidRPr="00A850AD" w:rsidRDefault="00A850AD" w:rsidP="00A850AD">
                      <w:pPr>
                        <w:spacing w:line="240" w:lineRule="auto"/>
                        <w:rPr>
                          <w:rFonts w:ascii="Arial" w:hAnsi="Arial" w:cs="Arial"/>
                          <w:color w:val="FFFFFF" w:themeColor="background1"/>
                          <w:sz w:val="18"/>
                          <w:szCs w:val="18"/>
                        </w:rPr>
                      </w:pPr>
                      <w:r w:rsidRPr="00A850AD">
                        <w:rPr>
                          <w:rFonts w:ascii="Arial" w:hAnsi="Arial" w:cs="Arial"/>
                          <w:color w:val="FFFFFF" w:themeColor="background1"/>
                          <w:sz w:val="18"/>
                          <w:szCs w:val="18"/>
                        </w:rPr>
                        <w:t>Indica existência de opções alternativas a serem adotadas pelo parecerista quando da análise do</w:t>
                      </w:r>
                      <w:r w:rsidRPr="00A850AD">
                        <w:rPr>
                          <w:rFonts w:ascii="Arial" w:hAnsi="Arial" w:cs="Arial"/>
                          <w:color w:val="FFFFFF" w:themeColor="background1"/>
                          <w:sz w:val="18"/>
                          <w:szCs w:val="18"/>
                        </w:rPr>
                        <w:br/>
                        <w:t xml:space="preserve">caso concreto. As opções são excludentes, </w:t>
                      </w:r>
                      <w:r w:rsidRPr="00A850AD">
                        <w:rPr>
                          <w:rFonts w:ascii="Arial" w:hAnsi="Arial" w:cs="Arial"/>
                          <w:color w:val="FFFFFF" w:themeColor="background1"/>
                          <w:sz w:val="18"/>
                          <w:szCs w:val="18"/>
                        </w:rPr>
                        <w:br/>
                        <w:t>competindo ao Procurador Federal oficiante excluir aquela(s) não contemplada(s).</w:t>
                      </w:r>
                    </w:p>
                  </w:txbxContent>
                </v:textbox>
              </v:shape>
            </w:pict>
          </mc:Fallback>
        </mc:AlternateContent>
      </w:r>
      <w:r w:rsidR="00A850AD">
        <w:rPr>
          <w:noProof/>
          <w:color w:val="FFFFFF" w:themeColor="background1"/>
          <w:lang w:eastAsia="pt-BR"/>
        </w:rPr>
        <mc:AlternateContent>
          <mc:Choice Requires="wps">
            <w:drawing>
              <wp:anchor distT="0" distB="0" distL="114300" distR="114300" simplePos="0" relativeHeight="251687936" behindDoc="0" locked="0" layoutInCell="1" allowOverlap="1" wp14:anchorId="5684212B" wp14:editId="1957F9F8">
                <wp:simplePos x="0" y="0"/>
                <wp:positionH relativeFrom="column">
                  <wp:posOffset>-441960</wp:posOffset>
                </wp:positionH>
                <wp:positionV relativeFrom="paragraph">
                  <wp:posOffset>8463280</wp:posOffset>
                </wp:positionV>
                <wp:extent cx="1371600" cy="1127125"/>
                <wp:effectExtent l="0" t="0" r="0" b="0"/>
                <wp:wrapNone/>
                <wp:docPr id="93" name="Caixa de Texto 93"/>
                <wp:cNvGraphicFramePr/>
                <a:graphic xmlns:a="http://schemas.openxmlformats.org/drawingml/2006/main">
                  <a:graphicData uri="http://schemas.microsoft.com/office/word/2010/wordprocessingShape">
                    <wps:wsp>
                      <wps:cNvSpPr txBox="1"/>
                      <wps:spPr>
                        <a:xfrm>
                          <a:off x="0" y="0"/>
                          <a:ext cx="1371600" cy="1127125"/>
                        </a:xfrm>
                        <a:prstGeom prst="rect">
                          <a:avLst/>
                        </a:prstGeom>
                        <a:noFill/>
                        <a:ln w="6350">
                          <a:noFill/>
                        </a:ln>
                      </wps:spPr>
                      <wps:txbx>
                        <w:txbxContent>
                          <w:p w14:paraId="2D4427D6" w14:textId="6FF3B672" w:rsidR="00A850AD" w:rsidRDefault="00A850AD" w:rsidP="00A850A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84212B" id="Caixa de Texto 93" o:spid="_x0000_s1045" type="#_x0000_t202" style="position:absolute;margin-left:-34.8pt;margin-top:666.4pt;width:108pt;height:88.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" filled="f" stroked="f" strokeweight=".5pt">
                <v:textbox style="mso-fit-shape-to-text:t">
                  <w:txbxContent>
                    <w:p w14:paraId="2D4427D6" w14:textId="6FF3B672" w:rsidR="00A850AD" w:rsidRDefault="00A850AD" w:rsidP="00A850AD"/>
                  </w:txbxContent>
                </v:textbox>
              </v:shape>
            </w:pict>
          </mc:Fallback>
        </mc:AlternateContent>
      </w:r>
    </w:p>
    <w:p w14:paraId="51333EEE" w14:textId="0150E066" w:rsidR="00690EE9" w:rsidRDefault="00690EE9"/>
    <w:p w14:paraId="16BD5411" w14:textId="784ECDB1" w:rsidR="00A850AD" w:rsidRDefault="00A850AD"/>
    <w:p w14:paraId="0235E984" w14:textId="694C1F87" w:rsidR="00A850AD" w:rsidRDefault="00A850AD"/>
    <w:p w14:paraId="28626F30" w14:textId="6350598E" w:rsidR="00A850AD" w:rsidRDefault="00A850AD"/>
    <w:p w14:paraId="1C88839D" w14:textId="3C2DEE82" w:rsidR="00A850AD" w:rsidRDefault="00A850AD"/>
    <w:p w14:paraId="4923CE36" w14:textId="7DAAD76A" w:rsidR="00A850AD" w:rsidRDefault="00A850AD"/>
    <w:p w14:paraId="1E16E9A2" w14:textId="700DA385" w:rsidR="00A850AD" w:rsidRDefault="00A850AD"/>
    <w:p w14:paraId="564723F2" w14:textId="023AD3DC" w:rsidR="00A850AD" w:rsidRDefault="00A850AD"/>
    <w:p w14:paraId="25DE4357" w14:textId="2B560363" w:rsidR="00A850AD" w:rsidRDefault="00CE1024">
      <w:r w:rsidRPr="005A50EF">
        <w:rPr>
          <w:noProof/>
          <w:color w:val="FFFFFF" w:themeColor="background1"/>
          <w:lang w:eastAsia="pt-BR"/>
        </w:rPr>
        <mc:AlternateContent>
          <mc:Choice Requires="wps">
            <w:drawing>
              <wp:anchor distT="0" distB="0" distL="114300" distR="114300" simplePos="0" relativeHeight="251681792" behindDoc="0" locked="0" layoutInCell="1" allowOverlap="1" wp14:anchorId="3148A335" wp14:editId="3B1F3E3E">
                <wp:simplePos x="0" y="0"/>
                <wp:positionH relativeFrom="column">
                  <wp:posOffset>19050</wp:posOffset>
                </wp:positionH>
                <wp:positionV relativeFrom="paragraph">
                  <wp:posOffset>556895</wp:posOffset>
                </wp:positionV>
                <wp:extent cx="6299835" cy="4430395"/>
                <wp:effectExtent l="19050" t="19050" r="24765" b="27305"/>
                <wp:wrapNone/>
                <wp:docPr id="76" name="Retângulo: Cantos Arredondados 76"/>
                <wp:cNvGraphicFramePr/>
                <a:graphic xmlns:a="http://schemas.openxmlformats.org/drawingml/2006/main">
                  <a:graphicData uri="http://schemas.microsoft.com/office/word/2010/wordprocessingShape">
                    <wps:wsp>
                      <wps:cNvSpPr/>
                      <wps:spPr>
                        <a:xfrm>
                          <a:off x="0" y="0"/>
                          <a:ext cx="6299835" cy="4430395"/>
                        </a:xfrm>
                        <a:prstGeom prst="roundRect">
                          <a:avLst>
                            <a:gd name="adj" fmla="val 240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742D574A" w14:textId="45D3C78A"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Quando o processo não estiver instruído com documento ou informação </w:t>
                            </w:r>
                            <w:r w:rsidRPr="00A850AD">
                              <w:rPr>
                                <w:rFonts w:ascii="Arial" w:eastAsia="Times New Roman" w:hAnsi="Arial" w:cs="Arial"/>
                                <w:color w:val="FFFFFF" w:themeColor="background1"/>
                                <w:sz w:val="20"/>
                                <w:szCs w:val="20"/>
                              </w:rPr>
                              <w:br/>
                              <w:t>essencial para a análise da Procuradoria Federal, sugere-se a sua</w:t>
                            </w:r>
                            <w:r w:rsidRPr="00A850AD">
                              <w:rPr>
                                <w:rFonts w:ascii="Arial" w:eastAsia="Times New Roman" w:hAnsi="Arial" w:cs="Arial"/>
                                <w:color w:val="FFFFFF" w:themeColor="background1"/>
                                <w:sz w:val="20"/>
                                <w:szCs w:val="20"/>
                              </w:rPr>
                              <w:br/>
                              <w:t xml:space="preserve">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0A7A9A09"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1C741154"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É medida de boa prática destacar as orientações já atendidas pelo órgão. </w:t>
                            </w:r>
                          </w:p>
                          <w:p w14:paraId="2BC996FD"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6FB228B8"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Para facilitar a utilização do modelo, os parágrafos desse parecer </w:t>
                            </w:r>
                            <w:r w:rsidRPr="00A850AD">
                              <w:rPr>
                                <w:rFonts w:ascii="Arial" w:eastAsia="Times New Roman" w:hAnsi="Arial" w:cs="Arial"/>
                                <w:color w:val="FFFFFF" w:themeColor="background1"/>
                                <w:sz w:val="20"/>
                                <w:szCs w:val="20"/>
                              </w:rPr>
                              <w:br/>
                              <w:t xml:space="preserve">parametrizado não foram numerados. No entanto, recomenda-se </w:t>
                            </w:r>
                            <w:r w:rsidRPr="00A850AD">
                              <w:rPr>
                                <w:rFonts w:ascii="Arial" w:eastAsia="Times New Roman" w:hAnsi="Arial" w:cs="Arial"/>
                                <w:color w:val="FFFFFF" w:themeColor="background1"/>
                                <w:sz w:val="20"/>
                                <w:szCs w:val="20"/>
                              </w:rPr>
                              <w:br/>
                              <w:t xml:space="preserve">a numeração para viabilizar a indicação dos itens a serem observados </w:t>
                            </w:r>
                            <w:r w:rsidRPr="00A850AD">
                              <w:rPr>
                                <w:rFonts w:ascii="Arial" w:eastAsia="Times New Roman" w:hAnsi="Arial" w:cs="Arial"/>
                                <w:color w:val="FFFFFF" w:themeColor="background1"/>
                                <w:sz w:val="20"/>
                                <w:szCs w:val="20"/>
                              </w:rPr>
                              <w:br/>
                              <w:t>no tópico da conclusão. </w:t>
                            </w:r>
                          </w:p>
                          <w:p w14:paraId="20D11F9E" w14:textId="77777777" w:rsidR="00A850AD" w:rsidRPr="00A850AD" w:rsidRDefault="00A850AD" w:rsidP="00A850AD">
                            <w:pPr>
                              <w:pStyle w:val="PargrafodaLista"/>
                              <w:ind w:left="2268" w:right="449"/>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 </w:t>
                            </w:r>
                          </w:p>
                          <w:p w14:paraId="11B6C525"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As recomendações realizadas ao longo do parecer que demandem atuação </w:t>
                            </w:r>
                            <w:r w:rsidRPr="00A850AD">
                              <w:rPr>
                                <w:rFonts w:ascii="Arial" w:eastAsia="Times New Roman" w:hAnsi="Arial" w:cs="Arial"/>
                                <w:color w:val="FFFFFF" w:themeColor="background1"/>
                                <w:sz w:val="20"/>
                                <w:szCs w:val="20"/>
                              </w:rPr>
                              <w:br/>
                              <w:t xml:space="preserve">da autoridade devem ser destacadas no texto e expressamente indicadas </w:t>
                            </w:r>
                            <w:r w:rsidRPr="00A850AD">
                              <w:rPr>
                                <w:rFonts w:ascii="Arial" w:eastAsia="Times New Roman" w:hAnsi="Arial" w:cs="Arial"/>
                                <w:color w:val="FFFFFF" w:themeColor="background1"/>
                                <w:sz w:val="20"/>
                                <w:szCs w:val="20"/>
                              </w:rPr>
                              <w:br/>
                              <w:t xml:space="preserve">no tópico da conclusão. </w:t>
                            </w:r>
                          </w:p>
                          <w:p w14:paraId="2BB5E0A1"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7B773F33" w14:textId="064B7998"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está configurado de acordo com as normas da Portaria nº 1.399, </w:t>
                            </w:r>
                            <w:r w:rsidRPr="00A850AD">
                              <w:rPr>
                                <w:rFonts w:ascii="Arial" w:eastAsia="Times New Roman" w:hAnsi="Arial" w:cs="Arial"/>
                                <w:color w:val="FFFFFF" w:themeColor="background1"/>
                                <w:sz w:val="20"/>
                                <w:szCs w:val="20"/>
                              </w:rPr>
                              <w:br/>
                              <w:t xml:space="preserve">de 2009, e seu anexo, do Advogado-Geral da União. O Procurador Federal </w:t>
                            </w:r>
                            <w:r w:rsidRPr="00A850AD">
                              <w:rPr>
                                <w:rFonts w:ascii="Arial" w:eastAsia="Times New Roman" w:hAnsi="Arial" w:cs="Arial"/>
                                <w:color w:val="FFFFFF" w:themeColor="background1"/>
                                <w:sz w:val="20"/>
                                <w:szCs w:val="20"/>
                              </w:rPr>
                              <w:br/>
                              <w:t>deve atentar, no desenvolvimento do parecer, para o cumprimento integral das orientações da Procuradoria-Geral Federal e da Advocacia-Geral da</w:t>
                            </w:r>
                            <w:r w:rsidR="000C453D">
                              <w:rPr>
                                <w:rFonts w:ascii="Arial" w:eastAsia="Times New Roman" w:hAnsi="Arial" w:cs="Arial"/>
                                <w:color w:val="FFFFFF" w:themeColor="background1"/>
                                <w:sz w:val="20"/>
                                <w:szCs w:val="20"/>
                              </w:rPr>
                              <w:t xml:space="preserve"> </w:t>
                            </w:r>
                            <w:r w:rsidRPr="00A850AD">
                              <w:rPr>
                                <w:rFonts w:ascii="Arial" w:eastAsia="Times New Roman" w:hAnsi="Arial" w:cs="Arial"/>
                                <w:color w:val="FFFFFF" w:themeColor="background1"/>
                                <w:sz w:val="20"/>
                                <w:szCs w:val="20"/>
                              </w:rPr>
                              <w:t xml:space="preserve">União pertinentes à matéria.  </w:t>
                            </w:r>
                          </w:p>
                          <w:p w14:paraId="28C08901" w14:textId="77777777" w:rsidR="00A850AD" w:rsidRPr="008D09FB" w:rsidRDefault="00A850AD" w:rsidP="00A850AD">
                            <w:pPr>
                              <w:pStyle w:val="PargrafodaLista"/>
                              <w:spacing w:line="276" w:lineRule="auto"/>
                              <w:ind w:left="2136"/>
                              <w:rPr>
                                <w:rFonts w:ascii="Ubuntu" w:eastAsia="Times New Roman" w:hAnsi="Ubuntu" w:cs="Times New Roman"/>
                                <w:color w:val="FFFFFF" w:themeColor="background1"/>
                                <w:sz w:val="20"/>
                                <w:szCs w:val="20"/>
                              </w:rPr>
                            </w:pPr>
                          </w:p>
                          <w:p w14:paraId="7D54C067" w14:textId="77777777" w:rsidR="00A850AD" w:rsidRPr="008D09FB" w:rsidRDefault="00A850AD" w:rsidP="00A850AD">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8A335" id="Retângulo: Cantos Arredondados 76" o:spid="_x0000_s1046" style="position:absolute;margin-left:1.5pt;margin-top:43.85pt;width:496.05pt;height:34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" filled="f" strokecolor="#f93" strokeweight="2.25pt">
                <v:stroke joinstyle="miter"/>
                <v:textbox>
                  <w:txbxContent>
                    <w:p w14:paraId="742D574A" w14:textId="45D3C78A"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Quando o processo não estiver instruído com documento ou informação </w:t>
                      </w:r>
                      <w:r w:rsidRPr="00A850AD">
                        <w:rPr>
                          <w:rFonts w:ascii="Arial" w:eastAsia="Times New Roman" w:hAnsi="Arial" w:cs="Arial"/>
                          <w:color w:val="FFFFFF" w:themeColor="background1"/>
                          <w:sz w:val="20"/>
                          <w:szCs w:val="20"/>
                        </w:rPr>
                        <w:br/>
                        <w:t>essencial para a análise da Procuradoria Federal, sugere-se a sua</w:t>
                      </w:r>
                      <w:r w:rsidRPr="00A850AD">
                        <w:rPr>
                          <w:rFonts w:ascii="Arial" w:eastAsia="Times New Roman" w:hAnsi="Arial" w:cs="Arial"/>
                          <w:color w:val="FFFFFF" w:themeColor="background1"/>
                          <w:sz w:val="20"/>
                          <w:szCs w:val="20"/>
                        </w:rPr>
                        <w:br/>
                        <w:t xml:space="preserve">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0A7A9A09"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1C741154"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É medida de boa prática destacar as orientações já atendidas pelo órgão. </w:t>
                      </w:r>
                    </w:p>
                    <w:p w14:paraId="2BC996FD"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6FB228B8"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Para facilitar a utilização do modelo, os parágrafos desse parecer </w:t>
                      </w:r>
                      <w:r w:rsidRPr="00A850AD">
                        <w:rPr>
                          <w:rFonts w:ascii="Arial" w:eastAsia="Times New Roman" w:hAnsi="Arial" w:cs="Arial"/>
                          <w:color w:val="FFFFFF" w:themeColor="background1"/>
                          <w:sz w:val="20"/>
                          <w:szCs w:val="20"/>
                        </w:rPr>
                        <w:br/>
                        <w:t xml:space="preserve">parametrizado não foram numerados. No entanto, recomenda-se </w:t>
                      </w:r>
                      <w:r w:rsidRPr="00A850AD">
                        <w:rPr>
                          <w:rFonts w:ascii="Arial" w:eastAsia="Times New Roman" w:hAnsi="Arial" w:cs="Arial"/>
                          <w:color w:val="FFFFFF" w:themeColor="background1"/>
                          <w:sz w:val="20"/>
                          <w:szCs w:val="20"/>
                        </w:rPr>
                        <w:br/>
                        <w:t xml:space="preserve">a numeração para viabilizar a indicação dos itens a serem observados </w:t>
                      </w:r>
                      <w:r w:rsidRPr="00A850AD">
                        <w:rPr>
                          <w:rFonts w:ascii="Arial" w:eastAsia="Times New Roman" w:hAnsi="Arial" w:cs="Arial"/>
                          <w:color w:val="FFFFFF" w:themeColor="background1"/>
                          <w:sz w:val="20"/>
                          <w:szCs w:val="20"/>
                        </w:rPr>
                        <w:br/>
                        <w:t>no tópico da conclusão. </w:t>
                      </w:r>
                    </w:p>
                    <w:p w14:paraId="20D11F9E" w14:textId="77777777" w:rsidR="00A850AD" w:rsidRPr="00A850AD" w:rsidRDefault="00A850AD" w:rsidP="00A850AD">
                      <w:pPr>
                        <w:pStyle w:val="PargrafodaLista"/>
                        <w:ind w:left="2268" w:right="449"/>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 </w:t>
                      </w:r>
                    </w:p>
                    <w:p w14:paraId="11B6C525" w14:textId="77777777"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As recomendações realizadas ao longo do parecer que demandem atuação </w:t>
                      </w:r>
                      <w:r w:rsidRPr="00A850AD">
                        <w:rPr>
                          <w:rFonts w:ascii="Arial" w:eastAsia="Times New Roman" w:hAnsi="Arial" w:cs="Arial"/>
                          <w:color w:val="FFFFFF" w:themeColor="background1"/>
                          <w:sz w:val="20"/>
                          <w:szCs w:val="20"/>
                        </w:rPr>
                        <w:br/>
                        <w:t xml:space="preserve">da autoridade devem ser destacadas no texto e expressamente indicadas </w:t>
                      </w:r>
                      <w:r w:rsidRPr="00A850AD">
                        <w:rPr>
                          <w:rFonts w:ascii="Arial" w:eastAsia="Times New Roman" w:hAnsi="Arial" w:cs="Arial"/>
                          <w:color w:val="FFFFFF" w:themeColor="background1"/>
                          <w:sz w:val="20"/>
                          <w:szCs w:val="20"/>
                        </w:rPr>
                        <w:br/>
                        <w:t xml:space="preserve">no tópico da conclusão. </w:t>
                      </w:r>
                    </w:p>
                    <w:p w14:paraId="2BB5E0A1" w14:textId="77777777" w:rsidR="00A850AD" w:rsidRPr="00A850AD" w:rsidRDefault="00A850AD" w:rsidP="00A850AD">
                      <w:pPr>
                        <w:pStyle w:val="PargrafodaLista"/>
                        <w:ind w:left="2268" w:right="449"/>
                        <w:rPr>
                          <w:rFonts w:ascii="Arial" w:hAnsi="Arial" w:cs="Arial"/>
                          <w:color w:val="FFFFFF" w:themeColor="background1"/>
                          <w:sz w:val="20"/>
                          <w:szCs w:val="20"/>
                        </w:rPr>
                      </w:pPr>
                    </w:p>
                    <w:p w14:paraId="7B773F33" w14:textId="064B7998" w:rsidR="00A850AD" w:rsidRPr="00A850AD" w:rsidRDefault="00A850AD" w:rsidP="00040C45">
                      <w:pPr>
                        <w:pStyle w:val="PargrafodaLista"/>
                        <w:numPr>
                          <w:ilvl w:val="0"/>
                          <w:numId w:val="13"/>
                        </w:numPr>
                        <w:ind w:left="2268" w:right="449" w:hanging="283"/>
                        <w:rPr>
                          <w:rFonts w:ascii="Arial" w:hAnsi="Arial" w:cs="Arial"/>
                          <w:color w:val="FFFFFF" w:themeColor="background1"/>
                          <w:sz w:val="20"/>
                          <w:szCs w:val="20"/>
                        </w:rPr>
                      </w:pPr>
                      <w:r w:rsidRPr="00A850AD">
                        <w:rPr>
                          <w:rFonts w:ascii="Arial" w:eastAsia="Times New Roman" w:hAnsi="Arial" w:cs="Arial"/>
                          <w:color w:val="FFFFFF" w:themeColor="background1"/>
                          <w:sz w:val="20"/>
                          <w:szCs w:val="20"/>
                        </w:rPr>
                        <w:t xml:space="preserve">O modelo está configurado de acordo com as normas da Portaria nº 1.399, </w:t>
                      </w:r>
                      <w:r w:rsidRPr="00A850AD">
                        <w:rPr>
                          <w:rFonts w:ascii="Arial" w:eastAsia="Times New Roman" w:hAnsi="Arial" w:cs="Arial"/>
                          <w:color w:val="FFFFFF" w:themeColor="background1"/>
                          <w:sz w:val="20"/>
                          <w:szCs w:val="20"/>
                        </w:rPr>
                        <w:br/>
                        <w:t xml:space="preserve">de 2009, e seu anexo, do Advogado-Geral da União. O Procurador Federal </w:t>
                      </w:r>
                      <w:r w:rsidRPr="00A850AD">
                        <w:rPr>
                          <w:rFonts w:ascii="Arial" w:eastAsia="Times New Roman" w:hAnsi="Arial" w:cs="Arial"/>
                          <w:color w:val="FFFFFF" w:themeColor="background1"/>
                          <w:sz w:val="20"/>
                          <w:szCs w:val="20"/>
                        </w:rPr>
                        <w:br/>
                        <w:t>deve atentar, no desenvolvimento do parecer, para o cumprimento integral das orientações da Procuradoria-Geral Federal e da Advocacia-Geral da</w:t>
                      </w:r>
                      <w:r w:rsidR="000C453D">
                        <w:rPr>
                          <w:rFonts w:ascii="Arial" w:eastAsia="Times New Roman" w:hAnsi="Arial" w:cs="Arial"/>
                          <w:color w:val="FFFFFF" w:themeColor="background1"/>
                          <w:sz w:val="20"/>
                          <w:szCs w:val="20"/>
                        </w:rPr>
                        <w:t xml:space="preserve"> </w:t>
                      </w:r>
                      <w:r w:rsidRPr="00A850AD">
                        <w:rPr>
                          <w:rFonts w:ascii="Arial" w:eastAsia="Times New Roman" w:hAnsi="Arial" w:cs="Arial"/>
                          <w:color w:val="FFFFFF" w:themeColor="background1"/>
                          <w:sz w:val="20"/>
                          <w:szCs w:val="20"/>
                        </w:rPr>
                        <w:t xml:space="preserve">União pertinentes à matéria.  </w:t>
                      </w:r>
                    </w:p>
                    <w:p w14:paraId="28C08901" w14:textId="77777777" w:rsidR="00A850AD" w:rsidRPr="008D09FB" w:rsidRDefault="00A850AD" w:rsidP="00A850AD">
                      <w:pPr>
                        <w:pStyle w:val="PargrafodaLista"/>
                        <w:spacing w:line="276" w:lineRule="auto"/>
                        <w:ind w:left="2136"/>
                        <w:rPr>
                          <w:rFonts w:ascii="Ubuntu" w:eastAsia="Times New Roman" w:hAnsi="Ubuntu" w:cs="Times New Roman"/>
                          <w:color w:val="FFFFFF" w:themeColor="background1"/>
                          <w:sz w:val="20"/>
                          <w:szCs w:val="20"/>
                        </w:rPr>
                      </w:pPr>
                    </w:p>
                    <w:p w14:paraId="7D54C067" w14:textId="77777777" w:rsidR="00A850AD" w:rsidRPr="008D09FB" w:rsidRDefault="00A850AD" w:rsidP="00A850AD">
                      <w:pPr>
                        <w:pStyle w:val="PargrafodaLista"/>
                        <w:ind w:left="2136"/>
                        <w:rPr>
                          <w:rFonts w:ascii="Ubuntu" w:hAnsi="Ubuntu"/>
                          <w:color w:val="FFFFFF" w:themeColor="background1"/>
                          <w:sz w:val="20"/>
                          <w:szCs w:val="20"/>
                        </w:rPr>
                      </w:pPr>
                    </w:p>
                  </w:txbxContent>
                </v:textbox>
              </v:roundrect>
            </w:pict>
          </mc:Fallback>
        </mc:AlternateContent>
      </w:r>
      <w:r w:rsidRPr="005A50EF">
        <w:rPr>
          <w:noProof/>
          <w:color w:val="FFFFFF" w:themeColor="background1"/>
          <w:lang w:eastAsia="pt-BR"/>
        </w:rPr>
        <mc:AlternateContent>
          <mc:Choice Requires="wps">
            <w:drawing>
              <wp:anchor distT="0" distB="0" distL="114300" distR="114300" simplePos="0" relativeHeight="251682816" behindDoc="0" locked="0" layoutInCell="1" allowOverlap="1" wp14:anchorId="792DFB51" wp14:editId="7AC6E3D4">
                <wp:simplePos x="0" y="0"/>
                <wp:positionH relativeFrom="column">
                  <wp:posOffset>-272415</wp:posOffset>
                </wp:positionH>
                <wp:positionV relativeFrom="paragraph">
                  <wp:posOffset>323850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1F2AA" w14:textId="77777777" w:rsidR="00A850AD" w:rsidRPr="00A06A28" w:rsidRDefault="00A850AD" w:rsidP="00A850AD">
                            <w:pPr>
                              <w:jc w:val="center"/>
                              <w:rPr>
                                <w:rFonts w:ascii="Ubuntu" w:hAnsi="Ubuntu"/>
                                <w:b/>
                                <w:bCs/>
                              </w:rPr>
                            </w:pPr>
                            <w:r w:rsidRPr="00A850AD">
                              <w:rPr>
                                <w:rFonts w:ascii="Arial" w:hAnsi="Arial" w:cs="Arial"/>
                                <w:b/>
                                <w:bCs/>
                              </w:rPr>
                              <w:t>ATENÇÃO</w:t>
                            </w:r>
                            <w:r>
                              <w:rPr>
                                <w:rFonts w:ascii="Ubuntu" w:hAnsi="Ubuntu"/>
                                <w:b/>
                                <w:bCs/>
                                <w:noProof/>
                                <w:lang w:eastAsia="pt-BR"/>
                              </w:rPr>
                              <w:drawing>
                                <wp:inline distT="0" distB="0" distL="0" distR="0" wp14:anchorId="17109FB9" wp14:editId="73CC2BC9">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DFB51" id="Retângulo: Cantos Arredondados 75" o:spid="_x0000_s1047" style="position:absolute;margin-left:-21.45pt;margin-top:25.5pt;width:114pt;height:1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" fillcolor="#f93" stroked="f" strokeweight="1pt">
                <v:stroke joinstyle="miter"/>
                <v:textbox>
                  <w:txbxContent>
                    <w:p w14:paraId="58C1F2AA" w14:textId="77777777" w:rsidR="00A850AD" w:rsidRPr="00A06A28" w:rsidRDefault="00A850AD" w:rsidP="00A850AD">
                      <w:pPr>
                        <w:jc w:val="center"/>
                        <w:rPr>
                          <w:rFonts w:ascii="Ubuntu" w:hAnsi="Ubuntu"/>
                          <w:b/>
                          <w:bCs/>
                        </w:rPr>
                      </w:pPr>
                      <w:r w:rsidRPr="00A850AD">
                        <w:rPr>
                          <w:rFonts w:ascii="Arial" w:hAnsi="Arial" w:cs="Arial"/>
                          <w:b/>
                          <w:bCs/>
                        </w:rPr>
                        <w:t>ATENÇÃO</w:t>
                      </w:r>
                      <w:r>
                        <w:rPr>
                          <w:rFonts w:ascii="Ubuntu" w:hAnsi="Ubuntu"/>
                          <w:b/>
                          <w:bCs/>
                          <w:noProof/>
                          <w:lang w:eastAsia="pt-BR"/>
                        </w:rPr>
                        <w:drawing>
                          <wp:inline distT="0" distB="0" distL="0" distR="0" wp14:anchorId="17109FB9" wp14:editId="73CC2BC9">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Pr="005A50EF">
        <w:rPr>
          <w:noProof/>
          <w:color w:val="FFFFFF" w:themeColor="background1"/>
          <w:lang w:eastAsia="pt-BR"/>
        </w:rPr>
        <mc:AlternateContent>
          <mc:Choice Requires="wps">
            <w:drawing>
              <wp:anchor distT="0" distB="0" distL="114300" distR="114300" simplePos="0" relativeHeight="251680768" behindDoc="0" locked="0" layoutInCell="1" allowOverlap="1" wp14:anchorId="0A7A40E5" wp14:editId="0831D50C">
                <wp:simplePos x="0" y="0"/>
                <wp:positionH relativeFrom="column">
                  <wp:posOffset>-95250</wp:posOffset>
                </wp:positionH>
                <wp:positionV relativeFrom="paragraph">
                  <wp:posOffset>442595</wp:posOffset>
                </wp:positionV>
                <wp:extent cx="6299835" cy="4448175"/>
                <wp:effectExtent l="0" t="0" r="5715" b="9525"/>
                <wp:wrapNone/>
                <wp:docPr id="73" name="Retângulo: Cantos Arredondados 73"/>
                <wp:cNvGraphicFramePr/>
                <a:graphic xmlns:a="http://schemas.openxmlformats.org/drawingml/2006/main">
                  <a:graphicData uri="http://schemas.microsoft.com/office/word/2010/wordprocessingShape">
                    <wps:wsp>
                      <wps:cNvSpPr/>
                      <wps:spPr>
                        <a:xfrm>
                          <a:off x="0" y="0"/>
                          <a:ext cx="6299835" cy="444817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AB8A4F8" w14:textId="77777777" w:rsidR="00A850AD" w:rsidRPr="000F5532" w:rsidRDefault="00A850AD" w:rsidP="00A850AD">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A40E5" id="Retângulo: Cantos Arredondados 73" o:spid="_x0000_s1048" style="position:absolute;margin-left:-7.5pt;margin-top:34.85pt;width:496.05pt;height:3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" fillcolor="#154b5d" stroked="f" strokeweight="1pt">
                <v:stroke joinstyle="miter"/>
                <v:textbox>
                  <w:txbxContent>
                    <w:p w14:paraId="7AB8A4F8" w14:textId="77777777" w:rsidR="00A850AD" w:rsidRPr="000F5532" w:rsidRDefault="00A850AD" w:rsidP="00A850AD">
                      <w:pPr>
                        <w:pStyle w:val="PargrafodaLista"/>
                        <w:ind w:left="2484"/>
                        <w:rPr>
                          <w:rFonts w:ascii="Ubuntu" w:hAnsi="Ubuntu"/>
                          <w:color w:val="FFFFFF" w:themeColor="background1"/>
                          <w:sz w:val="20"/>
                          <w:szCs w:val="20"/>
                        </w:rPr>
                      </w:pPr>
                    </w:p>
                  </w:txbxContent>
                </v:textbox>
              </v:roundrect>
            </w:pict>
          </mc:Fallback>
        </mc:AlternateContent>
      </w:r>
    </w:p>
    <w:p w14:paraId="17097FF1" w14:textId="4240CC46" w:rsidR="00A850AD" w:rsidRDefault="00A850AD"/>
    <w:p w14:paraId="17E4813D" w14:textId="343ECB7D" w:rsidR="00A850AD" w:rsidRDefault="00A850AD"/>
    <w:p w14:paraId="68115B71" w14:textId="7CEDE081" w:rsidR="00A850AD" w:rsidRDefault="00A850AD"/>
    <w:p w14:paraId="4CCAA8A1" w14:textId="15B3F465" w:rsidR="00A850AD" w:rsidRDefault="00A850AD"/>
    <w:p w14:paraId="33B37A3E" w14:textId="0765752B" w:rsidR="00A850AD" w:rsidRDefault="00A850AD"/>
    <w:p w14:paraId="5A4CA186" w14:textId="48DD86A4" w:rsidR="00A850AD" w:rsidRDefault="00A850AD"/>
    <w:p w14:paraId="7583302B" w14:textId="44DBE5B8" w:rsidR="00A850AD" w:rsidRDefault="00A850AD"/>
    <w:p w14:paraId="4308A6AD" w14:textId="3DEF04BA" w:rsidR="00A850AD" w:rsidRDefault="00A850AD"/>
    <w:p w14:paraId="15953129" w14:textId="178BA05A" w:rsidR="00A850AD" w:rsidRDefault="00A850AD"/>
    <w:p w14:paraId="629367D9" w14:textId="4C03D0CA" w:rsidR="00A850AD" w:rsidRDefault="00A850AD"/>
    <w:p w14:paraId="496DB0DF" w14:textId="10272C89" w:rsidR="00A850AD" w:rsidRDefault="00A850AD"/>
    <w:p w14:paraId="49E44F39" w14:textId="56C0142C" w:rsidR="00A850AD" w:rsidRDefault="00A850AD"/>
    <w:p w14:paraId="21D2CD5A" w14:textId="2F1CC8B8" w:rsidR="00A850AD" w:rsidRDefault="00A850AD"/>
    <w:p w14:paraId="7E4CF835" w14:textId="69DB0063" w:rsidR="00A850AD" w:rsidRDefault="00A850AD"/>
    <w:p w14:paraId="11AACEFA" w14:textId="60D30DB5" w:rsidR="00A850AD" w:rsidRDefault="00A850AD"/>
    <w:p w14:paraId="1BC1BE22" w14:textId="72A7EEF9" w:rsidR="00A850AD" w:rsidRDefault="00A850AD"/>
    <w:p w14:paraId="2F87B162" w14:textId="03A7D582" w:rsidR="00A850AD" w:rsidRDefault="00CE1024">
      <w:r w:rsidRPr="00A850AD">
        <w:rPr>
          <w:noProof/>
          <w:lang w:eastAsia="pt-BR"/>
        </w:rPr>
        <mc:AlternateContent>
          <mc:Choice Requires="wps">
            <w:drawing>
              <wp:anchor distT="0" distB="0" distL="114300" distR="114300" simplePos="0" relativeHeight="251697152" behindDoc="0" locked="0" layoutInCell="1" allowOverlap="1" wp14:anchorId="35D166B9" wp14:editId="70B926C8">
                <wp:simplePos x="0" y="0"/>
                <wp:positionH relativeFrom="column">
                  <wp:posOffset>5218430</wp:posOffset>
                </wp:positionH>
                <wp:positionV relativeFrom="paragraph">
                  <wp:posOffset>226324</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E08A7C" id="Retângulo: Cantos Arredondados 98" o:spid="_x0000_s1026" style="position:absolute;margin-left:410.9pt;margin-top:17.8pt;width:86.9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" fillcolor="white [3212]" strokecolor="white [3212]" strokeweight="1pt">
                <v:stroke joinstyle="miter"/>
                <v:shadow on="t" color="black" opacity="26214f" origin="-.5,-.5" offset=".74836mm,.74836mm"/>
              </v:roundrect>
            </w:pict>
          </mc:Fallback>
        </mc:AlternateContent>
      </w:r>
      <w:r w:rsidRPr="00A850AD">
        <w:rPr>
          <w:noProof/>
          <w:lang w:eastAsia="pt-BR"/>
        </w:rPr>
        <mc:AlternateContent>
          <mc:Choice Requires="wps">
            <w:drawing>
              <wp:anchor distT="0" distB="0" distL="114300" distR="114300" simplePos="0" relativeHeight="251692032" behindDoc="0" locked="0" layoutInCell="1" allowOverlap="1" wp14:anchorId="3B29D7FE" wp14:editId="4CED3018">
                <wp:simplePos x="0" y="0"/>
                <wp:positionH relativeFrom="column">
                  <wp:posOffset>3423920</wp:posOffset>
                </wp:positionH>
                <wp:positionV relativeFrom="paragraph">
                  <wp:posOffset>245745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84F098F" w14:textId="77777777" w:rsidR="00A850AD" w:rsidRPr="000F5532" w:rsidRDefault="00A850AD" w:rsidP="00A850A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9D7FE" id="Retângulo: Cantos Arredondados 85" o:spid="_x0000_s1049" style="position:absolute;margin-left:269.6pt;margin-top:19.35pt;width:212.55pt;height:7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" fillcolor="#154b5d" stroked="f" strokeweight="1pt">
                <v:stroke joinstyle="miter"/>
                <v:textbox>
                  <w:txbxContent>
                    <w:p w14:paraId="384F098F" w14:textId="77777777" w:rsidR="00A850AD" w:rsidRPr="000F5532" w:rsidRDefault="00A850AD" w:rsidP="00A850AD">
                      <w:pPr>
                        <w:ind w:left="2484"/>
                        <w:rPr>
                          <w:rFonts w:ascii="Ubuntu" w:hAnsi="Ubuntu"/>
                          <w:color w:val="FFFFFF" w:themeColor="background1"/>
                          <w:sz w:val="20"/>
                          <w:szCs w:val="20"/>
                        </w:rPr>
                      </w:pPr>
                    </w:p>
                  </w:txbxContent>
                </v:textbox>
              </v:roundrect>
            </w:pict>
          </mc:Fallback>
        </mc:AlternateContent>
      </w:r>
      <w:r w:rsidRPr="00A850AD">
        <w:rPr>
          <w:noProof/>
          <w:lang w:eastAsia="pt-BR"/>
        </w:rPr>
        <mc:AlternateContent>
          <mc:Choice Requires="wps">
            <w:drawing>
              <wp:anchor distT="0" distB="0" distL="114300" distR="114300" simplePos="0" relativeHeight="251694080" behindDoc="0" locked="0" layoutInCell="1" allowOverlap="1" wp14:anchorId="5E2B4464" wp14:editId="78906E47">
                <wp:simplePos x="0" y="0"/>
                <wp:positionH relativeFrom="column">
                  <wp:posOffset>19050</wp:posOffset>
                </wp:positionH>
                <wp:positionV relativeFrom="paragraph">
                  <wp:posOffset>351790</wp:posOffset>
                </wp:positionV>
                <wp:extent cx="3215005" cy="898525"/>
                <wp:effectExtent l="19050" t="19050" r="23495" b="15875"/>
                <wp:wrapNone/>
                <wp:docPr id="89" name="Retângulo: Cantos Arredondados 89"/>
                <wp:cNvGraphicFramePr/>
                <a:graphic xmlns:a="http://schemas.openxmlformats.org/drawingml/2006/main">
                  <a:graphicData uri="http://schemas.microsoft.com/office/word/2010/wordprocessingShape">
                    <wps:wsp>
                      <wps:cNvSpPr/>
                      <wps:spPr>
                        <a:xfrm>
                          <a:off x="0" y="0"/>
                          <a:ext cx="3215005" cy="898525"/>
                        </a:xfrm>
                        <a:prstGeom prst="roundRect">
                          <a:avLst>
                            <a:gd name="adj" fmla="val 604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2C23FBA" w14:textId="77777777" w:rsidR="00A850AD" w:rsidRPr="008C6FAA" w:rsidRDefault="00A850AD" w:rsidP="00A850AD">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0113B032" wp14:editId="6B5B17AC">
                                  <wp:extent cx="887802" cy="7010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B4464" id="Retângulo: Cantos Arredondados 89" o:spid="_x0000_s1050" style="position:absolute;margin-left:1.5pt;margin-top:27.7pt;width:253.15pt;height:7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" filled="f" strokecolor="#f93" strokeweight="2.25pt">
                <v:stroke joinstyle="miter"/>
                <v:textbox>
                  <w:txbxContent>
                    <w:p w14:paraId="52C23FBA" w14:textId="77777777" w:rsidR="00A850AD" w:rsidRPr="008C6FAA" w:rsidRDefault="00A850AD" w:rsidP="00A850AD">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0113B032" wp14:editId="6B5B17AC">
                            <wp:extent cx="887802" cy="7010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A850AD">
        <w:rPr>
          <w:noProof/>
          <w:lang w:eastAsia="pt-BR"/>
        </w:rPr>
        <mc:AlternateContent>
          <mc:Choice Requires="wps">
            <w:drawing>
              <wp:anchor distT="0" distB="0" distL="114300" distR="114300" simplePos="0" relativeHeight="251691008" behindDoc="1" locked="0" layoutInCell="1" allowOverlap="1" wp14:anchorId="11001673" wp14:editId="31D5F7CE">
                <wp:simplePos x="0" y="0"/>
                <wp:positionH relativeFrom="column">
                  <wp:posOffset>-92710</wp:posOffset>
                </wp:positionH>
                <wp:positionV relativeFrom="paragraph">
                  <wp:posOffset>251460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F0EDD5D" w14:textId="77777777" w:rsidR="00A850AD" w:rsidRPr="000F5532" w:rsidRDefault="00A850AD" w:rsidP="00A850A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01673" id="Retângulo: Cantos Arredondados 83" o:spid="_x0000_s1051" style="position:absolute;margin-left:-7.3pt;margin-top:19.8pt;width:258pt;height:7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" fillcolor="#154b5d" stroked="f" strokeweight="1pt">
                <v:stroke joinstyle="miter"/>
                <v:textbox>
                  <w:txbxContent>
                    <w:p w14:paraId="3F0EDD5D" w14:textId="77777777" w:rsidR="00A850AD" w:rsidRPr="000F5532" w:rsidRDefault="00A850AD" w:rsidP="00A850AD">
                      <w:pPr>
                        <w:ind w:left="2484"/>
                        <w:rPr>
                          <w:rFonts w:ascii="Ubuntu" w:hAnsi="Ubuntu"/>
                          <w:color w:val="FFFFFF" w:themeColor="background1"/>
                          <w:sz w:val="20"/>
                          <w:szCs w:val="20"/>
                        </w:rPr>
                      </w:pPr>
                    </w:p>
                  </w:txbxContent>
                </v:textbox>
              </v:roundrect>
            </w:pict>
          </mc:Fallback>
        </mc:AlternateContent>
      </w:r>
      <w:r w:rsidRPr="00A850AD">
        <w:rPr>
          <w:noProof/>
          <w:lang w:eastAsia="pt-BR"/>
        </w:rPr>
        <mc:AlternateContent>
          <mc:Choice Requires="wps">
            <w:drawing>
              <wp:anchor distT="0" distB="0" distL="114300" distR="114300" simplePos="0" relativeHeight="251695104" behindDoc="0" locked="0" layoutInCell="1" allowOverlap="1" wp14:anchorId="350ECF0D" wp14:editId="6D7EBAED">
                <wp:simplePos x="0" y="0"/>
                <wp:positionH relativeFrom="column">
                  <wp:posOffset>1203325</wp:posOffset>
                </wp:positionH>
                <wp:positionV relativeFrom="paragraph">
                  <wp:posOffset>428625</wp:posOffset>
                </wp:positionV>
                <wp:extent cx="1854835" cy="742950"/>
                <wp:effectExtent l="0" t="0" r="0" b="0"/>
                <wp:wrapNone/>
                <wp:docPr id="77" name="Caixa de Texto 77"/>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20A81374" w14:textId="77777777" w:rsidR="00A850AD" w:rsidRPr="00106C29" w:rsidRDefault="00A850AD" w:rsidP="00A850AD">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19">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ECF0D" id="Caixa de Texto 77" o:spid="_x0000_s1052" type="#_x0000_t202" style="position:absolute;margin-left:94.75pt;margin-top:33.75pt;width:146.05pt;height: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" filled="f" stroked="f" strokeweight=".5pt">
                <v:textbox>
                  <w:txbxContent>
                    <w:p w14:paraId="20A81374" w14:textId="77777777" w:rsidR="00A850AD" w:rsidRPr="00106C29" w:rsidRDefault="00A850AD" w:rsidP="00A850AD">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0">
                        <w:r w:rsidRPr="00106C29">
                          <w:rPr>
                            <w:rFonts w:ascii="Arial" w:eastAsia="Times New Roman" w:hAnsi="Arial" w:cs="Arial"/>
                            <w:color w:val="FFFFFF" w:themeColor="background1"/>
                            <w:sz w:val="24"/>
                            <w:szCs w:val="24"/>
                          </w:rPr>
                          <w:t>pgf.cpuc@agu.gov.br</w:t>
                        </w:r>
                      </w:hyperlink>
                    </w:p>
                  </w:txbxContent>
                </v:textbox>
              </v:shape>
            </w:pict>
          </mc:Fallback>
        </mc:AlternateContent>
      </w:r>
      <w:r w:rsidRPr="00A850AD">
        <w:rPr>
          <w:noProof/>
          <w:lang w:eastAsia="pt-BR"/>
        </w:rPr>
        <mc:AlternateContent>
          <mc:Choice Requires="wps">
            <w:drawing>
              <wp:anchor distT="0" distB="0" distL="114300" distR="114300" simplePos="0" relativeHeight="251693056" behindDoc="0" locked="0" layoutInCell="1" allowOverlap="1" wp14:anchorId="48BC1F6B" wp14:editId="78B40101">
                <wp:simplePos x="0" y="0"/>
                <wp:positionH relativeFrom="column">
                  <wp:posOffset>3536315</wp:posOffset>
                </wp:positionH>
                <wp:positionV relativeFrom="paragraph">
                  <wp:posOffset>335280</wp:posOffset>
                </wp:positionV>
                <wp:extent cx="2632075" cy="899795"/>
                <wp:effectExtent l="19050" t="19050" r="15875" b="14605"/>
                <wp:wrapNone/>
                <wp:docPr id="87" name="Retângulo: Cantos Arredondados 87"/>
                <wp:cNvGraphicFramePr/>
                <a:graphic xmlns:a="http://schemas.openxmlformats.org/drawingml/2006/main">
                  <a:graphicData uri="http://schemas.microsoft.com/office/word/2010/wordprocessingShape">
                    <wps:wsp>
                      <wps:cNvSpPr/>
                      <wps:spPr>
                        <a:xfrm>
                          <a:off x="0" y="0"/>
                          <a:ext cx="2632075" cy="899795"/>
                        </a:xfrm>
                        <a:prstGeom prst="roundRect">
                          <a:avLst>
                            <a:gd name="adj" fmla="val 7817"/>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4B2E8572" w14:textId="77777777" w:rsidR="00A850AD" w:rsidRPr="000F5532" w:rsidRDefault="00A850AD" w:rsidP="00A850AD">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C1F6B" id="Retângulo: Cantos Arredondados 87" o:spid="_x0000_s1053" style="position:absolute;margin-left:278.45pt;margin-top:26.4pt;width:207.25pt;height:7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" filled="f" strokecolor="#f93" strokeweight="2.25pt">
                <v:stroke joinstyle="miter"/>
                <v:textbox>
                  <w:txbxContent>
                    <w:p w14:paraId="4B2E8572" w14:textId="77777777" w:rsidR="00A850AD" w:rsidRPr="000F5532" w:rsidRDefault="00A850AD" w:rsidP="00A850AD">
                      <w:pPr>
                        <w:ind w:left="2484"/>
                        <w:rPr>
                          <w:rFonts w:ascii="Ubuntu" w:hAnsi="Ubuntu"/>
                          <w:color w:val="FFFFFF" w:themeColor="background1"/>
                          <w:sz w:val="20"/>
                          <w:szCs w:val="20"/>
                        </w:rPr>
                      </w:pPr>
                    </w:p>
                  </w:txbxContent>
                </v:textbox>
              </v:roundrect>
            </w:pict>
          </mc:Fallback>
        </mc:AlternateContent>
      </w:r>
    </w:p>
    <w:p w14:paraId="1416B37E" w14:textId="58B69D30" w:rsidR="00A850AD" w:rsidRDefault="00A36290">
      <w:r>
        <w:rPr>
          <w:rFonts w:ascii="Times New Roman" w:eastAsia="Times New Roman" w:hAnsi="Times New Roman" w:cs="Times New Roman"/>
          <w:noProof/>
          <w:color w:val="000000" w:themeColor="text1"/>
          <w:sz w:val="24"/>
          <w:szCs w:val="24"/>
          <w:lang w:eastAsia="pt-BR"/>
        </w:rPr>
        <w:drawing>
          <wp:anchor distT="0" distB="0" distL="114300" distR="114300" simplePos="0" relativeHeight="251710464" behindDoc="0" locked="0" layoutInCell="1" allowOverlap="1" wp14:anchorId="57F5F46A" wp14:editId="2D28BE6B">
            <wp:simplePos x="0" y="0"/>
            <wp:positionH relativeFrom="column">
              <wp:posOffset>5335325</wp:posOffset>
            </wp:positionH>
            <wp:positionV relativeFrom="paragraph">
              <wp:posOffset>33738</wp:posOffset>
            </wp:positionV>
            <wp:extent cx="885825" cy="885825"/>
            <wp:effectExtent l="0" t="0" r="9525" b="9525"/>
            <wp:wrapNone/>
            <wp:docPr id="5" name="Imagem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CE1024" w:rsidRPr="00A850AD">
        <w:rPr>
          <w:noProof/>
          <w:lang w:eastAsia="pt-BR"/>
        </w:rPr>
        <mc:AlternateContent>
          <mc:Choice Requires="wps">
            <w:drawing>
              <wp:anchor distT="0" distB="0" distL="114300" distR="114300" simplePos="0" relativeHeight="251696128" behindDoc="0" locked="0" layoutInCell="1" allowOverlap="1" wp14:anchorId="276F6951" wp14:editId="4CB4D3F4">
                <wp:simplePos x="0" y="0"/>
                <wp:positionH relativeFrom="column">
                  <wp:posOffset>3597910</wp:posOffset>
                </wp:positionH>
                <wp:positionV relativeFrom="paragraph">
                  <wp:posOffset>96256</wp:posOffset>
                </wp:positionV>
                <wp:extent cx="1429385" cy="621665"/>
                <wp:effectExtent l="0" t="0" r="0" b="6985"/>
                <wp:wrapNone/>
                <wp:docPr id="97" name="Caixa de Texto 97"/>
                <wp:cNvGraphicFramePr/>
                <a:graphic xmlns:a="http://schemas.openxmlformats.org/drawingml/2006/main">
                  <a:graphicData uri="http://schemas.microsoft.com/office/word/2010/wordprocessingShape">
                    <wps:wsp>
                      <wps:cNvSpPr txBox="1"/>
                      <wps:spPr>
                        <a:xfrm>
                          <a:off x="0" y="0"/>
                          <a:ext cx="1429385" cy="621665"/>
                        </a:xfrm>
                        <a:prstGeom prst="rect">
                          <a:avLst/>
                        </a:prstGeom>
                        <a:noFill/>
                        <a:ln w="6350">
                          <a:noFill/>
                        </a:ln>
                      </wps:spPr>
                      <wps:txbx>
                        <w:txbxContent>
                          <w:p w14:paraId="6AFF12CB" w14:textId="77777777" w:rsidR="00A850AD" w:rsidRPr="00106C29" w:rsidRDefault="00A850AD" w:rsidP="00A850AD">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6951" id="Caixa de Texto 97" o:spid="_x0000_s1054" type="#_x0000_t202" style="position:absolute;margin-left:283.3pt;margin-top:7.6pt;width:112.55pt;height:4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" filled="f" stroked="f" strokeweight=".5pt">
                <v:textbox>
                  <w:txbxContent>
                    <w:p w14:paraId="6AFF12CB" w14:textId="77777777" w:rsidR="00A850AD" w:rsidRPr="00106C29" w:rsidRDefault="00A850AD" w:rsidP="00A850AD">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p>
    <w:p w14:paraId="3998E114" w14:textId="44F62A59" w:rsidR="00A850AD" w:rsidRDefault="00A850AD"/>
    <w:p w14:paraId="40ACD5CA" w14:textId="41928A43" w:rsidR="00A850AD" w:rsidRDefault="00A850AD"/>
    <w:p w14:paraId="5FA81DE4" w14:textId="77777777" w:rsidR="0015045D" w:rsidRDefault="0015045D" w:rsidP="0015045D">
      <w:pPr>
        <w:spacing w:after="0" w:line="240" w:lineRule="auto"/>
        <w:rPr>
          <w:rFonts w:ascii="Times New Roman" w:eastAsia="Times New Roman" w:hAnsi="Times New Roman" w:cs="Times New Roman"/>
          <w:color w:val="000000" w:themeColor="text1"/>
          <w:sz w:val="24"/>
          <w:szCs w:val="24"/>
        </w:rPr>
        <w:sectPr w:rsidR="0015045D" w:rsidSect="00354A1D">
          <w:headerReference w:type="default" r:id="rId23"/>
          <w:footerReference w:type="default" r:id="rId24"/>
          <w:pgSz w:w="11906" w:h="16838"/>
          <w:pgMar w:top="1701" w:right="1440" w:bottom="1440" w:left="1440" w:header="720" w:footer="720" w:gutter="0"/>
          <w:cols w:space="720"/>
          <w:docGrid w:linePitch="360"/>
        </w:sectPr>
      </w:pPr>
    </w:p>
    <w:p w14:paraId="531C85E4" w14:textId="37CFED5A" w:rsidR="6639B921" w:rsidRPr="008E61EA" w:rsidRDefault="6639B921" w:rsidP="008E61EA">
      <w:pPr>
        <w:spacing w:after="0"/>
        <w:ind w:left="2268"/>
        <w:jc w:val="both"/>
        <w:rPr>
          <w:rFonts w:ascii="Times New Roman" w:eastAsia="Times New Roman" w:hAnsi="Times New Roman" w:cs="Times New Roman"/>
          <w:color w:val="000000" w:themeColor="text1"/>
          <w:sz w:val="20"/>
          <w:szCs w:val="20"/>
          <w:highlight w:val="cyan"/>
        </w:rPr>
      </w:pPr>
      <w:r w:rsidRPr="008E61EA">
        <w:rPr>
          <w:rFonts w:ascii="Times New Roman" w:eastAsia="Times New Roman" w:hAnsi="Times New Roman" w:cs="Times New Roman"/>
          <w:b/>
          <w:bCs/>
          <w:sz w:val="20"/>
          <w:szCs w:val="20"/>
        </w:rPr>
        <w:lastRenderedPageBreak/>
        <w:t>EMENTA: DIRETO ADMINISTRATIVO. CONTRATAÇÃO DIRETA.</w:t>
      </w:r>
      <w:r w:rsidRPr="008E61EA">
        <w:rPr>
          <w:rFonts w:ascii="Times New Roman" w:eastAsia="Times New Roman" w:hAnsi="Times New Roman" w:cs="Times New Roman"/>
          <w:color w:val="000000" w:themeColor="text1"/>
          <w:sz w:val="20"/>
          <w:szCs w:val="20"/>
        </w:rPr>
        <w:t xml:space="preserve"> LICITAÇÕES E CONTRATOS. DISPENSA DE LICITAÇÃO. CONTRATAÇÃO EMERGENCIAL. ART. 75, INCISO VIII, DA LEI Nº 14.133/2021.</w:t>
      </w:r>
      <w:r w:rsidR="389F7086" w:rsidRPr="008E61EA">
        <w:rPr>
          <w:rFonts w:ascii="Times New Roman" w:eastAsia="Times New Roman" w:hAnsi="Times New Roman" w:cs="Times New Roman"/>
          <w:color w:val="000000" w:themeColor="text1"/>
          <w:sz w:val="20"/>
          <w:szCs w:val="20"/>
        </w:rPr>
        <w:t xml:space="preserve"> </w:t>
      </w:r>
      <w:r w:rsidR="3061B866" w:rsidRPr="008E61EA">
        <w:rPr>
          <w:rFonts w:ascii="Times New Roman" w:eastAsia="Times New Roman" w:hAnsi="Times New Roman" w:cs="Times New Roman"/>
          <w:color w:val="000000" w:themeColor="text1"/>
          <w:sz w:val="20"/>
          <w:szCs w:val="20"/>
        </w:rPr>
        <w:t>LEGISLAÇÃO APLICÁVEL: LEI Nº 14.133</w:t>
      </w:r>
      <w:r w:rsidR="1DB3618F" w:rsidRPr="008E61EA">
        <w:rPr>
          <w:rFonts w:ascii="Times New Roman" w:eastAsia="Times New Roman" w:hAnsi="Times New Roman" w:cs="Times New Roman"/>
          <w:color w:val="000000" w:themeColor="text1"/>
          <w:sz w:val="20"/>
          <w:szCs w:val="20"/>
        </w:rPr>
        <w:t xml:space="preserve">, DE </w:t>
      </w:r>
      <w:r w:rsidR="3061B866" w:rsidRPr="008E61EA">
        <w:rPr>
          <w:rFonts w:ascii="Times New Roman" w:eastAsia="Times New Roman" w:hAnsi="Times New Roman" w:cs="Times New Roman"/>
          <w:color w:val="000000" w:themeColor="text1"/>
          <w:sz w:val="20"/>
          <w:szCs w:val="20"/>
        </w:rPr>
        <w:t>2021</w:t>
      </w:r>
      <w:r w:rsidR="686B79CC" w:rsidRPr="008E61EA">
        <w:rPr>
          <w:rFonts w:ascii="Times New Roman" w:eastAsia="Times New Roman" w:hAnsi="Times New Roman" w:cs="Times New Roman"/>
          <w:color w:val="000000" w:themeColor="text1"/>
          <w:sz w:val="20"/>
          <w:szCs w:val="20"/>
        </w:rPr>
        <w:t>.</w:t>
      </w:r>
      <w:r w:rsidR="3061B866" w:rsidRPr="008E61EA">
        <w:rPr>
          <w:rFonts w:ascii="Times New Roman" w:eastAsia="Times New Roman" w:hAnsi="Times New Roman" w:cs="Times New Roman"/>
          <w:sz w:val="20"/>
          <w:szCs w:val="20"/>
        </w:rPr>
        <w:t xml:space="preserve"> </w:t>
      </w:r>
      <w:r w:rsidR="389F7086" w:rsidRPr="008E61EA">
        <w:rPr>
          <w:rFonts w:ascii="Times New Roman" w:eastAsia="Times New Roman" w:hAnsi="Times New Roman" w:cs="Times New Roman"/>
          <w:color w:val="000000" w:themeColor="text1"/>
          <w:sz w:val="20"/>
          <w:szCs w:val="20"/>
        </w:rPr>
        <w:t>PORTARIA SEGES/ME Nº 8.678</w:t>
      </w:r>
      <w:r w:rsidR="7E37B061"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2021,</w:t>
      </w:r>
      <w:r w:rsidR="389F7086" w:rsidRPr="008E61EA">
        <w:rPr>
          <w:rFonts w:ascii="Times New Roman" w:eastAsia="Times New Roman" w:hAnsi="Times New Roman" w:cs="Times New Roman"/>
          <w:color w:val="FF0000"/>
          <w:sz w:val="20"/>
          <w:szCs w:val="20"/>
        </w:rPr>
        <w:t xml:space="preserve"> </w:t>
      </w:r>
      <w:r w:rsidR="389F7086" w:rsidRPr="008E61EA">
        <w:rPr>
          <w:rFonts w:ascii="Times New Roman" w:eastAsia="Times New Roman" w:hAnsi="Times New Roman" w:cs="Times New Roman"/>
          <w:color w:val="FF0000"/>
          <w:sz w:val="20"/>
          <w:szCs w:val="20"/>
          <w:highlight w:val="cyan"/>
        </w:rPr>
        <w:t>INSTRUÇÃO NORMATIVA SEGES/ME Nº 65</w:t>
      </w:r>
      <w:r w:rsidR="460D7598" w:rsidRPr="008E61EA">
        <w:rPr>
          <w:rFonts w:ascii="Times New Roman" w:eastAsia="Times New Roman" w:hAnsi="Times New Roman" w:cs="Times New Roman"/>
          <w:color w:val="FF0000"/>
          <w:sz w:val="20"/>
          <w:szCs w:val="20"/>
          <w:highlight w:val="cyan"/>
        </w:rPr>
        <w:t xml:space="preserve">, DE </w:t>
      </w:r>
      <w:r w:rsidR="389F7086" w:rsidRPr="008E61EA">
        <w:rPr>
          <w:rFonts w:ascii="Times New Roman" w:eastAsia="Times New Roman" w:hAnsi="Times New Roman" w:cs="Times New Roman"/>
          <w:color w:val="FF0000"/>
          <w:sz w:val="20"/>
          <w:szCs w:val="20"/>
          <w:highlight w:val="cyan"/>
        </w:rPr>
        <w:t>2021</w:t>
      </w:r>
      <w:r w:rsidR="5CFB5566" w:rsidRPr="008E61EA">
        <w:rPr>
          <w:rFonts w:ascii="Times New Roman" w:eastAsia="Times New Roman" w:hAnsi="Times New Roman" w:cs="Times New Roman"/>
          <w:color w:val="000000" w:themeColor="text1"/>
          <w:sz w:val="20"/>
          <w:szCs w:val="20"/>
          <w:highlight w:val="cyan"/>
        </w:rPr>
        <w:t xml:space="preserve"> </w:t>
      </w:r>
      <w:r w:rsidR="05089110" w:rsidRPr="008E61EA">
        <w:rPr>
          <w:rFonts w:ascii="Times New Roman" w:eastAsia="Times New Roman" w:hAnsi="Times New Roman" w:cs="Times New Roman"/>
          <w:color w:val="FF0000"/>
          <w:sz w:val="20"/>
          <w:szCs w:val="20"/>
          <w:highlight w:val="cyan"/>
        </w:rPr>
        <w:t>(</w:t>
      </w:r>
      <w:r w:rsidR="5CFB5566" w:rsidRPr="008E61EA">
        <w:rPr>
          <w:rFonts w:ascii="Times New Roman" w:eastAsia="Times New Roman" w:hAnsi="Times New Roman" w:cs="Times New Roman"/>
          <w:color w:val="FF0000"/>
          <w:sz w:val="20"/>
          <w:szCs w:val="20"/>
          <w:highlight w:val="cyan"/>
        </w:rPr>
        <w:t>OU</w:t>
      </w:r>
      <w:r w:rsidR="5CA04EF5" w:rsidRPr="008E61EA">
        <w:rPr>
          <w:rFonts w:ascii="Times New Roman" w:eastAsia="Times New Roman" w:hAnsi="Times New Roman" w:cs="Times New Roman"/>
          <w:color w:val="FF0000"/>
          <w:sz w:val="20"/>
          <w:szCs w:val="20"/>
          <w:highlight w:val="cyan"/>
        </w:rPr>
        <w:t>)</w:t>
      </w:r>
      <w:r w:rsidR="5CFB5566" w:rsidRPr="008E61EA">
        <w:rPr>
          <w:rFonts w:ascii="Times New Roman" w:eastAsia="Times New Roman" w:hAnsi="Times New Roman" w:cs="Times New Roman"/>
          <w:color w:val="FF0000"/>
          <w:sz w:val="20"/>
          <w:szCs w:val="20"/>
          <w:highlight w:val="cyan"/>
        </w:rPr>
        <w:t xml:space="preserve"> DECRETO 7</w:t>
      </w:r>
      <w:r w:rsidR="5675E27E" w:rsidRPr="008E61EA">
        <w:rPr>
          <w:rFonts w:ascii="Times New Roman" w:eastAsia="Times New Roman" w:hAnsi="Times New Roman" w:cs="Times New Roman"/>
          <w:color w:val="FF0000"/>
          <w:sz w:val="20"/>
          <w:szCs w:val="20"/>
          <w:highlight w:val="cyan"/>
        </w:rPr>
        <w:t xml:space="preserve">. </w:t>
      </w:r>
      <w:r w:rsidR="5CFB5566" w:rsidRPr="008E61EA">
        <w:rPr>
          <w:rFonts w:ascii="Times New Roman" w:eastAsia="Times New Roman" w:hAnsi="Times New Roman" w:cs="Times New Roman"/>
          <w:color w:val="FF0000"/>
          <w:sz w:val="20"/>
          <w:szCs w:val="20"/>
          <w:highlight w:val="cyan"/>
        </w:rPr>
        <w:t>983</w:t>
      </w:r>
      <w:r w:rsidR="42D78101" w:rsidRPr="008E61EA">
        <w:rPr>
          <w:rFonts w:ascii="Times New Roman" w:eastAsia="Times New Roman" w:hAnsi="Times New Roman" w:cs="Times New Roman"/>
          <w:color w:val="FF0000"/>
          <w:sz w:val="20"/>
          <w:szCs w:val="20"/>
          <w:highlight w:val="cyan"/>
        </w:rPr>
        <w:t xml:space="preserve">, de </w:t>
      </w:r>
      <w:r w:rsidR="24CD7A31" w:rsidRPr="008E61EA">
        <w:rPr>
          <w:rFonts w:ascii="Times New Roman" w:eastAsia="Times New Roman" w:hAnsi="Times New Roman" w:cs="Times New Roman"/>
          <w:color w:val="FF0000"/>
          <w:sz w:val="20"/>
          <w:szCs w:val="20"/>
          <w:highlight w:val="cyan"/>
        </w:rPr>
        <w:t>2013</w:t>
      </w:r>
      <w:r w:rsidR="57246506" w:rsidRPr="008E61EA">
        <w:rPr>
          <w:rFonts w:ascii="Times New Roman" w:eastAsia="Times New Roman" w:hAnsi="Times New Roman" w:cs="Times New Roman"/>
          <w:color w:val="FF0000"/>
          <w:sz w:val="20"/>
          <w:szCs w:val="20"/>
          <w:highlight w:val="cyan"/>
        </w:rPr>
        <w:t xml:space="preserve">, IN SEGES/ME Nº 91, </w:t>
      </w:r>
      <w:r w:rsidR="2283707C" w:rsidRPr="008E61EA">
        <w:rPr>
          <w:rFonts w:ascii="Times New Roman" w:eastAsia="Times New Roman" w:hAnsi="Times New Roman" w:cs="Times New Roman"/>
          <w:color w:val="FF0000"/>
          <w:sz w:val="20"/>
          <w:szCs w:val="20"/>
          <w:highlight w:val="cyan"/>
        </w:rPr>
        <w:t>DE</w:t>
      </w:r>
      <w:r w:rsidR="57246506" w:rsidRPr="008E61EA">
        <w:rPr>
          <w:rFonts w:ascii="Times New Roman" w:eastAsia="Times New Roman" w:hAnsi="Times New Roman" w:cs="Times New Roman"/>
          <w:color w:val="FF0000"/>
          <w:sz w:val="20"/>
          <w:szCs w:val="20"/>
          <w:highlight w:val="cyan"/>
        </w:rPr>
        <w:t xml:space="preserve"> 2022</w:t>
      </w:r>
      <w:r w:rsidR="24CD7A31" w:rsidRPr="008E61EA">
        <w:rPr>
          <w:rFonts w:ascii="Times New Roman" w:eastAsia="Times New Roman" w:hAnsi="Times New Roman" w:cs="Times New Roman"/>
          <w:color w:val="FF0000"/>
          <w:sz w:val="20"/>
          <w:szCs w:val="20"/>
          <w:highlight w:val="cyan"/>
        </w:rPr>
        <w:t xml:space="preserve"> SE FOR SERVIÇOS DE ENGENHARIA</w:t>
      </w:r>
      <w:r w:rsidR="389F7086" w:rsidRPr="008E61EA">
        <w:rPr>
          <w:rFonts w:ascii="Times New Roman" w:eastAsia="Times New Roman" w:hAnsi="Times New Roman" w:cs="Times New Roman"/>
          <w:color w:val="000000" w:themeColor="text1"/>
          <w:sz w:val="20"/>
          <w:szCs w:val="20"/>
        </w:rPr>
        <w:t>, DECRETO Nº 10.947</w:t>
      </w:r>
      <w:r w:rsidR="26532BCC"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INSTRUÇÃO NORMATIVA SEGES Nº 58</w:t>
      </w:r>
      <w:r w:rsidR="7B1F8BA9"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PORTARIA ME Nº 7.828</w:t>
      </w:r>
      <w:r w:rsidR="02EF6C1A"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DECRETO Nº 11.246</w:t>
      </w:r>
      <w:r w:rsidR="4544B1D4"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2022, INSTRUÇÃO NORMATIVA SEGES/ME Nº 81</w:t>
      </w:r>
      <w:r w:rsidR="78EB32BD" w:rsidRPr="008E61EA">
        <w:rPr>
          <w:rFonts w:ascii="Times New Roman" w:eastAsia="Times New Roman" w:hAnsi="Times New Roman" w:cs="Times New Roman"/>
          <w:color w:val="000000" w:themeColor="text1"/>
          <w:sz w:val="20"/>
          <w:szCs w:val="20"/>
        </w:rPr>
        <w:t xml:space="preserve">, DE </w:t>
      </w:r>
      <w:r w:rsidR="389F7086" w:rsidRPr="008E61EA">
        <w:rPr>
          <w:rFonts w:ascii="Times New Roman" w:eastAsia="Times New Roman" w:hAnsi="Times New Roman" w:cs="Times New Roman"/>
          <w:color w:val="000000" w:themeColor="text1"/>
          <w:sz w:val="20"/>
          <w:szCs w:val="20"/>
        </w:rPr>
        <w:t xml:space="preserve">2022. </w:t>
      </w:r>
      <w:r w:rsidR="389F7086" w:rsidRPr="008E61EA">
        <w:rPr>
          <w:rFonts w:ascii="Times New Roman" w:eastAsia="Times New Roman" w:hAnsi="Times New Roman" w:cs="Times New Roman"/>
          <w:sz w:val="20"/>
          <w:szCs w:val="20"/>
        </w:rPr>
        <w:t>PORTARIA SEGES/ME Nº 938</w:t>
      </w:r>
      <w:r w:rsidR="11EE990B" w:rsidRPr="008E61EA">
        <w:rPr>
          <w:rFonts w:ascii="Times New Roman" w:eastAsia="Times New Roman" w:hAnsi="Times New Roman" w:cs="Times New Roman"/>
          <w:sz w:val="20"/>
          <w:szCs w:val="20"/>
        </w:rPr>
        <w:t xml:space="preserve">, DE </w:t>
      </w:r>
      <w:r w:rsidR="389F7086" w:rsidRPr="008E61EA">
        <w:rPr>
          <w:rFonts w:ascii="Times New Roman" w:eastAsia="Times New Roman" w:hAnsi="Times New Roman" w:cs="Times New Roman"/>
          <w:sz w:val="20"/>
          <w:szCs w:val="20"/>
        </w:rPr>
        <w:t xml:space="preserve">2022, INSTRUÇÃO NORMATIVA SEGES/ME Nº 98, </w:t>
      </w:r>
      <w:r w:rsidR="13380458" w:rsidRPr="008E61EA">
        <w:rPr>
          <w:rFonts w:ascii="Times New Roman" w:eastAsia="Times New Roman" w:hAnsi="Times New Roman" w:cs="Times New Roman"/>
          <w:sz w:val="20"/>
          <w:szCs w:val="20"/>
        </w:rPr>
        <w:t xml:space="preserve">DE </w:t>
      </w:r>
      <w:r w:rsidR="389F7086" w:rsidRPr="008E61EA">
        <w:rPr>
          <w:rFonts w:ascii="Times New Roman" w:eastAsia="Times New Roman" w:hAnsi="Times New Roman" w:cs="Times New Roman"/>
          <w:sz w:val="20"/>
          <w:szCs w:val="20"/>
        </w:rPr>
        <w:t>2022 E INSTRUÇÃO NORMATIVA Nº 5, DE 26 DE MAIO DE 2017, NO QUE COUBER.</w:t>
      </w:r>
      <w:r w:rsidRPr="008E61EA">
        <w:rPr>
          <w:rFonts w:ascii="Times New Roman" w:eastAsia="Times New Roman" w:hAnsi="Times New Roman" w:cs="Times New Roman"/>
          <w:sz w:val="20"/>
          <w:szCs w:val="20"/>
        </w:rPr>
        <w:t> [</w:t>
      </w:r>
      <w:r w:rsidRPr="008E61EA">
        <w:rPr>
          <w:rFonts w:ascii="Times New Roman" w:eastAsia="Times New Roman" w:hAnsi="Times New Roman" w:cs="Times New Roman"/>
          <w:color w:val="FF0000"/>
          <w:sz w:val="20"/>
          <w:szCs w:val="20"/>
        </w:rPr>
        <w:t>COMPLEMENTAR COM ESPECIFICIDADES]</w:t>
      </w:r>
      <w:r w:rsidRPr="008E61EA">
        <w:rPr>
          <w:rFonts w:ascii="Times New Roman" w:eastAsia="Times New Roman" w:hAnsi="Times New Roman" w:cs="Times New Roman"/>
          <w:sz w:val="20"/>
          <w:szCs w:val="20"/>
        </w:rPr>
        <w:t xml:space="preserve">. </w:t>
      </w:r>
      <w:r w:rsidR="0A0088B4" w:rsidRPr="008E61EA">
        <w:rPr>
          <w:rFonts w:ascii="Times New Roman" w:eastAsia="Times New Roman" w:hAnsi="Times New Roman" w:cs="Times New Roman"/>
          <w:color w:val="000000" w:themeColor="text1"/>
          <w:sz w:val="20"/>
          <w:szCs w:val="20"/>
          <w:highlight w:val="cyan"/>
        </w:rPr>
        <w:t xml:space="preserve">REGULARIDADE FORMAL DO PROCESSO. </w:t>
      </w:r>
      <w:r w:rsidR="0A0088B4" w:rsidRPr="008E61EA">
        <w:rPr>
          <w:rFonts w:ascii="Times New Roman" w:eastAsia="Times New Roman" w:hAnsi="Times New Roman" w:cs="Times New Roman"/>
          <w:b/>
          <w:bCs/>
          <w:color w:val="000000" w:themeColor="text1"/>
          <w:sz w:val="20"/>
          <w:szCs w:val="20"/>
          <w:highlight w:val="cyan"/>
          <w:u w:val="single"/>
        </w:rPr>
        <w:t>OU</w:t>
      </w:r>
      <w:r w:rsidR="0A0088B4" w:rsidRPr="008E61EA">
        <w:rPr>
          <w:rFonts w:ascii="Times New Roman" w:eastAsia="Times New Roman" w:hAnsi="Times New Roman" w:cs="Times New Roman"/>
          <w:color w:val="000000" w:themeColor="text1"/>
          <w:sz w:val="20"/>
          <w:szCs w:val="20"/>
          <w:highlight w:val="cyan"/>
        </w:rPr>
        <w:t xml:space="preserve"> IRREGULARIDADE FORMAL DO PROCESSO, </w:t>
      </w:r>
      <w:r w:rsidR="0A0088B4" w:rsidRPr="008E61EA">
        <w:rPr>
          <w:rFonts w:ascii="Times New Roman" w:eastAsia="Times New Roman" w:hAnsi="Times New Roman" w:cs="Times New Roman"/>
          <w:color w:val="FF0000"/>
          <w:sz w:val="20"/>
          <w:szCs w:val="20"/>
          <w:highlight w:val="cyan"/>
        </w:rPr>
        <w:t>[COMPLEMENTAR COM ESPECIFICIDADES]</w:t>
      </w:r>
      <w:r w:rsidR="0A0088B4" w:rsidRPr="008E61EA">
        <w:rPr>
          <w:rFonts w:ascii="Times New Roman" w:eastAsia="Times New Roman" w:hAnsi="Times New Roman" w:cs="Times New Roman"/>
          <w:color w:val="333333"/>
          <w:sz w:val="20"/>
          <w:szCs w:val="20"/>
          <w:highlight w:val="cyan"/>
        </w:rPr>
        <w:t xml:space="preserve"> </w:t>
      </w:r>
      <w:r w:rsidR="0A0088B4" w:rsidRPr="008E61EA">
        <w:rPr>
          <w:rFonts w:ascii="Times New Roman" w:eastAsia="Times New Roman" w:hAnsi="Times New Roman" w:cs="Times New Roman"/>
          <w:color w:val="000000" w:themeColor="text1"/>
          <w:sz w:val="20"/>
          <w:szCs w:val="20"/>
          <w:highlight w:val="cyan"/>
        </w:rPr>
        <w:t xml:space="preserve">REGULARIDADE JURÍDICA, </w:t>
      </w:r>
      <w:r w:rsidR="0A0088B4" w:rsidRPr="008E61EA">
        <w:rPr>
          <w:rFonts w:ascii="Times New Roman" w:eastAsia="Times New Roman" w:hAnsi="Times New Roman" w:cs="Times New Roman"/>
          <w:b/>
          <w:bCs/>
          <w:color w:val="000000" w:themeColor="text1"/>
          <w:sz w:val="20"/>
          <w:szCs w:val="20"/>
          <w:highlight w:val="cyan"/>
          <w:u w:val="single"/>
        </w:rPr>
        <w:t>OU</w:t>
      </w:r>
      <w:r w:rsidR="0A0088B4" w:rsidRPr="008E61EA">
        <w:rPr>
          <w:rFonts w:ascii="Times New Roman" w:eastAsia="Times New Roman" w:hAnsi="Times New Roman" w:cs="Times New Roman"/>
          <w:color w:val="000000" w:themeColor="text1"/>
          <w:sz w:val="20"/>
          <w:szCs w:val="20"/>
          <w:highlight w:val="cyan"/>
        </w:rPr>
        <w:t xml:space="preserve"> REGULARIDADE JURÍDICA, </w:t>
      </w:r>
      <w:r w:rsidR="0A0088B4" w:rsidRPr="008E61EA">
        <w:rPr>
          <w:rFonts w:ascii="Times New Roman" w:eastAsia="Times New Roman" w:hAnsi="Times New Roman" w:cs="Times New Roman"/>
          <w:color w:val="000000" w:themeColor="text1"/>
          <w:sz w:val="20"/>
          <w:szCs w:val="20"/>
          <w:highlight w:val="cyan"/>
          <w:u w:val="single"/>
        </w:rPr>
        <w:t>COM RESSALVAS</w:t>
      </w:r>
      <w:r w:rsidR="0A0088B4" w:rsidRPr="008E61EA">
        <w:rPr>
          <w:rFonts w:ascii="Times New Roman" w:eastAsia="Times New Roman" w:hAnsi="Times New Roman" w:cs="Times New Roman"/>
          <w:color w:val="000000" w:themeColor="text1"/>
          <w:sz w:val="20"/>
          <w:szCs w:val="20"/>
          <w:highlight w:val="cyan"/>
        </w:rPr>
        <w:t xml:space="preserve"> </w:t>
      </w:r>
      <w:r w:rsidR="0A0088B4" w:rsidRPr="008E61EA">
        <w:rPr>
          <w:rFonts w:ascii="Times New Roman" w:eastAsia="Times New Roman" w:hAnsi="Times New Roman" w:cs="Times New Roman"/>
          <w:b/>
          <w:bCs/>
          <w:color w:val="000000" w:themeColor="text1"/>
          <w:sz w:val="20"/>
          <w:szCs w:val="20"/>
          <w:highlight w:val="cyan"/>
          <w:u w:val="single"/>
        </w:rPr>
        <w:t>OU</w:t>
      </w:r>
      <w:r w:rsidR="0A0088B4" w:rsidRPr="008E61EA">
        <w:rPr>
          <w:rFonts w:ascii="Times New Roman" w:eastAsia="Times New Roman" w:hAnsi="Times New Roman" w:cs="Times New Roman"/>
          <w:b/>
          <w:bCs/>
          <w:color w:val="000000" w:themeColor="text1"/>
          <w:sz w:val="20"/>
          <w:szCs w:val="20"/>
          <w:highlight w:val="cyan"/>
        </w:rPr>
        <w:t xml:space="preserve"> </w:t>
      </w:r>
      <w:r w:rsidR="0A0088B4" w:rsidRPr="008E61EA">
        <w:rPr>
          <w:rFonts w:ascii="Times New Roman" w:eastAsia="Times New Roman" w:hAnsi="Times New Roman" w:cs="Times New Roman"/>
          <w:color w:val="000000" w:themeColor="text1"/>
          <w:sz w:val="20"/>
          <w:szCs w:val="20"/>
          <w:highlight w:val="cyan"/>
        </w:rPr>
        <w:t>IRREGULARIDADE FORMAL DO PROCESSO.</w:t>
      </w:r>
    </w:p>
    <w:p w14:paraId="3738DC10" w14:textId="4ABA97EF" w:rsidR="64C763B2" w:rsidRPr="0066121D" w:rsidRDefault="64C763B2" w:rsidP="64C763B2">
      <w:pPr>
        <w:spacing w:line="257" w:lineRule="auto"/>
        <w:ind w:left="1440"/>
        <w:jc w:val="both"/>
        <w:rPr>
          <w:rFonts w:ascii="Times New Roman" w:eastAsia="Times New Roman" w:hAnsi="Times New Roman" w:cs="Times New Roman"/>
          <w:sz w:val="24"/>
          <w:szCs w:val="24"/>
        </w:rPr>
      </w:pPr>
    </w:p>
    <w:p w14:paraId="2053226C" w14:textId="03A2A65B"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5AA3B6AA" w14:textId="4A372ABB" w:rsidR="00934FDC" w:rsidRPr="0066121D" w:rsidRDefault="51650439"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E4CA2AB" w14:textId="2D8B2F8A" w:rsidR="00934FDC" w:rsidRPr="0066121D" w:rsidRDefault="51650439" w:rsidP="64C763B2">
      <w:pPr>
        <w:spacing w:after="0" w:line="240" w:lineRule="auto"/>
        <w:jc w:val="both"/>
        <w:rPr>
          <w:rFonts w:ascii="Times New Roman" w:eastAsia="Times New Roman" w:hAnsi="Times New Roman" w:cs="Times New Roman"/>
          <w:b/>
          <w:bCs/>
          <w:smallCaps/>
          <w:color w:val="000000" w:themeColor="text1"/>
          <w:sz w:val="24"/>
          <w:szCs w:val="24"/>
        </w:rPr>
      </w:pPr>
      <w:r w:rsidRPr="0066121D">
        <w:rPr>
          <w:rFonts w:ascii="Times New Roman" w:eastAsia="Times New Roman" w:hAnsi="Times New Roman" w:cs="Times New Roman"/>
          <w:b/>
          <w:bCs/>
          <w:smallCaps/>
          <w:color w:val="000000" w:themeColor="text1"/>
          <w:sz w:val="24"/>
          <w:szCs w:val="24"/>
        </w:rPr>
        <w:t>RELATÓRIO</w:t>
      </w:r>
    </w:p>
    <w:p w14:paraId="3A40BCA3" w14:textId="55E609A2" w:rsidR="00934FDC" w:rsidRPr="0066121D" w:rsidRDefault="51650439"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AC6CFF4" w14:textId="636CA8E6" w:rsidR="00934FDC" w:rsidRPr="0066121D" w:rsidRDefault="6B4B1D44"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Trata-se de processo administrativo encaminhado a este órgão consultivo, para análise da regularidade jurídica da </w:t>
      </w:r>
      <w:r w:rsidR="00A19A86" w:rsidRPr="0066121D">
        <w:rPr>
          <w:rFonts w:ascii="Times New Roman" w:eastAsia="Times New Roman" w:hAnsi="Times New Roman" w:cs="Times New Roman"/>
          <w:color w:val="000000" w:themeColor="text1"/>
          <w:sz w:val="24"/>
          <w:szCs w:val="24"/>
        </w:rPr>
        <w:t xml:space="preserve">contratação </w:t>
      </w:r>
      <w:r w:rsidR="00A19A86" w:rsidRPr="0066121D">
        <w:rPr>
          <w:rFonts w:ascii="Times New Roman" w:eastAsia="Times New Roman" w:hAnsi="Times New Roman" w:cs="Times New Roman"/>
          <w:color w:val="333333"/>
          <w:sz w:val="24"/>
          <w:szCs w:val="24"/>
        </w:rPr>
        <w:t>direta, por dispensa de licitação,</w:t>
      </w:r>
      <w:r w:rsidR="4235656E" w:rsidRPr="0066121D">
        <w:rPr>
          <w:rFonts w:ascii="Times New Roman" w:eastAsia="Times New Roman" w:hAnsi="Times New Roman" w:cs="Times New Roman"/>
          <w:color w:val="333333"/>
          <w:sz w:val="24"/>
          <w:szCs w:val="24"/>
        </w:rPr>
        <w:t xml:space="preserve"> prevista </w:t>
      </w:r>
      <w:r w:rsidR="00A19A86" w:rsidRPr="0066121D">
        <w:rPr>
          <w:rFonts w:ascii="Times New Roman" w:eastAsia="Times New Roman" w:hAnsi="Times New Roman" w:cs="Times New Roman"/>
          <w:color w:val="333333"/>
          <w:sz w:val="24"/>
          <w:szCs w:val="24"/>
        </w:rPr>
        <w:t>no art. 75, VIII, da Lei n.</w:t>
      </w:r>
      <w:r w:rsidR="596C84F8" w:rsidRPr="0066121D">
        <w:rPr>
          <w:rFonts w:ascii="Times New Roman" w:eastAsia="Times New Roman" w:hAnsi="Times New Roman" w:cs="Times New Roman"/>
          <w:color w:val="333333"/>
          <w:sz w:val="24"/>
          <w:szCs w:val="24"/>
        </w:rPr>
        <w:t>º</w:t>
      </w:r>
      <w:r w:rsidR="00A19A86" w:rsidRPr="0066121D">
        <w:rPr>
          <w:rFonts w:ascii="Times New Roman" w:eastAsia="Times New Roman" w:hAnsi="Times New Roman" w:cs="Times New Roman"/>
          <w:color w:val="333333"/>
          <w:sz w:val="24"/>
          <w:szCs w:val="24"/>
        </w:rPr>
        <w:t xml:space="preserve"> 14.133, de 2021</w:t>
      </w:r>
      <w:r w:rsidRPr="0066121D">
        <w:rPr>
          <w:rFonts w:ascii="Times New Roman" w:eastAsia="Times New Roman" w:hAnsi="Times New Roman" w:cs="Times New Roman"/>
          <w:color w:val="000000" w:themeColor="text1"/>
          <w:sz w:val="24"/>
          <w:szCs w:val="24"/>
        </w:rPr>
        <w:t xml:space="preserve">, </w:t>
      </w:r>
      <w:r w:rsidR="2CC89549" w:rsidRPr="0066121D">
        <w:rPr>
          <w:rFonts w:ascii="Times New Roman" w:eastAsia="Times New Roman" w:hAnsi="Times New Roman" w:cs="Times New Roman"/>
          <w:color w:val="FF0000"/>
          <w:sz w:val="24"/>
          <w:szCs w:val="24"/>
        </w:rPr>
        <w:t>que tem por objeto XXXXXXXXXXX, no valor de R$ XXXXXXXXXXXXX.</w:t>
      </w:r>
    </w:p>
    <w:p w14:paraId="4C3F6346" w14:textId="4C8A6839"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0D1D9EB" w14:textId="75CB1EEC" w:rsidR="34DFEB74" w:rsidRPr="0066121D" w:rsidRDefault="0AFE385A" w:rsidP="64C763B2">
      <w:pPr>
        <w:spacing w:after="0" w:line="240" w:lineRule="auto"/>
        <w:jc w:val="both"/>
        <w:rPr>
          <w:rFonts w:ascii="Times New Roman" w:eastAsia="Times New Roman" w:hAnsi="Times New Roman" w:cs="Times New Roman"/>
          <w:strike/>
          <w:color w:val="FF0000"/>
          <w:sz w:val="24"/>
          <w:szCs w:val="24"/>
        </w:rPr>
      </w:pPr>
      <w:r w:rsidRPr="0066121D">
        <w:rPr>
          <w:rFonts w:ascii="Times New Roman" w:eastAsia="Times New Roman" w:hAnsi="Times New Roman" w:cs="Times New Roman"/>
          <w:color w:val="000000" w:themeColor="text1"/>
          <w:sz w:val="24"/>
          <w:szCs w:val="24"/>
        </w:rPr>
        <w:t xml:space="preserve">Os presentes autos encontram-se instruídos, dentre outros, com os seguintes documentos, pertinentes à presente análise:   </w:t>
      </w:r>
    </w:p>
    <w:p w14:paraId="6B80D70D" w14:textId="7631CEDF"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62FE325" w14:textId="3FEBCDFC" w:rsidR="34DFEB74" w:rsidRPr="008E61EA" w:rsidRDefault="278D7ACE"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Documento de formalização de demanda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p>
    <w:p w14:paraId="202AEDA0" w14:textId="17D828FA" w:rsidR="414A41D6" w:rsidRPr="008E61EA" w:rsidRDefault="3DE7477B"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estudo técnico preliminar - ETP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p>
    <w:p w14:paraId="7DE2EBB6" w14:textId="60BB41F8"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mapa de gerenciamento de riscos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358F6646" w14:textId="11B72853"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pesquisa de mercado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6484CA1A" w14:textId="03A5B124"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mapa comparativo de preços (fls. SEI </w:t>
      </w:r>
      <w:proofErr w:type="gramStart"/>
      <w:r w:rsidRPr="008E61EA">
        <w:rPr>
          <w:rFonts w:ascii="Times New Roman" w:eastAsia="Times New Roman" w:hAnsi="Times New Roman" w:cs="Times New Roman"/>
          <w:color w:val="FF0000"/>
          <w:sz w:val="20"/>
          <w:szCs w:val="20"/>
        </w:rPr>
        <w:t>n. )</w:t>
      </w:r>
      <w:proofErr w:type="gramEnd"/>
      <w:r w:rsidRPr="008E61EA">
        <w:rPr>
          <w:rFonts w:ascii="Times New Roman" w:eastAsia="Times New Roman" w:hAnsi="Times New Roman" w:cs="Times New Roman"/>
          <w:color w:val="FF0000"/>
          <w:sz w:val="20"/>
          <w:szCs w:val="20"/>
        </w:rPr>
        <w:t>;</w:t>
      </w:r>
    </w:p>
    <w:p w14:paraId="65D4CEF9" w14:textId="6F10BC0C"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justificativa do preço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64923725" w14:textId="63AB0BB9"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despacho com considerações a respeito da pesquisa de mercado (fls. SEI </w:t>
      </w:r>
      <w:proofErr w:type="gramStart"/>
      <w:r w:rsidRPr="008E61EA">
        <w:rPr>
          <w:rFonts w:ascii="Times New Roman" w:eastAsia="Times New Roman" w:hAnsi="Times New Roman" w:cs="Times New Roman"/>
          <w:color w:val="FF0000"/>
          <w:sz w:val="20"/>
          <w:szCs w:val="20"/>
        </w:rPr>
        <w:t>n. )</w:t>
      </w:r>
      <w:proofErr w:type="gramEnd"/>
      <w:r w:rsidRPr="008E61EA">
        <w:rPr>
          <w:rFonts w:ascii="Times New Roman" w:eastAsia="Times New Roman" w:hAnsi="Times New Roman" w:cs="Times New Roman"/>
          <w:color w:val="FF0000"/>
          <w:sz w:val="20"/>
          <w:szCs w:val="20"/>
        </w:rPr>
        <w:t>;</w:t>
      </w:r>
    </w:p>
    <w:p w14:paraId="22BCCFF4" w14:textId="11915F32"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termo de referência/projeto básico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4A217742" w14:textId="384577A0"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justificativa técnica da contratação direta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5D63355F" w14:textId="7F5A16E8"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autorização da autoridade administrativa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316E68DE" w14:textId="54C313C5"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documentação referente à habilitação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32ADED18" w14:textId="2CDA4540"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declaração de </w:t>
      </w:r>
      <w:r w:rsidR="2CC1D79D" w:rsidRPr="008E61EA">
        <w:rPr>
          <w:rFonts w:ascii="Times New Roman" w:eastAsia="Times New Roman" w:hAnsi="Times New Roman" w:cs="Times New Roman"/>
          <w:color w:val="FF0000"/>
          <w:sz w:val="20"/>
          <w:szCs w:val="20"/>
        </w:rPr>
        <w:t>previsão</w:t>
      </w:r>
      <w:r w:rsidRPr="008E61EA">
        <w:rPr>
          <w:rFonts w:ascii="Times New Roman" w:eastAsia="Times New Roman" w:hAnsi="Times New Roman" w:cs="Times New Roman"/>
          <w:color w:val="FF0000"/>
          <w:sz w:val="20"/>
          <w:szCs w:val="20"/>
        </w:rPr>
        <w:t xml:space="preserve"> orçamentária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790103EC" w14:textId="64150FEA"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 xml:space="preserve">minuta do contrato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p>
    <w:p w14:paraId="66EF4CA2" w14:textId="42E02954" w:rsidR="4AC5803E" w:rsidRPr="008E61EA"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0"/>
          <w:szCs w:val="20"/>
        </w:rPr>
      </w:pPr>
      <w:r w:rsidRPr="008E61EA">
        <w:rPr>
          <w:rFonts w:ascii="Times New Roman" w:eastAsia="Times New Roman" w:hAnsi="Times New Roman" w:cs="Times New Roman"/>
          <w:color w:val="FF0000"/>
          <w:sz w:val="20"/>
          <w:szCs w:val="20"/>
        </w:rPr>
        <w:t>certificado de adoção das minutas padrão da AGU (</w:t>
      </w:r>
      <w:proofErr w:type="spellStart"/>
      <w:r w:rsidRPr="008E61EA">
        <w:rPr>
          <w:rFonts w:ascii="Times New Roman" w:eastAsia="Times New Roman" w:hAnsi="Times New Roman" w:cs="Times New Roman"/>
          <w:color w:val="FF0000"/>
          <w:sz w:val="20"/>
          <w:szCs w:val="20"/>
        </w:rPr>
        <w:t>fls.</w:t>
      </w:r>
      <w:r w:rsidR="60A4E197" w:rsidRPr="008E61EA">
        <w:rPr>
          <w:rFonts w:ascii="Times New Roman" w:eastAsia="Times New Roman" w:hAnsi="Times New Roman" w:cs="Times New Roman"/>
          <w:color w:val="FF0000"/>
          <w:sz w:val="20"/>
          <w:szCs w:val="20"/>
        </w:rPr>
        <w:t>xxx</w:t>
      </w:r>
      <w:proofErr w:type="spellEnd"/>
      <w:r w:rsidR="60A4E197" w:rsidRPr="008E61EA">
        <w:rPr>
          <w:rFonts w:ascii="Times New Roman" w:eastAsia="Times New Roman" w:hAnsi="Times New Roman" w:cs="Times New Roman"/>
          <w:color w:val="FF0000"/>
          <w:sz w:val="20"/>
          <w:szCs w:val="20"/>
        </w:rPr>
        <w:t>/</w:t>
      </w:r>
      <w:r w:rsidRPr="008E61EA">
        <w:rPr>
          <w:rFonts w:ascii="Times New Roman" w:eastAsia="Times New Roman" w:hAnsi="Times New Roman" w:cs="Times New Roman"/>
          <w:color w:val="FF0000"/>
          <w:sz w:val="20"/>
          <w:szCs w:val="20"/>
        </w:rPr>
        <w:t xml:space="preserve">SEI n. </w:t>
      </w:r>
      <w:proofErr w:type="spellStart"/>
      <w:r w:rsidR="63CF9C75"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   </w:t>
      </w:r>
    </w:p>
    <w:p w14:paraId="5515CC8F" w14:textId="2548D86C" w:rsidR="4AC5803E" w:rsidRPr="0066121D" w:rsidRDefault="5DA15F8F" w:rsidP="008E61EA">
      <w:pPr>
        <w:pStyle w:val="PargrafodaLista"/>
        <w:numPr>
          <w:ilvl w:val="0"/>
          <w:numId w:val="2"/>
        </w:numPr>
        <w:tabs>
          <w:tab w:val="left" w:pos="2552"/>
        </w:tabs>
        <w:spacing w:after="0" w:line="240" w:lineRule="auto"/>
        <w:ind w:left="2268" w:firstLine="0"/>
        <w:rPr>
          <w:rFonts w:ascii="Times New Roman" w:eastAsia="Times New Roman" w:hAnsi="Times New Roman" w:cs="Times New Roman"/>
          <w:color w:val="FF0000"/>
          <w:sz w:val="24"/>
          <w:szCs w:val="24"/>
        </w:rPr>
      </w:pPr>
      <w:r w:rsidRPr="008E61EA">
        <w:rPr>
          <w:rFonts w:ascii="Times New Roman" w:eastAsia="Times New Roman" w:hAnsi="Times New Roman" w:cs="Times New Roman"/>
          <w:color w:val="FF0000"/>
          <w:sz w:val="20"/>
          <w:szCs w:val="20"/>
        </w:rPr>
        <w:t xml:space="preserve">lista de verificação de contratação direta (fls.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 xml:space="preserve">/SEI </w:t>
      </w:r>
      <w:proofErr w:type="spellStart"/>
      <w:r w:rsidRPr="008E61EA">
        <w:rPr>
          <w:rFonts w:ascii="Times New Roman" w:eastAsia="Times New Roman" w:hAnsi="Times New Roman" w:cs="Times New Roman"/>
          <w:color w:val="FF0000"/>
          <w:sz w:val="20"/>
          <w:szCs w:val="20"/>
        </w:rPr>
        <w:t>xxx</w:t>
      </w:r>
      <w:proofErr w:type="spellEnd"/>
      <w:r w:rsidRPr="008E61EA">
        <w:rPr>
          <w:rFonts w:ascii="Times New Roman" w:eastAsia="Times New Roman" w:hAnsi="Times New Roman" w:cs="Times New Roman"/>
          <w:color w:val="FF0000"/>
          <w:sz w:val="20"/>
          <w:szCs w:val="20"/>
        </w:rPr>
        <w:t>).</w:t>
      </w:r>
      <w:r w:rsidRPr="0066121D">
        <w:rPr>
          <w:rFonts w:ascii="Times New Roman" w:eastAsia="Times New Roman" w:hAnsi="Times New Roman" w:cs="Times New Roman"/>
          <w:color w:val="FF0000"/>
          <w:sz w:val="24"/>
          <w:szCs w:val="24"/>
        </w:rPr>
        <w:t xml:space="preserve">    </w:t>
      </w:r>
    </w:p>
    <w:p w14:paraId="435C1CC9" w14:textId="2A491212"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60D0CEC2" w14:textId="13381735"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Por razões de economia processual, documentos não mencionados no item anterior serão devidamente referenciados ao longo do parecer. </w:t>
      </w:r>
    </w:p>
    <w:p w14:paraId="44E26FF4" w14:textId="366AF747" w:rsidR="00934FDC" w:rsidRPr="0066121D" w:rsidRDefault="51650439" w:rsidP="64C763B2">
      <w:pPr>
        <w:spacing w:after="0" w:line="240" w:lineRule="auto"/>
        <w:ind w:firstLine="1410"/>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74F4011C" w14:textId="50AF93C7" w:rsidR="00934FDC"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É o relatório. </w:t>
      </w:r>
    </w:p>
    <w:p w14:paraId="56A0FD7A" w14:textId="77777777" w:rsidR="00CE1024" w:rsidRDefault="00CE102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07B71EFD" w14:textId="01709216" w:rsidR="64C763B2" w:rsidRDefault="51650439" w:rsidP="00CE1024">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lastRenderedPageBreak/>
        <w:t>DA FUNDAMENTAÇÃO</w:t>
      </w:r>
    </w:p>
    <w:p w14:paraId="6A23FC74" w14:textId="77777777" w:rsidR="00A455DD" w:rsidRPr="00CE1024" w:rsidRDefault="00A455DD" w:rsidP="00CE1024">
      <w:pPr>
        <w:spacing w:after="0" w:line="240" w:lineRule="auto"/>
        <w:jc w:val="both"/>
        <w:rPr>
          <w:rFonts w:ascii="Times New Roman" w:eastAsia="Times New Roman" w:hAnsi="Times New Roman" w:cs="Times New Roman"/>
          <w:b/>
          <w:bCs/>
          <w:color w:val="000000" w:themeColor="text1"/>
          <w:sz w:val="24"/>
          <w:szCs w:val="24"/>
        </w:rPr>
      </w:pPr>
    </w:p>
    <w:p w14:paraId="6CCFB8CC" w14:textId="5D671267" w:rsidR="00934FDC" w:rsidRPr="0066121D" w:rsidRDefault="51650439"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DOS LIMITES DA ANÁLISE JURÍDICA</w:t>
      </w:r>
    </w:p>
    <w:p w14:paraId="03114FBE" w14:textId="43EF4432" w:rsidR="00934FDC" w:rsidRPr="0066121D" w:rsidRDefault="51650439"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F015D77" w14:textId="3711037B" w:rsidR="00D6369C" w:rsidRPr="00FC0E8C" w:rsidRDefault="57381012" w:rsidP="00D6369C">
      <w:pPr>
        <w:spacing w:after="0" w:line="240" w:lineRule="auto"/>
        <w:jc w:val="both"/>
        <w:rPr>
          <w:rFonts w:ascii="Times New Roman" w:eastAsia="Times New Roman" w:hAnsi="Times New Roman" w:cs="Times New Roman"/>
          <w:sz w:val="24"/>
          <w:szCs w:val="24"/>
          <w:lang w:eastAsia="pt-BR"/>
        </w:rPr>
      </w:pPr>
      <w:r w:rsidRPr="0066121D">
        <w:rPr>
          <w:rFonts w:ascii="Times New Roman" w:eastAsia="Times New Roman" w:hAnsi="Times New Roman" w:cs="Times New Roman"/>
          <w:color w:val="000000" w:themeColor="text1"/>
          <w:sz w:val="24"/>
          <w:szCs w:val="24"/>
        </w:rPr>
        <w:t>A presente manifestação jurídica tem o escopo de assistir a autoridade assessorada no controle prévio de legalidade, conforme art. 53</w:t>
      </w:r>
      <w:r w:rsidR="42076249" w:rsidRPr="0066121D">
        <w:rPr>
          <w:rFonts w:ascii="Times New Roman" w:eastAsia="Times New Roman" w:hAnsi="Times New Roman" w:cs="Times New Roman"/>
          <w:color w:val="000000" w:themeColor="text1"/>
          <w:sz w:val="24"/>
          <w:szCs w:val="24"/>
        </w:rPr>
        <w:t>, §4º,</w:t>
      </w:r>
      <w:r w:rsidRPr="0066121D">
        <w:rPr>
          <w:rFonts w:ascii="Times New Roman" w:eastAsia="Times New Roman" w:hAnsi="Times New Roman" w:cs="Times New Roman"/>
          <w:color w:val="000000" w:themeColor="text1"/>
          <w:sz w:val="24"/>
          <w:szCs w:val="24"/>
        </w:rPr>
        <w:t xml:space="preserve"> da </w:t>
      </w:r>
      <w:r w:rsidRPr="000263EB">
        <w:rPr>
          <w:rFonts w:ascii="Times New Roman" w:eastAsia="Times New Roman" w:hAnsi="Times New Roman" w:cs="Times New Roman"/>
          <w:sz w:val="24"/>
          <w:szCs w:val="24"/>
        </w:rPr>
        <w:t>L</w:t>
      </w:r>
      <w:r w:rsidR="00765EED" w:rsidRPr="000263EB">
        <w:rPr>
          <w:rFonts w:ascii="Times New Roman" w:eastAsia="Times New Roman" w:hAnsi="Times New Roman" w:cs="Times New Roman"/>
          <w:sz w:val="24"/>
          <w:szCs w:val="24"/>
        </w:rPr>
        <w:t>ei</w:t>
      </w:r>
      <w:r w:rsidRPr="000263EB">
        <w:rPr>
          <w:rFonts w:ascii="Times New Roman" w:eastAsia="Times New Roman" w:hAnsi="Times New Roman" w:cs="Times New Roman"/>
          <w:sz w:val="24"/>
          <w:szCs w:val="24"/>
        </w:rPr>
        <w:t xml:space="preserve"> </w:t>
      </w:r>
      <w:r w:rsidR="00765EED" w:rsidRPr="000263EB">
        <w:rPr>
          <w:rFonts w:ascii="Times New Roman" w:eastAsia="Times New Roman" w:hAnsi="Times New Roman" w:cs="Times New Roman"/>
          <w:sz w:val="24"/>
          <w:szCs w:val="24"/>
        </w:rPr>
        <w:t>n</w:t>
      </w:r>
      <w:r w:rsidRPr="000263EB">
        <w:rPr>
          <w:rFonts w:ascii="Times New Roman" w:eastAsia="Times New Roman" w:hAnsi="Times New Roman" w:cs="Times New Roman"/>
          <w:sz w:val="24"/>
          <w:szCs w:val="24"/>
        </w:rPr>
        <w:t xml:space="preserve">º 14.133, </w:t>
      </w:r>
      <w:r w:rsidR="00765EED" w:rsidRPr="000263EB">
        <w:rPr>
          <w:rFonts w:ascii="Times New Roman" w:eastAsia="Times New Roman" w:hAnsi="Times New Roman" w:cs="Times New Roman"/>
          <w:sz w:val="24"/>
          <w:szCs w:val="24"/>
        </w:rPr>
        <w:t>de</w:t>
      </w:r>
      <w:r w:rsidRPr="000263EB">
        <w:rPr>
          <w:rFonts w:ascii="Times New Roman" w:eastAsia="Times New Roman" w:hAnsi="Times New Roman" w:cs="Times New Roman"/>
          <w:sz w:val="24"/>
          <w:szCs w:val="24"/>
        </w:rPr>
        <w:t xml:space="preserve"> 1º </w:t>
      </w:r>
      <w:r w:rsidR="00765EED" w:rsidRPr="000263EB">
        <w:rPr>
          <w:rFonts w:ascii="Times New Roman" w:eastAsia="Times New Roman" w:hAnsi="Times New Roman" w:cs="Times New Roman"/>
          <w:sz w:val="24"/>
          <w:szCs w:val="24"/>
        </w:rPr>
        <w:t xml:space="preserve">de abril de </w:t>
      </w:r>
      <w:r w:rsidRPr="000263EB">
        <w:rPr>
          <w:rFonts w:ascii="Times New Roman" w:eastAsia="Times New Roman" w:hAnsi="Times New Roman" w:cs="Times New Roman"/>
          <w:sz w:val="24"/>
          <w:szCs w:val="24"/>
        </w:rPr>
        <w:t>2021</w:t>
      </w:r>
      <w:r w:rsidRPr="0066121D">
        <w:rPr>
          <w:rFonts w:ascii="Times New Roman" w:eastAsia="Times New Roman" w:hAnsi="Times New Roman" w:cs="Times New Roman"/>
          <w:color w:val="000000" w:themeColor="text1"/>
          <w:sz w:val="24"/>
          <w:szCs w:val="24"/>
        </w:rPr>
        <w:t xml:space="preserve">. Dessa maneira, não há determinação legal a impor a fiscalização posterior de cumprimento de recomendações feitas pela unidade jurídico-consultiva. Além do mais, na eventualidade de o administrador não atender as orientações do Órgão Consultivo, </w:t>
      </w:r>
      <w:r w:rsidR="00D6369C" w:rsidRPr="0BF65FCA">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r w:rsidR="00D6369C" w:rsidRPr="00FC0E8C">
        <w:rPr>
          <w:rFonts w:ascii="Times New Roman" w:eastAsia="Times New Roman" w:hAnsi="Times New Roman" w:cs="Times New Roman"/>
          <w:sz w:val="24"/>
          <w:szCs w:val="24"/>
          <w:lang w:eastAsia="pt-BR"/>
        </w:rPr>
        <w:t> </w:t>
      </w:r>
    </w:p>
    <w:p w14:paraId="782AF506" w14:textId="026B8B08"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618A904" w14:textId="6A8AAE5D"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Ressalte-se que o exame aqui empreendido se restringe aos aspectos jurídicos do procedimento, excluídos, portanto, aqueles de natureza eminentemente técnica, o que inclui o detalhamento do objeto da contratação, suas características, requisitos e especificações, uma vez que as questões técnicas fogem das atribuições deste órgão de consultoria, sendo afetos aos setores competentes da Administração. </w:t>
      </w:r>
    </w:p>
    <w:p w14:paraId="3D8F521D" w14:textId="61A90625" w:rsidR="00934FDC" w:rsidRPr="0066121D" w:rsidRDefault="00934FDC" w:rsidP="64C763B2">
      <w:pPr>
        <w:spacing w:after="0" w:line="240" w:lineRule="auto"/>
        <w:jc w:val="both"/>
        <w:rPr>
          <w:rFonts w:ascii="Times New Roman" w:eastAsia="Times New Roman" w:hAnsi="Times New Roman" w:cs="Times New Roman"/>
          <w:color w:val="000000" w:themeColor="text1"/>
          <w:sz w:val="24"/>
          <w:szCs w:val="24"/>
        </w:rPr>
      </w:pPr>
    </w:p>
    <w:p w14:paraId="21F83464" w14:textId="245071B3"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Com relação a esses dados, parte-se da premissa de que a autoridade competente se municiará dos conhecimentos técnicos imprescindíveis para a sua adequação às necessidades da Administração, conforme </w:t>
      </w:r>
      <w:r w:rsidR="5E90FBC6" w:rsidRPr="0066121D">
        <w:rPr>
          <w:rFonts w:ascii="Times New Roman" w:eastAsia="Times New Roman" w:hAnsi="Times New Roman" w:cs="Times New Roman"/>
          <w:color w:val="000000" w:themeColor="text1"/>
          <w:sz w:val="24"/>
          <w:szCs w:val="24"/>
        </w:rPr>
        <w:t xml:space="preserve">orientação constante da </w:t>
      </w:r>
      <w:r w:rsidRPr="0066121D">
        <w:rPr>
          <w:rFonts w:ascii="Times New Roman" w:eastAsia="Times New Roman" w:hAnsi="Times New Roman" w:cs="Times New Roman"/>
          <w:color w:val="000000" w:themeColor="text1"/>
          <w:sz w:val="24"/>
          <w:szCs w:val="24"/>
        </w:rPr>
        <w:t xml:space="preserve">Boa Prática Consultiva </w:t>
      </w:r>
      <w:r w:rsidR="1766639F" w:rsidRPr="0066121D">
        <w:rPr>
          <w:rFonts w:ascii="Times New Roman" w:eastAsia="Times New Roman" w:hAnsi="Times New Roman" w:cs="Times New Roman"/>
          <w:color w:val="000000" w:themeColor="text1"/>
          <w:sz w:val="24"/>
          <w:szCs w:val="24"/>
        </w:rPr>
        <w:t xml:space="preserve">- BPC/AGU nº 7, </w:t>
      </w:r>
      <w:r w:rsidRPr="0066121D">
        <w:rPr>
          <w:rFonts w:ascii="Times New Roman" w:eastAsia="Times New Roman" w:hAnsi="Times New Roman" w:cs="Times New Roman"/>
          <w:color w:val="000000" w:themeColor="text1"/>
          <w:sz w:val="24"/>
          <w:szCs w:val="24"/>
        </w:rPr>
        <w:t xml:space="preserve">que assim dispõe:   </w:t>
      </w:r>
    </w:p>
    <w:p w14:paraId="3CBC881C" w14:textId="0E876D24" w:rsidR="00934FDC" w:rsidRPr="0066121D" w:rsidRDefault="51650439" w:rsidP="64C763B2">
      <w:pPr>
        <w:spacing w:after="0" w:line="240" w:lineRule="auto"/>
        <w:jc w:val="both"/>
        <w:rPr>
          <w:rFonts w:ascii="Times New Roman" w:hAnsi="Times New Roman" w:cs="Times New Roman"/>
          <w:sz w:val="24"/>
          <w:szCs w:val="24"/>
        </w:rPr>
      </w:pPr>
      <w:r w:rsidRPr="0066121D">
        <w:rPr>
          <w:rFonts w:ascii="Times New Roman" w:eastAsia="Calibri" w:hAnsi="Times New Roman" w:cs="Times New Roman"/>
          <w:color w:val="000000" w:themeColor="text1"/>
          <w:sz w:val="24"/>
          <w:szCs w:val="24"/>
        </w:rPr>
        <w:t xml:space="preserve"> </w:t>
      </w:r>
    </w:p>
    <w:p w14:paraId="6DE3B673" w14:textId="0474EDC6" w:rsidR="00934FDC" w:rsidRPr="00B955BD" w:rsidRDefault="51650439" w:rsidP="00B955BD">
      <w:pPr>
        <w:spacing w:after="0" w:line="240" w:lineRule="auto"/>
        <w:ind w:left="2268"/>
        <w:jc w:val="both"/>
        <w:rPr>
          <w:rFonts w:ascii="Times New Roman" w:eastAsia="Times New Roman" w:hAnsi="Times New Roman" w:cs="Times New Roman"/>
          <w:color w:val="000000" w:themeColor="text1"/>
          <w:sz w:val="20"/>
          <w:szCs w:val="20"/>
        </w:rPr>
      </w:pPr>
      <w:r w:rsidRPr="00B955BD">
        <w:rPr>
          <w:rFonts w:ascii="Times New Roman" w:eastAsia="Times New Roman" w:hAnsi="Times New Roman" w:cs="Times New Roman"/>
          <w:color w:val="000000" w:themeColor="text1"/>
          <w:sz w:val="20"/>
          <w:szCs w:val="20"/>
        </w:rPr>
        <w:t xml:space="preserve">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(Manual de Boas Práticas Consultivas aprovado pela Portaria Conjunta nº 01, de 2 de dezembro de 2016)  </w:t>
      </w:r>
    </w:p>
    <w:p w14:paraId="6D8E0107" w14:textId="05941AB2"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B2179CE" w14:textId="12EEFAF9"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Feitas as ressalvas, passa</w:t>
      </w:r>
      <w:r w:rsidR="06E83703" w:rsidRPr="0066121D">
        <w:rPr>
          <w:rFonts w:ascii="Times New Roman" w:eastAsia="Times New Roman" w:hAnsi="Times New Roman" w:cs="Times New Roman"/>
          <w:color w:val="000000" w:themeColor="text1"/>
          <w:sz w:val="24"/>
          <w:szCs w:val="24"/>
        </w:rPr>
        <w:t>-se</w:t>
      </w:r>
      <w:r w:rsidRPr="0066121D">
        <w:rPr>
          <w:rFonts w:ascii="Times New Roman" w:eastAsia="Times New Roman" w:hAnsi="Times New Roman" w:cs="Times New Roman"/>
          <w:color w:val="000000" w:themeColor="text1"/>
          <w:sz w:val="24"/>
          <w:szCs w:val="24"/>
        </w:rPr>
        <w:t xml:space="preserve"> à análise estritamente jurídica do presente processo </w:t>
      </w:r>
    </w:p>
    <w:p w14:paraId="33D74FB7" w14:textId="048BD666" w:rsidR="00934FDC" w:rsidRPr="0066121D" w:rsidRDefault="00934FDC" w:rsidP="64C763B2">
      <w:pPr>
        <w:spacing w:after="0" w:line="240" w:lineRule="auto"/>
        <w:jc w:val="both"/>
        <w:rPr>
          <w:rFonts w:ascii="Times New Roman" w:eastAsia="Times New Roman" w:hAnsi="Times New Roman" w:cs="Times New Roman"/>
          <w:color w:val="000000" w:themeColor="text1"/>
          <w:sz w:val="24"/>
          <w:szCs w:val="24"/>
          <w:highlight w:val="red"/>
        </w:rPr>
      </w:pPr>
    </w:p>
    <w:p w14:paraId="54149443" w14:textId="01F8F06B" w:rsidR="00934FDC" w:rsidRPr="0066121D" w:rsidRDefault="738490E2"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DA VEDAÇÃO DA APLICAÇÃO COMBINADA DA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14.133/21 COM 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8.666/93, 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10.520/02 E A LEI N.</w:t>
      </w:r>
      <w:r w:rsidR="00B955BD">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12.462/11. </w:t>
      </w:r>
    </w:p>
    <w:p w14:paraId="5A7E2034" w14:textId="5EF09D69" w:rsidR="00934FDC" w:rsidRPr="0066121D" w:rsidRDefault="738490E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D9F583E" w14:textId="139E0744" w:rsidR="00934FDC" w:rsidRPr="0066121D" w:rsidRDefault="1CA4FFF0"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Não é demais destacar a vedação da aplicação combinada da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14.133</w:t>
      </w:r>
      <w:r w:rsidR="3C743453" w:rsidRPr="0066121D">
        <w:rPr>
          <w:rFonts w:ascii="Times New Roman" w:eastAsia="Times New Roman" w:hAnsi="Times New Roman" w:cs="Times New Roman"/>
          <w:sz w:val="24"/>
          <w:szCs w:val="24"/>
        </w:rPr>
        <w:t>, de 2021</w:t>
      </w:r>
      <w:r w:rsidR="00B955B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com a Lei </w:t>
      </w:r>
      <w:r w:rsidR="5E9F1E96" w:rsidRPr="0066121D">
        <w:rPr>
          <w:rFonts w:ascii="Times New Roman" w:eastAsia="Times New Roman" w:hAnsi="Times New Roman" w:cs="Times New Roman"/>
          <w:sz w:val="24"/>
          <w:szCs w:val="24"/>
        </w:rPr>
        <w:t>n</w:t>
      </w:r>
      <w:r w:rsidRPr="0066121D">
        <w:rPr>
          <w:rFonts w:ascii="Times New Roman" w:eastAsia="Times New Roman" w:hAnsi="Times New Roman" w:cs="Times New Roman"/>
          <w:sz w:val="24"/>
          <w:szCs w:val="24"/>
        </w:rPr>
        <w:t>.</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8.666</w:t>
      </w:r>
      <w:r w:rsidR="557FC124" w:rsidRPr="0066121D">
        <w:rPr>
          <w:rFonts w:ascii="Times New Roman" w:eastAsia="Times New Roman" w:hAnsi="Times New Roman" w:cs="Times New Roman"/>
          <w:sz w:val="24"/>
          <w:szCs w:val="24"/>
        </w:rPr>
        <w:t>, de 19</w:t>
      </w:r>
      <w:r w:rsidRPr="0066121D">
        <w:rPr>
          <w:rFonts w:ascii="Times New Roman" w:eastAsia="Times New Roman" w:hAnsi="Times New Roman" w:cs="Times New Roman"/>
          <w:sz w:val="24"/>
          <w:szCs w:val="24"/>
        </w:rPr>
        <w:t>93,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10.520</w:t>
      </w:r>
      <w:r w:rsidR="281B1624" w:rsidRPr="0066121D">
        <w:rPr>
          <w:rFonts w:ascii="Times New Roman" w:eastAsia="Times New Roman" w:hAnsi="Times New Roman" w:cs="Times New Roman"/>
          <w:sz w:val="24"/>
          <w:szCs w:val="24"/>
        </w:rPr>
        <w:t>, de 20</w:t>
      </w:r>
      <w:r w:rsidRPr="0066121D">
        <w:rPr>
          <w:rFonts w:ascii="Times New Roman" w:eastAsia="Times New Roman" w:hAnsi="Times New Roman" w:cs="Times New Roman"/>
          <w:sz w:val="24"/>
          <w:szCs w:val="24"/>
        </w:rPr>
        <w:t>02 e a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12.462</w:t>
      </w:r>
      <w:r w:rsidR="7BF8CC75" w:rsidRPr="0066121D">
        <w:rPr>
          <w:rFonts w:ascii="Times New Roman" w:eastAsia="Times New Roman" w:hAnsi="Times New Roman" w:cs="Times New Roman"/>
          <w:sz w:val="24"/>
          <w:szCs w:val="24"/>
        </w:rPr>
        <w:t>, de 20</w:t>
      </w:r>
      <w:r w:rsidRPr="0066121D">
        <w:rPr>
          <w:rFonts w:ascii="Times New Roman" w:eastAsia="Times New Roman" w:hAnsi="Times New Roman" w:cs="Times New Roman"/>
          <w:sz w:val="24"/>
          <w:szCs w:val="24"/>
        </w:rPr>
        <w:t xml:space="preserve">11 (art. 191, </w:t>
      </w:r>
      <w:r w:rsidRPr="0066121D">
        <w:rPr>
          <w:rFonts w:ascii="Times New Roman" w:eastAsia="Times New Roman" w:hAnsi="Times New Roman" w:cs="Times New Roman"/>
          <w:color w:val="000000" w:themeColor="text1"/>
          <w:sz w:val="24"/>
          <w:szCs w:val="24"/>
        </w:rPr>
        <w:t xml:space="preserve">§ 2º, </w:t>
      </w:r>
      <w:r w:rsidRPr="0066121D">
        <w:rPr>
          <w:rFonts w:ascii="Times New Roman" w:eastAsia="Times New Roman" w:hAnsi="Times New Roman" w:cs="Times New Roman"/>
          <w:sz w:val="24"/>
          <w:szCs w:val="24"/>
        </w:rPr>
        <w:t>da Lei n.</w:t>
      </w:r>
      <w:r w:rsidR="00B955BD">
        <w:rPr>
          <w:rFonts w:ascii="Times New Roman" w:eastAsia="Times New Roman" w:hAnsi="Times New Roman" w:cs="Times New Roman"/>
          <w:sz w:val="24"/>
          <w:szCs w:val="24"/>
        </w:rPr>
        <w:t>º</w:t>
      </w:r>
      <w:r w:rsidRPr="0066121D">
        <w:rPr>
          <w:rFonts w:ascii="Times New Roman" w:eastAsia="Times New Roman" w:hAnsi="Times New Roman" w:cs="Times New Roman"/>
          <w:sz w:val="24"/>
          <w:szCs w:val="24"/>
        </w:rPr>
        <w:t xml:space="preserve"> 14.133</w:t>
      </w:r>
      <w:r w:rsidR="1AA26F50" w:rsidRPr="0066121D">
        <w:rPr>
          <w:rFonts w:ascii="Times New Roman" w:eastAsia="Times New Roman" w:hAnsi="Times New Roman" w:cs="Times New Roman"/>
          <w:sz w:val="24"/>
          <w:szCs w:val="24"/>
        </w:rPr>
        <w:t>, de 2021</w:t>
      </w:r>
      <w:r w:rsidR="00A9715F">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e item 217 do PARECER n. 00002/2021/CNMLC/CGU/AGU, NUP:00688.000716/2019-43, sequencial 460), como se observa a seguir:</w:t>
      </w:r>
    </w:p>
    <w:p w14:paraId="3C0EE0A3" w14:textId="0AD7AFCA" w:rsidR="00934FDC" w:rsidRPr="0066121D" w:rsidRDefault="738490E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4FC8AEA5" w14:textId="3AC8710D" w:rsidR="00934FDC" w:rsidRPr="00CE1024" w:rsidRDefault="738490E2" w:rsidP="00CE1024">
      <w:pPr>
        <w:spacing w:after="0" w:line="240" w:lineRule="auto"/>
        <w:ind w:left="2268"/>
        <w:jc w:val="both"/>
        <w:rPr>
          <w:rFonts w:ascii="Times New Roman" w:eastAsia="Times New Roman" w:hAnsi="Times New Roman" w:cs="Times New Roman"/>
          <w:sz w:val="20"/>
          <w:szCs w:val="20"/>
        </w:rPr>
      </w:pPr>
      <w:r w:rsidRPr="00A9715F">
        <w:rPr>
          <w:rFonts w:ascii="Times New Roman" w:eastAsia="Times New Roman" w:hAnsi="Times New Roman" w:cs="Times New Roman"/>
          <w:sz w:val="20"/>
          <w:szCs w:val="20"/>
        </w:rPr>
        <w:t>217. Ante o exposto, conclui-se que:</w:t>
      </w:r>
      <w:r w:rsidR="0089863B" w:rsidRPr="00A9715F">
        <w:rPr>
          <w:rFonts w:ascii="Times New Roman" w:eastAsia="Times New Roman" w:hAnsi="Times New Roman" w:cs="Times New Roman"/>
          <w:sz w:val="20"/>
          <w:szCs w:val="20"/>
        </w:rPr>
        <w:t xml:space="preserve"> (...)</w:t>
      </w:r>
      <w:r w:rsidRPr="00A9715F">
        <w:rPr>
          <w:rFonts w:ascii="Times New Roman" w:eastAsia="Times New Roman" w:hAnsi="Times New Roman" w:cs="Times New Roman"/>
          <w:sz w:val="20"/>
          <w:szCs w:val="20"/>
        </w:rPr>
        <w:t xml:space="preserve">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w:t>
      </w:r>
    </w:p>
    <w:p w14:paraId="1330BFA5" w14:textId="77777777" w:rsidR="00CE1024" w:rsidRDefault="00CE102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7622BC9" w14:textId="445B80D1" w:rsidR="00934FDC" w:rsidRPr="0066121D" w:rsidRDefault="6639B921" w:rsidP="00CE058E">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lastRenderedPageBreak/>
        <w:t>DA AUTORIZAÇÃO PARA A</w:t>
      </w:r>
      <w:r w:rsidR="2470DA17" w:rsidRPr="0066121D">
        <w:rPr>
          <w:rFonts w:ascii="Times New Roman" w:eastAsia="Times New Roman" w:hAnsi="Times New Roman" w:cs="Times New Roman"/>
          <w:b/>
          <w:bCs/>
          <w:sz w:val="24"/>
          <w:szCs w:val="24"/>
        </w:rPr>
        <w:t xml:space="preserve"> CONTRATAÇÃO DIRETA</w:t>
      </w:r>
      <w:r w:rsidRPr="0066121D">
        <w:rPr>
          <w:rFonts w:ascii="Times New Roman" w:eastAsia="Times New Roman" w:hAnsi="Times New Roman" w:cs="Times New Roman"/>
          <w:b/>
          <w:bCs/>
          <w:sz w:val="24"/>
          <w:szCs w:val="24"/>
        </w:rPr>
        <w:t xml:space="preserve"> E DAS NORMAS DE GOVERNANÇA</w:t>
      </w:r>
    </w:p>
    <w:p w14:paraId="4FCCD7C3" w14:textId="23520D10" w:rsidR="00934FDC" w:rsidRPr="0066121D" w:rsidRDefault="6639B921"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9E7F746" w14:textId="06263874" w:rsidR="7956C282" w:rsidRPr="0066121D" w:rsidRDefault="042D118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333333"/>
          <w:sz w:val="24"/>
          <w:szCs w:val="24"/>
          <w:highlight w:val="cyan"/>
        </w:rPr>
        <w:t>No caso, foi juntada a autorização para a contratação direta, em cumprimento ao artigo 72, VIII, da Lei nº 14.133</w:t>
      </w:r>
      <w:r w:rsidR="788E9B37" w:rsidRPr="0066121D">
        <w:rPr>
          <w:rFonts w:ascii="Times New Roman" w:eastAsia="Times New Roman" w:hAnsi="Times New Roman" w:cs="Times New Roman"/>
          <w:color w:val="333333"/>
          <w:sz w:val="24"/>
          <w:szCs w:val="24"/>
          <w:highlight w:val="cyan"/>
        </w:rPr>
        <w:t xml:space="preserve">, de </w:t>
      </w:r>
      <w:r w:rsidRPr="0066121D">
        <w:rPr>
          <w:rFonts w:ascii="Times New Roman" w:eastAsia="Times New Roman" w:hAnsi="Times New Roman" w:cs="Times New Roman"/>
          <w:color w:val="333333"/>
          <w:sz w:val="24"/>
          <w:szCs w:val="24"/>
          <w:highlight w:val="cyan"/>
        </w:rPr>
        <w:t xml:space="preserve">2021 </w:t>
      </w:r>
      <w:r w:rsidRPr="0066121D">
        <w:rPr>
          <w:rFonts w:ascii="Times New Roman" w:eastAsia="Times New Roman" w:hAnsi="Times New Roman" w:cs="Times New Roman"/>
          <w:color w:val="FF0000"/>
          <w:sz w:val="24"/>
          <w:szCs w:val="24"/>
          <w:highlight w:val="cyan"/>
        </w:rPr>
        <w:t xml:space="preserve">(fls. XXX/no doc. SEI n. XXX.) </w:t>
      </w:r>
    </w:p>
    <w:p w14:paraId="761F99BD" w14:textId="4201C40E" w:rsidR="7956C282" w:rsidRPr="0066121D" w:rsidRDefault="042D118E" w:rsidP="00A9715F">
      <w:pPr>
        <w:spacing w:after="0" w:line="240" w:lineRule="auto"/>
        <w:ind w:firstLine="708"/>
        <w:jc w:val="both"/>
        <w:rPr>
          <w:rFonts w:ascii="Times New Roman" w:eastAsia="Times New Roman" w:hAnsi="Times New Roman" w:cs="Times New Roman"/>
          <w:color w:val="333333"/>
          <w:sz w:val="24"/>
          <w:szCs w:val="24"/>
        </w:rPr>
      </w:pPr>
      <w:r w:rsidRPr="0066121D">
        <w:rPr>
          <w:rFonts w:ascii="Times New Roman" w:eastAsia="Times New Roman" w:hAnsi="Times New Roman" w:cs="Times New Roman"/>
          <w:b/>
          <w:bCs/>
          <w:color w:val="333333"/>
          <w:sz w:val="24"/>
          <w:szCs w:val="24"/>
          <w:highlight w:val="cyan"/>
        </w:rPr>
        <w:t>OU</w:t>
      </w:r>
    </w:p>
    <w:p w14:paraId="445DF154" w14:textId="035079E9" w:rsidR="7956C282" w:rsidRPr="0066121D" w:rsidRDefault="042D118E" w:rsidP="00CE058E">
      <w:pPr>
        <w:spacing w:after="0" w:line="240" w:lineRule="auto"/>
        <w:ind w:firstLine="708"/>
        <w:jc w:val="both"/>
        <w:rPr>
          <w:rFonts w:ascii="Times New Roman" w:eastAsia="Times New Roman" w:hAnsi="Times New Roman" w:cs="Times New Roman"/>
          <w:color w:val="333333"/>
          <w:sz w:val="24"/>
          <w:szCs w:val="24"/>
          <w:highlight w:val="cyan"/>
        </w:rPr>
      </w:pPr>
      <w:r w:rsidRPr="5D8365CD">
        <w:rPr>
          <w:rFonts w:ascii="Times New Roman" w:eastAsia="Times New Roman" w:hAnsi="Times New Roman" w:cs="Times New Roman"/>
          <w:color w:val="333333"/>
          <w:sz w:val="24"/>
          <w:szCs w:val="24"/>
          <w:highlight w:val="cyan"/>
        </w:rPr>
        <w:t>No caso, deve ser juntada a autorização para a contratação direta, em cumprimento ao artigo 72, VIII, da Lei nº 14.133</w:t>
      </w:r>
      <w:r w:rsidR="143B4811" w:rsidRPr="5D8365CD">
        <w:rPr>
          <w:rFonts w:ascii="Times New Roman" w:eastAsia="Times New Roman" w:hAnsi="Times New Roman" w:cs="Times New Roman"/>
          <w:color w:val="333333"/>
          <w:sz w:val="24"/>
          <w:szCs w:val="24"/>
          <w:highlight w:val="cyan"/>
        </w:rPr>
        <w:t xml:space="preserve">, de </w:t>
      </w:r>
      <w:r w:rsidRPr="5D8365CD">
        <w:rPr>
          <w:rFonts w:ascii="Times New Roman" w:eastAsia="Times New Roman" w:hAnsi="Times New Roman" w:cs="Times New Roman"/>
          <w:color w:val="333333"/>
          <w:sz w:val="24"/>
          <w:szCs w:val="24"/>
          <w:highlight w:val="cyan"/>
        </w:rPr>
        <w:t>2021.</w:t>
      </w:r>
    </w:p>
    <w:p w14:paraId="629EB2F1" w14:textId="28F9E51E" w:rsidR="257865AE" w:rsidRPr="0066121D" w:rsidRDefault="257865AE" w:rsidP="64C763B2">
      <w:pPr>
        <w:spacing w:after="0" w:line="240" w:lineRule="auto"/>
        <w:rPr>
          <w:rFonts w:ascii="Times New Roman" w:eastAsia="Times New Roman" w:hAnsi="Times New Roman" w:cs="Times New Roman"/>
          <w:color w:val="333333"/>
          <w:sz w:val="24"/>
          <w:szCs w:val="24"/>
          <w:highlight w:val="cyan"/>
        </w:rPr>
      </w:pPr>
    </w:p>
    <w:tbl>
      <w:tblPr>
        <w:tblStyle w:val="Tabelacomgrade"/>
        <w:tblW w:w="0" w:type="auto"/>
        <w:tblLayout w:type="fixed"/>
        <w:tblLook w:val="06A0" w:firstRow="1" w:lastRow="0" w:firstColumn="1" w:lastColumn="0" w:noHBand="1" w:noVBand="1"/>
      </w:tblPr>
      <w:tblGrid>
        <w:gridCol w:w="9015"/>
      </w:tblGrid>
      <w:tr w:rsidR="257865AE" w:rsidRPr="0066121D" w14:paraId="77FE9E7A" w14:textId="77777777" w:rsidTr="64C763B2">
        <w:trPr>
          <w:trHeight w:val="300"/>
        </w:trPr>
        <w:tc>
          <w:tcPr>
            <w:tcW w:w="9015" w:type="dxa"/>
          </w:tcPr>
          <w:p w14:paraId="36CE43F9" w14:textId="77B6AB15" w:rsidR="70A1EDFC" w:rsidRPr="0066121D" w:rsidRDefault="6F0E59E1"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As disposições do Decreto n.</w:t>
            </w:r>
            <w:r w:rsidR="00ED5152">
              <w:rPr>
                <w:rFonts w:ascii="Times New Roman" w:eastAsia="Times New Roman" w:hAnsi="Times New Roman" w:cs="Times New Roman"/>
                <w:color w:val="000000" w:themeColor="text1"/>
                <w:sz w:val="24"/>
                <w:szCs w:val="24"/>
                <w:highlight w:val="yellow"/>
              </w:rPr>
              <w:t>º</w:t>
            </w:r>
            <w:r w:rsidRPr="0066121D">
              <w:rPr>
                <w:rFonts w:ascii="Times New Roman" w:eastAsia="Times New Roman" w:hAnsi="Times New Roman" w:cs="Times New Roman"/>
                <w:color w:val="000000" w:themeColor="text1"/>
                <w:sz w:val="24"/>
                <w:szCs w:val="24"/>
                <w:highlight w:val="yellow"/>
              </w:rPr>
              <w:t xml:space="preserve"> 10.193</w:t>
            </w:r>
            <w:r w:rsidR="05D3C126" w:rsidRPr="0066121D">
              <w:rPr>
                <w:rFonts w:ascii="Times New Roman" w:eastAsia="Times New Roman" w:hAnsi="Times New Roman" w:cs="Times New Roman"/>
                <w:color w:val="000000" w:themeColor="text1"/>
                <w:sz w:val="24"/>
                <w:szCs w:val="24"/>
                <w:highlight w:val="yellow"/>
              </w:rPr>
              <w:t xml:space="preserve">, de </w:t>
            </w:r>
            <w:r w:rsidRPr="0066121D">
              <w:rPr>
                <w:rFonts w:ascii="Times New Roman" w:eastAsia="Times New Roman" w:hAnsi="Times New Roman" w:cs="Times New Roman"/>
                <w:color w:val="000000" w:themeColor="text1"/>
                <w:sz w:val="24"/>
                <w:szCs w:val="24"/>
                <w:highlight w:val="yellow"/>
              </w:rPr>
              <w:t>2019</w:t>
            </w:r>
            <w:r w:rsidR="50937E3C" w:rsidRPr="0066121D">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não se aplicam às agências reguladoras, nos termos do art. 1º, parágrafo único, II.</w:t>
            </w:r>
          </w:p>
        </w:tc>
      </w:tr>
    </w:tbl>
    <w:p w14:paraId="01291A03" w14:textId="2631B335" w:rsidR="257865AE" w:rsidRPr="0066121D" w:rsidRDefault="257865AE" w:rsidP="64C763B2">
      <w:pPr>
        <w:spacing w:after="0" w:line="240" w:lineRule="auto"/>
        <w:jc w:val="both"/>
        <w:rPr>
          <w:rFonts w:ascii="Times New Roman" w:eastAsia="Times New Roman" w:hAnsi="Times New Roman" w:cs="Times New Roman"/>
          <w:color w:val="000000" w:themeColor="text1"/>
          <w:sz w:val="24"/>
          <w:szCs w:val="24"/>
        </w:rPr>
      </w:pPr>
    </w:p>
    <w:p w14:paraId="5EAB1F9E" w14:textId="480347FC" w:rsidR="00934FDC" w:rsidRPr="0066121D" w:rsidRDefault="5165043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rPr>
        <w:t>Para as atividades de custeio, deve a Administração Pública comprovar que foi obtida autorização para a celebração da contratação, prevista no art. 3º do</w:t>
      </w:r>
      <w:r w:rsidR="2DD95216" w:rsidRPr="0066121D">
        <w:rPr>
          <w:rFonts w:ascii="Times New Roman" w:eastAsia="Times New Roman" w:hAnsi="Times New Roman" w:cs="Times New Roman"/>
          <w:color w:val="FF0000"/>
          <w:sz w:val="24"/>
          <w:szCs w:val="24"/>
        </w:rPr>
        <w:t xml:space="preserve"> Decreto nº 10.193, de 27 de dezembro de 2019. A P</w:t>
      </w:r>
      <w:r w:rsidR="00226639">
        <w:rPr>
          <w:rFonts w:ascii="Times New Roman" w:eastAsia="Times New Roman" w:hAnsi="Times New Roman" w:cs="Times New Roman"/>
          <w:color w:val="FF0000"/>
          <w:sz w:val="24"/>
          <w:szCs w:val="24"/>
        </w:rPr>
        <w:t>ortaria</w:t>
      </w:r>
      <w:r w:rsidR="2DD95216" w:rsidRPr="0066121D">
        <w:rPr>
          <w:rFonts w:ascii="Times New Roman" w:eastAsia="Times New Roman" w:hAnsi="Times New Roman" w:cs="Times New Roman"/>
          <w:color w:val="FF0000"/>
          <w:sz w:val="24"/>
          <w:szCs w:val="24"/>
        </w:rPr>
        <w:t xml:space="preserve"> ME Nº 7.828, de 30 de agosto de 2022</w:t>
      </w:r>
      <w:r w:rsidRPr="0066121D">
        <w:rPr>
          <w:rFonts w:ascii="Times New Roman" w:eastAsia="Times New Roman" w:hAnsi="Times New Roman" w:cs="Times New Roman"/>
          <w:color w:val="FF0000"/>
          <w:sz w:val="24"/>
          <w:szCs w:val="24"/>
        </w:rPr>
        <w:t>, estabelece normas complementares para o cumprimento do Decreto nº 10.193, de 2019.</w:t>
      </w:r>
      <w:r w:rsidR="3885339A" w:rsidRPr="0066121D">
        <w:rPr>
          <w:rFonts w:ascii="Times New Roman" w:eastAsia="Times New Roman" w:hAnsi="Times New Roman" w:cs="Times New Roman"/>
          <w:color w:val="FF0000"/>
          <w:sz w:val="24"/>
          <w:szCs w:val="24"/>
        </w:rPr>
        <w:t xml:space="preserve"> </w:t>
      </w:r>
      <w:r w:rsidR="738490E2" w:rsidRPr="0066121D">
        <w:rPr>
          <w:rFonts w:ascii="Times New Roman" w:eastAsia="Times New Roman" w:hAnsi="Times New Roman" w:cs="Times New Roman"/>
          <w:color w:val="FF0000"/>
          <w:sz w:val="24"/>
          <w:szCs w:val="24"/>
          <w:highlight w:val="cyan"/>
        </w:rPr>
        <w:t>Tal providência encontra-se atendida às fls. XXX/no doc. SEI n. XXX.</w:t>
      </w:r>
    </w:p>
    <w:p w14:paraId="7BBA14B5" w14:textId="541C2B29" w:rsidR="00934FDC" w:rsidRPr="00ED5152" w:rsidRDefault="738490E2" w:rsidP="00ED5152">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ED5152">
        <w:rPr>
          <w:rFonts w:ascii="Times New Roman" w:eastAsia="Times New Roman" w:hAnsi="Times New Roman" w:cs="Times New Roman"/>
          <w:b/>
          <w:bCs/>
          <w:color w:val="FF0000"/>
          <w:sz w:val="24"/>
          <w:szCs w:val="24"/>
          <w:highlight w:val="cyan"/>
          <w:u w:val="single"/>
        </w:rPr>
        <w:t>OU</w:t>
      </w:r>
    </w:p>
    <w:p w14:paraId="53C234E3" w14:textId="388457C3" w:rsidR="00934FDC" w:rsidRPr="0066121D" w:rsidRDefault="51650439" w:rsidP="00926EC0">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b/>
          <w:bCs/>
          <w:color w:val="FF0000"/>
          <w:sz w:val="24"/>
          <w:szCs w:val="24"/>
          <w:highlight w:val="cyan"/>
        </w:rPr>
        <w:t>Tal providência deve ser juntada aos autos até antes da efetiva contratação</w:t>
      </w:r>
      <w:r w:rsidRPr="5D8365CD">
        <w:rPr>
          <w:rStyle w:val="Hyperlink"/>
          <w:color w:val="auto"/>
          <w:highlight w:val="cyan"/>
          <w:u w:val="none"/>
        </w:rPr>
        <w:t xml:space="preserve"> </w:t>
      </w:r>
      <w:r w:rsidRPr="5D8365CD">
        <w:rPr>
          <w:rFonts w:ascii="Times New Roman" w:eastAsia="Times New Roman" w:hAnsi="Times New Roman" w:cs="Times New Roman"/>
          <w:color w:val="FF0000"/>
          <w:sz w:val="24"/>
          <w:szCs w:val="24"/>
          <w:highlight w:val="cyan"/>
        </w:rPr>
        <w:t>(art. 3º, da P</w:t>
      </w:r>
      <w:r w:rsidR="00ED5152" w:rsidRPr="5D8365CD">
        <w:rPr>
          <w:rFonts w:ascii="Times New Roman" w:eastAsia="Times New Roman" w:hAnsi="Times New Roman" w:cs="Times New Roman"/>
          <w:color w:val="FF0000"/>
          <w:sz w:val="24"/>
          <w:szCs w:val="24"/>
          <w:highlight w:val="cyan"/>
        </w:rPr>
        <w:t>ortaria</w:t>
      </w:r>
      <w:r w:rsidRPr="5D8365CD">
        <w:rPr>
          <w:rFonts w:ascii="Times New Roman" w:eastAsia="Times New Roman" w:hAnsi="Times New Roman" w:cs="Times New Roman"/>
          <w:color w:val="FF0000"/>
          <w:sz w:val="24"/>
          <w:szCs w:val="24"/>
          <w:highlight w:val="cyan"/>
        </w:rPr>
        <w:t xml:space="preserve"> ME Nº 7.828, de 30 de agosto de 2022).</w:t>
      </w:r>
    </w:p>
    <w:p w14:paraId="221DF540" w14:textId="67647BA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68EF6708" w14:textId="746DB4B0" w:rsidR="00934FDC" w:rsidRPr="0066121D"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Ressalte-se que a Administração deve certificar-se da obediência às regras internas de competência para autorização da presente contratação.</w:t>
      </w:r>
    </w:p>
    <w:p w14:paraId="005C00BD" w14:textId="6BE0455D"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W w:w="0" w:type="auto"/>
        <w:tblLayout w:type="fixed"/>
        <w:tblLook w:val="04A0" w:firstRow="1" w:lastRow="0" w:firstColumn="1" w:lastColumn="0" w:noHBand="0" w:noVBand="1"/>
      </w:tblPr>
      <w:tblGrid>
        <w:gridCol w:w="9015"/>
      </w:tblGrid>
      <w:tr w:rsidR="554FFC2B" w:rsidRPr="0066121D" w14:paraId="395FA9AD" w14:textId="77777777" w:rsidTr="64C763B2">
        <w:trPr>
          <w:trHeight w:val="300"/>
        </w:trPr>
        <w:tc>
          <w:tcPr>
            <w:tcW w:w="9015" w:type="dxa"/>
            <w:tcBorders>
              <w:top w:val="inset" w:sz="8" w:space="0" w:color="auto"/>
              <w:left w:val="inset" w:sz="8" w:space="0" w:color="auto"/>
              <w:bottom w:val="inset" w:sz="8" w:space="0" w:color="auto"/>
              <w:right w:val="inset" w:sz="8" w:space="0" w:color="auto"/>
            </w:tcBorders>
            <w:vAlign w:val="center"/>
          </w:tcPr>
          <w:p w14:paraId="688E970F" w14:textId="1C6E8C70" w:rsidR="554FFC2B" w:rsidRPr="0066121D" w:rsidRDefault="73BF05FE"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As disposições do Decreto n.</w:t>
            </w:r>
            <w:r w:rsidR="00037194">
              <w:rPr>
                <w:rFonts w:ascii="Times New Roman" w:eastAsia="Times New Roman" w:hAnsi="Times New Roman" w:cs="Times New Roman"/>
                <w:color w:val="000000" w:themeColor="text1"/>
                <w:sz w:val="24"/>
                <w:szCs w:val="24"/>
                <w:highlight w:val="yellow"/>
              </w:rPr>
              <w:t>º</w:t>
            </w:r>
            <w:r w:rsidRPr="0066121D">
              <w:rPr>
                <w:rFonts w:ascii="Times New Roman" w:eastAsia="Times New Roman" w:hAnsi="Times New Roman" w:cs="Times New Roman"/>
                <w:color w:val="000000" w:themeColor="text1"/>
                <w:sz w:val="24"/>
                <w:szCs w:val="24"/>
                <w:highlight w:val="yellow"/>
              </w:rPr>
              <w:t xml:space="preserve"> 10.193</w:t>
            </w:r>
            <w:r w:rsidR="7C2E15C1" w:rsidRPr="0066121D">
              <w:rPr>
                <w:rFonts w:ascii="Times New Roman" w:eastAsia="Times New Roman" w:hAnsi="Times New Roman" w:cs="Times New Roman"/>
                <w:color w:val="000000" w:themeColor="text1"/>
                <w:sz w:val="24"/>
                <w:szCs w:val="24"/>
                <w:highlight w:val="yellow"/>
              </w:rPr>
              <w:t xml:space="preserve">, de </w:t>
            </w:r>
            <w:r w:rsidRPr="0066121D">
              <w:rPr>
                <w:rFonts w:ascii="Times New Roman" w:eastAsia="Times New Roman" w:hAnsi="Times New Roman" w:cs="Times New Roman"/>
                <w:color w:val="000000" w:themeColor="text1"/>
                <w:sz w:val="24"/>
                <w:szCs w:val="24"/>
                <w:highlight w:val="yellow"/>
              </w:rPr>
              <w:t>2019 não se aplicam às agências reguladoras, nos termos do art. 1º, parágrafo único, II.</w:t>
            </w:r>
          </w:p>
        </w:tc>
      </w:tr>
    </w:tbl>
    <w:p w14:paraId="00A0EF3E" w14:textId="292D541D" w:rsidR="64C763B2" w:rsidRPr="0066121D" w:rsidRDefault="64C763B2" w:rsidP="64C763B2">
      <w:pPr>
        <w:spacing w:after="0" w:line="240" w:lineRule="auto"/>
        <w:rPr>
          <w:rFonts w:ascii="Times New Roman" w:eastAsia="Times New Roman" w:hAnsi="Times New Roman" w:cs="Times New Roman"/>
          <w:sz w:val="24"/>
          <w:szCs w:val="24"/>
        </w:rPr>
      </w:pPr>
    </w:p>
    <w:p w14:paraId="0EA65DDE" w14:textId="6AA99CA8" w:rsidR="2967232F" w:rsidRPr="0066121D" w:rsidRDefault="02A0752C"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O</w:t>
      </w:r>
      <w:r w:rsidR="749BC2BB" w:rsidRPr="0066121D">
        <w:rPr>
          <w:rFonts w:ascii="Times New Roman" w:eastAsia="Times New Roman" w:hAnsi="Times New Roman" w:cs="Times New Roman"/>
          <w:sz w:val="24"/>
          <w:szCs w:val="24"/>
        </w:rPr>
        <w:t xml:space="preserve"> artigo 7º do </w:t>
      </w:r>
      <w:hyperlink r:id="rId25">
        <w:r w:rsidR="749BC2BB" w:rsidRPr="00037194">
          <w:rPr>
            <w:rStyle w:val="Hyperlink"/>
            <w:rFonts w:ascii="Times New Roman" w:eastAsia="Times New Roman" w:hAnsi="Times New Roman" w:cs="Times New Roman"/>
            <w:color w:val="auto"/>
            <w:sz w:val="24"/>
            <w:szCs w:val="24"/>
            <w:u w:val="none"/>
          </w:rPr>
          <w:t>D</w:t>
        </w:r>
        <w:r w:rsidR="00037194" w:rsidRPr="00037194">
          <w:rPr>
            <w:rStyle w:val="Hyperlink"/>
            <w:rFonts w:ascii="Times New Roman" w:eastAsia="Times New Roman" w:hAnsi="Times New Roman" w:cs="Times New Roman"/>
            <w:color w:val="auto"/>
            <w:sz w:val="24"/>
            <w:szCs w:val="24"/>
            <w:u w:val="none"/>
          </w:rPr>
          <w:t>ecreto</w:t>
        </w:r>
        <w:r w:rsidR="749BC2BB" w:rsidRPr="00037194">
          <w:rPr>
            <w:rStyle w:val="Hyperlink"/>
            <w:rFonts w:ascii="Times New Roman" w:eastAsia="Times New Roman" w:hAnsi="Times New Roman" w:cs="Times New Roman"/>
            <w:color w:val="auto"/>
            <w:sz w:val="24"/>
            <w:szCs w:val="24"/>
            <w:u w:val="none"/>
          </w:rPr>
          <w:t xml:space="preserve"> </w:t>
        </w:r>
        <w:r w:rsidR="00037194">
          <w:rPr>
            <w:rStyle w:val="Hyperlink"/>
            <w:rFonts w:ascii="Times New Roman" w:eastAsia="Times New Roman" w:hAnsi="Times New Roman" w:cs="Times New Roman"/>
            <w:color w:val="auto"/>
            <w:sz w:val="24"/>
            <w:szCs w:val="24"/>
            <w:u w:val="none"/>
          </w:rPr>
          <w:t>n</w:t>
        </w:r>
        <w:r w:rsidR="749BC2BB" w:rsidRPr="00037194">
          <w:rPr>
            <w:rStyle w:val="Hyperlink"/>
            <w:rFonts w:ascii="Times New Roman" w:eastAsia="Times New Roman" w:hAnsi="Times New Roman" w:cs="Times New Roman"/>
            <w:color w:val="auto"/>
            <w:sz w:val="24"/>
            <w:szCs w:val="24"/>
            <w:u w:val="none"/>
          </w:rPr>
          <w:t xml:space="preserve">º 10.947, </w:t>
        </w:r>
        <w:r w:rsidR="00037194" w:rsidRPr="00037194">
          <w:rPr>
            <w:rStyle w:val="Hyperlink"/>
            <w:rFonts w:ascii="Times New Roman" w:eastAsia="Times New Roman" w:hAnsi="Times New Roman" w:cs="Times New Roman"/>
            <w:color w:val="auto"/>
            <w:sz w:val="24"/>
            <w:szCs w:val="24"/>
            <w:u w:val="none"/>
          </w:rPr>
          <w:t>de</w:t>
        </w:r>
        <w:r w:rsidR="749BC2BB" w:rsidRPr="00037194">
          <w:rPr>
            <w:rStyle w:val="Hyperlink"/>
            <w:rFonts w:ascii="Times New Roman" w:eastAsia="Times New Roman" w:hAnsi="Times New Roman" w:cs="Times New Roman"/>
            <w:color w:val="auto"/>
            <w:sz w:val="24"/>
            <w:szCs w:val="24"/>
            <w:u w:val="none"/>
          </w:rPr>
          <w:t xml:space="preserve"> 25 </w:t>
        </w:r>
        <w:r w:rsidR="00037194" w:rsidRPr="00037194">
          <w:rPr>
            <w:rStyle w:val="Hyperlink"/>
            <w:rFonts w:ascii="Times New Roman" w:eastAsia="Times New Roman" w:hAnsi="Times New Roman" w:cs="Times New Roman"/>
            <w:color w:val="auto"/>
            <w:sz w:val="24"/>
            <w:szCs w:val="24"/>
            <w:u w:val="none"/>
          </w:rPr>
          <w:t xml:space="preserve">de janeiro de </w:t>
        </w:r>
        <w:r w:rsidR="749BC2BB" w:rsidRPr="00037194">
          <w:rPr>
            <w:rStyle w:val="Hyperlink"/>
            <w:rFonts w:ascii="Times New Roman" w:eastAsia="Times New Roman" w:hAnsi="Times New Roman" w:cs="Times New Roman"/>
            <w:color w:val="auto"/>
            <w:sz w:val="24"/>
            <w:szCs w:val="24"/>
            <w:u w:val="none"/>
          </w:rPr>
          <w:t>2022</w:t>
        </w:r>
      </w:hyperlink>
      <w:r w:rsidR="00037194" w:rsidRPr="00037194">
        <w:rPr>
          <w:rStyle w:val="Hyperlink"/>
          <w:rFonts w:ascii="Times New Roman" w:eastAsia="Times New Roman" w:hAnsi="Times New Roman" w:cs="Times New Roman"/>
          <w:color w:val="auto"/>
          <w:sz w:val="24"/>
          <w:szCs w:val="24"/>
          <w:u w:val="none"/>
        </w:rPr>
        <w:t>,</w:t>
      </w:r>
      <w:r w:rsidR="749BC2BB" w:rsidRPr="00037194">
        <w:rPr>
          <w:rFonts w:ascii="Times New Roman" w:eastAsia="Times New Roman" w:hAnsi="Times New Roman" w:cs="Times New Roman"/>
          <w:sz w:val="24"/>
          <w:szCs w:val="24"/>
        </w:rPr>
        <w:t xml:space="preserve"> dispensa o registro no plano de contratações anual </w:t>
      </w:r>
      <w:r w:rsidR="7630A2BF" w:rsidRPr="00037194">
        <w:rPr>
          <w:rFonts w:ascii="Times New Roman" w:eastAsia="Times New Roman" w:hAnsi="Times New Roman" w:cs="Times New Roman"/>
          <w:sz w:val="24"/>
          <w:szCs w:val="24"/>
        </w:rPr>
        <w:t>n</w:t>
      </w:r>
      <w:r w:rsidR="749BC2BB" w:rsidRPr="00037194">
        <w:rPr>
          <w:rFonts w:ascii="Times New Roman" w:eastAsia="Times New Roman" w:hAnsi="Times New Roman" w:cs="Times New Roman"/>
          <w:sz w:val="24"/>
          <w:szCs w:val="24"/>
        </w:rPr>
        <w:t>as hipóteses previstas no</w:t>
      </w:r>
      <w:r w:rsidR="0F29852C" w:rsidRPr="00037194">
        <w:rPr>
          <w:rFonts w:ascii="Times New Roman" w:eastAsia="Times New Roman" w:hAnsi="Times New Roman" w:cs="Times New Roman"/>
          <w:sz w:val="24"/>
          <w:szCs w:val="24"/>
        </w:rPr>
        <w:t>s</w:t>
      </w:r>
      <w:r w:rsidR="749BC2BB" w:rsidRPr="00037194">
        <w:rPr>
          <w:rFonts w:ascii="Times New Roman" w:eastAsia="Times New Roman" w:hAnsi="Times New Roman" w:cs="Times New Roman"/>
          <w:sz w:val="24"/>
          <w:szCs w:val="24"/>
        </w:rPr>
        <w:t xml:space="preserve">  </w:t>
      </w:r>
      <w:hyperlink r:id="rId26" w:anchor="art75vi">
        <w:r w:rsidR="749BC2BB" w:rsidRPr="00037194">
          <w:rPr>
            <w:rStyle w:val="Hyperlink"/>
            <w:rFonts w:ascii="Times New Roman" w:eastAsia="Times New Roman" w:hAnsi="Times New Roman" w:cs="Times New Roman"/>
            <w:color w:val="auto"/>
            <w:sz w:val="24"/>
            <w:szCs w:val="24"/>
            <w:u w:val="none"/>
          </w:rPr>
          <w:t>incisos VI, VII e VIII do caput do art. 75 da Lei nº 14.133, de 2021</w:t>
        </w:r>
      </w:hyperlink>
      <w:r w:rsidR="749BC2BB" w:rsidRPr="00037194">
        <w:rPr>
          <w:rFonts w:ascii="Times New Roman" w:eastAsia="Times New Roman" w:hAnsi="Times New Roman" w:cs="Times New Roman"/>
          <w:sz w:val="24"/>
          <w:szCs w:val="24"/>
        </w:rPr>
        <w:t xml:space="preserve">, </w:t>
      </w:r>
      <w:r w:rsidR="749BC2BB" w:rsidRPr="0066121D">
        <w:rPr>
          <w:rFonts w:ascii="Times New Roman" w:eastAsia="Times New Roman" w:hAnsi="Times New Roman" w:cs="Times New Roman"/>
          <w:sz w:val="24"/>
          <w:szCs w:val="24"/>
        </w:rPr>
        <w:t xml:space="preserve">nas quais se </w:t>
      </w:r>
      <w:r w:rsidR="6958336B" w:rsidRPr="0066121D">
        <w:rPr>
          <w:rFonts w:ascii="Times New Roman" w:eastAsia="Times New Roman" w:hAnsi="Times New Roman" w:cs="Times New Roman"/>
          <w:sz w:val="24"/>
          <w:szCs w:val="24"/>
        </w:rPr>
        <w:t>incluem</w:t>
      </w:r>
      <w:r w:rsidR="749BC2BB" w:rsidRPr="0066121D">
        <w:rPr>
          <w:rFonts w:ascii="Times New Roman" w:eastAsia="Times New Roman" w:hAnsi="Times New Roman" w:cs="Times New Roman"/>
          <w:sz w:val="24"/>
          <w:szCs w:val="24"/>
        </w:rPr>
        <w:t xml:space="preserve"> as contratações emergenciais.  </w:t>
      </w:r>
    </w:p>
    <w:p w14:paraId="44D16869" w14:textId="7F9AB571"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B9B155E" w14:textId="32029B5F"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Por fim, deve manifestar-se sobre a essencialidade e o interesse público da contratação, para os fins do previsto no art. 3º do </w:t>
      </w:r>
      <w:hyperlink r:id="rId27">
        <w:r w:rsidRPr="00037194">
          <w:rPr>
            <w:rStyle w:val="Hyperlink"/>
            <w:rFonts w:ascii="Times New Roman" w:eastAsia="Times New Roman" w:hAnsi="Times New Roman" w:cs="Times New Roman"/>
            <w:color w:val="auto"/>
            <w:sz w:val="24"/>
            <w:szCs w:val="24"/>
            <w:highlight w:val="cyan"/>
            <w:u w:val="none"/>
          </w:rPr>
          <w:t>D</w:t>
        </w:r>
        <w:r w:rsidR="00037194" w:rsidRPr="00037194">
          <w:rPr>
            <w:rStyle w:val="Hyperlink"/>
            <w:rFonts w:ascii="Times New Roman" w:eastAsia="Times New Roman" w:hAnsi="Times New Roman" w:cs="Times New Roman"/>
            <w:color w:val="auto"/>
            <w:sz w:val="24"/>
            <w:szCs w:val="24"/>
            <w:highlight w:val="cyan"/>
            <w:u w:val="none"/>
          </w:rPr>
          <w:t>ecreto</w:t>
        </w:r>
        <w:r w:rsidRPr="00037194">
          <w:rPr>
            <w:rStyle w:val="Hyperlink"/>
            <w:rFonts w:ascii="Times New Roman" w:eastAsia="Times New Roman" w:hAnsi="Times New Roman" w:cs="Times New Roman"/>
            <w:color w:val="auto"/>
            <w:sz w:val="24"/>
            <w:szCs w:val="24"/>
            <w:highlight w:val="cyan"/>
            <w:u w:val="none"/>
          </w:rPr>
          <w:t xml:space="preserve"> </w:t>
        </w:r>
        <w:r w:rsidR="00037194" w:rsidRPr="00037194">
          <w:rPr>
            <w:rStyle w:val="Hyperlink"/>
            <w:rFonts w:ascii="Times New Roman" w:eastAsia="Times New Roman" w:hAnsi="Times New Roman" w:cs="Times New Roman"/>
            <w:color w:val="auto"/>
            <w:sz w:val="24"/>
            <w:szCs w:val="24"/>
            <w:highlight w:val="cyan"/>
            <w:u w:val="none"/>
          </w:rPr>
          <w:t>n</w:t>
        </w:r>
        <w:r w:rsidRPr="00037194">
          <w:rPr>
            <w:rStyle w:val="Hyperlink"/>
            <w:rFonts w:ascii="Times New Roman" w:eastAsia="Times New Roman" w:hAnsi="Times New Roman" w:cs="Times New Roman"/>
            <w:color w:val="auto"/>
            <w:sz w:val="24"/>
            <w:szCs w:val="24"/>
            <w:highlight w:val="cyan"/>
            <w:u w:val="none"/>
          </w:rPr>
          <w:t xml:space="preserve">º 8.540, </w:t>
        </w:r>
        <w:r w:rsidR="00037194" w:rsidRPr="00037194">
          <w:rPr>
            <w:rStyle w:val="Hyperlink"/>
            <w:rFonts w:ascii="Times New Roman" w:eastAsia="Times New Roman" w:hAnsi="Times New Roman" w:cs="Times New Roman"/>
            <w:color w:val="auto"/>
            <w:sz w:val="24"/>
            <w:szCs w:val="24"/>
            <w:highlight w:val="cyan"/>
            <w:u w:val="none"/>
          </w:rPr>
          <w:t>de</w:t>
        </w:r>
        <w:r w:rsidRPr="00037194">
          <w:rPr>
            <w:rStyle w:val="Hyperlink"/>
            <w:rFonts w:ascii="Times New Roman" w:eastAsia="Times New Roman" w:hAnsi="Times New Roman" w:cs="Times New Roman"/>
            <w:color w:val="auto"/>
            <w:sz w:val="24"/>
            <w:szCs w:val="24"/>
            <w:highlight w:val="cyan"/>
            <w:u w:val="none"/>
          </w:rPr>
          <w:t xml:space="preserve"> 9 </w:t>
        </w:r>
        <w:r w:rsidR="00037194" w:rsidRPr="00037194">
          <w:rPr>
            <w:rStyle w:val="Hyperlink"/>
            <w:rFonts w:ascii="Times New Roman" w:eastAsia="Times New Roman" w:hAnsi="Times New Roman" w:cs="Times New Roman"/>
            <w:color w:val="auto"/>
            <w:sz w:val="24"/>
            <w:szCs w:val="24"/>
            <w:highlight w:val="cyan"/>
            <w:u w:val="none"/>
          </w:rPr>
          <w:t>de outubro de</w:t>
        </w:r>
        <w:r w:rsidRPr="00037194">
          <w:rPr>
            <w:rStyle w:val="Hyperlink"/>
            <w:rFonts w:ascii="Times New Roman" w:eastAsia="Times New Roman" w:hAnsi="Times New Roman" w:cs="Times New Roman"/>
            <w:color w:val="auto"/>
            <w:sz w:val="24"/>
            <w:szCs w:val="24"/>
            <w:highlight w:val="cyan"/>
            <w:u w:val="none"/>
          </w:rPr>
          <w:t xml:space="preserve"> 2015</w:t>
        </w:r>
      </w:hyperlink>
      <w:r w:rsidRPr="00037194">
        <w:rPr>
          <w:rFonts w:ascii="Times New Roman" w:eastAsia="Times New Roman" w:hAnsi="Times New Roman" w:cs="Times New Roman"/>
          <w:sz w:val="24"/>
          <w:szCs w:val="24"/>
          <w:highlight w:val="cyan"/>
        </w:rPr>
        <w:t>.</w:t>
      </w:r>
    </w:p>
    <w:p w14:paraId="68326FEE" w14:textId="08BA3BE2" w:rsidR="00934FDC" w:rsidRPr="00037194" w:rsidRDefault="51650439" w:rsidP="00037194">
      <w:pPr>
        <w:spacing w:after="0" w:line="240" w:lineRule="auto"/>
        <w:ind w:firstLine="708"/>
        <w:jc w:val="both"/>
        <w:rPr>
          <w:rFonts w:ascii="Times New Roman" w:eastAsia="Times New Roman" w:hAnsi="Times New Roman" w:cs="Times New Roman"/>
          <w:b/>
          <w:bCs/>
          <w:sz w:val="24"/>
          <w:szCs w:val="24"/>
          <w:highlight w:val="cyan"/>
          <w:u w:val="single"/>
        </w:rPr>
      </w:pPr>
      <w:r w:rsidRPr="00037194">
        <w:rPr>
          <w:rFonts w:ascii="Times New Roman" w:eastAsia="Times New Roman" w:hAnsi="Times New Roman" w:cs="Times New Roman"/>
          <w:b/>
          <w:bCs/>
          <w:sz w:val="24"/>
          <w:szCs w:val="24"/>
          <w:highlight w:val="cyan"/>
          <w:u w:val="single"/>
        </w:rPr>
        <w:t>OU</w:t>
      </w:r>
    </w:p>
    <w:p w14:paraId="1C7EAB3A" w14:textId="1457B41E" w:rsidR="590F6F7A" w:rsidRDefault="51650439" w:rsidP="00926EC0">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 xml:space="preserve">Por fim, observa-se que às </w:t>
      </w:r>
      <w:r w:rsidRPr="5D8365CD">
        <w:rPr>
          <w:rFonts w:ascii="Times New Roman" w:eastAsia="Times New Roman" w:hAnsi="Times New Roman" w:cs="Times New Roman"/>
          <w:color w:val="FF0000"/>
          <w:sz w:val="24"/>
          <w:szCs w:val="24"/>
          <w:highlight w:val="cyan"/>
        </w:rPr>
        <w:t xml:space="preserve">fls. XXX/no doc. SEI n. XXX </w:t>
      </w:r>
      <w:r w:rsidRPr="5D8365CD">
        <w:rPr>
          <w:rFonts w:ascii="Times New Roman" w:eastAsia="Times New Roman" w:hAnsi="Times New Roman" w:cs="Times New Roman"/>
          <w:color w:val="000000" w:themeColor="text1"/>
          <w:sz w:val="24"/>
          <w:szCs w:val="24"/>
          <w:highlight w:val="cyan"/>
        </w:rPr>
        <w:t>foi demonstrada a essencialidade e o interesse público da contratação, para os fins do previsto no art. 3º do</w:t>
      </w:r>
      <w:r w:rsidR="7070800E" w:rsidRPr="5D8365CD">
        <w:rPr>
          <w:rFonts w:ascii="Times New Roman" w:eastAsia="Times New Roman" w:hAnsi="Times New Roman" w:cs="Times New Roman"/>
          <w:color w:val="000000" w:themeColor="text1"/>
          <w:sz w:val="24"/>
          <w:szCs w:val="24"/>
          <w:highlight w:val="cyan"/>
        </w:rPr>
        <w:t xml:space="preserve"> </w:t>
      </w:r>
      <w:r w:rsidR="7070800E" w:rsidRPr="5D8365CD">
        <w:rPr>
          <w:rFonts w:ascii="Times New Roman" w:eastAsia="Times New Roman" w:hAnsi="Times New Roman" w:cs="Times New Roman"/>
          <w:sz w:val="24"/>
          <w:szCs w:val="24"/>
          <w:highlight w:val="cyan"/>
        </w:rPr>
        <w:t>Decreto nº 8.540, de 9 de outubro de 2015</w:t>
      </w:r>
      <w:r w:rsidR="7070800E" w:rsidRPr="5D8365CD">
        <w:rPr>
          <w:rFonts w:ascii="Times New Roman" w:eastAsia="Times New Roman" w:hAnsi="Times New Roman" w:cs="Times New Roman"/>
          <w:color w:val="000000" w:themeColor="text1"/>
          <w:sz w:val="24"/>
          <w:szCs w:val="24"/>
          <w:highlight w:val="cyan"/>
        </w:rPr>
        <w:t>.</w:t>
      </w:r>
      <w:r w:rsidR="7070800E" w:rsidRPr="5D8365CD">
        <w:rPr>
          <w:rFonts w:ascii="Times New Roman" w:eastAsia="Times New Roman" w:hAnsi="Times New Roman" w:cs="Times New Roman"/>
          <w:color w:val="000000" w:themeColor="text1"/>
          <w:sz w:val="24"/>
          <w:szCs w:val="24"/>
        </w:rPr>
        <w:t xml:space="preserve"> </w:t>
      </w:r>
    </w:p>
    <w:tbl>
      <w:tblPr>
        <w:tblStyle w:val="Tabelacomgrade"/>
        <w:tblW w:w="9120" w:type="dxa"/>
        <w:tblLayout w:type="fixed"/>
        <w:tblLook w:val="06A0" w:firstRow="1" w:lastRow="0" w:firstColumn="1" w:lastColumn="0" w:noHBand="1" w:noVBand="1"/>
      </w:tblPr>
      <w:tblGrid>
        <w:gridCol w:w="9120"/>
      </w:tblGrid>
      <w:tr w:rsidR="257865AE" w:rsidRPr="0066121D" w14:paraId="113DC606" w14:textId="77777777" w:rsidTr="64C763B2">
        <w:trPr>
          <w:trHeight w:val="5143"/>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02C03E12" w14:textId="01A82284"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lastRenderedPageBreak/>
              <w:t>Nota Explicativa:</w:t>
            </w:r>
            <w:r w:rsidRPr="0066121D">
              <w:rPr>
                <w:rFonts w:ascii="Times New Roman" w:eastAsia="Times New Roman" w:hAnsi="Times New Roman" w:cs="Times New Roman"/>
                <w:color w:val="000000" w:themeColor="text1"/>
                <w:sz w:val="24"/>
                <w:szCs w:val="24"/>
                <w:highlight w:val="yellow"/>
              </w:rPr>
              <w:t xml:space="preserve"> O Procurador deverá atentar para o disposto </w:t>
            </w:r>
            <w:r w:rsidRPr="00647C13">
              <w:rPr>
                <w:rFonts w:ascii="Times New Roman" w:eastAsia="Times New Roman" w:hAnsi="Times New Roman" w:cs="Times New Roman"/>
                <w:sz w:val="24"/>
                <w:szCs w:val="24"/>
                <w:highlight w:val="yellow"/>
              </w:rPr>
              <w:t xml:space="preserve">na </w:t>
            </w:r>
            <w:hyperlink r:id="rId28">
              <w:r w:rsidRPr="00647C13">
                <w:rPr>
                  <w:rStyle w:val="Hyperlink"/>
                  <w:rFonts w:ascii="Times New Roman" w:eastAsia="Times New Roman" w:hAnsi="Times New Roman" w:cs="Times New Roman"/>
                  <w:color w:val="auto"/>
                  <w:sz w:val="24"/>
                  <w:szCs w:val="24"/>
                  <w:highlight w:val="yellow"/>
                  <w:u w:val="none"/>
                </w:rPr>
                <w:t>Portaria nº 179, de 22 de abril de 2019</w:t>
              </w:r>
            </w:hyperlink>
            <w:r w:rsidRPr="0066121D">
              <w:rPr>
                <w:rFonts w:ascii="Times New Roman" w:eastAsia="Times New Roman" w:hAnsi="Times New Roman" w:cs="Times New Roman"/>
                <w:color w:val="000000" w:themeColor="text1"/>
                <w:sz w:val="24"/>
                <w:szCs w:val="24"/>
                <w:highlight w:val="yellow"/>
              </w:rPr>
              <w:t xml:space="preserve">, </w:t>
            </w:r>
            <w:r w:rsidRPr="0066121D">
              <w:rPr>
                <w:rFonts w:ascii="Times New Roman" w:eastAsia="Times New Roman" w:hAnsi="Times New Roman" w:cs="Times New Roman"/>
                <w:b/>
                <w:bCs/>
                <w:color w:val="000000" w:themeColor="text1"/>
                <w:sz w:val="24"/>
                <w:szCs w:val="24"/>
                <w:highlight w:val="yellow"/>
              </w:rPr>
              <w:t>alterada pela Portaria 5.168, de 2021</w:t>
            </w:r>
            <w:r w:rsidR="00FE7610">
              <w:rPr>
                <w:rFonts w:ascii="Times New Roman" w:eastAsia="Times New Roman" w:hAnsi="Times New Roman" w:cs="Times New Roman"/>
                <w:b/>
                <w:bCs/>
                <w:color w:val="000000" w:themeColor="text1"/>
                <w:sz w:val="24"/>
                <w:szCs w:val="24"/>
                <w:highlight w:val="yellow"/>
              </w:rPr>
              <w:t>,</w:t>
            </w:r>
            <w:r w:rsidRPr="0066121D">
              <w:rPr>
                <w:rFonts w:ascii="Times New Roman" w:eastAsia="Times New Roman" w:hAnsi="Times New Roman" w:cs="Times New Roman"/>
                <w:b/>
                <w:bCs/>
                <w:color w:val="000000" w:themeColor="text1"/>
                <w:sz w:val="24"/>
                <w:szCs w:val="24"/>
                <w:highlight w:val="yellow"/>
              </w:rPr>
              <w:t xml:space="preserve"> e pela Portaria nº 8.963, de 2022</w:t>
            </w:r>
            <w:r w:rsidRPr="0066121D">
              <w:rPr>
                <w:rFonts w:ascii="Times New Roman" w:eastAsia="Times New Roman" w:hAnsi="Times New Roman" w:cs="Times New Roman"/>
                <w:color w:val="000000" w:themeColor="text1"/>
                <w:sz w:val="24"/>
                <w:szCs w:val="24"/>
                <w:highlight w:val="yellow"/>
              </w:rPr>
              <w:t>, editada pelo Ministro da Economia, verificando, à luz do normativo, se a contratação do objeto escolhido pela Administração encontra-se suspensa (aquisição e locação de imóveis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aquisição de veículos de representação e de serviços comuns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locação de veículos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locação de máquinas e equipamentos</w:t>
            </w:r>
            <w:r w:rsidR="00FE7610">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fornecimento de jornais e revistas em meio impresso e serviços de ascensorista).</w:t>
            </w:r>
          </w:p>
          <w:p w14:paraId="6E24401C" w14:textId="477C137B"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 xml:space="preserve">Caso se trate de licitação para contratar sistema de transporte de servidores, empregados e colaboradores a serviço dos órgãos da Administração Federal no âmbito do Distrito Federal e entorno, deverá ser observado o disposto na </w:t>
            </w:r>
            <w:hyperlink r:id="rId29">
              <w:r w:rsidRPr="00647C13">
                <w:rPr>
                  <w:rStyle w:val="Hyperlink"/>
                  <w:rFonts w:ascii="Times New Roman" w:eastAsia="Times New Roman" w:hAnsi="Times New Roman" w:cs="Times New Roman"/>
                  <w:color w:val="auto"/>
                  <w:sz w:val="24"/>
                  <w:szCs w:val="24"/>
                  <w:highlight w:val="yellow"/>
                  <w:u w:val="none"/>
                </w:rPr>
                <w:t>Portaria nº 6, de 15 de janeiro de 2018</w:t>
              </w:r>
            </w:hyperlink>
            <w:r w:rsidRPr="0066121D">
              <w:rPr>
                <w:rFonts w:ascii="Times New Roman" w:eastAsia="Times New Roman" w:hAnsi="Times New Roman" w:cs="Times New Roman"/>
                <w:color w:val="000000" w:themeColor="text1"/>
                <w:sz w:val="24"/>
                <w:szCs w:val="24"/>
                <w:highlight w:val="yellow"/>
              </w:rPr>
              <w:t>, do então Ministro do Planejamento, Desenvolvimento e Gestão. O ato atribui exclusividade à Central de Compras para realizar procedimentos licitatórios visando à contratação dos referidos serviços, ressalvando as necessidades de transporte relacionadas ao desenvolvimento das atividades finalísticas, institucionais ou de representação e aos transportes aéreo, fluvial e marítimo.</w:t>
            </w:r>
          </w:p>
          <w:p w14:paraId="17667146" w14:textId="279F0B3C"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Por ocasião da análise, deverá ser confirmada a vigência ou alteração das mencionadas Portarias Ministeriais.</w:t>
            </w:r>
          </w:p>
          <w:p w14:paraId="20FD8025" w14:textId="2185C200"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 xml:space="preserve">Os tópicos abaixo deverão ser utilizados </w:t>
            </w:r>
            <w:r w:rsidRPr="0066121D">
              <w:rPr>
                <w:rFonts w:ascii="Times New Roman" w:eastAsia="Times New Roman" w:hAnsi="Times New Roman" w:cs="Times New Roman"/>
                <w:b/>
                <w:bCs/>
                <w:color w:val="000000" w:themeColor="text1"/>
                <w:sz w:val="24"/>
                <w:szCs w:val="24"/>
                <w:highlight w:val="yellow"/>
              </w:rPr>
              <w:t xml:space="preserve">alternativamente </w:t>
            </w:r>
            <w:r w:rsidRPr="0066121D">
              <w:rPr>
                <w:rFonts w:ascii="Times New Roman" w:eastAsia="Times New Roman" w:hAnsi="Times New Roman" w:cs="Times New Roman"/>
                <w:color w:val="000000" w:themeColor="text1"/>
                <w:sz w:val="24"/>
                <w:szCs w:val="24"/>
                <w:highlight w:val="yellow"/>
              </w:rPr>
              <w:t xml:space="preserve">e apenas se incidir, no caso, hipótese de </w:t>
            </w:r>
            <w:r w:rsidRPr="0066121D">
              <w:rPr>
                <w:rFonts w:ascii="Times New Roman" w:eastAsia="Times New Roman" w:hAnsi="Times New Roman" w:cs="Times New Roman"/>
                <w:b/>
                <w:bCs/>
                <w:color w:val="000000" w:themeColor="text1"/>
                <w:sz w:val="24"/>
                <w:szCs w:val="24"/>
                <w:highlight w:val="yellow"/>
              </w:rPr>
              <w:t>suspensão</w:t>
            </w:r>
            <w:r w:rsidRPr="0066121D">
              <w:rPr>
                <w:rFonts w:ascii="Times New Roman" w:eastAsia="Times New Roman" w:hAnsi="Times New Roman" w:cs="Times New Roman"/>
                <w:color w:val="000000" w:themeColor="text1"/>
                <w:sz w:val="24"/>
                <w:szCs w:val="24"/>
                <w:highlight w:val="yellow"/>
              </w:rPr>
              <w:t xml:space="preserve"> ou </w:t>
            </w:r>
            <w:r w:rsidRPr="0066121D">
              <w:rPr>
                <w:rFonts w:ascii="Times New Roman" w:eastAsia="Times New Roman" w:hAnsi="Times New Roman" w:cs="Times New Roman"/>
                <w:b/>
                <w:bCs/>
                <w:color w:val="000000" w:themeColor="text1"/>
                <w:sz w:val="24"/>
                <w:szCs w:val="24"/>
                <w:highlight w:val="yellow"/>
              </w:rPr>
              <w:t>vedação</w:t>
            </w:r>
            <w:r w:rsidRPr="0066121D">
              <w:rPr>
                <w:rFonts w:ascii="Times New Roman" w:eastAsia="Times New Roman" w:hAnsi="Times New Roman" w:cs="Times New Roman"/>
                <w:color w:val="000000" w:themeColor="text1"/>
                <w:sz w:val="24"/>
                <w:szCs w:val="24"/>
                <w:highlight w:val="yellow"/>
              </w:rPr>
              <w:t xml:space="preserve"> da contratação do objeto.</w:t>
            </w:r>
          </w:p>
        </w:tc>
      </w:tr>
    </w:tbl>
    <w:p w14:paraId="0072F2FC" w14:textId="3936A001" w:rsidR="00934FDC" w:rsidRPr="0066121D" w:rsidRDefault="5165043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 xml:space="preserve"> </w:t>
      </w:r>
    </w:p>
    <w:p w14:paraId="7E05E50E" w14:textId="10568150" w:rsidR="35FAAE84" w:rsidRPr="0066121D" w:rsidRDefault="4B4BD402"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FF0000"/>
          <w:sz w:val="24"/>
          <w:szCs w:val="24"/>
          <w:highlight w:val="cyan"/>
        </w:rPr>
        <w:t>No caso</w:t>
      </w:r>
      <w:r w:rsidRPr="000263EB">
        <w:rPr>
          <w:rFonts w:ascii="Times New Roman" w:eastAsia="Times New Roman" w:hAnsi="Times New Roman" w:cs="Times New Roman"/>
          <w:color w:val="FF0000"/>
          <w:sz w:val="24"/>
          <w:szCs w:val="24"/>
          <w:highlight w:val="cyan"/>
        </w:rPr>
        <w:t xml:space="preserve">, percebe-se que a contratação do objeto pretendido se encontra suspensa nos termos do art. 1º da Portaria ME nº 179, de 22 de abril de 2019 (OU vedada pela Portaria MP nº 6, de 15 de janeiro de 2018). Nesse </w:t>
      </w:r>
      <w:r w:rsidRPr="0066121D">
        <w:rPr>
          <w:rFonts w:ascii="Times New Roman" w:eastAsia="Times New Roman" w:hAnsi="Times New Roman" w:cs="Times New Roman"/>
          <w:color w:val="FF0000"/>
          <w:sz w:val="24"/>
          <w:szCs w:val="24"/>
          <w:highlight w:val="cyan"/>
        </w:rPr>
        <w:t>sentido, não há como se prosseguir com a contratação.</w:t>
      </w:r>
    </w:p>
    <w:p w14:paraId="4BC75FED" w14:textId="280A1CBD" w:rsidR="35FAAE84" w:rsidRPr="005F0F38" w:rsidRDefault="4B4BD402" w:rsidP="005F0F38">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5F0F38">
        <w:rPr>
          <w:rFonts w:ascii="Times New Roman" w:eastAsia="Times New Roman" w:hAnsi="Times New Roman" w:cs="Times New Roman"/>
          <w:b/>
          <w:bCs/>
          <w:color w:val="000000" w:themeColor="text1"/>
          <w:sz w:val="24"/>
          <w:szCs w:val="24"/>
          <w:highlight w:val="cyan"/>
          <w:u w:val="single"/>
        </w:rPr>
        <w:t>OU</w:t>
      </w:r>
    </w:p>
    <w:p w14:paraId="3A163BB9" w14:textId="3C6C257E" w:rsidR="35FAAE84" w:rsidRPr="0066121D" w:rsidRDefault="4B4BD402" w:rsidP="00926EC0">
      <w:pPr>
        <w:spacing w:after="0" w:line="240" w:lineRule="auto"/>
        <w:ind w:firstLine="708"/>
        <w:jc w:val="both"/>
        <w:rPr>
          <w:rFonts w:ascii="Times New Roman" w:eastAsia="Times New Roman" w:hAnsi="Times New Roman" w:cs="Times New Roman"/>
          <w:color w:val="FF0000"/>
          <w:sz w:val="24"/>
          <w:szCs w:val="24"/>
          <w:highlight w:val="cyan"/>
        </w:rPr>
      </w:pPr>
      <w:r w:rsidRPr="000263EB">
        <w:rPr>
          <w:rFonts w:ascii="Times New Roman" w:eastAsia="Times New Roman" w:hAnsi="Times New Roman" w:cs="Times New Roman"/>
          <w:color w:val="FF0000"/>
          <w:sz w:val="24"/>
          <w:szCs w:val="24"/>
          <w:highlight w:val="cyan"/>
        </w:rPr>
        <w:t xml:space="preserve">No caso, percebe-se que a contratação do objeto pretendido se encontra suspensa nos termos do art. 1º da Portaria ME nº 179, de 22 de abril de 2019. Desta forma, para que haja o prosseguimento da contratação, torna-se necessário juntar a autorização </w:t>
      </w:r>
      <w:r w:rsidRPr="5D8365CD">
        <w:rPr>
          <w:rFonts w:ascii="Times New Roman" w:eastAsia="Times New Roman" w:hAnsi="Times New Roman" w:cs="Times New Roman"/>
          <w:color w:val="FF0000"/>
          <w:sz w:val="24"/>
          <w:szCs w:val="24"/>
          <w:highlight w:val="cyan"/>
        </w:rPr>
        <w:t>prevista no art. 1º, § 2º ou no art. 2º da mencionada Portaria.</w:t>
      </w:r>
    </w:p>
    <w:p w14:paraId="30C396BA" w14:textId="26FD3B21" w:rsidR="35FAAE84" w:rsidRPr="00CD3FCE" w:rsidRDefault="4B4BD402" w:rsidP="005F0F38">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CD3FCE">
        <w:rPr>
          <w:rFonts w:ascii="Times New Roman" w:eastAsia="Times New Roman" w:hAnsi="Times New Roman" w:cs="Times New Roman"/>
          <w:b/>
          <w:bCs/>
          <w:color w:val="000000" w:themeColor="text1"/>
          <w:sz w:val="24"/>
          <w:szCs w:val="24"/>
          <w:highlight w:val="cyan"/>
          <w:u w:val="single"/>
        </w:rPr>
        <w:t>OU</w:t>
      </w:r>
    </w:p>
    <w:p w14:paraId="15A7BBA7" w14:textId="0CA9C116" w:rsidR="35FAAE84" w:rsidRPr="0066121D" w:rsidRDefault="4B4BD402" w:rsidP="00926EC0">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FF0000"/>
          <w:sz w:val="24"/>
          <w:szCs w:val="24"/>
          <w:highlight w:val="cyan"/>
        </w:rPr>
        <w:t xml:space="preserve">Nas contratações de sistema de transporte de servidores, empregados e colaboradores no DF e entorno, deve ser verificado se a contratação não se encontra prevista entre as hipóteses de vedação </w:t>
      </w:r>
      <w:r w:rsidRPr="000263EB">
        <w:rPr>
          <w:rFonts w:ascii="Times New Roman" w:eastAsia="Times New Roman" w:hAnsi="Times New Roman" w:cs="Times New Roman"/>
          <w:color w:val="FF0000"/>
          <w:sz w:val="24"/>
          <w:szCs w:val="24"/>
          <w:highlight w:val="cyan"/>
        </w:rPr>
        <w:t xml:space="preserve">da Portaria MP nº 6, de 15 de janeiro de 2018, conforme </w:t>
      </w:r>
      <w:r w:rsidRPr="5D8365CD">
        <w:rPr>
          <w:rFonts w:ascii="Times New Roman" w:eastAsia="Times New Roman" w:hAnsi="Times New Roman" w:cs="Times New Roman"/>
          <w:color w:val="FF0000"/>
          <w:sz w:val="24"/>
          <w:szCs w:val="24"/>
          <w:highlight w:val="cyan"/>
        </w:rPr>
        <w:t xml:space="preserve">orientações a serem expedidas pela Secretaria de Gestão e Inovação do Ministério da Gestão e da Inovação em Serviços Públicos, conforme arts. 1º, </w:t>
      </w:r>
      <w:r w:rsidRPr="5D8365CD">
        <w:rPr>
          <w:rFonts w:ascii="Times New Roman" w:eastAsia="Times New Roman" w:hAnsi="Times New Roman" w:cs="Times New Roman"/>
          <w:i/>
          <w:iCs/>
          <w:color w:val="FF0000"/>
          <w:sz w:val="24"/>
          <w:szCs w:val="24"/>
          <w:highlight w:val="cyan"/>
        </w:rPr>
        <w:t>caput</w:t>
      </w:r>
      <w:r w:rsidRPr="5D8365CD">
        <w:rPr>
          <w:rFonts w:ascii="Times New Roman" w:eastAsia="Times New Roman" w:hAnsi="Times New Roman" w:cs="Times New Roman"/>
          <w:color w:val="FF0000"/>
          <w:sz w:val="24"/>
          <w:szCs w:val="24"/>
          <w:highlight w:val="cyan"/>
        </w:rPr>
        <w:t>, 3º e 5º do referido ato.</w:t>
      </w:r>
    </w:p>
    <w:p w14:paraId="7C6FF0C2" w14:textId="75D27011" w:rsidR="35FAAE84" w:rsidRPr="0066121D" w:rsidRDefault="4B4BD402" w:rsidP="00CD3FCE">
      <w:pPr>
        <w:spacing w:after="0" w:line="240" w:lineRule="auto"/>
        <w:ind w:firstLine="708"/>
        <w:jc w:val="both"/>
        <w:rPr>
          <w:rFonts w:ascii="Times New Roman" w:eastAsia="Times New Roman" w:hAnsi="Times New Roman" w:cs="Times New Roman"/>
          <w:b/>
          <w:bCs/>
          <w:color w:val="000000" w:themeColor="text1"/>
          <w:sz w:val="24"/>
          <w:szCs w:val="24"/>
          <w:highlight w:val="cyan"/>
        </w:rPr>
      </w:pPr>
      <w:r w:rsidRPr="0066121D">
        <w:rPr>
          <w:rFonts w:ascii="Times New Roman" w:eastAsia="Times New Roman" w:hAnsi="Times New Roman" w:cs="Times New Roman"/>
          <w:b/>
          <w:bCs/>
          <w:color w:val="000000" w:themeColor="text1"/>
          <w:sz w:val="24"/>
          <w:szCs w:val="24"/>
          <w:highlight w:val="cyan"/>
        </w:rPr>
        <w:t>OU</w:t>
      </w:r>
    </w:p>
    <w:p w14:paraId="11255137" w14:textId="12C4C252" w:rsidR="35FAAE84" w:rsidRPr="0066121D" w:rsidRDefault="4B4BD402" w:rsidP="00926EC0">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color w:val="FF0000"/>
          <w:sz w:val="24"/>
          <w:szCs w:val="24"/>
          <w:highlight w:val="cyan"/>
        </w:rPr>
        <w:t xml:space="preserve">Quanto ao objeto contratual, percebe-se que, aparentemente, a contratação pretendida se encontra vedada </w:t>
      </w:r>
      <w:r w:rsidRPr="000263EB">
        <w:rPr>
          <w:rFonts w:ascii="Times New Roman" w:eastAsia="Times New Roman" w:hAnsi="Times New Roman" w:cs="Times New Roman"/>
          <w:color w:val="FF0000"/>
          <w:sz w:val="24"/>
          <w:szCs w:val="24"/>
          <w:highlight w:val="cyan"/>
        </w:rPr>
        <w:t xml:space="preserve">pela Portaria MP nº 6, de 15 de janeiro de 2018. Nesse </w:t>
      </w:r>
      <w:r w:rsidRPr="5D8365CD">
        <w:rPr>
          <w:rFonts w:ascii="Times New Roman" w:eastAsia="Times New Roman" w:hAnsi="Times New Roman" w:cs="Times New Roman"/>
          <w:color w:val="FF0000"/>
          <w:sz w:val="24"/>
          <w:szCs w:val="24"/>
          <w:highlight w:val="cyan"/>
        </w:rPr>
        <w:t>sentido, não há como se prosseguir com a contratação sem que haja a demonstração nos autos de que o objeto poderá ser contratado, com amparo no permissivo do art. 1º, parágrafo único, do referido ato.</w:t>
      </w:r>
    </w:p>
    <w:p w14:paraId="7B5D0F9D" w14:textId="40A2AFFE" w:rsidR="6A048959" w:rsidRPr="0066121D" w:rsidRDefault="6639B92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22AB6B0" w14:textId="77777777" w:rsidR="00CE1024" w:rsidRDefault="00CE1024">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5F163E17" w14:textId="03A593FB" w:rsidR="678AA21F" w:rsidRPr="0066121D" w:rsidRDefault="75DE467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b/>
          <w:bCs/>
          <w:color w:val="000000" w:themeColor="text1"/>
          <w:sz w:val="24"/>
          <w:szCs w:val="24"/>
        </w:rPr>
        <w:lastRenderedPageBreak/>
        <w:t>D</w:t>
      </w:r>
      <w:r w:rsidR="00FC6506">
        <w:rPr>
          <w:rFonts w:ascii="Times New Roman" w:eastAsia="Times New Roman" w:hAnsi="Times New Roman" w:cs="Times New Roman"/>
          <w:b/>
          <w:bCs/>
          <w:color w:val="000000" w:themeColor="text1"/>
          <w:sz w:val="24"/>
          <w:szCs w:val="24"/>
        </w:rPr>
        <w:t>O</w:t>
      </w:r>
      <w:r w:rsidRPr="0066121D">
        <w:rPr>
          <w:rFonts w:ascii="Times New Roman" w:eastAsia="Times New Roman" w:hAnsi="Times New Roman" w:cs="Times New Roman"/>
          <w:b/>
          <w:bCs/>
          <w:color w:val="000000" w:themeColor="text1"/>
          <w:sz w:val="24"/>
          <w:szCs w:val="24"/>
        </w:rPr>
        <w:t xml:space="preserve"> PROCESSO DE CONTRATAÇÃO DIRETA</w:t>
      </w:r>
      <w:r w:rsidRPr="0066121D">
        <w:rPr>
          <w:rFonts w:ascii="Times New Roman" w:eastAsia="Times New Roman" w:hAnsi="Times New Roman" w:cs="Times New Roman"/>
          <w:sz w:val="24"/>
          <w:szCs w:val="24"/>
        </w:rPr>
        <w:t xml:space="preserve"> </w:t>
      </w:r>
    </w:p>
    <w:p w14:paraId="5AADB2B8" w14:textId="0E86E08D" w:rsidR="64C763B2" w:rsidRPr="0066121D" w:rsidRDefault="64C763B2" w:rsidP="64C763B2">
      <w:pPr>
        <w:spacing w:after="0" w:line="240" w:lineRule="auto"/>
        <w:jc w:val="both"/>
        <w:rPr>
          <w:rFonts w:ascii="Times New Roman" w:eastAsia="Times New Roman" w:hAnsi="Times New Roman" w:cs="Times New Roman"/>
          <w:sz w:val="24"/>
          <w:szCs w:val="24"/>
        </w:rPr>
      </w:pPr>
    </w:p>
    <w:p w14:paraId="3666C486" w14:textId="686794FF" w:rsidR="678AA21F" w:rsidRPr="0066121D" w:rsidRDefault="75DE467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 artigo 72 da Lei nº 14.133, de 2021, elenca providências e documentos que devem instruir a fase de planejamento do processo de contratação direta, conforme abaixo transcrito:</w:t>
      </w:r>
    </w:p>
    <w:p w14:paraId="3631904B" w14:textId="4BF40B6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BAA67B8" w14:textId="46F0E325"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I - </w:t>
      </w:r>
      <w:proofErr w:type="gramStart"/>
      <w:r w:rsidRPr="00FE3CD9">
        <w:rPr>
          <w:rFonts w:ascii="Times New Roman" w:eastAsia="Times New Roman" w:hAnsi="Times New Roman" w:cs="Times New Roman"/>
          <w:sz w:val="20"/>
          <w:szCs w:val="20"/>
        </w:rPr>
        <w:t>documento</w:t>
      </w:r>
      <w:proofErr w:type="gramEnd"/>
      <w:r w:rsidRPr="00FE3CD9">
        <w:rPr>
          <w:rFonts w:ascii="Times New Roman" w:eastAsia="Times New Roman" w:hAnsi="Times New Roman" w:cs="Times New Roman"/>
          <w:sz w:val="20"/>
          <w:szCs w:val="20"/>
        </w:rPr>
        <w:t xml:space="preserve"> de formalização de demanda e, </w:t>
      </w:r>
      <w:r w:rsidRPr="00FE3CD9">
        <w:rPr>
          <w:rFonts w:ascii="Times New Roman" w:eastAsia="Times New Roman" w:hAnsi="Times New Roman" w:cs="Times New Roman"/>
          <w:b/>
          <w:bCs/>
          <w:sz w:val="20"/>
          <w:szCs w:val="20"/>
        </w:rPr>
        <w:t>se for o caso</w:t>
      </w:r>
      <w:r w:rsidRPr="00FE3CD9">
        <w:rPr>
          <w:rFonts w:ascii="Times New Roman" w:eastAsia="Times New Roman" w:hAnsi="Times New Roman" w:cs="Times New Roman"/>
          <w:sz w:val="20"/>
          <w:szCs w:val="20"/>
        </w:rPr>
        <w:t>, estudo técnico preliminar, análise de riscos, termo de referência, projeto básico ou projeto executivo;</w:t>
      </w:r>
    </w:p>
    <w:p w14:paraId="7344B45D" w14:textId="57F37F08"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II - </w:t>
      </w:r>
      <w:proofErr w:type="gramStart"/>
      <w:r w:rsidRPr="00FE3CD9">
        <w:rPr>
          <w:rFonts w:ascii="Times New Roman" w:eastAsia="Times New Roman" w:hAnsi="Times New Roman" w:cs="Times New Roman"/>
          <w:sz w:val="20"/>
          <w:szCs w:val="20"/>
        </w:rPr>
        <w:t>estimativa</w:t>
      </w:r>
      <w:proofErr w:type="gramEnd"/>
      <w:r w:rsidRPr="00FE3CD9">
        <w:rPr>
          <w:rFonts w:ascii="Times New Roman" w:eastAsia="Times New Roman" w:hAnsi="Times New Roman" w:cs="Times New Roman"/>
          <w:sz w:val="20"/>
          <w:szCs w:val="20"/>
        </w:rPr>
        <w:t xml:space="preserve"> de despesa, que deverá ser calculada na forma estabelecida no art. 23 desta Lei;</w:t>
      </w:r>
    </w:p>
    <w:p w14:paraId="76D3FADE" w14:textId="620FB16E"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III - parecer jurídico e pareceres técnicos, se for o caso, que demonstrem o atendimento dos requisitos exigidos;</w:t>
      </w:r>
    </w:p>
    <w:p w14:paraId="794299B9" w14:textId="5D27AC20"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IV - </w:t>
      </w:r>
      <w:proofErr w:type="gramStart"/>
      <w:r w:rsidRPr="00FE3CD9">
        <w:rPr>
          <w:rFonts w:ascii="Times New Roman" w:eastAsia="Times New Roman" w:hAnsi="Times New Roman" w:cs="Times New Roman"/>
          <w:sz w:val="20"/>
          <w:szCs w:val="20"/>
        </w:rPr>
        <w:t>demonstração</w:t>
      </w:r>
      <w:proofErr w:type="gramEnd"/>
      <w:r w:rsidRPr="00FE3CD9">
        <w:rPr>
          <w:rFonts w:ascii="Times New Roman" w:eastAsia="Times New Roman" w:hAnsi="Times New Roman" w:cs="Times New Roman"/>
          <w:sz w:val="20"/>
          <w:szCs w:val="20"/>
        </w:rPr>
        <w:t xml:space="preserve"> da compatibilidade da previsão de recursos orçamentários com o compromisso a ser assumido;</w:t>
      </w:r>
    </w:p>
    <w:p w14:paraId="5F0D2DB1" w14:textId="722E972D"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V - </w:t>
      </w:r>
      <w:proofErr w:type="gramStart"/>
      <w:r w:rsidRPr="00FE3CD9">
        <w:rPr>
          <w:rFonts w:ascii="Times New Roman" w:eastAsia="Times New Roman" w:hAnsi="Times New Roman" w:cs="Times New Roman"/>
          <w:sz w:val="20"/>
          <w:szCs w:val="20"/>
        </w:rPr>
        <w:t>comprovação</w:t>
      </w:r>
      <w:proofErr w:type="gramEnd"/>
      <w:r w:rsidRPr="00FE3CD9">
        <w:rPr>
          <w:rFonts w:ascii="Times New Roman" w:eastAsia="Times New Roman" w:hAnsi="Times New Roman" w:cs="Times New Roman"/>
          <w:sz w:val="20"/>
          <w:szCs w:val="20"/>
        </w:rPr>
        <w:t xml:space="preserve"> de que o contratado preenche os requisitos de habilitação e qualificação mínima necessária;</w:t>
      </w:r>
    </w:p>
    <w:p w14:paraId="69CB9FC3" w14:textId="215A2B82"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 xml:space="preserve">VI - </w:t>
      </w:r>
      <w:proofErr w:type="gramStart"/>
      <w:r w:rsidRPr="00FE3CD9">
        <w:rPr>
          <w:rFonts w:ascii="Times New Roman" w:eastAsia="Times New Roman" w:hAnsi="Times New Roman" w:cs="Times New Roman"/>
          <w:sz w:val="20"/>
          <w:szCs w:val="20"/>
        </w:rPr>
        <w:t>razão</w:t>
      </w:r>
      <w:proofErr w:type="gramEnd"/>
      <w:r w:rsidRPr="00FE3CD9">
        <w:rPr>
          <w:rFonts w:ascii="Times New Roman" w:eastAsia="Times New Roman" w:hAnsi="Times New Roman" w:cs="Times New Roman"/>
          <w:sz w:val="20"/>
          <w:szCs w:val="20"/>
        </w:rPr>
        <w:t xml:space="preserve"> da escolha do contratado;</w:t>
      </w:r>
    </w:p>
    <w:p w14:paraId="482FC0EF" w14:textId="3703B193"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VII - justificativa de preço;</w:t>
      </w:r>
    </w:p>
    <w:p w14:paraId="1E9C560E" w14:textId="03C166C2" w:rsidR="678AA21F" w:rsidRPr="00FE3CD9" w:rsidRDefault="75DE4672" w:rsidP="64C763B2">
      <w:pPr>
        <w:spacing w:after="0" w:line="240" w:lineRule="auto"/>
        <w:ind w:left="2268"/>
        <w:jc w:val="both"/>
        <w:rPr>
          <w:rFonts w:ascii="Times New Roman" w:eastAsia="Times New Roman" w:hAnsi="Times New Roman" w:cs="Times New Roman"/>
          <w:sz w:val="20"/>
          <w:szCs w:val="20"/>
        </w:rPr>
      </w:pPr>
      <w:r w:rsidRPr="00FE3CD9">
        <w:rPr>
          <w:rFonts w:ascii="Times New Roman" w:eastAsia="Times New Roman" w:hAnsi="Times New Roman" w:cs="Times New Roman"/>
          <w:sz w:val="20"/>
          <w:szCs w:val="20"/>
        </w:rPr>
        <w:t>VIII - autorização da autoridade competente.</w:t>
      </w:r>
    </w:p>
    <w:p w14:paraId="6215087C" w14:textId="55395AD1" w:rsidR="7EEF7630" w:rsidRPr="0066121D" w:rsidRDefault="7EEF7630" w:rsidP="64C763B2">
      <w:pPr>
        <w:spacing w:after="0" w:line="240" w:lineRule="auto"/>
        <w:jc w:val="both"/>
        <w:rPr>
          <w:rFonts w:ascii="Times New Roman" w:eastAsia="Times New Roman" w:hAnsi="Times New Roman" w:cs="Times New Roman"/>
          <w:color w:val="333333"/>
          <w:sz w:val="24"/>
          <w:szCs w:val="24"/>
        </w:rPr>
      </w:pPr>
    </w:p>
    <w:p w14:paraId="0A948068" w14:textId="235E4EB4" w:rsidR="678AA21F" w:rsidRPr="0066121D" w:rsidRDefault="75DE467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333333"/>
          <w:sz w:val="24"/>
          <w:szCs w:val="24"/>
        </w:rPr>
        <w:t>Assim, para viabilizar a contratação direta, a Administração deverá elaborar parecer técnico (artigo 72, III, da Lei nº 14.133/2021) que comprove o atendimento dos requisitos exigidos, acompanhado da documentação comprobatória.</w:t>
      </w:r>
      <w:r w:rsidR="74E6DB21" w:rsidRPr="0066121D">
        <w:rPr>
          <w:rFonts w:ascii="Times New Roman" w:eastAsia="Times New Roman" w:hAnsi="Times New Roman" w:cs="Times New Roman"/>
          <w:color w:val="333333"/>
          <w:sz w:val="24"/>
          <w:szCs w:val="24"/>
        </w:rPr>
        <w:t xml:space="preserve"> </w:t>
      </w:r>
      <w:r w:rsidR="74E6DB21" w:rsidRPr="0066121D">
        <w:rPr>
          <w:rFonts w:ascii="Times New Roman" w:eastAsia="Times New Roman" w:hAnsi="Times New Roman" w:cs="Times New Roman"/>
          <w:color w:val="FF0000"/>
          <w:sz w:val="24"/>
          <w:szCs w:val="24"/>
          <w:highlight w:val="cyan"/>
        </w:rPr>
        <w:t xml:space="preserve">O parecer foi juntado às fls./SEI nº XXXX OU </w:t>
      </w:r>
      <w:r w:rsidR="74E6DB21" w:rsidRPr="0066121D">
        <w:rPr>
          <w:rFonts w:ascii="Times New Roman" w:eastAsia="Times New Roman" w:hAnsi="Times New Roman" w:cs="Times New Roman"/>
          <w:b/>
          <w:bCs/>
          <w:color w:val="FF0000"/>
          <w:sz w:val="24"/>
          <w:szCs w:val="24"/>
          <w:highlight w:val="cyan"/>
        </w:rPr>
        <w:t>No caso, tal manifestação deverá ser providenciada</w:t>
      </w:r>
      <w:r w:rsidR="74E6DB21" w:rsidRPr="0066121D">
        <w:rPr>
          <w:rFonts w:ascii="Times New Roman" w:eastAsia="Times New Roman" w:hAnsi="Times New Roman" w:cs="Times New Roman"/>
          <w:color w:val="FF0000"/>
          <w:sz w:val="24"/>
          <w:szCs w:val="24"/>
          <w:highlight w:val="cyan"/>
        </w:rPr>
        <w:t>.</w:t>
      </w:r>
    </w:p>
    <w:p w14:paraId="3BE97FF0" w14:textId="51A4F3B6" w:rsidR="64C763B2" w:rsidRPr="0066121D" w:rsidRDefault="64C763B2" w:rsidP="64C763B2">
      <w:pPr>
        <w:spacing w:after="0" w:line="240" w:lineRule="auto"/>
        <w:jc w:val="both"/>
        <w:rPr>
          <w:rFonts w:ascii="Times New Roman" w:eastAsia="Times New Roman" w:hAnsi="Times New Roman" w:cs="Times New Roman"/>
          <w:sz w:val="24"/>
          <w:szCs w:val="24"/>
        </w:rPr>
      </w:pPr>
    </w:p>
    <w:p w14:paraId="1FD965EA" w14:textId="0E955E7E" w:rsidR="678AA21F" w:rsidRDefault="75DE4672"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Dito isso, passamos a análise dos documentos juntados aos autos, quanto ao preenchimento das exigências legais</w:t>
      </w:r>
      <w:r w:rsidR="005B0019">
        <w:rPr>
          <w:rFonts w:ascii="Times New Roman" w:eastAsia="Times New Roman" w:hAnsi="Times New Roman" w:cs="Times New Roman"/>
          <w:sz w:val="24"/>
          <w:szCs w:val="24"/>
        </w:rPr>
        <w:t>.</w:t>
      </w:r>
    </w:p>
    <w:p w14:paraId="021DCF22" w14:textId="77777777" w:rsidR="005B0019" w:rsidRDefault="005B0019" w:rsidP="64C763B2">
      <w:pPr>
        <w:spacing w:after="0" w:line="240" w:lineRule="auto"/>
        <w:jc w:val="both"/>
        <w:rPr>
          <w:rFonts w:ascii="Times New Roman" w:eastAsia="Times New Roman" w:hAnsi="Times New Roman" w:cs="Times New Roman"/>
          <w:sz w:val="24"/>
          <w:szCs w:val="24"/>
        </w:rPr>
      </w:pPr>
    </w:p>
    <w:p w14:paraId="1A333A0C" w14:textId="77777777" w:rsidR="005B0019" w:rsidRDefault="005B0019" w:rsidP="005B0019">
      <w:pPr>
        <w:spacing w:after="0" w:line="240" w:lineRule="auto"/>
        <w:jc w:val="both"/>
        <w:rPr>
          <w:rFonts w:ascii="Times New Roman" w:eastAsia="Times New Roman" w:hAnsi="Times New Roman" w:cs="Times New Roman"/>
          <w:b/>
          <w:bCs/>
          <w:color w:val="FF0000"/>
          <w:sz w:val="24"/>
          <w:szCs w:val="24"/>
        </w:rPr>
      </w:pPr>
      <w:r w:rsidRPr="287B0EF8">
        <w:rPr>
          <w:rFonts w:ascii="Times New Roman" w:eastAsia="Times New Roman" w:hAnsi="Times New Roman" w:cs="Times New Roman"/>
          <w:b/>
          <w:bCs/>
          <w:color w:val="FF0000"/>
          <w:sz w:val="24"/>
          <w:szCs w:val="24"/>
        </w:rPr>
        <w:t>DA NÃO DIVULGAÇÃO DE MINUTAS DA AGU EM RELAÇÃO AO PROCEDIMENTO DE REGISTRO DE PREÇOS PARA CONTRATAÇÕES DIRETAS</w:t>
      </w:r>
    </w:p>
    <w:p w14:paraId="3A468D31" w14:textId="09CD204A" w:rsidR="005B0019" w:rsidRDefault="005B0019" w:rsidP="005B0019">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b/>
          <w:bCs/>
          <w:color w:val="FF0000"/>
          <w:sz w:val="24"/>
          <w:szCs w:val="24"/>
        </w:rPr>
        <w:t xml:space="preserve"> </w:t>
      </w:r>
      <w:r>
        <w:br/>
      </w:r>
      <w:r w:rsidRPr="287B0EF8">
        <w:rPr>
          <w:rFonts w:ascii="Times New Roman" w:eastAsia="Times New Roman" w:hAnsi="Times New Roman" w:cs="Times New Roman"/>
          <w:color w:val="FF0000"/>
          <w:sz w:val="24"/>
          <w:szCs w:val="24"/>
        </w:rPr>
        <w:t>Apesar de os modelos da Lei nº 14.133</w:t>
      </w:r>
      <w:r>
        <w:rPr>
          <w:rFonts w:ascii="Times New Roman" w:eastAsia="Times New Roman" w:hAnsi="Times New Roman" w:cs="Times New Roman"/>
          <w:color w:val="FF0000"/>
          <w:sz w:val="24"/>
          <w:szCs w:val="24"/>
        </w:rPr>
        <w:t xml:space="preserve">, de </w:t>
      </w:r>
      <w:r w:rsidRPr="287B0EF8">
        <w:rPr>
          <w:rFonts w:ascii="Times New Roman" w:eastAsia="Times New Roman" w:hAnsi="Times New Roman" w:cs="Times New Roman"/>
          <w:color w:val="FF0000"/>
          <w:sz w:val="24"/>
          <w:szCs w:val="24"/>
        </w:rPr>
        <w:t>2021</w:t>
      </w:r>
      <w:r>
        <w:rPr>
          <w:rFonts w:ascii="Times New Roman" w:eastAsia="Times New Roman" w:hAnsi="Times New Roman" w:cs="Times New Roman"/>
          <w:color w:val="FF0000"/>
          <w:sz w:val="24"/>
          <w:szCs w:val="24"/>
        </w:rPr>
        <w:t>,</w:t>
      </w:r>
      <w:r w:rsidRPr="287B0EF8">
        <w:rPr>
          <w:rFonts w:ascii="Times New Roman" w:eastAsia="Times New Roman" w:hAnsi="Times New Roman" w:cs="Times New Roman"/>
          <w:color w:val="FF0000"/>
          <w:sz w:val="24"/>
          <w:szCs w:val="24"/>
        </w:rPr>
        <w:t xml:space="preserve"> terem sido </w:t>
      </w:r>
      <w:r w:rsidRPr="001714EB">
        <w:rPr>
          <w:rFonts w:ascii="Times New Roman" w:eastAsia="Times New Roman" w:hAnsi="Times New Roman" w:cs="Times New Roman"/>
          <w:color w:val="FF0000"/>
          <w:sz w:val="24"/>
          <w:szCs w:val="24"/>
        </w:rPr>
        <w:t xml:space="preserve">recentemente incluídos no sítio eletrônico da AGU (https://www.gov.br/agu/pt-br/composicao/cgu/cgu/modelos/licitacoesecontratos/modelos-da-lei-14-133-21-para-pregao) bem como no Portal de Compras do Governo Federal (https://www.gov.br/compras/pt-br/nllc/modelos-de-licitacoes-e-contratos), até o presente momento </w:t>
      </w:r>
      <w:r w:rsidRPr="001714EB">
        <w:rPr>
          <w:rFonts w:ascii="Times New Roman" w:eastAsia="Times New Roman" w:hAnsi="Times New Roman" w:cs="Times New Roman"/>
          <w:b/>
          <w:bCs/>
          <w:color w:val="FF0000"/>
          <w:sz w:val="24"/>
          <w:szCs w:val="24"/>
          <w:u w:val="single"/>
        </w:rPr>
        <w:t xml:space="preserve">não foram divulgadas as minutas da AGU de acordo com o regulamento específico do Sistema </w:t>
      </w:r>
      <w:r w:rsidRPr="287B0EF8">
        <w:rPr>
          <w:rFonts w:ascii="Times New Roman" w:eastAsia="Times New Roman" w:hAnsi="Times New Roman" w:cs="Times New Roman"/>
          <w:b/>
          <w:bCs/>
          <w:color w:val="FF0000"/>
          <w:sz w:val="24"/>
          <w:szCs w:val="24"/>
          <w:u w:val="single"/>
        </w:rPr>
        <w:t>de Registro de Preços nas contratações diretas nos moldes da Lei n.</w:t>
      </w:r>
      <w:r>
        <w:rPr>
          <w:rFonts w:ascii="Times New Roman" w:eastAsia="Times New Roman" w:hAnsi="Times New Roman" w:cs="Times New Roman"/>
          <w:b/>
          <w:bCs/>
          <w:color w:val="FF0000"/>
          <w:sz w:val="24"/>
          <w:szCs w:val="24"/>
          <w:u w:val="single"/>
        </w:rPr>
        <w:t>º</w:t>
      </w:r>
      <w:r w:rsidRPr="287B0EF8">
        <w:rPr>
          <w:rFonts w:ascii="Times New Roman" w:eastAsia="Times New Roman" w:hAnsi="Times New Roman" w:cs="Times New Roman"/>
          <w:b/>
          <w:bCs/>
          <w:color w:val="FF0000"/>
          <w:sz w:val="24"/>
          <w:szCs w:val="24"/>
          <w:u w:val="single"/>
        </w:rPr>
        <w:t xml:space="preserve"> 14.133</w:t>
      </w:r>
      <w:r>
        <w:rPr>
          <w:rFonts w:ascii="Times New Roman" w:eastAsia="Times New Roman" w:hAnsi="Times New Roman" w:cs="Times New Roman"/>
          <w:b/>
          <w:bCs/>
          <w:color w:val="FF0000"/>
          <w:sz w:val="24"/>
          <w:szCs w:val="24"/>
          <w:u w:val="single"/>
        </w:rPr>
        <w:t>, de 20</w:t>
      </w:r>
      <w:r w:rsidRPr="287B0EF8">
        <w:rPr>
          <w:rFonts w:ascii="Times New Roman" w:eastAsia="Times New Roman" w:hAnsi="Times New Roman" w:cs="Times New Roman"/>
          <w:b/>
          <w:bCs/>
          <w:color w:val="FF0000"/>
          <w:sz w:val="24"/>
          <w:szCs w:val="24"/>
          <w:u w:val="single"/>
        </w:rPr>
        <w:t>21</w:t>
      </w:r>
      <w:r w:rsidRPr="287B0EF8">
        <w:rPr>
          <w:rFonts w:ascii="Times New Roman" w:eastAsia="Times New Roman" w:hAnsi="Times New Roman" w:cs="Times New Roman"/>
          <w:color w:val="FF0000"/>
          <w:sz w:val="24"/>
          <w:szCs w:val="24"/>
        </w:rPr>
        <w:t>, de forma que a presente manifestação jurídica não abrange o disposto no Decreto n.</w:t>
      </w:r>
      <w:r>
        <w:rPr>
          <w:rFonts w:ascii="Times New Roman" w:eastAsia="Times New Roman" w:hAnsi="Times New Roman" w:cs="Times New Roman"/>
          <w:color w:val="FF0000"/>
          <w:sz w:val="24"/>
          <w:szCs w:val="24"/>
        </w:rPr>
        <w:t>º</w:t>
      </w:r>
      <w:r w:rsidRPr="287B0EF8">
        <w:rPr>
          <w:rFonts w:ascii="Times New Roman" w:eastAsia="Times New Roman" w:hAnsi="Times New Roman" w:cs="Times New Roman"/>
          <w:color w:val="FF0000"/>
          <w:sz w:val="24"/>
          <w:szCs w:val="24"/>
        </w:rPr>
        <w:t xml:space="preserve"> 11.462, de 31 de março de 2023, que regulamenta os arts. 82 a 86 da Lei n.</w:t>
      </w:r>
      <w:r>
        <w:rPr>
          <w:rFonts w:ascii="Times New Roman" w:eastAsia="Times New Roman" w:hAnsi="Times New Roman" w:cs="Times New Roman"/>
          <w:color w:val="FF0000"/>
          <w:sz w:val="24"/>
          <w:szCs w:val="24"/>
        </w:rPr>
        <w:t>º</w:t>
      </w:r>
      <w:r w:rsidRPr="287B0EF8">
        <w:rPr>
          <w:rFonts w:ascii="Times New Roman" w:eastAsia="Times New Roman" w:hAnsi="Times New Roman" w:cs="Times New Roman"/>
          <w:color w:val="FF0000"/>
          <w:sz w:val="24"/>
          <w:szCs w:val="24"/>
        </w:rPr>
        <w:t xml:space="preserve"> 14.133</w:t>
      </w:r>
      <w:r>
        <w:rPr>
          <w:rFonts w:ascii="Times New Roman" w:eastAsia="Times New Roman" w:hAnsi="Times New Roman" w:cs="Times New Roman"/>
          <w:color w:val="FF0000"/>
          <w:sz w:val="24"/>
          <w:szCs w:val="24"/>
        </w:rPr>
        <w:t>, de 20</w:t>
      </w:r>
      <w:r w:rsidRPr="287B0EF8">
        <w:rPr>
          <w:rFonts w:ascii="Times New Roman" w:eastAsia="Times New Roman" w:hAnsi="Times New Roman" w:cs="Times New Roman"/>
          <w:color w:val="FF0000"/>
          <w:sz w:val="24"/>
          <w:szCs w:val="24"/>
        </w:rPr>
        <w:t>21, para dispor sobre o sistema de registro de preços para a contratação de bens e serviços, inclusive obras e serviços de engenharia, no âmbito da Administração Pública federal direta, autárquica e fundacional.</w:t>
      </w:r>
    </w:p>
    <w:p w14:paraId="3FA3586F" w14:textId="77777777" w:rsidR="005B0019" w:rsidRDefault="005B0019" w:rsidP="005B0019">
      <w:pPr>
        <w:spacing w:after="0" w:line="240" w:lineRule="auto"/>
        <w:rPr>
          <w:rFonts w:ascii="Times New Roman" w:eastAsia="Times New Roman" w:hAnsi="Times New Roman" w:cs="Times New Roman"/>
          <w:sz w:val="24"/>
          <w:szCs w:val="24"/>
        </w:rPr>
      </w:pPr>
    </w:p>
    <w:p w14:paraId="4D7A24FD" w14:textId="77777777" w:rsidR="00CE1024" w:rsidRDefault="00CE1024">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22417646" w14:textId="3BAF41C0" w:rsidR="6A048959" w:rsidRPr="0066121D" w:rsidRDefault="37AA9CF5"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lastRenderedPageBreak/>
        <w:t xml:space="preserve">PLANEJAMENTO DA CONTRATAÇÃO </w:t>
      </w:r>
    </w:p>
    <w:p w14:paraId="5848A50D" w14:textId="72B475F7" w:rsidR="64C763B2" w:rsidRDefault="64C763B2" w:rsidP="64C763B2">
      <w:pPr>
        <w:spacing w:after="0" w:line="240" w:lineRule="auto"/>
        <w:jc w:val="both"/>
        <w:rPr>
          <w:rFonts w:ascii="Times New Roman" w:eastAsia="Times New Roman" w:hAnsi="Times New Roman" w:cs="Times New Roman"/>
          <w:b/>
          <w:bCs/>
          <w:color w:val="000000" w:themeColor="text1"/>
          <w:sz w:val="24"/>
          <w:szCs w:val="24"/>
        </w:rPr>
      </w:pPr>
    </w:p>
    <w:p w14:paraId="3FE352A0" w14:textId="77777777" w:rsidR="0072303E" w:rsidRPr="00FB7FC5" w:rsidRDefault="0072303E" w:rsidP="0072303E">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0EE58B50" w14:textId="77777777" w:rsidR="0072303E" w:rsidRPr="00FB7FC5" w:rsidRDefault="0072303E" w:rsidP="0072303E">
      <w:pPr>
        <w:spacing w:after="0" w:line="240" w:lineRule="auto"/>
        <w:jc w:val="both"/>
        <w:outlineLvl w:val="1"/>
        <w:rPr>
          <w:rFonts w:ascii="Times New Roman" w:hAnsi="Times New Roman" w:cs="Times New Roman"/>
          <w:b/>
          <w:bCs/>
          <w:sz w:val="24"/>
          <w:szCs w:val="24"/>
        </w:rPr>
      </w:pPr>
    </w:p>
    <w:p w14:paraId="171E2CFE" w14:textId="77777777" w:rsidR="0072303E" w:rsidRPr="00FB7FC5" w:rsidRDefault="0072303E" w:rsidP="0072303E">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7BB0D733" w14:textId="77777777" w:rsidR="0072303E" w:rsidRPr="00FB7FC5" w:rsidRDefault="0072303E" w:rsidP="0072303E">
      <w:pPr>
        <w:spacing w:after="0" w:line="240" w:lineRule="auto"/>
        <w:jc w:val="both"/>
        <w:outlineLvl w:val="1"/>
        <w:rPr>
          <w:rFonts w:ascii="Times New Roman" w:hAnsi="Times New Roman" w:cs="Times New Roman"/>
          <w:sz w:val="24"/>
          <w:szCs w:val="24"/>
        </w:rPr>
      </w:pPr>
    </w:p>
    <w:p w14:paraId="4A3CB1F1" w14:textId="7F7165AF" w:rsidR="0072303E" w:rsidRPr="00FB7FC5" w:rsidRDefault="0072303E" w:rsidP="0072303E">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1714EB">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1583527B" w14:textId="77777777" w:rsidR="0072303E" w:rsidRPr="00FB7FC5" w:rsidRDefault="0072303E" w:rsidP="0072303E">
      <w:pPr>
        <w:spacing w:after="0" w:line="240" w:lineRule="auto"/>
        <w:jc w:val="both"/>
        <w:outlineLvl w:val="1"/>
        <w:rPr>
          <w:rFonts w:ascii="Times New Roman" w:hAnsi="Times New Roman" w:cs="Times New Roman"/>
          <w:sz w:val="24"/>
          <w:szCs w:val="24"/>
        </w:rPr>
      </w:pPr>
    </w:p>
    <w:p w14:paraId="69FFE9AF" w14:textId="2272A825" w:rsidR="0072303E" w:rsidRPr="00FB7FC5" w:rsidRDefault="0072303E" w:rsidP="0072303E">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19B4D6D6" w14:textId="77777777" w:rsidR="0072303E" w:rsidRPr="00FB7FC5" w:rsidRDefault="0072303E" w:rsidP="0072303E">
      <w:pPr>
        <w:spacing w:after="0" w:line="240" w:lineRule="auto"/>
        <w:jc w:val="both"/>
        <w:outlineLvl w:val="1"/>
        <w:rPr>
          <w:rFonts w:ascii="Times New Roman" w:hAnsi="Times New Roman" w:cs="Times New Roman"/>
          <w:sz w:val="24"/>
          <w:szCs w:val="24"/>
        </w:rPr>
      </w:pPr>
    </w:p>
    <w:p w14:paraId="49A297AC" w14:textId="55C313E2" w:rsidR="0072303E" w:rsidRPr="003305FC" w:rsidRDefault="0072303E" w:rsidP="0072303E">
      <w:pPr>
        <w:spacing w:after="0" w:line="240" w:lineRule="auto"/>
        <w:jc w:val="both"/>
        <w:outlineLvl w:val="1"/>
        <w:rPr>
          <w:rFonts w:ascii="Times New Roman" w:eastAsia="Times New Roman" w:hAnsi="Times New Roman" w:cs="Times New Roman"/>
          <w:b/>
          <w:bCs/>
          <w:color w:val="FF0000"/>
          <w:sz w:val="24"/>
          <w:szCs w:val="24"/>
          <w:lang w:eastAsia="pt-BR"/>
        </w:rPr>
      </w:pPr>
      <w:r w:rsidRPr="78DE2138">
        <w:rPr>
          <w:rFonts w:ascii="Times New Roman" w:hAnsi="Times New Roman" w:cs="Times New Roman"/>
          <w:color w:val="FF0000"/>
          <w:sz w:val="24"/>
          <w:szCs w:val="24"/>
        </w:rPr>
        <w:t>Oportuno registrar que o</w:t>
      </w:r>
      <w:r w:rsidR="5875CC5A" w:rsidRPr="78DE2138">
        <w:rPr>
          <w:rFonts w:ascii="Times New Roman" w:hAnsi="Times New Roman" w:cs="Times New Roman"/>
          <w:color w:val="FF0000"/>
          <w:sz w:val="24"/>
          <w:szCs w:val="24"/>
        </w:rPr>
        <w:t xml:space="preserve"> documento</w:t>
      </w:r>
      <w:r w:rsidRPr="78DE2138">
        <w:rPr>
          <w:rFonts w:ascii="Times New Roman" w:hAnsi="Times New Roman" w:cs="Times New Roman"/>
          <w:color w:val="FF0000"/>
          <w:sz w:val="24"/>
          <w:szCs w:val="24"/>
        </w:rPr>
        <w:t xml:space="preserve"> não aborda as especificidades das contratações de obras e serviços de engenharia, de serviços de tecnologia, informação e comunicação, serviços de publicidade ou aquelas que utilizam como modalidade o Diálogo Competitivo. Para contratações dessas naturezas, é recomendável a observância da legislação específica, adotando o IPP de forma subsidiária.</w:t>
      </w:r>
    </w:p>
    <w:p w14:paraId="00405AAD" w14:textId="77777777" w:rsidR="0072303E" w:rsidRPr="0066121D" w:rsidRDefault="0072303E" w:rsidP="64C763B2">
      <w:pPr>
        <w:spacing w:after="0" w:line="240" w:lineRule="auto"/>
        <w:jc w:val="both"/>
        <w:rPr>
          <w:rFonts w:ascii="Times New Roman" w:eastAsia="Times New Roman" w:hAnsi="Times New Roman" w:cs="Times New Roman"/>
          <w:b/>
          <w:bCs/>
          <w:color w:val="000000" w:themeColor="text1"/>
          <w:sz w:val="24"/>
          <w:szCs w:val="24"/>
        </w:rPr>
      </w:pPr>
    </w:p>
    <w:p w14:paraId="5723EAAA" w14:textId="4A71FDDF" w:rsidR="4FB39088" w:rsidRPr="0066121D" w:rsidRDefault="01D1D657"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Documentos necessários ao planejamento da contratação</w:t>
      </w:r>
    </w:p>
    <w:p w14:paraId="32264174" w14:textId="2611BB23" w:rsidR="64C763B2" w:rsidRPr="0066121D" w:rsidRDefault="64C763B2" w:rsidP="64C763B2">
      <w:pPr>
        <w:spacing w:after="0" w:line="240" w:lineRule="auto"/>
        <w:jc w:val="both"/>
        <w:rPr>
          <w:rFonts w:ascii="Times New Roman" w:eastAsia="Times New Roman" w:hAnsi="Times New Roman" w:cs="Times New Roman"/>
          <w:b/>
          <w:bCs/>
          <w:sz w:val="24"/>
          <w:szCs w:val="24"/>
        </w:rPr>
      </w:pPr>
    </w:p>
    <w:p w14:paraId="4C91D6A2" w14:textId="7ECC3F76" w:rsidR="4FB39088" w:rsidRPr="0066121D" w:rsidRDefault="01D1D657"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De acordo com a Lei nº 14.133</w:t>
      </w:r>
      <w:r w:rsidR="0449787F"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 a IN SEGES Nº 58</w:t>
      </w:r>
      <w:r w:rsidR="00A8493E">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2022</w:t>
      </w:r>
      <w:r w:rsidR="00A8493E">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e a IN SEGES/ME Nº 81</w:t>
      </w:r>
      <w:r w:rsidR="00A8493E">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 xml:space="preserve">2022, a Administração Pública deverá produzir os documentos abaixo durante a fase de planejamento da contratação: </w:t>
      </w:r>
    </w:p>
    <w:p w14:paraId="08C0B749" w14:textId="00BFA72A" w:rsidR="64C763B2" w:rsidRPr="0066121D" w:rsidRDefault="64C763B2" w:rsidP="64C763B2">
      <w:pPr>
        <w:spacing w:after="0" w:line="240" w:lineRule="auto"/>
        <w:ind w:left="1440"/>
        <w:jc w:val="both"/>
        <w:rPr>
          <w:rFonts w:ascii="Times New Roman" w:eastAsia="Times New Roman" w:hAnsi="Times New Roman" w:cs="Times New Roman"/>
          <w:sz w:val="24"/>
          <w:szCs w:val="24"/>
        </w:rPr>
      </w:pPr>
    </w:p>
    <w:p w14:paraId="0BD0D7B5" w14:textId="29D27A74"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a) documento para formalização da demanda; </w:t>
      </w:r>
    </w:p>
    <w:p w14:paraId="07BCA958" w14:textId="1CFF7535"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b) estudo técnico preliminar; </w:t>
      </w:r>
    </w:p>
    <w:p w14:paraId="6AD11A4B" w14:textId="628A84D4"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c) mapa(s) de risco; </w:t>
      </w:r>
    </w:p>
    <w:p w14:paraId="0EE30310" w14:textId="043B864D" w:rsidR="4FB39088" w:rsidRPr="00A8493E" w:rsidRDefault="01D1D657" w:rsidP="64C763B2">
      <w:pPr>
        <w:spacing w:after="0" w:line="240" w:lineRule="auto"/>
        <w:ind w:left="2268"/>
        <w:jc w:val="both"/>
        <w:rPr>
          <w:rFonts w:ascii="Times New Roman" w:eastAsia="Times New Roman" w:hAnsi="Times New Roman" w:cs="Times New Roman"/>
          <w:sz w:val="20"/>
          <w:szCs w:val="20"/>
        </w:rPr>
      </w:pPr>
      <w:r w:rsidRPr="00A8493E">
        <w:rPr>
          <w:rFonts w:ascii="Times New Roman" w:eastAsia="Times New Roman" w:hAnsi="Times New Roman" w:cs="Times New Roman"/>
          <w:sz w:val="20"/>
          <w:szCs w:val="20"/>
        </w:rPr>
        <w:t xml:space="preserve">d) termo de referência. </w:t>
      </w:r>
    </w:p>
    <w:p w14:paraId="02A3C240" w14:textId="25A2DA4E" w:rsidR="64C763B2" w:rsidRPr="0066121D" w:rsidRDefault="64C763B2" w:rsidP="64C763B2">
      <w:pPr>
        <w:spacing w:after="0" w:line="240" w:lineRule="auto"/>
        <w:jc w:val="both"/>
        <w:rPr>
          <w:rFonts w:ascii="Times New Roman" w:eastAsia="Times New Roman" w:hAnsi="Times New Roman" w:cs="Times New Roman"/>
          <w:sz w:val="24"/>
          <w:szCs w:val="24"/>
        </w:rPr>
      </w:pPr>
    </w:p>
    <w:p w14:paraId="09543BF1" w14:textId="2CE43AC8" w:rsidR="429C0617" w:rsidRPr="0066121D" w:rsidRDefault="0BFD1703"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sz w:val="24"/>
          <w:szCs w:val="24"/>
        </w:rPr>
        <w:t>A elaboração do estudo técnico preliminar, porém, é facultativa na hipótese da dispensa com base no</w:t>
      </w:r>
      <w:r w:rsidR="60669AB3"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sz w:val="24"/>
          <w:szCs w:val="24"/>
        </w:rPr>
        <w:t>inciso VIII</w:t>
      </w:r>
      <w:r w:rsidR="026A1CAC" w:rsidRPr="0066121D">
        <w:rPr>
          <w:rFonts w:ascii="Times New Roman" w:eastAsia="Times New Roman" w:hAnsi="Times New Roman" w:cs="Times New Roman"/>
          <w:sz w:val="24"/>
          <w:szCs w:val="24"/>
        </w:rPr>
        <w:t>, a</w:t>
      </w:r>
      <w:r w:rsidRPr="0066121D">
        <w:rPr>
          <w:rFonts w:ascii="Times New Roman" w:eastAsia="Times New Roman" w:hAnsi="Times New Roman" w:cs="Times New Roman"/>
          <w:sz w:val="24"/>
          <w:szCs w:val="24"/>
        </w:rPr>
        <w:t>rt</w:t>
      </w:r>
      <w:r w:rsidR="61676073" w:rsidRPr="0066121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75</w:t>
      </w:r>
      <w:r w:rsidR="6E5A561C" w:rsidRPr="0066121D">
        <w:rPr>
          <w:rFonts w:ascii="Times New Roman" w:eastAsia="Times New Roman" w:hAnsi="Times New Roman" w:cs="Times New Roman"/>
          <w:sz w:val="24"/>
          <w:szCs w:val="24"/>
        </w:rPr>
        <w:t xml:space="preserve"> da Lei n.º 14.133, de 2021, segundo a previsão do inciso I</w:t>
      </w:r>
      <w:r w:rsidR="7E6A599F" w:rsidRPr="0066121D">
        <w:rPr>
          <w:rFonts w:ascii="Times New Roman" w:eastAsia="Times New Roman" w:hAnsi="Times New Roman" w:cs="Times New Roman"/>
          <w:sz w:val="24"/>
          <w:szCs w:val="24"/>
        </w:rPr>
        <w:t xml:space="preserve">, </w:t>
      </w:r>
      <w:r w:rsidR="6E5A561C" w:rsidRPr="0066121D">
        <w:rPr>
          <w:rFonts w:ascii="Times New Roman" w:eastAsia="Times New Roman" w:hAnsi="Times New Roman" w:cs="Times New Roman"/>
          <w:sz w:val="24"/>
          <w:szCs w:val="24"/>
        </w:rPr>
        <w:t>art</w:t>
      </w:r>
      <w:r w:rsidR="6DA22D70" w:rsidRPr="0066121D">
        <w:rPr>
          <w:rFonts w:ascii="Times New Roman" w:eastAsia="Times New Roman" w:hAnsi="Times New Roman" w:cs="Times New Roman"/>
          <w:sz w:val="24"/>
          <w:szCs w:val="24"/>
        </w:rPr>
        <w:t>.</w:t>
      </w:r>
      <w:r w:rsidR="6E5A561C" w:rsidRPr="0066121D">
        <w:rPr>
          <w:rFonts w:ascii="Times New Roman" w:eastAsia="Times New Roman" w:hAnsi="Times New Roman" w:cs="Times New Roman"/>
          <w:sz w:val="24"/>
          <w:szCs w:val="24"/>
        </w:rPr>
        <w:t xml:space="preserve"> 14</w:t>
      </w:r>
      <w:r w:rsidR="534C7790" w:rsidRPr="0066121D">
        <w:rPr>
          <w:rFonts w:ascii="Times New Roman" w:eastAsia="Times New Roman" w:hAnsi="Times New Roman" w:cs="Times New Roman"/>
          <w:sz w:val="24"/>
          <w:szCs w:val="24"/>
        </w:rPr>
        <w:t xml:space="preserve"> da IN</w:t>
      </w:r>
      <w:r w:rsidR="268AD7B5" w:rsidRPr="0066121D">
        <w:rPr>
          <w:rFonts w:ascii="Times New Roman" w:eastAsia="Times New Roman" w:hAnsi="Times New Roman" w:cs="Times New Roman"/>
          <w:sz w:val="24"/>
          <w:szCs w:val="24"/>
        </w:rPr>
        <w:t xml:space="preserve"> SEGES Nº 58</w:t>
      </w:r>
      <w:r w:rsidR="00A8493E">
        <w:rPr>
          <w:rFonts w:ascii="Times New Roman" w:eastAsia="Times New Roman" w:hAnsi="Times New Roman" w:cs="Times New Roman"/>
          <w:sz w:val="24"/>
          <w:szCs w:val="24"/>
        </w:rPr>
        <w:t xml:space="preserve">, de </w:t>
      </w:r>
      <w:r w:rsidR="268AD7B5" w:rsidRPr="0066121D">
        <w:rPr>
          <w:rFonts w:ascii="Times New Roman" w:eastAsia="Times New Roman" w:hAnsi="Times New Roman" w:cs="Times New Roman"/>
          <w:sz w:val="24"/>
          <w:szCs w:val="24"/>
        </w:rPr>
        <w:t>2022</w:t>
      </w:r>
      <w:r w:rsidR="503C2E03" w:rsidRPr="0066121D">
        <w:rPr>
          <w:rFonts w:ascii="Times New Roman" w:eastAsia="Times New Roman" w:hAnsi="Times New Roman" w:cs="Times New Roman"/>
          <w:sz w:val="24"/>
          <w:szCs w:val="24"/>
        </w:rPr>
        <w:t>.</w:t>
      </w:r>
      <w:r w:rsidR="167BF7D1" w:rsidRPr="0066121D">
        <w:rPr>
          <w:rFonts w:ascii="Times New Roman" w:eastAsia="Times New Roman" w:hAnsi="Times New Roman" w:cs="Times New Roman"/>
          <w:sz w:val="24"/>
          <w:szCs w:val="24"/>
        </w:rPr>
        <w:t xml:space="preserve"> Portanto, </w:t>
      </w:r>
      <w:r w:rsidR="34C00449" w:rsidRPr="0066121D">
        <w:rPr>
          <w:rFonts w:ascii="Times New Roman" w:eastAsia="Times New Roman" w:hAnsi="Times New Roman" w:cs="Times New Roman"/>
          <w:sz w:val="24"/>
          <w:szCs w:val="24"/>
        </w:rPr>
        <w:t xml:space="preserve">eventual </w:t>
      </w:r>
      <w:r w:rsidR="167BF7D1" w:rsidRPr="0066121D">
        <w:rPr>
          <w:rFonts w:ascii="Times New Roman" w:eastAsia="Times New Roman" w:hAnsi="Times New Roman" w:cs="Times New Roman"/>
          <w:sz w:val="24"/>
          <w:szCs w:val="24"/>
        </w:rPr>
        <w:t>inexistência nos autos não prejudica o andamento da contratação.</w:t>
      </w:r>
      <w:r w:rsidR="534C7790" w:rsidRPr="0066121D">
        <w:rPr>
          <w:rFonts w:ascii="Times New Roman" w:eastAsia="Times New Roman" w:hAnsi="Times New Roman" w:cs="Times New Roman"/>
          <w:sz w:val="24"/>
          <w:szCs w:val="24"/>
        </w:rPr>
        <w:t xml:space="preserve"> </w:t>
      </w:r>
      <w:r w:rsidR="0CABFEAE" w:rsidRPr="0066121D">
        <w:rPr>
          <w:rFonts w:ascii="Times New Roman" w:eastAsia="Times New Roman" w:hAnsi="Times New Roman" w:cs="Times New Roman"/>
          <w:sz w:val="24"/>
          <w:szCs w:val="24"/>
        </w:rPr>
        <w:t xml:space="preserve"> </w:t>
      </w:r>
    </w:p>
    <w:p w14:paraId="4AA796FA" w14:textId="1BA929BE" w:rsidR="64C763B2" w:rsidRPr="0066121D" w:rsidRDefault="64C763B2" w:rsidP="64C763B2">
      <w:pPr>
        <w:spacing w:after="0" w:line="240" w:lineRule="auto"/>
        <w:jc w:val="both"/>
        <w:rPr>
          <w:rFonts w:ascii="Times New Roman" w:eastAsia="Times New Roman" w:hAnsi="Times New Roman" w:cs="Times New Roman"/>
          <w:sz w:val="24"/>
          <w:szCs w:val="24"/>
        </w:rPr>
      </w:pPr>
    </w:p>
    <w:p w14:paraId="796007E6" w14:textId="4E37810B" w:rsidR="0E0CA565" w:rsidRDefault="0018144B"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Dito isso, percebe-se que os documentos foram juntados aos autos</w:t>
      </w:r>
      <w:r w:rsidRPr="0066121D">
        <w:rPr>
          <w:rFonts w:ascii="Times New Roman" w:eastAsia="Times New Roman" w:hAnsi="Times New Roman" w:cs="Times New Roman"/>
          <w:color w:val="FF0000"/>
          <w:sz w:val="24"/>
          <w:szCs w:val="24"/>
        </w:rPr>
        <w:t xml:space="preserve">, conforme indicado no relatório deste parecer </w:t>
      </w:r>
      <w:r w:rsidRPr="0066121D">
        <w:rPr>
          <w:rFonts w:ascii="Times New Roman" w:eastAsia="Times New Roman" w:hAnsi="Times New Roman" w:cs="Times New Roman"/>
          <w:b/>
          <w:bCs/>
          <w:color w:val="FF0000"/>
          <w:sz w:val="24"/>
          <w:szCs w:val="24"/>
        </w:rPr>
        <w:t>OU</w:t>
      </w:r>
      <w:r w:rsidRPr="0066121D">
        <w:rPr>
          <w:rFonts w:ascii="Times New Roman" w:eastAsia="Times New Roman" w:hAnsi="Times New Roman" w:cs="Times New Roman"/>
          <w:color w:val="FF0000"/>
          <w:sz w:val="24"/>
          <w:szCs w:val="24"/>
        </w:rPr>
        <w:t xml:space="preserve"> conforme se extrai dos documentos às fls. XXX/ Sei XXXX.</w:t>
      </w:r>
      <w:r w:rsidRPr="0066121D">
        <w:rPr>
          <w:rFonts w:ascii="Times New Roman" w:eastAsia="Times New Roman" w:hAnsi="Times New Roman" w:cs="Times New Roman"/>
          <w:sz w:val="24"/>
          <w:szCs w:val="24"/>
        </w:rPr>
        <w:t xml:space="preserve"> </w:t>
      </w:r>
    </w:p>
    <w:p w14:paraId="10AB5BA9" w14:textId="77777777" w:rsidR="0074322F" w:rsidRPr="0066121D" w:rsidRDefault="0074322F" w:rsidP="64C763B2">
      <w:pPr>
        <w:spacing w:after="0" w:line="240" w:lineRule="auto"/>
        <w:jc w:val="both"/>
        <w:rPr>
          <w:rFonts w:ascii="Times New Roman" w:eastAsia="Times New Roman" w:hAnsi="Times New Roman" w:cs="Times New Roman"/>
          <w:color w:val="000000" w:themeColor="text1"/>
          <w:sz w:val="24"/>
          <w:szCs w:val="24"/>
        </w:rPr>
      </w:pPr>
    </w:p>
    <w:p w14:paraId="08F1FF11" w14:textId="149E6C6A" w:rsidR="4FB39088" w:rsidRPr="0066121D" w:rsidRDefault="01D1D657"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Embora sejam documentos de natureza essencialmente técnica, faremos algumas observações a título de orientação jurídica.  </w:t>
      </w:r>
    </w:p>
    <w:p w14:paraId="3C8A6E9E" w14:textId="77777777" w:rsidR="00CE1024" w:rsidRDefault="00CE1024" w:rsidP="00CE1024">
      <w:pPr>
        <w:rPr>
          <w:rFonts w:ascii="Times New Roman" w:eastAsia="Times New Roman" w:hAnsi="Times New Roman" w:cs="Times New Roman"/>
          <w:color w:val="000000" w:themeColor="text1"/>
          <w:sz w:val="24"/>
          <w:szCs w:val="24"/>
        </w:rPr>
      </w:pPr>
    </w:p>
    <w:p w14:paraId="2479471F" w14:textId="3EB4E38D" w:rsidR="00934FDC" w:rsidRPr="00CE1024" w:rsidRDefault="6B4B1D44" w:rsidP="00CE1024">
      <w:pPr>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lastRenderedPageBreak/>
        <w:t xml:space="preserve">Documento para formalização da demanda: principais elementos </w:t>
      </w:r>
    </w:p>
    <w:p w14:paraId="3E44DCF9" w14:textId="2FF52130" w:rsidR="590F6F7A" w:rsidRPr="0066121D" w:rsidRDefault="590F6F7A" w:rsidP="64C763B2">
      <w:pPr>
        <w:spacing w:after="0" w:line="240" w:lineRule="auto"/>
        <w:jc w:val="both"/>
        <w:rPr>
          <w:rFonts w:ascii="Times New Roman" w:eastAsia="Times New Roman" w:hAnsi="Times New Roman" w:cs="Times New Roman"/>
          <w:b/>
          <w:bCs/>
          <w:color w:val="000000" w:themeColor="text1"/>
          <w:sz w:val="24"/>
          <w:szCs w:val="24"/>
        </w:rPr>
      </w:pPr>
    </w:p>
    <w:p w14:paraId="32C95AB9" w14:textId="2B3B369C" w:rsidR="00934FDC" w:rsidRPr="0066121D" w:rsidRDefault="1DC48B57" w:rsidP="64C763B2">
      <w:pPr>
        <w:spacing w:after="0" w:line="240" w:lineRule="auto"/>
        <w:jc w:val="both"/>
        <w:rPr>
          <w:rFonts w:ascii="Times New Roman" w:eastAsia="Times New Roman" w:hAnsi="Times New Roman" w:cs="Times New Roman"/>
          <w:sz w:val="24"/>
          <w:szCs w:val="24"/>
          <w:highlight w:val="cyan"/>
        </w:rPr>
      </w:pPr>
      <w:r w:rsidRPr="0066121D">
        <w:rPr>
          <w:rFonts w:ascii="Times New Roman" w:eastAsia="Times New Roman" w:hAnsi="Times New Roman" w:cs="Times New Roman"/>
          <w:sz w:val="24"/>
          <w:szCs w:val="24"/>
          <w:highlight w:val="cyan"/>
        </w:rPr>
        <w:t>Da análise do documento de formalização da demanda, percebe-se que foram previstos os conteúdos do art. 8º do Decreto nº 10.947, de 25 de janeiro de 2022, especialmente a justificativa da necessidade da contratação, o nome da área requisitante ou técnica com a identificação do responsável e a indicação da data pretendida para a conclusão da contratação.</w:t>
      </w:r>
    </w:p>
    <w:p w14:paraId="7E960BFC" w14:textId="66F71128" w:rsidR="00934FDC" w:rsidRPr="00317125" w:rsidRDefault="1DC48B57" w:rsidP="00317125">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317125">
        <w:rPr>
          <w:rFonts w:ascii="Times New Roman" w:eastAsia="Times New Roman" w:hAnsi="Times New Roman" w:cs="Times New Roman"/>
          <w:b/>
          <w:bCs/>
          <w:color w:val="000000" w:themeColor="text1"/>
          <w:sz w:val="24"/>
          <w:szCs w:val="24"/>
          <w:highlight w:val="cyan"/>
          <w:u w:val="single"/>
        </w:rPr>
        <w:t>OU</w:t>
      </w:r>
    </w:p>
    <w:p w14:paraId="3DB3D2D6" w14:textId="203D4F9B" w:rsidR="00934FDC" w:rsidRPr="0066121D" w:rsidRDefault="1DC48B57" w:rsidP="004C193D">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sz w:val="24"/>
          <w:szCs w:val="24"/>
          <w:highlight w:val="cyan"/>
        </w:rPr>
        <w:t>Da análise do documento de formalização da demanda, percebe-se que não foram previstos todos os conteúdos do art. 8º do Decreto nº 10.947, de 25 de janeiro de 2022. Pelo exposto, deverá a Administração</w:t>
      </w:r>
      <w:r w:rsidRPr="5D8365CD">
        <w:rPr>
          <w:rFonts w:ascii="Times New Roman" w:eastAsia="Times New Roman" w:hAnsi="Times New Roman" w:cs="Times New Roman"/>
          <w:color w:val="FF0000"/>
          <w:sz w:val="24"/>
          <w:szCs w:val="24"/>
          <w:highlight w:val="cyan"/>
        </w:rPr>
        <w:t xml:space="preserve"> justificar a necessidade da contratação / indicar a data pretendida para a conclusão da contratação / informar o nome da área requisitante ou técnica com a identificação do responsável.</w:t>
      </w:r>
    </w:p>
    <w:p w14:paraId="7E06D13B" w14:textId="22C25EAD" w:rsidR="64C763B2" w:rsidRPr="0066121D" w:rsidRDefault="64C763B2" w:rsidP="64C763B2">
      <w:pPr>
        <w:spacing w:after="0" w:line="240" w:lineRule="auto"/>
        <w:jc w:val="both"/>
        <w:rPr>
          <w:rFonts w:ascii="Times New Roman" w:eastAsia="Times New Roman" w:hAnsi="Times New Roman" w:cs="Times New Roman"/>
          <w:color w:val="FF0000"/>
          <w:sz w:val="24"/>
          <w:szCs w:val="24"/>
          <w:highlight w:val="cyan"/>
        </w:rPr>
      </w:pPr>
    </w:p>
    <w:p w14:paraId="5DF95AC1" w14:textId="0E2F9534" w:rsidR="00934FDC" w:rsidRPr="0066121D" w:rsidRDefault="6639B921"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 xml:space="preserve">Gerenciamento de Risco </w:t>
      </w:r>
    </w:p>
    <w:p w14:paraId="2E014634" w14:textId="487D1111" w:rsidR="00934FDC" w:rsidRPr="0066121D" w:rsidRDefault="6639B921"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521DB7F6" w14:textId="77777777" w:rsidR="00937D01" w:rsidRDefault="00937D01" w:rsidP="00937D01">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Cabe pontuar que “</w:t>
      </w:r>
      <w:r w:rsidRPr="00A73832">
        <w:rPr>
          <w:rFonts w:ascii="Times New Roman" w:hAnsi="Times New Roman" w:cs="Times New Roman"/>
          <w:b/>
          <w:bCs/>
          <w:sz w:val="24"/>
          <w:szCs w:val="24"/>
        </w:rPr>
        <w:t>Mapa de Riscos” não se confunde com cláusula de matriz de risco</w:t>
      </w:r>
      <w:r w:rsidRPr="00A73832">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00041B1A">
        <w:rPr>
          <w:rFonts w:ascii="Times New Roman" w:hAnsi="Times New Roman" w:cs="Times New Roman"/>
          <w:b/>
          <w:bCs/>
          <w:sz w:val="24"/>
          <w:szCs w:val="24"/>
        </w:rPr>
        <w:t xml:space="preserve">a matriz de riscos a ser estabelecida no instrumento contratual </w:t>
      </w:r>
      <w:r w:rsidRPr="00A73832">
        <w:rPr>
          <w:rFonts w:ascii="Times New Roman" w:hAnsi="Times New Roman" w:cs="Times New Roman"/>
          <w:sz w:val="24"/>
          <w:szCs w:val="24"/>
        </w:rPr>
        <w:t xml:space="preserve">(item 5.2. do Instrumento de Padronização dos Procedimentos de Contratação: Advocacia-Geral da União: Ministério da Gestão e Inovação em Serviços Públicos, 2023). </w:t>
      </w:r>
    </w:p>
    <w:p w14:paraId="59274037" w14:textId="77777777" w:rsidR="00937D01" w:rsidRDefault="00937D01" w:rsidP="00937D01">
      <w:pPr>
        <w:spacing w:after="0" w:line="240" w:lineRule="auto"/>
        <w:jc w:val="both"/>
        <w:rPr>
          <w:rFonts w:ascii="Times New Roman" w:hAnsi="Times New Roman" w:cs="Times New Roman"/>
          <w:sz w:val="24"/>
          <w:szCs w:val="24"/>
        </w:rPr>
      </w:pPr>
    </w:p>
    <w:p w14:paraId="51D774BE" w14:textId="6ADBE43F" w:rsidR="00937D01" w:rsidRDefault="00937D01" w:rsidP="00937D01">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r w:rsidRPr="001714EB">
        <w:rPr>
          <w:rFonts w:ascii="Times New Roman" w:hAnsi="Times New Roman" w:cs="Times New Roman"/>
          <w:sz w:val="24"/>
          <w:szCs w:val="24"/>
        </w:rPr>
        <w:t>https://www.gov.br/agu/pt-br/comunicacao/noticias/saiba-como-guia-elaborado-pela-agu-e-peloministerio-da-gestao-facilitara-contratacoes-publicas-em-todo-o-pais</w:t>
      </w:r>
      <w:r w:rsidRPr="00A73832">
        <w:rPr>
          <w:rFonts w:ascii="Times New Roman" w:hAnsi="Times New Roman" w:cs="Times New Roman"/>
          <w:sz w:val="24"/>
          <w:szCs w:val="24"/>
        </w:rPr>
        <w:t>.</w:t>
      </w:r>
    </w:p>
    <w:p w14:paraId="51A6730A" w14:textId="77777777" w:rsidR="00937D01" w:rsidRDefault="00937D01" w:rsidP="00937D01">
      <w:pPr>
        <w:spacing w:after="0" w:line="240" w:lineRule="auto"/>
        <w:jc w:val="both"/>
        <w:rPr>
          <w:rFonts w:ascii="Times New Roman" w:hAnsi="Times New Roman" w:cs="Times New Roman"/>
          <w:sz w:val="24"/>
          <w:szCs w:val="24"/>
        </w:rPr>
      </w:pPr>
    </w:p>
    <w:p w14:paraId="7998348D" w14:textId="77777777" w:rsidR="00937D01" w:rsidRPr="00F50C3B" w:rsidRDefault="00937D01" w:rsidP="00937D01">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50C3B">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5F24F0F8" w14:textId="77777777" w:rsidR="00937D01" w:rsidRPr="00F50C3B" w:rsidRDefault="00937D01" w:rsidP="00937D01">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273D3BBA" w14:textId="77777777" w:rsidR="00937D01" w:rsidRPr="00F50C3B" w:rsidRDefault="00937D01" w:rsidP="00937D01">
      <w:pPr>
        <w:spacing w:after="0" w:line="240" w:lineRule="auto"/>
        <w:ind w:firstLine="708"/>
        <w:jc w:val="both"/>
        <w:rPr>
          <w:rFonts w:ascii="Times New Roman" w:eastAsia="Times New Roman" w:hAnsi="Times New Roman" w:cs="Times New Roman"/>
          <w:sz w:val="24"/>
          <w:szCs w:val="24"/>
          <w:highlight w:val="cyan"/>
          <w:u w:val="single"/>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juntado aos autos, mas </w:t>
      </w:r>
      <w:r w:rsidRPr="00F50C3B">
        <w:rPr>
          <w:rFonts w:ascii="Times New Roman" w:eastAsia="Times New Roman" w:hAnsi="Times New Roman" w:cs="Times New Roman"/>
          <w:sz w:val="24"/>
          <w:szCs w:val="24"/>
          <w:highlight w:val="cyan"/>
          <w:u w:val="single"/>
          <w:shd w:val="clear" w:color="auto" w:fill="00FFFF"/>
          <w:lang w:eastAsia="pt-BR"/>
        </w:rPr>
        <w:t>não está de acordo com o modelo</w:t>
      </w:r>
      <w:r w:rsidRPr="00F50C3B">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pois falta </w:t>
      </w:r>
      <w:r w:rsidRPr="005B7615">
        <w:rPr>
          <w:rFonts w:ascii="Times New Roman" w:eastAsia="Times New Roman" w:hAnsi="Times New Roman" w:cs="Times New Roman"/>
          <w:color w:val="FF0000"/>
          <w:sz w:val="24"/>
          <w:szCs w:val="24"/>
          <w:highlight w:val="cyan"/>
          <w:shd w:val="clear" w:color="auto" w:fill="00FFFF"/>
          <w:lang w:eastAsia="pt-BR"/>
        </w:rPr>
        <w:t xml:space="preserve">a indicação, para cada risco, da probabilidade, do impacto, do responsável e das ações preventiva e de contingência, </w:t>
      </w:r>
      <w:r w:rsidRPr="00F50C3B">
        <w:rPr>
          <w:rFonts w:ascii="Times New Roman" w:eastAsia="Times New Roman" w:hAnsi="Times New Roman" w:cs="Times New Roman"/>
          <w:sz w:val="24"/>
          <w:szCs w:val="24"/>
          <w:highlight w:val="cyan"/>
          <w:u w:val="single"/>
          <w:shd w:val="clear" w:color="auto" w:fill="00FFFF"/>
          <w:lang w:eastAsia="pt-BR"/>
        </w:rPr>
        <w:t xml:space="preserve">devendo tal vício ser sanado. </w:t>
      </w:r>
    </w:p>
    <w:p w14:paraId="73291C0B" w14:textId="306D9462" w:rsidR="00937D01" w:rsidRPr="00F50C3B" w:rsidRDefault="00937D01" w:rsidP="00937D01">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0838B5F1" w14:textId="77777777" w:rsidR="00CE1024" w:rsidRDefault="00CE1024">
      <w:pPr>
        <w:rPr>
          <w:rFonts w:ascii="Times New Roman" w:eastAsia="Times New Roman" w:hAnsi="Times New Roman" w:cs="Times New Roman"/>
          <w:sz w:val="24"/>
          <w:szCs w:val="24"/>
          <w:highlight w:val="cyan"/>
          <w:shd w:val="clear" w:color="auto" w:fill="00FFFF"/>
          <w:lang w:eastAsia="pt-BR"/>
        </w:rPr>
      </w:pPr>
      <w:r>
        <w:rPr>
          <w:rFonts w:ascii="Times New Roman" w:eastAsia="Times New Roman" w:hAnsi="Times New Roman" w:cs="Times New Roman"/>
          <w:sz w:val="24"/>
          <w:szCs w:val="24"/>
          <w:highlight w:val="cyan"/>
          <w:shd w:val="clear" w:color="auto" w:fill="00FFFF"/>
          <w:lang w:eastAsia="pt-BR"/>
        </w:rPr>
        <w:br w:type="page"/>
      </w:r>
    </w:p>
    <w:p w14:paraId="0B25CB29" w14:textId="25AD6642" w:rsidR="00937D01" w:rsidRPr="00F50C3B" w:rsidRDefault="00937D01" w:rsidP="007F7091">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lastRenderedPageBreak/>
        <w:t xml:space="preserve">Quanto ao mapa de riscos, percebe-se que </w:t>
      </w:r>
      <w:r w:rsidRPr="005B7615">
        <w:rPr>
          <w:rFonts w:ascii="Times New Roman" w:eastAsia="Times New Roman" w:hAnsi="Times New Roman" w:cs="Times New Roman"/>
          <w:sz w:val="24"/>
          <w:szCs w:val="24"/>
          <w:highlight w:val="cyan"/>
          <w:u w:val="single"/>
          <w:shd w:val="clear" w:color="auto" w:fill="00FFFF"/>
          <w:lang w:eastAsia="pt-BR"/>
        </w:rPr>
        <w:t>não foi juntado aos autos</w:t>
      </w:r>
      <w:r w:rsidRPr="00F50C3B">
        <w:rPr>
          <w:rFonts w:ascii="Times New Roman" w:eastAsia="Times New Roman" w:hAnsi="Times New Roman" w:cs="Times New Roman"/>
          <w:sz w:val="24"/>
          <w:szCs w:val="24"/>
          <w:highlight w:val="cyan"/>
          <w:shd w:val="clear" w:color="auto" w:fill="00FFFF"/>
          <w:lang w:eastAsia="pt-BR"/>
        </w:rPr>
        <w:t>. Cabe pontuar que a etapa de Gerenciamento de Riscos, exceto quanto àquela relacionada à fase de gestão do contrato, pode ser dispensada no caso das contratações diretas (artigo 72, I, da Lei nº 14.133, de 2021). A dispensa do mapa de risco está condicionada à juntada aos autos de justificativa, demonstrando, por exemplo, que a elaboração do documento é incompatível com a urgência da contratação</w:t>
      </w:r>
      <w:r w:rsidRPr="00AB1479">
        <w:rPr>
          <w:rFonts w:ascii="Times New Roman" w:eastAsia="Times New Roman" w:hAnsi="Times New Roman" w:cs="Times New Roman"/>
          <w:color w:val="FF0000"/>
          <w:sz w:val="24"/>
          <w:szCs w:val="24"/>
          <w:highlight w:val="cyan"/>
          <w:shd w:val="clear" w:color="auto" w:fill="00FFFF"/>
          <w:lang w:eastAsia="pt-BR"/>
        </w:rPr>
        <w:t xml:space="preserve">, o que restou justificado nos autos </w:t>
      </w:r>
      <w:r w:rsidRPr="00F50C3B">
        <w:rPr>
          <w:rFonts w:ascii="Times New Roman" w:eastAsia="Times New Roman" w:hAnsi="Times New Roman" w:cs="Times New Roman"/>
          <w:color w:val="FF0000"/>
          <w:sz w:val="24"/>
          <w:szCs w:val="24"/>
          <w:highlight w:val="cyan"/>
          <w:shd w:val="clear" w:color="auto" w:fill="00FFFF"/>
          <w:lang w:eastAsia="pt-BR"/>
        </w:rPr>
        <w:t>(fls. XXX/SEI n. XXX) OU o que não restou justificado nos autos, demandando o saneamento da instrução processual.</w:t>
      </w:r>
    </w:p>
    <w:p w14:paraId="56F51852" w14:textId="352137B4" w:rsidR="7EEF7630" w:rsidRPr="0066121D" w:rsidRDefault="6639B921" w:rsidP="64C763B2">
      <w:pPr>
        <w:spacing w:after="0" w:line="240" w:lineRule="auto"/>
        <w:jc w:val="both"/>
        <w:rPr>
          <w:rFonts w:ascii="Times New Roman" w:eastAsia="Times New Roman" w:hAnsi="Times New Roman" w:cs="Times New Roman"/>
          <w:b/>
          <w:bCs/>
          <w:color w:val="000000" w:themeColor="text1"/>
          <w:sz w:val="24"/>
          <w:szCs w:val="24"/>
          <w:highlight w:val="cyan"/>
        </w:rPr>
      </w:pPr>
      <w:r w:rsidRPr="0066121D">
        <w:rPr>
          <w:rFonts w:ascii="Times New Roman" w:eastAsia="Times New Roman" w:hAnsi="Times New Roman" w:cs="Times New Roman"/>
          <w:color w:val="000000" w:themeColor="text1"/>
          <w:sz w:val="24"/>
          <w:szCs w:val="24"/>
        </w:rPr>
        <w:t xml:space="preserve"> </w:t>
      </w:r>
    </w:p>
    <w:p w14:paraId="389CCF49" w14:textId="3E49CB29"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t>Termo de referência </w:t>
      </w:r>
      <w:r w:rsidRPr="0066121D">
        <w:rPr>
          <w:rFonts w:ascii="Times New Roman" w:eastAsia="Times New Roman" w:hAnsi="Times New Roman" w:cs="Times New Roman"/>
          <w:color w:val="000000" w:themeColor="text1"/>
          <w:sz w:val="24"/>
          <w:szCs w:val="24"/>
        </w:rPr>
        <w:t xml:space="preserve"> </w:t>
      </w:r>
    </w:p>
    <w:p w14:paraId="10A7BE31" w14:textId="38E1DFA6" w:rsidR="00934FDC" w:rsidRPr="0066121D" w:rsidRDefault="51650439" w:rsidP="64C763B2">
      <w:pPr>
        <w:spacing w:after="0" w:line="240" w:lineRule="auto"/>
        <w:ind w:firstLine="1420"/>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3449130" w14:textId="483385DA"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w:t>
      </w:r>
    </w:p>
    <w:p w14:paraId="2F02DF93" w14:textId="77777777" w:rsidR="00062F53" w:rsidRDefault="00062F53" w:rsidP="64C763B2">
      <w:pPr>
        <w:spacing w:after="0" w:line="240" w:lineRule="auto"/>
        <w:jc w:val="both"/>
        <w:rPr>
          <w:rFonts w:ascii="Times New Roman" w:eastAsia="Times New Roman" w:hAnsi="Times New Roman" w:cs="Times New Roman"/>
          <w:color w:val="FF0000"/>
          <w:sz w:val="24"/>
          <w:szCs w:val="24"/>
        </w:rPr>
      </w:pPr>
    </w:p>
    <w:p w14:paraId="31F2763D" w14:textId="7BA2C8EB" w:rsidR="4A56D863" w:rsidRPr="0066121D" w:rsidRDefault="3DBA3B67"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 se tratando de compras, o art. 40, § 1º, da Lei nº 14.133/2021, dispõe que o termo de referência deverá conter, além dos elementos previstos acima, as seguintes informações:</w:t>
      </w:r>
    </w:p>
    <w:p w14:paraId="48A87461" w14:textId="6839838E"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0478E13" w14:textId="061343D4" w:rsidR="4A56D863" w:rsidRPr="00062F53" w:rsidRDefault="3DBA3B67" w:rsidP="64C763B2">
      <w:pPr>
        <w:spacing w:after="0" w:line="240" w:lineRule="auto"/>
        <w:ind w:left="2268"/>
        <w:jc w:val="both"/>
        <w:rPr>
          <w:rFonts w:ascii="Times New Roman" w:eastAsia="Times New Roman" w:hAnsi="Times New Roman" w:cs="Times New Roman"/>
          <w:color w:val="000000" w:themeColor="text1"/>
          <w:sz w:val="20"/>
          <w:szCs w:val="20"/>
        </w:rPr>
      </w:pPr>
      <w:r w:rsidRPr="00062F53">
        <w:rPr>
          <w:rFonts w:ascii="Times New Roman" w:eastAsia="Times New Roman" w:hAnsi="Times New Roman" w:cs="Times New Roman"/>
          <w:color w:val="FF0000"/>
          <w:sz w:val="20"/>
          <w:szCs w:val="20"/>
        </w:rPr>
        <w:t xml:space="preserve">I - </w:t>
      </w:r>
      <w:proofErr w:type="gramStart"/>
      <w:r w:rsidRPr="00062F53">
        <w:rPr>
          <w:rFonts w:ascii="Times New Roman" w:eastAsia="Times New Roman" w:hAnsi="Times New Roman" w:cs="Times New Roman"/>
          <w:color w:val="FF0000"/>
          <w:sz w:val="20"/>
          <w:szCs w:val="20"/>
        </w:rPr>
        <w:t>especificação</w:t>
      </w:r>
      <w:proofErr w:type="gramEnd"/>
      <w:r w:rsidRPr="00062F53">
        <w:rPr>
          <w:rFonts w:ascii="Times New Roman" w:eastAsia="Times New Roman" w:hAnsi="Times New Roman" w:cs="Times New Roman"/>
          <w:color w:val="FF0000"/>
          <w:sz w:val="20"/>
          <w:szCs w:val="20"/>
        </w:rPr>
        <w:t xml:space="preserve"> do produto, preferencialmente conforme catálogo eletrônico de padronização, observados os requisitos de qualidade, rendimento, compatibilidade, durabilidade e segurança;</w:t>
      </w:r>
    </w:p>
    <w:p w14:paraId="1A0CAA06" w14:textId="4784406E" w:rsidR="4A56D863" w:rsidRPr="00062F53" w:rsidRDefault="3DBA3B67" w:rsidP="64C763B2">
      <w:pPr>
        <w:spacing w:after="0" w:line="240" w:lineRule="auto"/>
        <w:ind w:left="2268"/>
        <w:jc w:val="both"/>
        <w:rPr>
          <w:rFonts w:ascii="Times New Roman" w:eastAsia="Times New Roman" w:hAnsi="Times New Roman" w:cs="Times New Roman"/>
          <w:color w:val="000000" w:themeColor="text1"/>
          <w:sz w:val="20"/>
          <w:szCs w:val="20"/>
        </w:rPr>
      </w:pPr>
      <w:r w:rsidRPr="00062F53">
        <w:rPr>
          <w:rFonts w:ascii="Times New Roman" w:eastAsia="Times New Roman" w:hAnsi="Times New Roman" w:cs="Times New Roman"/>
          <w:color w:val="FF0000"/>
          <w:sz w:val="20"/>
          <w:szCs w:val="20"/>
        </w:rPr>
        <w:t xml:space="preserve">II - </w:t>
      </w:r>
      <w:proofErr w:type="gramStart"/>
      <w:r w:rsidRPr="00062F53">
        <w:rPr>
          <w:rFonts w:ascii="Times New Roman" w:eastAsia="Times New Roman" w:hAnsi="Times New Roman" w:cs="Times New Roman"/>
          <w:color w:val="FF0000"/>
          <w:sz w:val="20"/>
          <w:szCs w:val="20"/>
        </w:rPr>
        <w:t>indicação</w:t>
      </w:r>
      <w:proofErr w:type="gramEnd"/>
      <w:r w:rsidRPr="00062F53">
        <w:rPr>
          <w:rFonts w:ascii="Times New Roman" w:eastAsia="Times New Roman" w:hAnsi="Times New Roman" w:cs="Times New Roman"/>
          <w:color w:val="FF0000"/>
          <w:sz w:val="20"/>
          <w:szCs w:val="20"/>
        </w:rPr>
        <w:t xml:space="preserve"> dos locais de entrega dos produtos e das regras para recebimentos provisório e definitivo, quando for o caso;</w:t>
      </w:r>
    </w:p>
    <w:p w14:paraId="3FCE160B" w14:textId="7490BFA1" w:rsidR="4A56D863" w:rsidRPr="0066121D" w:rsidRDefault="3DBA3B67" w:rsidP="64C763B2">
      <w:pPr>
        <w:spacing w:after="0" w:line="240" w:lineRule="auto"/>
        <w:ind w:left="2268"/>
        <w:jc w:val="both"/>
        <w:rPr>
          <w:rFonts w:ascii="Times New Roman" w:eastAsia="Times New Roman" w:hAnsi="Times New Roman" w:cs="Times New Roman"/>
          <w:color w:val="000000" w:themeColor="text1"/>
          <w:sz w:val="24"/>
          <w:szCs w:val="24"/>
        </w:rPr>
      </w:pPr>
      <w:r w:rsidRPr="00062F53">
        <w:rPr>
          <w:rFonts w:ascii="Times New Roman" w:eastAsia="Times New Roman" w:hAnsi="Times New Roman" w:cs="Times New Roman"/>
          <w:color w:val="FF0000"/>
          <w:sz w:val="20"/>
          <w:szCs w:val="20"/>
        </w:rPr>
        <w:t>III - especificação da garantia exigida e das condições de manutenção e assistência técnica, quando for o caso</w:t>
      </w:r>
      <w:r w:rsidRPr="0066121D">
        <w:rPr>
          <w:rFonts w:ascii="Times New Roman" w:eastAsia="Times New Roman" w:hAnsi="Times New Roman" w:cs="Times New Roman"/>
          <w:color w:val="FF0000"/>
          <w:sz w:val="24"/>
          <w:szCs w:val="24"/>
        </w:rPr>
        <w:t>.</w:t>
      </w:r>
    </w:p>
    <w:p w14:paraId="5C7BAA21" w14:textId="7F00F146"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A0A2D10" w14:textId="18D503B0"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Cumpre lembrar que </w:t>
      </w:r>
      <w:r w:rsidRPr="0066121D">
        <w:rPr>
          <w:rFonts w:ascii="Times New Roman" w:eastAsia="Times New Roman" w:hAnsi="Times New Roman" w:cs="Times New Roman"/>
          <w:b/>
          <w:bCs/>
          <w:color w:val="000000" w:themeColor="text1"/>
          <w:sz w:val="24"/>
          <w:szCs w:val="24"/>
        </w:rPr>
        <w:t>é recomendável a utilização do modelo de termo de referência disponibilizado pela Advocacia-Geral da União</w:t>
      </w:r>
      <w:r w:rsidRPr="0066121D">
        <w:rPr>
          <w:rFonts w:ascii="Times New Roman" w:eastAsia="Times New Roman" w:hAnsi="Times New Roman" w:cs="Times New Roman"/>
          <w:color w:val="000000" w:themeColor="text1"/>
          <w:sz w:val="24"/>
          <w:szCs w:val="24"/>
        </w:rPr>
        <w:t>, a fim de garantir o conteúdo mínimo necessário, bem como a padronização e a celeridade na análise (art. 19, IV, da Lei nº 14.133/2021).</w:t>
      </w:r>
    </w:p>
    <w:p w14:paraId="5CAA30D6" w14:textId="72C72770"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AA728CC" w14:textId="50625681"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Recomenda-se, ainda, que as alterações realizadas no modelo padronizado de termo de referência sejam destacadas visualmente e justificadas por escrito no processo (art. 19, § 2º, da Lei nº 14.133/2021).</w:t>
      </w:r>
    </w:p>
    <w:p w14:paraId="09320F75" w14:textId="5D0AF47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ACFBFA2" w14:textId="4BF7AD63" w:rsidR="4A56D863" w:rsidRPr="0066121D" w:rsidRDefault="3DBA3B67"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No caso, consta dos autos o Termo de Referênci</w:t>
      </w:r>
      <w:r w:rsidRPr="00E80D33">
        <w:rPr>
          <w:rFonts w:ascii="Times New Roman" w:eastAsia="Times New Roman" w:hAnsi="Times New Roman" w:cs="Times New Roman"/>
          <w:sz w:val="24"/>
          <w:szCs w:val="24"/>
        </w:rPr>
        <w:t xml:space="preserve">a, </w:t>
      </w:r>
      <w:r w:rsidRPr="0066121D">
        <w:rPr>
          <w:rFonts w:ascii="Times New Roman" w:eastAsia="Times New Roman" w:hAnsi="Times New Roman" w:cs="Times New Roman"/>
          <w:color w:val="000000" w:themeColor="text1"/>
          <w:sz w:val="24"/>
          <w:szCs w:val="24"/>
        </w:rPr>
        <w:t>elaborado pela área requisitante, datado e assinado (</w:t>
      </w:r>
      <w:r w:rsidRPr="0066121D">
        <w:rPr>
          <w:rFonts w:ascii="Times New Roman" w:eastAsia="Times New Roman" w:hAnsi="Times New Roman" w:cs="Times New Roman"/>
          <w:color w:val="FF0000"/>
          <w:sz w:val="24"/>
          <w:szCs w:val="24"/>
        </w:rPr>
        <w:t>fls. XXX/doc. SEI n. XXX).</w:t>
      </w:r>
    </w:p>
    <w:p w14:paraId="4B978ED7" w14:textId="63AC5EE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10C4A45E" w14:textId="5626D351"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Além disso, foi juntada declaração da área técnica informando sobre a adoção, na espécie, do modelo de minuta padronizada de Termo de Referência disponibilizado pela AGU (</w:t>
      </w:r>
      <w:r w:rsidRPr="0066121D">
        <w:rPr>
          <w:rFonts w:ascii="Times New Roman" w:eastAsia="Times New Roman" w:hAnsi="Times New Roman" w:cs="Times New Roman"/>
          <w:color w:val="FF0000"/>
          <w:sz w:val="24"/>
          <w:szCs w:val="24"/>
          <w:highlight w:val="cyan"/>
        </w:rPr>
        <w:t>fls. XXX/doc. SEI n. XXX)</w:t>
      </w:r>
      <w:r w:rsidRPr="0066121D">
        <w:rPr>
          <w:rFonts w:ascii="Times New Roman" w:eastAsia="Times New Roman" w:hAnsi="Times New Roman" w:cs="Times New Roman"/>
          <w:color w:val="000000" w:themeColor="text1"/>
          <w:sz w:val="24"/>
          <w:szCs w:val="24"/>
          <w:highlight w:val="cyan"/>
        </w:rPr>
        <w:t>.</w:t>
      </w:r>
    </w:p>
    <w:p w14:paraId="21BC1BBB" w14:textId="09510DC1" w:rsidR="4A56D863" w:rsidRPr="00E80D33" w:rsidRDefault="3DBA3B67" w:rsidP="00E80D33">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80D33">
        <w:rPr>
          <w:rFonts w:ascii="Times New Roman" w:eastAsia="Times New Roman" w:hAnsi="Times New Roman" w:cs="Times New Roman"/>
          <w:b/>
          <w:bCs/>
          <w:color w:val="000000" w:themeColor="text1"/>
          <w:sz w:val="24"/>
          <w:szCs w:val="24"/>
          <w:highlight w:val="cyan"/>
          <w:u w:val="single"/>
        </w:rPr>
        <w:t>OU</w:t>
      </w:r>
    </w:p>
    <w:p w14:paraId="64BC037A" w14:textId="77777777" w:rsidR="00CE1024" w:rsidRDefault="3DBA3B67" w:rsidP="00614089">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Além disso, muito embora não tenha sido juntada ao feito declaração da área técnica sobre o assunto, verifica-se que, aparentemente, o Termo de Referência se baseou no respectivo modelo de minuta padronizada disponibilizado pela AGU.</w:t>
      </w:r>
    </w:p>
    <w:p w14:paraId="5EDBD3CA" w14:textId="168418E7" w:rsidR="4A56D863" w:rsidRPr="00CE1024"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lastRenderedPageBreak/>
        <w:t>A não utilização do catálogo eletrônico de padronização é situação excepcional, devendo ser justificada por escrito e anexada ao respectivo processo de contratação (art. 6º, LI, c/c art. 19, II, § 2º, da Lei nº 14.133/2021 c/c art. 10, parágrafo único, da P</w:t>
      </w:r>
      <w:r w:rsidR="00E80D33">
        <w:rPr>
          <w:rFonts w:ascii="Times New Roman" w:eastAsia="Times New Roman" w:hAnsi="Times New Roman" w:cs="Times New Roman"/>
          <w:color w:val="000000" w:themeColor="text1"/>
          <w:sz w:val="24"/>
          <w:szCs w:val="24"/>
        </w:rPr>
        <w:t>ortaria</w:t>
      </w:r>
      <w:r w:rsidRPr="0066121D">
        <w:rPr>
          <w:rFonts w:ascii="Times New Roman" w:eastAsia="Times New Roman" w:hAnsi="Times New Roman" w:cs="Times New Roman"/>
          <w:color w:val="000000" w:themeColor="text1"/>
          <w:sz w:val="24"/>
          <w:szCs w:val="24"/>
        </w:rPr>
        <w:t xml:space="preserve"> SEGES/ME Nº 938, de 2 de fevereiro de 2022).</w:t>
      </w:r>
    </w:p>
    <w:p w14:paraId="581CC2E5" w14:textId="64B2F760"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781E308B" w14:textId="15F0628C" w:rsidR="4A56D863" w:rsidRPr="0066121D" w:rsidRDefault="3DBA3B67" w:rsidP="64C763B2">
      <w:pPr>
        <w:spacing w:after="0" w:line="240" w:lineRule="auto"/>
        <w:jc w:val="both"/>
        <w:rPr>
          <w:rFonts w:ascii="Times New Roman" w:eastAsia="Times New Roman" w:hAnsi="Times New Roman" w:cs="Times New Roman"/>
          <w:color w:val="0000FF"/>
          <w:sz w:val="24"/>
          <w:szCs w:val="24"/>
        </w:rPr>
      </w:pPr>
      <w:r w:rsidRPr="0066121D">
        <w:rPr>
          <w:rFonts w:ascii="Times New Roman" w:eastAsia="Times New Roman" w:hAnsi="Times New Roman" w:cs="Times New Roman"/>
          <w:color w:val="000000" w:themeColor="text1"/>
          <w:sz w:val="24"/>
          <w:szCs w:val="24"/>
        </w:rPr>
        <w:t>Ademais, a IN SEGES/ME nº 81, de 25 de novembro de 2022, dispõe sobre a elaboração do Termo de Referência – TR, para a aquisição de bens e a contratação de serviços, e sobre o Sistema TR digital. A Administração deve cuidar para que suas exigências sejam atendidas no caso concreto</w:t>
      </w:r>
      <w:r w:rsidRPr="0066121D">
        <w:rPr>
          <w:rFonts w:ascii="Times New Roman" w:eastAsia="Times New Roman" w:hAnsi="Times New Roman" w:cs="Times New Roman"/>
          <w:color w:val="0000FF"/>
          <w:sz w:val="24"/>
          <w:szCs w:val="24"/>
        </w:rPr>
        <w:t>.</w:t>
      </w:r>
    </w:p>
    <w:p w14:paraId="6798B4BE" w14:textId="6D40CCED"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71A9EA8" w14:textId="53BBE5B2" w:rsidR="4A56D863" w:rsidRPr="0066121D" w:rsidRDefault="3DBA3B6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Nesse contexto, em análise eminentemente formal, verifica-se que o termo de referência contemplou todas as exigências contidas nos normativos acima citados.</w:t>
      </w:r>
    </w:p>
    <w:p w14:paraId="6FEF167A" w14:textId="265C38C6" w:rsidR="527EE590" w:rsidRPr="0066121D" w:rsidRDefault="527EE590"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9120" w:type="dxa"/>
        <w:tblLayout w:type="fixed"/>
        <w:tblLook w:val="06A0" w:firstRow="1" w:lastRow="0" w:firstColumn="1" w:lastColumn="0" w:noHBand="1" w:noVBand="1"/>
      </w:tblPr>
      <w:tblGrid>
        <w:gridCol w:w="9120"/>
      </w:tblGrid>
      <w:tr w:rsidR="527EE590" w:rsidRPr="0066121D" w14:paraId="3D3EFBFA" w14:textId="77777777" w:rsidTr="64C763B2">
        <w:trPr>
          <w:trHeight w:val="300"/>
        </w:trPr>
        <w:tc>
          <w:tcPr>
            <w:tcW w:w="9120" w:type="dxa"/>
          </w:tcPr>
          <w:p w14:paraId="223DCFD2" w14:textId="51403745" w:rsidR="4A56D863" w:rsidRPr="0066121D" w:rsidRDefault="3DBA3B67" w:rsidP="64C763B2">
            <w:pPr>
              <w:jc w:val="both"/>
              <w:rPr>
                <w:rFonts w:ascii="Times New Roman" w:eastAsia="Times New Roman" w:hAnsi="Times New Roman" w:cs="Times New Roman"/>
                <w:sz w:val="24"/>
                <w:szCs w:val="24"/>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16F3346E" w14:textId="62C2F603" w:rsidR="64C763B2" w:rsidRPr="0066121D" w:rsidRDefault="64C763B2" w:rsidP="64C763B2">
      <w:pPr>
        <w:spacing w:after="0" w:line="240" w:lineRule="auto"/>
        <w:rPr>
          <w:rFonts w:ascii="Times New Roman" w:eastAsia="Times New Roman" w:hAnsi="Times New Roman" w:cs="Times New Roman"/>
          <w:sz w:val="24"/>
          <w:szCs w:val="24"/>
        </w:rPr>
      </w:pPr>
    </w:p>
    <w:p w14:paraId="7C9947B5" w14:textId="6AF837A6"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Sem embargo disso, e apesar de se tratar de documento extremamente técnico, cuja avaliação cabe, em última instância, à própria Administração,</w:t>
      </w:r>
      <w:r w:rsidRPr="0066121D">
        <w:rPr>
          <w:rFonts w:ascii="Times New Roman" w:eastAsia="Times New Roman" w:hAnsi="Times New Roman" w:cs="Times New Roman"/>
          <w:b/>
          <w:bCs/>
          <w:color w:val="FF0000"/>
          <w:sz w:val="24"/>
          <w:szCs w:val="24"/>
        </w:rPr>
        <w:t> constata-se a necessidade de atendimento adicional às recomendações abaixo, a saber</w:t>
      </w:r>
      <w:r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000000" w:themeColor="text1"/>
          <w:sz w:val="24"/>
          <w:szCs w:val="24"/>
        </w:rPr>
        <w:t xml:space="preserve">  </w:t>
      </w:r>
    </w:p>
    <w:p w14:paraId="60A8ABA7" w14:textId="242F37FB"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2E0B1808" w14:textId="0B4C7B5C" w:rsidR="00934FDC" w:rsidRPr="00AA3EED" w:rsidRDefault="00124BC7" w:rsidP="00040C45">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o</w:t>
      </w:r>
      <w:r w:rsidR="5D24E643" w:rsidRPr="00AA3EED">
        <w:rPr>
          <w:rFonts w:ascii="Times New Roman" w:eastAsia="Times New Roman" w:hAnsi="Times New Roman" w:cs="Times New Roman"/>
          <w:color w:val="FF0000"/>
          <w:sz w:val="20"/>
          <w:szCs w:val="20"/>
        </w:rPr>
        <w:t xml:space="preserve"> prazo da contratação deve ser reavaliado, considerando que </w:t>
      </w:r>
      <w:r w:rsidR="6639B921" w:rsidRPr="00AA3EED">
        <w:rPr>
          <w:rFonts w:ascii="Times New Roman" w:eastAsia="Times New Roman" w:hAnsi="Times New Roman" w:cs="Times New Roman"/>
          <w:color w:val="FF0000"/>
          <w:sz w:val="20"/>
          <w:szCs w:val="20"/>
        </w:rPr>
        <w:t xml:space="preserve">o </w:t>
      </w:r>
      <w:r w:rsidR="6639B921" w:rsidRPr="00AA3EED">
        <w:rPr>
          <w:rFonts w:ascii="Times New Roman" w:eastAsia="Times New Roman" w:hAnsi="Times New Roman" w:cs="Times New Roman"/>
          <w:b/>
          <w:bCs/>
          <w:color w:val="FF0000"/>
          <w:sz w:val="20"/>
          <w:szCs w:val="20"/>
        </w:rPr>
        <w:t>prazo de vigência máximo</w:t>
      </w:r>
      <w:r w:rsidR="6639B921" w:rsidRPr="00AA3EED">
        <w:rPr>
          <w:rFonts w:ascii="Times New Roman" w:eastAsia="Times New Roman" w:hAnsi="Times New Roman" w:cs="Times New Roman"/>
          <w:color w:val="FF0000"/>
          <w:sz w:val="20"/>
          <w:szCs w:val="20"/>
        </w:rPr>
        <w:t xml:space="preserve"> das contratações emergenciais será de 01 (um) ano, contados da data da emergência</w:t>
      </w:r>
      <w:r w:rsidR="6F084733" w:rsidRPr="00AA3EED">
        <w:rPr>
          <w:rFonts w:ascii="Times New Roman" w:eastAsia="Times New Roman" w:hAnsi="Times New Roman" w:cs="Times New Roman"/>
          <w:color w:val="FF0000"/>
          <w:sz w:val="20"/>
          <w:szCs w:val="20"/>
        </w:rPr>
        <w:t xml:space="preserve"> (art. 75, VIII, da Lei nº 14.133</w:t>
      </w:r>
      <w:r w:rsidR="066FC50F" w:rsidRPr="00AA3EED">
        <w:rPr>
          <w:rFonts w:ascii="Times New Roman" w:eastAsia="Times New Roman" w:hAnsi="Times New Roman" w:cs="Times New Roman"/>
          <w:color w:val="FF0000"/>
          <w:sz w:val="20"/>
          <w:szCs w:val="20"/>
        </w:rPr>
        <w:t xml:space="preserve">, de </w:t>
      </w:r>
      <w:r w:rsidR="6F084733" w:rsidRPr="00AA3EED">
        <w:rPr>
          <w:rFonts w:ascii="Times New Roman" w:eastAsia="Times New Roman" w:hAnsi="Times New Roman" w:cs="Times New Roman"/>
          <w:color w:val="FF0000"/>
          <w:sz w:val="20"/>
          <w:szCs w:val="20"/>
        </w:rPr>
        <w:t>2021)</w:t>
      </w:r>
      <w:r w:rsidR="4A28417C" w:rsidRPr="00AA3EED">
        <w:rPr>
          <w:rFonts w:ascii="Times New Roman" w:eastAsia="Times New Roman" w:hAnsi="Times New Roman" w:cs="Times New Roman"/>
          <w:b/>
          <w:bCs/>
          <w:color w:val="FF0000"/>
          <w:sz w:val="20"/>
          <w:szCs w:val="20"/>
        </w:rPr>
        <w:t xml:space="preserve">, </w:t>
      </w:r>
      <w:r w:rsidR="4A28417C" w:rsidRPr="00AA3EED">
        <w:rPr>
          <w:rFonts w:ascii="Times New Roman" w:eastAsia="Times New Roman" w:hAnsi="Times New Roman" w:cs="Times New Roman"/>
          <w:color w:val="FF0000"/>
          <w:sz w:val="20"/>
          <w:szCs w:val="20"/>
        </w:rPr>
        <w:t>o que demanda ajustes no termo de referência e/ou na minuta de contrato</w:t>
      </w:r>
      <w:r w:rsidRPr="00AA3EED">
        <w:rPr>
          <w:rFonts w:ascii="Times New Roman" w:eastAsia="Times New Roman" w:hAnsi="Times New Roman" w:cs="Times New Roman"/>
          <w:color w:val="FF0000"/>
          <w:sz w:val="20"/>
          <w:szCs w:val="20"/>
        </w:rPr>
        <w:t>;</w:t>
      </w:r>
    </w:p>
    <w:p w14:paraId="6E347744" w14:textId="7981EEF0" w:rsidR="00934FDC" w:rsidRPr="00AA3EED" w:rsidRDefault="00124BC7" w:rsidP="00040C45">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n</w:t>
      </w:r>
      <w:r w:rsidR="51650439" w:rsidRPr="00AA3EED">
        <w:rPr>
          <w:rFonts w:ascii="Times New Roman" w:eastAsia="Times New Roman" w:hAnsi="Times New Roman" w:cs="Times New Roman"/>
          <w:color w:val="FF0000"/>
          <w:sz w:val="20"/>
          <w:szCs w:val="20"/>
        </w:rPr>
        <w:t xml:space="preserve">ão consta nos autos certificação de que o bem não se enquadra como </w:t>
      </w:r>
      <w:r w:rsidR="51650439" w:rsidRPr="00AA3EED">
        <w:rPr>
          <w:rFonts w:ascii="Times New Roman" w:eastAsia="Times New Roman" w:hAnsi="Times New Roman" w:cs="Times New Roman"/>
          <w:b/>
          <w:bCs/>
          <w:color w:val="FF0000"/>
          <w:sz w:val="20"/>
          <w:szCs w:val="20"/>
        </w:rPr>
        <w:t>bem de luxo</w:t>
      </w:r>
      <w:r w:rsidR="51650439" w:rsidRPr="00AA3EED">
        <w:rPr>
          <w:rFonts w:ascii="Times New Roman" w:eastAsia="Times New Roman" w:hAnsi="Times New Roman" w:cs="Times New Roman"/>
          <w:color w:val="FF0000"/>
          <w:sz w:val="20"/>
          <w:szCs w:val="20"/>
        </w:rPr>
        <w:t>, conforme requisito constante na lista de verificação. Nessa senda, deve o gestor atentar para a vedação de aquisição de bem de luxo disposta no art. 20, da Lei n.</w:t>
      </w:r>
      <w:r w:rsidRPr="00AA3EED">
        <w:rPr>
          <w:rFonts w:ascii="Times New Roman" w:eastAsia="Times New Roman" w:hAnsi="Times New Roman" w:cs="Times New Roman"/>
          <w:color w:val="FF0000"/>
          <w:sz w:val="20"/>
          <w:szCs w:val="20"/>
        </w:rPr>
        <w:t>º</w:t>
      </w:r>
      <w:r w:rsidR="51650439" w:rsidRPr="00AA3EED">
        <w:rPr>
          <w:rFonts w:ascii="Times New Roman" w:eastAsia="Times New Roman" w:hAnsi="Times New Roman" w:cs="Times New Roman"/>
          <w:color w:val="FF0000"/>
          <w:sz w:val="20"/>
          <w:szCs w:val="20"/>
        </w:rPr>
        <w:t xml:space="preserve"> 14.133</w:t>
      </w:r>
      <w:r w:rsidR="7F694098"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 Considera-se bem de luxo o bem de consumo de alta elasticidade-renda da demanda, tendo como características tais como: ostentação, opulência, forte apelo estético ou requinte (art. 2º, do</w:t>
      </w:r>
      <w:hyperlink r:id="rId30">
        <w:r w:rsidR="51650439" w:rsidRPr="00AA3EED">
          <w:rPr>
            <w:rStyle w:val="Hyperlink"/>
            <w:rFonts w:ascii="Times New Roman" w:eastAsia="Times New Roman" w:hAnsi="Times New Roman" w:cs="Times New Roman"/>
            <w:sz w:val="20"/>
            <w:szCs w:val="20"/>
            <w:u w:val="none"/>
          </w:rPr>
          <w:t xml:space="preserve"> </w:t>
        </w:r>
        <w:r w:rsidR="51650439" w:rsidRPr="00AA3EED">
          <w:rPr>
            <w:rStyle w:val="Hyperlink"/>
            <w:rFonts w:ascii="Times New Roman" w:eastAsia="Times New Roman" w:hAnsi="Times New Roman" w:cs="Times New Roman"/>
            <w:color w:val="FF0000"/>
            <w:sz w:val="20"/>
            <w:szCs w:val="20"/>
            <w:u w:val="none"/>
          </w:rPr>
          <w:t>D</w:t>
        </w:r>
        <w:r w:rsidR="00A165E3" w:rsidRPr="00AA3EED">
          <w:rPr>
            <w:rStyle w:val="Hyperlink"/>
            <w:rFonts w:ascii="Times New Roman" w:eastAsia="Times New Roman" w:hAnsi="Times New Roman" w:cs="Times New Roman"/>
            <w:color w:val="FF0000"/>
            <w:sz w:val="20"/>
            <w:szCs w:val="20"/>
            <w:u w:val="none"/>
          </w:rPr>
          <w:t xml:space="preserve">ecreto </w:t>
        </w:r>
        <w:r w:rsidR="51650439" w:rsidRPr="00AA3EED">
          <w:rPr>
            <w:rStyle w:val="Hyperlink"/>
            <w:rFonts w:ascii="Times New Roman" w:eastAsia="Times New Roman" w:hAnsi="Times New Roman" w:cs="Times New Roman"/>
            <w:color w:val="FF0000"/>
            <w:sz w:val="20"/>
            <w:szCs w:val="20"/>
            <w:u w:val="none"/>
          </w:rPr>
          <w:t xml:space="preserve">Nº 10.818, </w:t>
        </w:r>
        <w:r w:rsidR="00A165E3" w:rsidRPr="00AA3EED">
          <w:rPr>
            <w:rStyle w:val="Hyperlink"/>
            <w:rFonts w:ascii="Times New Roman" w:eastAsia="Times New Roman" w:hAnsi="Times New Roman" w:cs="Times New Roman"/>
            <w:color w:val="FF0000"/>
            <w:sz w:val="20"/>
            <w:szCs w:val="20"/>
            <w:u w:val="none"/>
          </w:rPr>
          <w:t>de</w:t>
        </w:r>
        <w:r w:rsidR="51650439" w:rsidRPr="00AA3EED">
          <w:rPr>
            <w:rStyle w:val="Hyperlink"/>
            <w:rFonts w:ascii="Times New Roman" w:eastAsia="Times New Roman" w:hAnsi="Times New Roman" w:cs="Times New Roman"/>
            <w:color w:val="FF0000"/>
            <w:sz w:val="20"/>
            <w:szCs w:val="20"/>
            <w:u w:val="none"/>
          </w:rPr>
          <w:t xml:space="preserve"> 27 </w:t>
        </w:r>
        <w:r w:rsidR="00A165E3" w:rsidRPr="00AA3EED">
          <w:rPr>
            <w:rStyle w:val="Hyperlink"/>
            <w:rFonts w:ascii="Times New Roman" w:eastAsia="Times New Roman" w:hAnsi="Times New Roman" w:cs="Times New Roman"/>
            <w:color w:val="FF0000"/>
            <w:sz w:val="20"/>
            <w:szCs w:val="20"/>
            <w:u w:val="none"/>
          </w:rPr>
          <w:t xml:space="preserve">de setembro de </w:t>
        </w:r>
        <w:r w:rsidR="51650439" w:rsidRPr="00AA3EED">
          <w:rPr>
            <w:rStyle w:val="Hyperlink"/>
            <w:rFonts w:ascii="Times New Roman" w:eastAsia="Times New Roman" w:hAnsi="Times New Roman" w:cs="Times New Roman"/>
            <w:color w:val="FF0000"/>
            <w:sz w:val="20"/>
            <w:szCs w:val="20"/>
            <w:u w:val="none"/>
          </w:rPr>
          <w:t>2021</w:t>
        </w:r>
      </w:hyperlink>
      <w:r w:rsidR="51650439" w:rsidRPr="00AA3EED">
        <w:rPr>
          <w:rFonts w:ascii="Times New Roman" w:eastAsia="Times New Roman" w:hAnsi="Times New Roman" w:cs="Times New Roman"/>
          <w:color w:val="FF0000"/>
          <w:sz w:val="20"/>
          <w:szCs w:val="20"/>
        </w:rPr>
        <w:t xml:space="preserve">). Os itens de consumo deverão ser de qualidade comum, não superior à necessária para cumprir as finalidades às quais se destinam, vedada a aquisição de artigos de luxo. Cabe à unidade de contratação do órgão ou entidade observar a classificação de bens e a vedação prevista nos arts. 3º e 5º do Decreto </w:t>
      </w:r>
      <w:r w:rsidR="00A165E3" w:rsidRPr="00AA3EED">
        <w:rPr>
          <w:rFonts w:ascii="Times New Roman" w:eastAsia="Times New Roman" w:hAnsi="Times New Roman" w:cs="Times New Roman"/>
          <w:color w:val="FF0000"/>
          <w:sz w:val="20"/>
          <w:szCs w:val="20"/>
        </w:rPr>
        <w:t xml:space="preserve">n.º </w:t>
      </w:r>
      <w:r w:rsidR="51650439" w:rsidRPr="00AA3EED">
        <w:rPr>
          <w:rFonts w:ascii="Times New Roman" w:eastAsia="Times New Roman" w:hAnsi="Times New Roman" w:cs="Times New Roman"/>
          <w:color w:val="FF0000"/>
          <w:sz w:val="20"/>
          <w:szCs w:val="20"/>
        </w:rPr>
        <w:t>1.818</w:t>
      </w:r>
      <w:r w:rsidR="48BDDAA9"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 bem como identificar os bens de consumo de luxo no plano de contratações anual (art. 6º, do Decreto</w:t>
      </w:r>
      <w:r w:rsidR="00A165E3" w:rsidRPr="00AA3EED">
        <w:rPr>
          <w:rFonts w:ascii="Times New Roman" w:eastAsia="Times New Roman" w:hAnsi="Times New Roman" w:cs="Times New Roman"/>
          <w:color w:val="FF0000"/>
          <w:sz w:val="20"/>
          <w:szCs w:val="20"/>
        </w:rPr>
        <w:t xml:space="preserve"> n.º</w:t>
      </w:r>
      <w:r w:rsidR="51650439" w:rsidRPr="00AA3EED">
        <w:rPr>
          <w:rFonts w:ascii="Times New Roman" w:eastAsia="Times New Roman" w:hAnsi="Times New Roman" w:cs="Times New Roman"/>
          <w:color w:val="FF0000"/>
          <w:sz w:val="20"/>
          <w:szCs w:val="20"/>
        </w:rPr>
        <w:t xml:space="preserve"> 10.818</w:t>
      </w:r>
      <w:r w:rsidR="4750885B"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 o que demanda o saneamento da instrução processual, de forma que conste no processo certificação de que o bem não se enquadra como bem de luxo, ajustes no termo de referência para supressão ou substituição dos bens demandados ou, em sendo o caso, justificativa nos autos e a adoção das providências contidas nos art. 4º e 6º do Decreto</w:t>
      </w:r>
      <w:r w:rsidR="00A165E3" w:rsidRPr="00AA3EED">
        <w:rPr>
          <w:rFonts w:ascii="Times New Roman" w:eastAsia="Times New Roman" w:hAnsi="Times New Roman" w:cs="Times New Roman"/>
          <w:color w:val="FF0000"/>
          <w:sz w:val="20"/>
          <w:szCs w:val="20"/>
        </w:rPr>
        <w:t xml:space="preserve"> n.º</w:t>
      </w:r>
      <w:r w:rsidR="51650439" w:rsidRPr="00AA3EED">
        <w:rPr>
          <w:rFonts w:ascii="Times New Roman" w:eastAsia="Times New Roman" w:hAnsi="Times New Roman" w:cs="Times New Roman"/>
          <w:color w:val="FF0000"/>
          <w:sz w:val="20"/>
          <w:szCs w:val="20"/>
        </w:rPr>
        <w:t xml:space="preserve"> 10.818</w:t>
      </w:r>
      <w:r w:rsidR="2B22D1A7" w:rsidRPr="00AA3EED">
        <w:rPr>
          <w:rFonts w:ascii="Times New Roman" w:eastAsia="Times New Roman" w:hAnsi="Times New Roman" w:cs="Times New Roman"/>
          <w:color w:val="FF0000"/>
          <w:sz w:val="20"/>
          <w:szCs w:val="20"/>
        </w:rPr>
        <w:t xml:space="preserve">, de </w:t>
      </w:r>
      <w:r w:rsidR="51650439" w:rsidRPr="00AA3EED">
        <w:rPr>
          <w:rFonts w:ascii="Times New Roman" w:eastAsia="Times New Roman" w:hAnsi="Times New Roman" w:cs="Times New Roman"/>
          <w:color w:val="FF0000"/>
          <w:sz w:val="20"/>
          <w:szCs w:val="20"/>
        </w:rPr>
        <w:t>2021</w:t>
      </w:r>
      <w:r w:rsidRPr="00AA3EED">
        <w:rPr>
          <w:rFonts w:ascii="Times New Roman" w:eastAsia="Times New Roman" w:hAnsi="Times New Roman" w:cs="Times New Roman"/>
          <w:color w:val="FF0000"/>
          <w:sz w:val="20"/>
          <w:szCs w:val="20"/>
        </w:rPr>
        <w:t>;</w:t>
      </w:r>
      <w:r w:rsidR="51650439" w:rsidRPr="00AA3EED">
        <w:rPr>
          <w:rFonts w:ascii="Times New Roman" w:eastAsia="Times New Roman" w:hAnsi="Times New Roman" w:cs="Times New Roman"/>
          <w:color w:val="FF0000"/>
          <w:sz w:val="20"/>
          <w:szCs w:val="20"/>
        </w:rPr>
        <w:t xml:space="preserve">       </w:t>
      </w:r>
    </w:p>
    <w:p w14:paraId="08DA627A" w14:textId="77777777" w:rsidR="00CE1024" w:rsidRDefault="51650439" w:rsidP="00CE1024">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 xml:space="preserve">justificar a ausência de exigência de garantia contratual; </w:t>
      </w:r>
    </w:p>
    <w:p w14:paraId="5AE70020" w14:textId="77777777" w:rsidR="00CE1024" w:rsidRDefault="00CE1024">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br w:type="page"/>
      </w:r>
    </w:p>
    <w:p w14:paraId="0AA0785F" w14:textId="3D00987E" w:rsidR="7B3C1ECB" w:rsidRPr="00CE1024" w:rsidRDefault="5B00EA63" w:rsidP="00CE1024">
      <w:pPr>
        <w:pStyle w:val="PargrafodaLista"/>
        <w:numPr>
          <w:ilvl w:val="0"/>
          <w:numId w:val="8"/>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CE1024">
        <w:rPr>
          <w:rFonts w:ascii="Times New Roman" w:eastAsia="Times New Roman" w:hAnsi="Times New Roman" w:cs="Times New Roman"/>
          <w:b/>
          <w:bCs/>
          <w:color w:val="FF0000"/>
          <w:sz w:val="20"/>
          <w:szCs w:val="20"/>
        </w:rPr>
        <w:lastRenderedPageBreak/>
        <w:t>deve haver indicação de qual será o regime de execução do contrato</w:t>
      </w:r>
      <w:r w:rsidRPr="00CE1024">
        <w:rPr>
          <w:rFonts w:ascii="Times New Roman" w:eastAsia="Times New Roman" w:hAnsi="Times New Roman" w:cs="Times New Roman"/>
          <w:color w:val="FF0000"/>
          <w:sz w:val="20"/>
          <w:szCs w:val="20"/>
        </w:rPr>
        <w:t>, cláusula obrigatória, nos termos do art. 92, IV, da Lei n.</w:t>
      </w:r>
      <w:r w:rsidR="00A165E3" w:rsidRPr="00CE1024">
        <w:rPr>
          <w:rFonts w:ascii="Times New Roman" w:eastAsia="Times New Roman" w:hAnsi="Times New Roman" w:cs="Times New Roman"/>
          <w:color w:val="FF0000"/>
          <w:sz w:val="20"/>
          <w:szCs w:val="20"/>
        </w:rPr>
        <w:t>º</w:t>
      </w:r>
      <w:r w:rsidRPr="00CE1024">
        <w:rPr>
          <w:rFonts w:ascii="Times New Roman" w:eastAsia="Times New Roman" w:hAnsi="Times New Roman" w:cs="Times New Roman"/>
          <w:color w:val="FF0000"/>
          <w:sz w:val="20"/>
          <w:szCs w:val="20"/>
        </w:rPr>
        <w:t xml:space="preserve"> 14.133</w:t>
      </w:r>
      <w:r w:rsidR="5396D8BF" w:rsidRPr="00CE1024">
        <w:rPr>
          <w:rFonts w:ascii="Times New Roman" w:eastAsia="Times New Roman" w:hAnsi="Times New Roman" w:cs="Times New Roman"/>
          <w:color w:val="FF0000"/>
          <w:sz w:val="20"/>
          <w:szCs w:val="20"/>
        </w:rPr>
        <w:t xml:space="preserve">, de </w:t>
      </w:r>
      <w:r w:rsidRPr="00CE1024">
        <w:rPr>
          <w:rFonts w:ascii="Times New Roman" w:eastAsia="Times New Roman" w:hAnsi="Times New Roman" w:cs="Times New Roman"/>
          <w:color w:val="FF0000"/>
          <w:sz w:val="20"/>
          <w:szCs w:val="20"/>
        </w:rPr>
        <w:t xml:space="preserve">2021. Verifica-se que a minuta de contrato remete ao TR (Cláusula </w:t>
      </w:r>
      <w:r w:rsidR="77518C27" w:rsidRPr="00CE1024">
        <w:rPr>
          <w:rFonts w:ascii="Times New Roman" w:eastAsia="Times New Roman" w:hAnsi="Times New Roman" w:cs="Times New Roman"/>
          <w:color w:val="FF0000"/>
          <w:sz w:val="20"/>
          <w:szCs w:val="20"/>
        </w:rPr>
        <w:t>XX</w:t>
      </w:r>
      <w:r w:rsidRPr="00CE1024">
        <w:rPr>
          <w:rFonts w:ascii="Times New Roman" w:eastAsia="Times New Roman" w:hAnsi="Times New Roman" w:cs="Times New Roman"/>
          <w:color w:val="FF0000"/>
          <w:sz w:val="20"/>
          <w:szCs w:val="20"/>
        </w:rPr>
        <w:t>), porém, o TR é omisso no ponto. Recomenda-se, assim, utilizar a seguinte redação, fazendo-se a adaptação necessária conforme o caso concreto:</w:t>
      </w:r>
    </w:p>
    <w:p w14:paraId="13F858B7" w14:textId="77777777" w:rsidR="00A165E3" w:rsidRPr="00AA3EED" w:rsidRDefault="00A165E3" w:rsidP="00AA3EED">
      <w:pPr>
        <w:pStyle w:val="PargrafodaLista"/>
        <w:tabs>
          <w:tab w:val="left" w:pos="2552"/>
        </w:tabs>
        <w:spacing w:after="0" w:line="240" w:lineRule="auto"/>
        <w:ind w:left="2268"/>
        <w:jc w:val="both"/>
        <w:rPr>
          <w:rFonts w:ascii="Times New Roman" w:eastAsia="Times New Roman" w:hAnsi="Times New Roman" w:cs="Times New Roman"/>
          <w:color w:val="FF0000"/>
          <w:sz w:val="20"/>
          <w:szCs w:val="20"/>
        </w:rPr>
      </w:pPr>
    </w:p>
    <w:p w14:paraId="5C042E4A" w14:textId="4D49DFA6" w:rsidR="7B3C1ECB" w:rsidRPr="00AA3EED" w:rsidRDefault="5B00EA63" w:rsidP="00434D35">
      <w:pPr>
        <w:spacing w:after="0" w:line="240" w:lineRule="auto"/>
        <w:ind w:left="2552"/>
        <w:jc w:val="both"/>
        <w:rPr>
          <w:rFonts w:ascii="Times New Roman" w:eastAsia="Times New Roman" w:hAnsi="Times New Roman" w:cs="Times New Roman"/>
          <w:i/>
          <w:iCs/>
          <w:color w:val="FF0000"/>
          <w:sz w:val="20"/>
          <w:szCs w:val="20"/>
        </w:rPr>
      </w:pPr>
      <w:r w:rsidRPr="00AA3EED">
        <w:rPr>
          <w:rFonts w:ascii="Times New Roman" w:eastAsia="Times New Roman" w:hAnsi="Times New Roman" w:cs="Times New Roman"/>
          <w:i/>
          <w:iCs/>
          <w:color w:val="FF0000"/>
          <w:sz w:val="20"/>
          <w:szCs w:val="20"/>
        </w:rPr>
        <w:t>X.XX. A presente contratação adotará como regime de execução a ... (Empreitada por Preço Unitário/Empreitada por Preço Global/Contratação por Tarefa/Empreitada Integral)</w:t>
      </w:r>
    </w:p>
    <w:p w14:paraId="1C34451A" w14:textId="77777777" w:rsidR="00A165E3" w:rsidRPr="00AA3EED" w:rsidRDefault="00A165E3" w:rsidP="00AA3EED">
      <w:pPr>
        <w:tabs>
          <w:tab w:val="left" w:pos="2552"/>
        </w:tabs>
        <w:spacing w:after="0" w:line="240" w:lineRule="auto"/>
        <w:ind w:left="2268"/>
        <w:jc w:val="both"/>
        <w:rPr>
          <w:rFonts w:ascii="Times New Roman" w:eastAsia="Times New Roman" w:hAnsi="Times New Roman" w:cs="Times New Roman"/>
          <w:i/>
          <w:iCs/>
          <w:color w:val="FF0000"/>
          <w:sz w:val="20"/>
          <w:szCs w:val="20"/>
        </w:rPr>
      </w:pPr>
    </w:p>
    <w:p w14:paraId="6106F200" w14:textId="69256E13" w:rsidR="7B3C1ECB" w:rsidRPr="00AA3EED" w:rsidRDefault="5B00EA63" w:rsidP="00AA3EED">
      <w:pPr>
        <w:tabs>
          <w:tab w:val="left" w:pos="2552"/>
        </w:tabs>
        <w:spacing w:after="0" w:line="240" w:lineRule="auto"/>
        <w:ind w:left="2268"/>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A escolha do regime de execução deverá ser justificada, conforme será abordado em tópico específico deste parecer.</w:t>
      </w:r>
    </w:p>
    <w:p w14:paraId="58F73821" w14:textId="30B75E98" w:rsidR="7B3C1ECB" w:rsidRPr="00AA3EED" w:rsidRDefault="5B00EA63"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recomenda-se que a Administração analise se as exigências de qualificação técnica/econômico-financeira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inc. XXI, da Constituição Federal e art. 70, III, da Lei nº 14.133</w:t>
      </w:r>
      <w:r w:rsidR="294D8FD8"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 Alerta-se que exigências de qualificação técnica/econômico-financeira excessivas vêm sendo reputadas como ilícitas pelos órgãos de controle, pois tendem a restringir a competitividade. Desse modo, sugere-se que seja detidamente avaliada e motivada essa exigência;</w:t>
      </w:r>
    </w:p>
    <w:p w14:paraId="38B33C66" w14:textId="1AEE7945" w:rsidR="7B3C1ECB" w:rsidRPr="00AA3EED" w:rsidRDefault="5B00EA63"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 xml:space="preserve">a exigência de atestados deve ser restrita às parcelas de maior relevância ou valor significativo do objeto da contratação, </w:t>
      </w:r>
      <w:r w:rsidRPr="00AA3EED">
        <w:rPr>
          <w:rFonts w:ascii="Times New Roman" w:eastAsia="Times New Roman" w:hAnsi="Times New Roman" w:cs="Times New Roman"/>
          <w:b/>
          <w:bCs/>
          <w:color w:val="FF0000"/>
          <w:sz w:val="20"/>
          <w:szCs w:val="20"/>
        </w:rPr>
        <w:t>assim consideradas as que tenham valor individual igual ou superior a 4% (quatro por cento)</w:t>
      </w:r>
      <w:r w:rsidRPr="00AA3EED">
        <w:rPr>
          <w:rFonts w:ascii="Times New Roman" w:eastAsia="Times New Roman" w:hAnsi="Times New Roman" w:cs="Times New Roman"/>
          <w:color w:val="FF0000"/>
          <w:sz w:val="20"/>
          <w:szCs w:val="20"/>
        </w:rPr>
        <w:t xml:space="preserve"> do valor total estimado da contratação (art. 67, § 1º, da Lei nº 14.133</w:t>
      </w:r>
      <w:r w:rsidR="41BCCF1F" w:rsidRPr="00AA3EED">
        <w:rPr>
          <w:rFonts w:ascii="Times New Roman" w:eastAsia="Times New Roman" w:hAnsi="Times New Roman" w:cs="Times New Roman"/>
          <w:color w:val="FF0000"/>
          <w:sz w:val="20"/>
          <w:szCs w:val="20"/>
        </w:rPr>
        <w:t>, de 2</w:t>
      </w:r>
      <w:r w:rsidRPr="00AA3EED">
        <w:rPr>
          <w:rFonts w:ascii="Times New Roman" w:eastAsia="Times New Roman" w:hAnsi="Times New Roman" w:cs="Times New Roman"/>
          <w:color w:val="FF0000"/>
          <w:sz w:val="20"/>
          <w:szCs w:val="20"/>
        </w:rPr>
        <w:t>021);</w:t>
      </w:r>
    </w:p>
    <w:p w14:paraId="412183E0" w14:textId="7F895B50" w:rsidR="57BFABA4" w:rsidRPr="00AA3EED" w:rsidRDefault="382614E1"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será admitida a exigência de atestados com quantidades mínimas de até 50% (cinquenta por cento) das parcelas de maior relevância ou valor significativo do objeto, vedadas limitações de tempo e de locais específicos relativas aos atestados (art. 67, § 2º, da Lei nº 14.133</w:t>
      </w:r>
      <w:r w:rsidR="0DE5E031"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 xml:space="preserve">2021);   </w:t>
      </w:r>
    </w:p>
    <w:p w14:paraId="5EEA1D5B" w14:textId="22FBE52B"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 xml:space="preserve">em se tratando de serviços contínuos, o termo de referência poderá exigir certidão ou atestado que demonstre que o contratado tenha executado serviços similares ao objeto da contratação, em períodos sucessivos ou não, </w:t>
      </w:r>
      <w:r w:rsidRPr="00AA3EED">
        <w:rPr>
          <w:rFonts w:ascii="Times New Roman" w:eastAsia="Times New Roman" w:hAnsi="Times New Roman" w:cs="Times New Roman"/>
          <w:b/>
          <w:bCs/>
          <w:color w:val="FF0000"/>
          <w:sz w:val="20"/>
          <w:szCs w:val="20"/>
        </w:rPr>
        <w:t xml:space="preserve">por um prazo mínimo, que não poderá ser superior a 3 (três) anos </w:t>
      </w:r>
      <w:r w:rsidRPr="00AA3EED">
        <w:rPr>
          <w:rFonts w:ascii="Times New Roman" w:eastAsia="Times New Roman" w:hAnsi="Times New Roman" w:cs="Times New Roman"/>
          <w:color w:val="FF0000"/>
          <w:sz w:val="20"/>
          <w:szCs w:val="20"/>
        </w:rPr>
        <w:t>(art. 67, § 5º, da Lei nº 14.133</w:t>
      </w:r>
      <w:r w:rsidR="57C43B4A"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 xml:space="preserve">2021).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 </w:t>
      </w:r>
    </w:p>
    <w:p w14:paraId="290E3283" w14:textId="6821580B"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a exigência de habilitação do subitem XXX deve ser considerada indevida, pois esse documento não está contemplado como documento de habilitação nos artigos 62 e 69 da Lei nº 14.133</w:t>
      </w:r>
      <w:r w:rsidR="0500773B"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w:t>
      </w:r>
    </w:p>
    <w:p w14:paraId="5F4617B4" w14:textId="00AB5258"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w:t>
      </w:r>
    </w:p>
    <w:p w14:paraId="0058C070" w14:textId="6E0D6267"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de acordo com o TCU, a exigência de comprovação de capacidade técnico-profissional deve estar associada à experiência na execução prévia de quantitativos dos itens de maior relevância e valor significativo da obra ou serviço do certame (Acórdão nº 1.229/2008-Plenário, Acórdão nº 2.303/2015 - Plenário). Pelo exposto, adverte-se que a Administração deverá limitar as exigências de capacidade técnico-profissional aos itens de maior relevância e valor significativo da planilha (art. 67, §§ 1º e 2º, da Lei nº 14.133</w:t>
      </w:r>
      <w:r w:rsidR="5686F645"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 (</w:t>
      </w:r>
      <w:r w:rsidRPr="00AA3EED">
        <w:rPr>
          <w:rFonts w:ascii="Times New Roman" w:eastAsia="Times New Roman" w:hAnsi="Times New Roman" w:cs="Times New Roman"/>
          <w:b/>
          <w:bCs/>
          <w:color w:val="FF0000"/>
          <w:sz w:val="20"/>
          <w:szCs w:val="20"/>
        </w:rPr>
        <w:t>E/OU</w:t>
      </w:r>
      <w:r w:rsidRPr="00AA3EED">
        <w:rPr>
          <w:rFonts w:ascii="Times New Roman" w:eastAsia="Times New Roman" w:hAnsi="Times New Roman" w:cs="Times New Roman"/>
          <w:color w:val="FF0000"/>
          <w:sz w:val="20"/>
          <w:szCs w:val="20"/>
        </w:rPr>
        <w:t xml:space="preserve"> justificar as parcelas de maior relevância e valor significativo definidas no termo de referência, para os fins do art. 67, §§ 1º e 2º, da Lei nº 14.133</w:t>
      </w:r>
      <w:r w:rsidR="777094CB"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2021);</w:t>
      </w:r>
    </w:p>
    <w:p w14:paraId="4373BD80" w14:textId="794B9D7E" w:rsidR="37121E3D" w:rsidRPr="00AA3EED" w:rsidRDefault="6A743ED7"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lastRenderedPageBreak/>
        <w:t>suprimir o tempo mínimo de experiência exigido no subitem XXX, para fins de comprovação da capacidade técnico-profissional, pois, de acordo com o TCU, "</w:t>
      </w:r>
      <w:r w:rsidRPr="00AA3EED">
        <w:rPr>
          <w:rFonts w:ascii="Times New Roman" w:eastAsia="Times New Roman" w:hAnsi="Times New Roman" w:cs="Times New Roman"/>
          <w:i/>
          <w:iCs/>
          <w:color w:val="FF0000"/>
          <w:sz w:val="20"/>
          <w:szCs w:val="20"/>
        </w:rPr>
        <w:t>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8.666</w:t>
      </w:r>
      <w:r w:rsidR="33DF2CC0" w:rsidRPr="00AA3EED">
        <w:rPr>
          <w:rFonts w:ascii="Times New Roman" w:eastAsia="Times New Roman" w:hAnsi="Times New Roman" w:cs="Times New Roman"/>
          <w:i/>
          <w:iCs/>
          <w:color w:val="FF0000"/>
          <w:sz w:val="20"/>
          <w:szCs w:val="20"/>
        </w:rPr>
        <w:t xml:space="preserve">, de </w:t>
      </w:r>
      <w:r w:rsidRPr="00AA3EED">
        <w:rPr>
          <w:rFonts w:ascii="Times New Roman" w:eastAsia="Times New Roman" w:hAnsi="Times New Roman" w:cs="Times New Roman"/>
          <w:i/>
          <w:iCs/>
          <w:color w:val="FF0000"/>
          <w:sz w:val="20"/>
          <w:szCs w:val="20"/>
        </w:rPr>
        <w:t>1993 é taxativo</w:t>
      </w:r>
      <w:r w:rsidRPr="00AA3EED">
        <w:rPr>
          <w:rFonts w:ascii="Times New Roman" w:eastAsia="Times New Roman" w:hAnsi="Times New Roman" w:cs="Times New Roman"/>
          <w:color w:val="FF0000"/>
          <w:sz w:val="20"/>
          <w:szCs w:val="20"/>
        </w:rPr>
        <w:t>"  (Enunciado da Jurisprudência Selecionada, cf. Acórdão nº 134/2017 - Plenário);</w:t>
      </w:r>
    </w:p>
    <w:p w14:paraId="59AF7B70" w14:textId="77777777" w:rsidR="0003536E" w:rsidRDefault="51650439" w:rsidP="00040C45">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A3EED">
        <w:rPr>
          <w:rFonts w:ascii="Times New Roman" w:eastAsia="Times New Roman" w:hAnsi="Times New Roman" w:cs="Times New Roman"/>
          <w:color w:val="FF0000"/>
          <w:sz w:val="20"/>
          <w:szCs w:val="20"/>
        </w:rPr>
        <w:t>justificar a indicação de(as) marca(s) na(s) especificação(</w:t>
      </w:r>
      <w:proofErr w:type="spellStart"/>
      <w:r w:rsidRPr="00AA3EED">
        <w:rPr>
          <w:rFonts w:ascii="Times New Roman" w:eastAsia="Times New Roman" w:hAnsi="Times New Roman" w:cs="Times New Roman"/>
          <w:color w:val="FF0000"/>
          <w:sz w:val="20"/>
          <w:szCs w:val="20"/>
        </w:rPr>
        <w:t>ões</w:t>
      </w:r>
      <w:proofErr w:type="spellEnd"/>
      <w:r w:rsidRPr="00AA3EED">
        <w:rPr>
          <w:rFonts w:ascii="Times New Roman" w:eastAsia="Times New Roman" w:hAnsi="Times New Roman" w:cs="Times New Roman"/>
          <w:color w:val="FF0000"/>
          <w:sz w:val="20"/>
          <w:szCs w:val="20"/>
        </w:rPr>
        <w:t>) do(s) bem(</w:t>
      </w:r>
      <w:proofErr w:type="spellStart"/>
      <w:r w:rsidRPr="00AA3EED">
        <w:rPr>
          <w:rFonts w:ascii="Times New Roman" w:eastAsia="Times New Roman" w:hAnsi="Times New Roman" w:cs="Times New Roman"/>
          <w:color w:val="FF0000"/>
          <w:sz w:val="20"/>
          <w:szCs w:val="20"/>
        </w:rPr>
        <w:t>ns</w:t>
      </w:r>
      <w:proofErr w:type="spellEnd"/>
      <w:r w:rsidRPr="00AA3EED">
        <w:rPr>
          <w:rFonts w:ascii="Times New Roman" w:eastAsia="Times New Roman" w:hAnsi="Times New Roman" w:cs="Times New Roman"/>
          <w:color w:val="FF0000"/>
          <w:sz w:val="20"/>
          <w:szCs w:val="20"/>
        </w:rPr>
        <w:t>), de modo a demonstrar sua necessidade, nos termos do art. 41, I, da Lei nº 14.133</w:t>
      </w:r>
      <w:r w:rsidR="49946EEB" w:rsidRPr="00AA3EED">
        <w:rPr>
          <w:rFonts w:ascii="Times New Roman" w:eastAsia="Times New Roman" w:hAnsi="Times New Roman" w:cs="Times New Roman"/>
          <w:color w:val="FF0000"/>
          <w:sz w:val="20"/>
          <w:szCs w:val="20"/>
        </w:rPr>
        <w:t xml:space="preserve">, de </w:t>
      </w:r>
      <w:r w:rsidRPr="00AA3EED">
        <w:rPr>
          <w:rFonts w:ascii="Times New Roman" w:eastAsia="Times New Roman" w:hAnsi="Times New Roman" w:cs="Times New Roman"/>
          <w:color w:val="FF0000"/>
          <w:sz w:val="20"/>
          <w:szCs w:val="20"/>
        </w:rPr>
        <w:t>202</w:t>
      </w:r>
      <w:r w:rsidR="00181B56" w:rsidRPr="00AA3EED">
        <w:rPr>
          <w:rFonts w:ascii="Times New Roman" w:eastAsia="Times New Roman" w:hAnsi="Times New Roman" w:cs="Times New Roman"/>
          <w:color w:val="FF0000"/>
          <w:sz w:val="20"/>
          <w:szCs w:val="20"/>
        </w:rPr>
        <w:t>,</w:t>
      </w:r>
      <w:r w:rsidRPr="00AA3EED">
        <w:rPr>
          <w:rFonts w:ascii="Times New Roman" w:eastAsia="Times New Roman" w:hAnsi="Times New Roman" w:cs="Times New Roman"/>
          <w:color w:val="FF0000"/>
          <w:sz w:val="20"/>
          <w:szCs w:val="20"/>
        </w:rPr>
        <w:t>1 c/c Súmula 270 do TCU: "Em licitações referentes a compras, inclusive de softwares, é possível a indicação de marca, desde que seja estritamente necessária para atender exigências de padronização e que haja prévia justificação". [FAZER OBSERVAÇÕES ESPECÍFICAS]</w:t>
      </w:r>
    </w:p>
    <w:p w14:paraId="1FA6F677" w14:textId="0361CAD8" w:rsidR="00934FDC" w:rsidRPr="0073418B" w:rsidRDefault="6639B921" w:rsidP="0003536E">
      <w:pPr>
        <w:pStyle w:val="PargrafodaLista"/>
        <w:tabs>
          <w:tab w:val="left" w:pos="2552"/>
        </w:tabs>
        <w:spacing w:after="0" w:line="240" w:lineRule="auto"/>
        <w:ind w:left="2268"/>
        <w:jc w:val="both"/>
        <w:rPr>
          <w:rFonts w:ascii="Times New Roman" w:eastAsia="Times New Roman" w:hAnsi="Times New Roman" w:cs="Times New Roman"/>
          <w:color w:val="FF0000"/>
          <w:sz w:val="20"/>
          <w:szCs w:val="20"/>
        </w:rPr>
      </w:pPr>
      <w:r w:rsidRPr="0073418B">
        <w:rPr>
          <w:rFonts w:ascii="Times New Roman" w:eastAsia="Times New Roman" w:hAnsi="Times New Roman" w:cs="Times New Roman"/>
          <w:color w:val="FF0000"/>
          <w:sz w:val="20"/>
          <w:szCs w:val="20"/>
        </w:rPr>
        <w:t>Pelo exposto, para que as descrições dos itens possam conter a indicação das marcas, torna-se necessária a devida justificativa técnica. Caso contrário, deverá a Administração excluir a(s) referida(s) indicação(</w:t>
      </w:r>
      <w:proofErr w:type="spellStart"/>
      <w:r w:rsidRPr="0073418B">
        <w:rPr>
          <w:rFonts w:ascii="Times New Roman" w:eastAsia="Times New Roman" w:hAnsi="Times New Roman" w:cs="Times New Roman"/>
          <w:color w:val="FF0000"/>
          <w:sz w:val="20"/>
          <w:szCs w:val="20"/>
        </w:rPr>
        <w:t>ões</w:t>
      </w:r>
      <w:proofErr w:type="spellEnd"/>
      <w:r w:rsidRPr="0073418B">
        <w:rPr>
          <w:rFonts w:ascii="Times New Roman" w:eastAsia="Times New Roman" w:hAnsi="Times New Roman" w:cs="Times New Roman"/>
          <w:color w:val="FF0000"/>
          <w:sz w:val="20"/>
          <w:szCs w:val="20"/>
        </w:rPr>
        <w:t>) ou rever a(s) descrição(</w:t>
      </w:r>
      <w:proofErr w:type="spellStart"/>
      <w:r w:rsidRPr="0073418B">
        <w:rPr>
          <w:rFonts w:ascii="Times New Roman" w:eastAsia="Times New Roman" w:hAnsi="Times New Roman" w:cs="Times New Roman"/>
          <w:color w:val="FF0000"/>
          <w:sz w:val="20"/>
          <w:szCs w:val="20"/>
        </w:rPr>
        <w:t>ões</w:t>
      </w:r>
      <w:proofErr w:type="spellEnd"/>
      <w:r w:rsidRPr="0073418B">
        <w:rPr>
          <w:rFonts w:ascii="Times New Roman" w:eastAsia="Times New Roman" w:hAnsi="Times New Roman" w:cs="Times New Roman"/>
          <w:color w:val="FF0000"/>
          <w:sz w:val="20"/>
          <w:szCs w:val="20"/>
        </w:rPr>
        <w:t xml:space="preserve">), inserindo expressões como "equivalente ou similar". </w:t>
      </w:r>
    </w:p>
    <w:p w14:paraId="4F6D93C2" w14:textId="5DEB2627" w:rsidR="64C763B2" w:rsidRPr="0066121D" w:rsidRDefault="64C763B2" w:rsidP="64C763B2">
      <w:pPr>
        <w:spacing w:after="0" w:line="240" w:lineRule="auto"/>
        <w:ind w:left="1440"/>
        <w:jc w:val="both"/>
        <w:rPr>
          <w:rFonts w:ascii="Times New Roman" w:eastAsia="Times New Roman" w:hAnsi="Times New Roman" w:cs="Times New Roman"/>
          <w:color w:val="FF0000"/>
          <w:sz w:val="24"/>
          <w:szCs w:val="24"/>
        </w:rPr>
      </w:pPr>
    </w:p>
    <w:tbl>
      <w:tblPr>
        <w:tblStyle w:val="Tabelacomgrade"/>
        <w:tblW w:w="9120" w:type="dxa"/>
        <w:tblLayout w:type="fixed"/>
        <w:tblLook w:val="06A0" w:firstRow="1" w:lastRow="0" w:firstColumn="1" w:lastColumn="0" w:noHBand="1" w:noVBand="1"/>
      </w:tblPr>
      <w:tblGrid>
        <w:gridCol w:w="9120"/>
      </w:tblGrid>
      <w:tr w:rsidR="257865AE" w:rsidRPr="0066121D" w14:paraId="68662BC6" w14:textId="77777777" w:rsidTr="64C763B2">
        <w:trPr>
          <w:trHeight w:val="300"/>
        </w:trPr>
        <w:tc>
          <w:tcPr>
            <w:tcW w:w="91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715063A9" w14:textId="0C05893F"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O Procurador deverá atentar para a formulação de exigências abusivas, tais como: certificações não obrigatórias por lei; certificação de qualidade de café (serviço com fornecimento); certificações ABNT; registro ou inscrição em entidades de fiscalização, sem previsão legal; apresentação de nota fiscal de prestação de serviços, por ausência de amparo legal e por restringir a competitividade da licitação.</w:t>
            </w:r>
          </w:p>
          <w:p w14:paraId="0B475DA5" w14:textId="755865CA" w:rsidR="257865AE" w:rsidRPr="0066121D" w:rsidRDefault="3037C238"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yellow"/>
              </w:rPr>
              <w:t xml:space="preserve">Acerca das exigências de qualificação técnica, sugere-se a consulta aos seguintes acórdãos prolatados pelo Plenário do Tribunal de Contas da União, a saber: Acórdão 1095/2018, Acórdão 891/2018, </w:t>
            </w:r>
            <w:hyperlink r:id="rId31" w:anchor="/detalhamento/11/%252a/NUMACORDAO%253A134%2520ANOACORDAO%253A2017%2520COLEGIADO%253A%2522Plen%25C3%25A1rio%2522/DTRELEVANCIA%2520desc/false/1">
              <w:r w:rsidRPr="00B77CB8">
                <w:rPr>
                  <w:rStyle w:val="Hyperlink"/>
                  <w:rFonts w:ascii="Times New Roman" w:eastAsia="Times New Roman" w:hAnsi="Times New Roman" w:cs="Times New Roman"/>
                  <w:color w:val="auto"/>
                  <w:sz w:val="24"/>
                  <w:szCs w:val="24"/>
                  <w:highlight w:val="yellow"/>
                  <w:u w:val="none"/>
                </w:rPr>
                <w:t>Acórdão 134/2017</w:t>
              </w:r>
            </w:hyperlink>
            <w:r w:rsidRPr="00B77CB8">
              <w:rPr>
                <w:rFonts w:ascii="Times New Roman" w:eastAsia="Times New Roman" w:hAnsi="Times New Roman" w:cs="Times New Roman"/>
                <w:sz w:val="24"/>
                <w:szCs w:val="24"/>
                <w:highlight w:val="yellow"/>
              </w:rPr>
              <w:t xml:space="preserve">, </w:t>
            </w:r>
            <w:hyperlink r:id="rId32">
              <w:r w:rsidRPr="00B77CB8">
                <w:rPr>
                  <w:rStyle w:val="Hyperlink"/>
                  <w:rFonts w:ascii="Times New Roman" w:eastAsia="Times New Roman" w:hAnsi="Times New Roman" w:cs="Times New Roman"/>
                  <w:color w:val="auto"/>
                  <w:sz w:val="24"/>
                  <w:szCs w:val="24"/>
                  <w:highlight w:val="yellow"/>
                  <w:u w:val="none"/>
                </w:rPr>
                <w:t xml:space="preserve">Acórdão 2066/2016 </w:t>
              </w:r>
            </w:hyperlink>
            <w:r w:rsidRPr="00B77CB8">
              <w:rPr>
                <w:rFonts w:ascii="Times New Roman" w:eastAsia="Times New Roman" w:hAnsi="Times New Roman" w:cs="Times New Roman"/>
                <w:sz w:val="24"/>
                <w:szCs w:val="24"/>
                <w:highlight w:val="yellow"/>
              </w:rPr>
              <w:t xml:space="preserve">, </w:t>
            </w:r>
            <w:hyperlink r:id="rId33">
              <w:r w:rsidRPr="00B77CB8">
                <w:rPr>
                  <w:rStyle w:val="Hyperlink"/>
                  <w:rFonts w:ascii="Times New Roman" w:eastAsia="Times New Roman" w:hAnsi="Times New Roman" w:cs="Times New Roman"/>
                  <w:color w:val="auto"/>
                  <w:sz w:val="24"/>
                  <w:szCs w:val="24"/>
                  <w:highlight w:val="yellow"/>
                  <w:u w:val="none"/>
                </w:rPr>
                <w:t>Acórdão 2769/2014</w:t>
              </w:r>
            </w:hyperlink>
            <w:r w:rsidRPr="0066121D">
              <w:rPr>
                <w:rFonts w:ascii="Times New Roman" w:eastAsia="Times New Roman" w:hAnsi="Times New Roman" w:cs="Times New Roman"/>
                <w:color w:val="000000" w:themeColor="text1"/>
                <w:sz w:val="24"/>
                <w:szCs w:val="24"/>
                <w:highlight w:val="yellow"/>
              </w:rPr>
              <w:t xml:space="preserve"> e Acórdão 2914/2013.</w:t>
            </w:r>
            <w:r w:rsidRPr="0066121D">
              <w:rPr>
                <w:rFonts w:ascii="Times New Roman" w:eastAsia="Times New Roman" w:hAnsi="Times New Roman" w:cs="Times New Roman"/>
                <w:color w:val="000000" w:themeColor="text1"/>
                <w:sz w:val="24"/>
                <w:szCs w:val="24"/>
              </w:rPr>
              <w:t xml:space="preserve"> </w:t>
            </w:r>
          </w:p>
        </w:tc>
      </w:tr>
    </w:tbl>
    <w:p w14:paraId="525B71F6" w14:textId="3186DAFD" w:rsidR="513CAAD6" w:rsidRPr="0066121D" w:rsidRDefault="54A6174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B2D466D" w14:textId="04058ECE" w:rsidR="00934FDC" w:rsidRPr="00B77CB8" w:rsidRDefault="6639B92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B77CB8">
        <w:rPr>
          <w:rFonts w:ascii="Times New Roman" w:eastAsia="Times New Roman" w:hAnsi="Times New Roman" w:cs="Times New Roman"/>
          <w:color w:val="FF0000"/>
          <w:sz w:val="20"/>
          <w:szCs w:val="20"/>
        </w:rPr>
        <w:t xml:space="preserve">compatibilizar o conteúdo dos estudos preliminares, se houver, com o termo de referência revisado à luz das orientações dos itens XXX deste parecer, de modo que não existam contradições entre os documentos; </w:t>
      </w:r>
      <w:r w:rsidRPr="00B77CB8">
        <w:rPr>
          <w:rFonts w:ascii="Times New Roman" w:eastAsia="Times New Roman" w:hAnsi="Times New Roman" w:cs="Times New Roman"/>
          <w:color w:val="000000" w:themeColor="text1"/>
          <w:sz w:val="20"/>
          <w:szCs w:val="20"/>
        </w:rPr>
        <w:t xml:space="preserve">  </w:t>
      </w:r>
    </w:p>
    <w:p w14:paraId="6B4171A5" w14:textId="1D476253" w:rsidR="64C763B2" w:rsidRPr="0066121D" w:rsidRDefault="64C763B2" w:rsidP="64C763B2">
      <w:pPr>
        <w:spacing w:after="0" w:line="240" w:lineRule="auto"/>
        <w:ind w:left="2551"/>
        <w:jc w:val="both"/>
        <w:rPr>
          <w:rFonts w:ascii="Times New Roman" w:eastAsia="Times New Roman" w:hAnsi="Times New Roman" w:cs="Times New Roman"/>
          <w:color w:val="000000" w:themeColor="text1"/>
          <w:sz w:val="24"/>
          <w:szCs w:val="24"/>
        </w:rPr>
      </w:pPr>
    </w:p>
    <w:tbl>
      <w:tblPr>
        <w:tblStyle w:val="Tabelacomgrade"/>
        <w:tblW w:w="9120" w:type="dxa"/>
        <w:tblLayout w:type="fixed"/>
        <w:tblLook w:val="06A0" w:firstRow="1" w:lastRow="0" w:firstColumn="1" w:lastColumn="0" w:noHBand="1" w:noVBand="1"/>
      </w:tblPr>
      <w:tblGrid>
        <w:gridCol w:w="9120"/>
      </w:tblGrid>
      <w:tr w:rsidR="590F6F7A" w:rsidRPr="0066121D" w14:paraId="0C2EABC8" w14:textId="77777777" w:rsidTr="64C763B2">
        <w:trPr>
          <w:trHeight w:val="300"/>
        </w:trPr>
        <w:tc>
          <w:tcPr>
            <w:tcW w:w="9120" w:type="dxa"/>
          </w:tcPr>
          <w:p w14:paraId="074C1CBB" w14:textId="0B85E5B5" w:rsidR="590F6F7A" w:rsidRPr="0066121D" w:rsidRDefault="6DDFDCA6"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O índice de reajuste é previsto na minuta de contrato</w:t>
            </w:r>
            <w:r w:rsidR="5196E23A" w:rsidRPr="0066121D">
              <w:rPr>
                <w:rFonts w:ascii="Times New Roman" w:eastAsia="Times New Roman" w:hAnsi="Times New Roman" w:cs="Times New Roman"/>
                <w:color w:val="000000" w:themeColor="text1"/>
                <w:sz w:val="24"/>
                <w:szCs w:val="24"/>
                <w:highlight w:val="yellow"/>
              </w:rPr>
              <w:t>.</w:t>
            </w:r>
            <w:r w:rsidRPr="0066121D">
              <w:rPr>
                <w:rFonts w:ascii="Times New Roman" w:eastAsia="Times New Roman" w:hAnsi="Times New Roman" w:cs="Times New Roman"/>
                <w:color w:val="7030A0"/>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Por sua vez, na hipótese de dispensa do instrumento do contrato (art. 95, II, da Lei n.</w:t>
            </w:r>
            <w:r w:rsidR="00830EBD">
              <w:rPr>
                <w:rFonts w:ascii="Times New Roman" w:eastAsia="Times New Roman" w:hAnsi="Times New Roman" w:cs="Times New Roman"/>
                <w:color w:val="000000" w:themeColor="text1"/>
                <w:sz w:val="24"/>
                <w:szCs w:val="24"/>
                <w:highlight w:val="yellow"/>
              </w:rPr>
              <w:t>º</w:t>
            </w:r>
            <w:r w:rsidRPr="0066121D">
              <w:rPr>
                <w:rFonts w:ascii="Times New Roman" w:eastAsia="Times New Roman" w:hAnsi="Times New Roman" w:cs="Times New Roman"/>
                <w:color w:val="000000" w:themeColor="text1"/>
                <w:sz w:val="24"/>
                <w:szCs w:val="24"/>
                <w:highlight w:val="yellow"/>
              </w:rPr>
              <w:t xml:space="preserve"> 14.133/21), recomenda-se indicar ao gestor o uso da redação da minuta padrão da AGU, acrescida das orientações a seguir</w:t>
            </w:r>
          </w:p>
        </w:tc>
      </w:tr>
    </w:tbl>
    <w:p w14:paraId="643B647B" w14:textId="75D578B8"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08306E17" w14:textId="3B91CE49" w:rsidR="00934FDC" w:rsidRPr="00653D36" w:rsidRDefault="6639B92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trike/>
          <w:color w:val="FF0000"/>
          <w:sz w:val="20"/>
          <w:szCs w:val="20"/>
        </w:rPr>
      </w:pPr>
      <w:r w:rsidRPr="00653D36">
        <w:rPr>
          <w:rFonts w:ascii="Times New Roman" w:eastAsia="Times New Roman" w:hAnsi="Times New Roman" w:cs="Times New Roman"/>
          <w:color w:val="FF0000"/>
          <w:sz w:val="20"/>
          <w:szCs w:val="20"/>
        </w:rPr>
        <w:t>adotar a redação constante na cláusula de reajuste objeto da minuta padrão disponibilizada pela AGU para</w:t>
      </w:r>
      <w:r w:rsidR="2E59398E" w:rsidRPr="00653D36">
        <w:rPr>
          <w:rFonts w:ascii="Times New Roman" w:eastAsia="Times New Roman" w:hAnsi="Times New Roman" w:cs="Times New Roman"/>
          <w:color w:val="FF0000"/>
          <w:sz w:val="20"/>
          <w:szCs w:val="20"/>
        </w:rPr>
        <w:t xml:space="preserve"> a contratação direta</w:t>
      </w:r>
      <w:r w:rsidRPr="00653D36">
        <w:rPr>
          <w:rFonts w:ascii="Times New Roman" w:eastAsia="Times New Roman" w:hAnsi="Times New Roman" w:cs="Times New Roman"/>
          <w:color w:val="FF0000"/>
          <w:sz w:val="20"/>
          <w:szCs w:val="20"/>
        </w:rPr>
        <w:t>, bem como indicar o índice adequado para o reajustamento dos custos decorrentes do mercado, preenchendo o subitem XXX. Para tanto, devem ser adotadas as orientações abaixo:</w:t>
      </w:r>
    </w:p>
    <w:p w14:paraId="1B5EF560" w14:textId="0C5EA6EE" w:rsidR="00934FDC" w:rsidRPr="00653D36" w:rsidRDefault="6639B921" w:rsidP="00653D36">
      <w:pPr>
        <w:tabs>
          <w:tab w:val="left" w:pos="2552"/>
        </w:tabs>
        <w:spacing w:after="0" w:line="240" w:lineRule="auto"/>
        <w:ind w:left="2268"/>
        <w:jc w:val="both"/>
        <w:rPr>
          <w:rFonts w:ascii="Times New Roman" w:eastAsia="Times New Roman" w:hAnsi="Times New Roman" w:cs="Times New Roman"/>
          <w:color w:val="FF0000"/>
          <w:sz w:val="20"/>
          <w:szCs w:val="20"/>
        </w:rPr>
      </w:pPr>
      <w:r w:rsidRPr="00653D36">
        <w:rPr>
          <w:rFonts w:ascii="Times New Roman" w:eastAsia="Times New Roman" w:hAnsi="Times New Roman" w:cs="Times New Roman"/>
          <w:color w:val="FF0000"/>
          <w:sz w:val="20"/>
          <w:szCs w:val="20"/>
        </w:rPr>
        <w:t>1) adotar o índice específico ou setorial que guarde a maior correlação possível com o segmento econômico em que estejam inseridos tais insumos diversos;</w:t>
      </w:r>
      <w:r w:rsidRPr="00653D36">
        <w:rPr>
          <w:rFonts w:ascii="Times New Roman" w:eastAsia="Times New Roman" w:hAnsi="Times New Roman" w:cs="Times New Roman"/>
          <w:strike/>
          <w:color w:val="FF0000"/>
          <w:sz w:val="20"/>
          <w:szCs w:val="20"/>
        </w:rPr>
        <w:t xml:space="preserve"> </w:t>
      </w:r>
    </w:p>
    <w:p w14:paraId="61A0CF13" w14:textId="0D824D06" w:rsidR="00934FDC" w:rsidRPr="00653D36" w:rsidRDefault="6639B921" w:rsidP="00653D36">
      <w:pPr>
        <w:tabs>
          <w:tab w:val="left" w:pos="2552"/>
        </w:tabs>
        <w:spacing w:after="0" w:line="240" w:lineRule="auto"/>
        <w:ind w:left="2268"/>
        <w:jc w:val="both"/>
        <w:rPr>
          <w:rFonts w:ascii="Times New Roman" w:eastAsia="Times New Roman" w:hAnsi="Times New Roman" w:cs="Times New Roman"/>
          <w:color w:val="FF0000"/>
          <w:sz w:val="20"/>
          <w:szCs w:val="20"/>
        </w:rPr>
      </w:pPr>
      <w:r w:rsidRPr="00653D36">
        <w:rPr>
          <w:rFonts w:ascii="Times New Roman" w:eastAsia="Times New Roman" w:hAnsi="Times New Roman" w:cs="Times New Roman"/>
          <w:color w:val="FF0000"/>
          <w:sz w:val="20"/>
          <w:szCs w:val="20"/>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r w:rsidRPr="00653D36">
        <w:rPr>
          <w:rFonts w:ascii="Times New Roman" w:eastAsia="Times New Roman" w:hAnsi="Times New Roman" w:cs="Times New Roman"/>
          <w:strike/>
          <w:color w:val="FF0000"/>
          <w:sz w:val="20"/>
          <w:szCs w:val="20"/>
        </w:rPr>
        <w:t xml:space="preserve"> </w:t>
      </w:r>
    </w:p>
    <w:p w14:paraId="12536F37" w14:textId="77777777" w:rsidR="00AD7D91" w:rsidRDefault="6639B921" w:rsidP="00AD7D91">
      <w:pPr>
        <w:tabs>
          <w:tab w:val="left" w:pos="2552"/>
        </w:tabs>
        <w:spacing w:after="0" w:line="240" w:lineRule="auto"/>
        <w:ind w:left="2268"/>
        <w:jc w:val="both"/>
        <w:rPr>
          <w:rFonts w:ascii="Times New Roman" w:eastAsia="Times New Roman" w:hAnsi="Times New Roman" w:cs="Times New Roman"/>
          <w:color w:val="FF0000"/>
          <w:sz w:val="20"/>
          <w:szCs w:val="20"/>
        </w:rPr>
      </w:pPr>
      <w:r w:rsidRPr="00653D36">
        <w:rPr>
          <w:rFonts w:ascii="Times New Roman" w:eastAsia="Times New Roman" w:hAnsi="Times New Roman" w:cs="Times New Roman"/>
          <w:color w:val="FF0000"/>
          <w:sz w:val="20"/>
          <w:szCs w:val="20"/>
        </w:rPr>
        <w:t>3) na falta de qualquer índice geral com a característica do item anterior, adotar o Índice Nacional de Preços ao Consumidor Amplo - IPCA/IBGE.</w:t>
      </w:r>
      <w:r w:rsidRPr="00653D36">
        <w:rPr>
          <w:rFonts w:ascii="Times New Roman" w:eastAsia="Times New Roman" w:hAnsi="Times New Roman" w:cs="Times New Roman"/>
          <w:strike/>
          <w:color w:val="FF0000"/>
          <w:sz w:val="20"/>
          <w:szCs w:val="20"/>
        </w:rPr>
        <w:t xml:space="preserve"> </w:t>
      </w:r>
    </w:p>
    <w:p w14:paraId="29A3DE9D" w14:textId="7A16CFE2" w:rsidR="64C763B2" w:rsidRDefault="6639B921" w:rsidP="00CE1024">
      <w:pPr>
        <w:tabs>
          <w:tab w:val="left" w:pos="2552"/>
        </w:tabs>
        <w:spacing w:after="0" w:line="240" w:lineRule="auto"/>
        <w:ind w:left="2268"/>
        <w:jc w:val="both"/>
        <w:rPr>
          <w:rFonts w:ascii="Times New Roman" w:eastAsia="Times New Roman" w:hAnsi="Times New Roman" w:cs="Times New Roman"/>
          <w:color w:val="FF0000"/>
          <w:sz w:val="20"/>
          <w:szCs w:val="20"/>
        </w:rPr>
      </w:pPr>
      <w:r w:rsidRPr="00AD7D91">
        <w:rPr>
          <w:rFonts w:ascii="Times New Roman" w:eastAsia="Times New Roman" w:hAnsi="Times New Roman" w:cs="Times New Roman"/>
          <w:color w:val="FF0000"/>
          <w:sz w:val="20"/>
          <w:szCs w:val="20"/>
        </w:rPr>
        <w:t>Qualquer que seja o índice utilizado, deverá haver a justificativa técnica de sua escolha (item 7, b, do anexo IX da IN SEGES/MP nº 05/2017 c/c item III da Conclusão DEPCONSU/PGF/AGU Nº 38/2013);</w:t>
      </w:r>
      <w:r w:rsidRPr="00AD7D91">
        <w:rPr>
          <w:rFonts w:ascii="Times New Roman" w:eastAsia="Times New Roman" w:hAnsi="Times New Roman" w:cs="Times New Roman"/>
          <w:strike/>
          <w:color w:val="FF0000"/>
          <w:sz w:val="20"/>
          <w:szCs w:val="20"/>
        </w:rPr>
        <w:t xml:space="preserve"> </w:t>
      </w:r>
    </w:p>
    <w:p w14:paraId="4C814E99" w14:textId="17B12644" w:rsidR="00CE1024" w:rsidRPr="00CE1024" w:rsidRDefault="00CE1024" w:rsidP="00CE1024">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br w:type="page"/>
      </w:r>
    </w:p>
    <w:tbl>
      <w:tblPr>
        <w:tblStyle w:val="Tabelacomgrade"/>
        <w:tblW w:w="0" w:type="auto"/>
        <w:tblLayout w:type="fixed"/>
        <w:tblLook w:val="06A0" w:firstRow="1" w:lastRow="0" w:firstColumn="1" w:lastColumn="0" w:noHBand="1" w:noVBand="1"/>
      </w:tblPr>
      <w:tblGrid>
        <w:gridCol w:w="9015"/>
      </w:tblGrid>
      <w:tr w:rsidR="74308170" w:rsidRPr="0066121D" w14:paraId="7FD70216" w14:textId="77777777" w:rsidTr="64C763B2">
        <w:trPr>
          <w:trHeight w:val="300"/>
        </w:trPr>
        <w:tc>
          <w:tcPr>
            <w:tcW w:w="9015" w:type="dxa"/>
          </w:tcPr>
          <w:p w14:paraId="23306B6F" w14:textId="7A8A4A9D" w:rsidR="74308170" w:rsidRPr="0066121D" w:rsidRDefault="7702185F"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lastRenderedPageBreak/>
              <w:t>Nota Explicativa:</w:t>
            </w:r>
            <w:r w:rsidRPr="0066121D">
              <w:rPr>
                <w:rFonts w:ascii="Times New Roman" w:eastAsia="Times New Roman" w:hAnsi="Times New Roman" w:cs="Times New Roman"/>
                <w:b/>
                <w:bCs/>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No caso de obra ou serviço de engenharia, considera</w:t>
            </w:r>
            <w:r w:rsidR="3E080362" w:rsidRPr="0066121D">
              <w:rPr>
                <w:rFonts w:ascii="Times New Roman" w:eastAsia="Times New Roman" w:hAnsi="Times New Roman" w:cs="Times New Roman"/>
                <w:color w:val="000000" w:themeColor="text1"/>
                <w:sz w:val="24"/>
                <w:szCs w:val="24"/>
                <w:highlight w:val="yellow"/>
              </w:rPr>
              <w:t>r ainda os seguintes itens</w:t>
            </w:r>
            <w:r w:rsidRPr="0066121D">
              <w:rPr>
                <w:rFonts w:ascii="Times New Roman" w:eastAsia="Times New Roman" w:hAnsi="Times New Roman" w:cs="Times New Roman"/>
                <w:color w:val="000000" w:themeColor="text1"/>
                <w:sz w:val="24"/>
                <w:szCs w:val="24"/>
                <w:highlight w:val="yellow"/>
              </w:rPr>
              <w:t>:</w:t>
            </w:r>
          </w:p>
        </w:tc>
      </w:tr>
    </w:tbl>
    <w:p w14:paraId="18FE7C38" w14:textId="27833B4F" w:rsidR="64C763B2" w:rsidRPr="0066121D" w:rsidRDefault="64C763B2" w:rsidP="64C763B2">
      <w:pPr>
        <w:spacing w:after="0" w:line="240" w:lineRule="auto"/>
        <w:rPr>
          <w:rFonts w:ascii="Times New Roman" w:eastAsia="Times New Roman" w:hAnsi="Times New Roman" w:cs="Times New Roman"/>
          <w:sz w:val="24"/>
          <w:szCs w:val="24"/>
        </w:rPr>
      </w:pPr>
    </w:p>
    <w:p w14:paraId="1A155E13" w14:textId="793B796D" w:rsidR="2334F681" w:rsidRPr="003A61C8" w:rsidRDefault="08645C09"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de acordo com o art. 46, § 1º, da Lei n.</w:t>
      </w:r>
      <w:r w:rsidR="00AD7D91" w:rsidRPr="003A61C8">
        <w:rPr>
          <w:rFonts w:ascii="Times New Roman" w:eastAsia="Times New Roman" w:hAnsi="Times New Roman" w:cs="Times New Roman"/>
          <w:color w:val="FF0000"/>
          <w:sz w:val="20"/>
          <w:szCs w:val="20"/>
        </w:rPr>
        <w:t>º</w:t>
      </w:r>
      <w:r w:rsidRPr="003A61C8">
        <w:rPr>
          <w:rFonts w:ascii="Times New Roman" w:eastAsia="Times New Roman" w:hAnsi="Times New Roman" w:cs="Times New Roman"/>
          <w:color w:val="FF0000"/>
          <w:sz w:val="20"/>
          <w:szCs w:val="20"/>
        </w:rPr>
        <w:t xml:space="preserve"> 14.133, de 2021, é vedada a realização de serviços de engenharia sem projeto executivo, ressalvadas as hipóteses previstas no art. 18, § 3º</w:t>
      </w:r>
      <w:r w:rsidR="00AD7D91" w:rsidRPr="003A61C8">
        <w:rPr>
          <w:rFonts w:ascii="Times New Roman" w:eastAsia="Times New Roman" w:hAnsi="Times New Roman" w:cs="Times New Roman"/>
          <w:color w:val="FF0000"/>
          <w:sz w:val="20"/>
          <w:szCs w:val="20"/>
        </w:rPr>
        <w:t>,</w:t>
      </w:r>
      <w:r w:rsidRPr="003A61C8">
        <w:rPr>
          <w:rFonts w:ascii="Times New Roman" w:eastAsia="Times New Roman" w:hAnsi="Times New Roman" w:cs="Times New Roman"/>
          <w:color w:val="FF0000"/>
          <w:sz w:val="20"/>
          <w:szCs w:val="20"/>
        </w:rPr>
        <w:t xml:space="preserve"> ou no art. 14, § 4º</w:t>
      </w:r>
      <w:r w:rsidR="00AD7D91" w:rsidRPr="003A61C8">
        <w:rPr>
          <w:rFonts w:ascii="Times New Roman" w:eastAsia="Times New Roman" w:hAnsi="Times New Roman" w:cs="Times New Roman"/>
          <w:color w:val="FF0000"/>
          <w:sz w:val="20"/>
          <w:szCs w:val="20"/>
        </w:rPr>
        <w:t>,</w:t>
      </w:r>
      <w:r w:rsidRPr="003A61C8">
        <w:rPr>
          <w:rFonts w:ascii="Times New Roman" w:eastAsia="Times New Roman" w:hAnsi="Times New Roman" w:cs="Times New Roman"/>
          <w:color w:val="FF0000"/>
          <w:sz w:val="20"/>
          <w:szCs w:val="20"/>
        </w:rPr>
        <w:t xml:space="preserve"> da Lei nº 14.133, de 2021, o que demanda saneamento da instrução processual, mediante a juntada do projeto executivo ao processo, a justificativa técnica de sua desnecessidade ou a justificativa para atribuir a obrigação de sua elaboração pelo contratado.</w:t>
      </w:r>
      <w:r w:rsidRPr="003A61C8">
        <w:rPr>
          <w:rFonts w:ascii="Times New Roman" w:eastAsia="Times New Roman" w:hAnsi="Times New Roman" w:cs="Times New Roman"/>
          <w:sz w:val="20"/>
          <w:szCs w:val="20"/>
        </w:rPr>
        <w:t xml:space="preserve">  </w:t>
      </w:r>
    </w:p>
    <w:p w14:paraId="16BAF499" w14:textId="7F180377" w:rsidR="2334F681" w:rsidRPr="003A61C8" w:rsidRDefault="08645C09"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caso seja escolhido o regime de execução de empreitada por preço global,</w:t>
      </w:r>
      <w:r w:rsidRPr="003A61C8">
        <w:rPr>
          <w:rFonts w:ascii="Times New Roman" w:eastAsia="Times New Roman" w:hAnsi="Times New Roman" w:cs="Times New Roman"/>
          <w:sz w:val="20"/>
          <w:szCs w:val="20"/>
        </w:rPr>
        <w:t xml:space="preserve"> </w:t>
      </w:r>
      <w:r w:rsidRPr="003A61C8">
        <w:rPr>
          <w:rFonts w:ascii="Times New Roman" w:eastAsia="Times New Roman" w:hAnsi="Times New Roman" w:cs="Times New Roman"/>
          <w:color w:val="FF0000"/>
          <w:sz w:val="20"/>
          <w:szCs w:val="20"/>
        </w:rPr>
        <w:t>a seleção do contratado deve ocorrer por preço global, com a sistemática de medição e pagamento associada à execução de etapas do cronograma físico-financeiro vinculadas ao cumprimento de metas de resultado, vedada a adoção de remuneração por preços unitários ou referenciada pela execução de quantidades de itens unitários (art. 46, § 9º, da Lei n.</w:t>
      </w:r>
      <w:r w:rsidR="003A61C8" w:rsidRPr="003A61C8">
        <w:rPr>
          <w:rFonts w:ascii="Times New Roman" w:eastAsia="Times New Roman" w:hAnsi="Times New Roman" w:cs="Times New Roman"/>
          <w:color w:val="FF0000"/>
          <w:sz w:val="20"/>
          <w:szCs w:val="20"/>
        </w:rPr>
        <w:t>º</w:t>
      </w:r>
      <w:r w:rsidRPr="003A61C8">
        <w:rPr>
          <w:rFonts w:ascii="Times New Roman" w:eastAsia="Times New Roman" w:hAnsi="Times New Roman" w:cs="Times New Roman"/>
          <w:color w:val="FF0000"/>
          <w:sz w:val="20"/>
          <w:szCs w:val="20"/>
        </w:rPr>
        <w:t xml:space="preserve"> 14.133, de 2021), o que deve ser observado pela Administração tanto na fase da seleção do fornecedor, bem como durante a execução contratual, com os decorrentes ajustes que se fizerem necessários.</w:t>
      </w:r>
      <w:r w:rsidRPr="003A61C8">
        <w:rPr>
          <w:rFonts w:ascii="Times New Roman" w:eastAsia="Times New Roman" w:hAnsi="Times New Roman" w:cs="Times New Roman"/>
          <w:sz w:val="20"/>
          <w:szCs w:val="20"/>
        </w:rPr>
        <w:t xml:space="preserve"> </w:t>
      </w:r>
    </w:p>
    <w:p w14:paraId="7F4395AE" w14:textId="495C5784" w:rsidR="5DA6BB75" w:rsidRPr="003A61C8" w:rsidRDefault="12015BE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em razão das peculiaridades do objeto, a equipe de planejamento deve ter integrante com formação em engenharia e/ou arquitetura e/ou técnica industrial. Confira-se, nesse sentido, os ditames abaixo da IN SEGES/MP nº 05/2017: "</w:t>
      </w:r>
      <w:r w:rsidRPr="003A61C8">
        <w:rPr>
          <w:rFonts w:ascii="Times New Roman" w:eastAsia="Times New Roman" w:hAnsi="Times New Roman" w:cs="Times New Roman"/>
          <w:i/>
          <w:iCs/>
          <w:color w:val="FF0000"/>
          <w:sz w:val="20"/>
          <w:szCs w:val="20"/>
        </w:rPr>
        <w:t xml:space="preserve">Art. 22, § 1º A equipe de Planejamento da Contratação é o conjunto de servidores, que reúnem as competências necessárias à completa execução das etapas de Planejamento da Contratação, o que inclui conhecimentos sobre aspectos técnicos e de uso do objeto, licitações e contratos, dentre outros." </w:t>
      </w:r>
    </w:p>
    <w:p w14:paraId="709D1BFE" w14:textId="2B830EC1" w:rsidR="5DA6BB75" w:rsidRPr="003A61C8" w:rsidRDefault="12015BE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a área técnica deverá certificar-se de que todos os elementos do art. 6º, XXV, da Lei nº 14.133, de 2021</w:t>
      </w:r>
      <w:r w:rsidR="00E614B2">
        <w:rPr>
          <w:rFonts w:ascii="Times New Roman" w:eastAsia="Times New Roman" w:hAnsi="Times New Roman" w:cs="Times New Roman"/>
          <w:color w:val="FF0000"/>
          <w:sz w:val="20"/>
          <w:szCs w:val="20"/>
        </w:rPr>
        <w:t>,</w:t>
      </w:r>
      <w:r w:rsidRPr="003A61C8">
        <w:rPr>
          <w:rFonts w:ascii="Times New Roman" w:eastAsia="Times New Roman" w:hAnsi="Times New Roman" w:cs="Times New Roman"/>
          <w:color w:val="FF0000"/>
          <w:sz w:val="20"/>
          <w:szCs w:val="20"/>
        </w:rPr>
        <w:t xml:space="preserve"> foram contemplados no termo de referência (Súmula TCU nº 261). Recomenda-se ainda a consulta à Decisão Normativa CONFEA nº 106/2015 e à OT - IBR 001/2006, do Instituto Brasileiro de Auditoria de Obras Pública - IBRAOP. Tais documentos trazem orientações específicas sobre o conteúdo de projetos básicos para obras e serviços de engenharia planejados pela Administração Pública.</w:t>
      </w:r>
      <w:r w:rsidRPr="003A61C8">
        <w:rPr>
          <w:rFonts w:ascii="Times New Roman" w:eastAsia="Times New Roman" w:hAnsi="Times New Roman" w:cs="Times New Roman"/>
          <w:sz w:val="20"/>
          <w:szCs w:val="20"/>
        </w:rPr>
        <w:t xml:space="preserve"> </w:t>
      </w:r>
    </w:p>
    <w:p w14:paraId="46A92A8A" w14:textId="3AC47ED5" w:rsidR="5DA6BB75" w:rsidRPr="003A61C8" w:rsidRDefault="12015BE1"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os responsáveis pela produção dos elementos e/ou peças técnicas exclusivamente relacionados com engenharia e/ou arquitetura e/ou técnica industrial devem ser identificados nos autos (art. 2º, I, da IN Conjunta MP/CGU nº 01/2016).</w:t>
      </w:r>
    </w:p>
    <w:p w14:paraId="76AFD21B" w14:textId="124B1425" w:rsidR="1ADA3E93" w:rsidRPr="003A61C8" w:rsidRDefault="3BD9F3ED" w:rsidP="00040C45">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sz w:val="20"/>
          <w:szCs w:val="20"/>
        </w:rPr>
      </w:pPr>
      <w:r w:rsidRPr="003A61C8">
        <w:rPr>
          <w:rFonts w:ascii="Times New Roman" w:eastAsia="Times New Roman" w:hAnsi="Times New Roman" w:cs="Times New Roman"/>
          <w:color w:val="FF0000"/>
          <w:sz w:val="20"/>
          <w:szCs w:val="20"/>
        </w:rPr>
        <w:t xml:space="preserve">nas contratações de obras e serviços de engenharia, sempre que a responsabilidade pelo licenciamento ambiental for da Administração, a manifestação prévia ou licença prévia, quando cabíveis, deverão ser obtidas antes da divulgação da contratação (art. 115, § 4º, da Lei nº 14.133, de 2021), aspecto a ser enfrentado pela Administração nos autos. </w:t>
      </w:r>
      <w:r w:rsidRPr="003A61C8">
        <w:rPr>
          <w:rFonts w:ascii="Times New Roman" w:eastAsia="Times New Roman" w:hAnsi="Times New Roman" w:cs="Times New Roman"/>
          <w:sz w:val="20"/>
          <w:szCs w:val="20"/>
        </w:rPr>
        <w:t xml:space="preserve">  </w:t>
      </w:r>
    </w:p>
    <w:p w14:paraId="30A79FCD" w14:textId="5E8A453C" w:rsidR="64C763B2" w:rsidRPr="0066121D" w:rsidRDefault="64C763B2" w:rsidP="64C763B2">
      <w:pPr>
        <w:spacing w:after="0" w:line="240" w:lineRule="auto"/>
        <w:ind w:left="1440"/>
        <w:jc w:val="both"/>
        <w:rPr>
          <w:rFonts w:ascii="Times New Roman" w:eastAsia="Times New Roman" w:hAnsi="Times New Roman" w:cs="Times New Roman"/>
          <w:color w:val="000000" w:themeColor="text1"/>
          <w:sz w:val="24"/>
          <w:szCs w:val="24"/>
          <w:highlight w:val="cyan"/>
        </w:rPr>
      </w:pPr>
    </w:p>
    <w:p w14:paraId="68600711" w14:textId="67737514" w:rsidR="00934FDC" w:rsidRPr="0066121D" w:rsidRDefault="51650439" w:rsidP="64C763B2">
      <w:pPr>
        <w:spacing w:after="0" w:line="240" w:lineRule="auto"/>
        <w:jc w:val="both"/>
        <w:rPr>
          <w:rFonts w:ascii="Times New Roman" w:eastAsia="Times New Roman" w:hAnsi="Times New Roman" w:cs="Times New Roman"/>
          <w:strike/>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Apenas para registro formal, destacamos que foram fixados preços unitários máximos para cada item do termo de referência (Art. 6º, XXIII, "i", art. 23, § 1º, I, da Lei nº 14.133</w:t>
      </w:r>
      <w:r w:rsidR="56C30764"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2021</w:t>
      </w:r>
      <w:r w:rsidR="00E614B2">
        <w:rPr>
          <w:rFonts w:ascii="Times New Roman" w:eastAsia="Times New Roman" w:hAnsi="Times New Roman" w:cs="Times New Roman"/>
          <w:color w:val="000000" w:themeColor="text1"/>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c/c art. 5º, I</w:t>
      </w:r>
      <w:r w:rsidR="003A61C8">
        <w:rPr>
          <w:rFonts w:ascii="Times New Roman" w:eastAsia="Times New Roman" w:hAnsi="Times New Roman" w:cs="Times New Roman"/>
          <w:color w:val="000000" w:themeColor="text1"/>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da IN SEGES/ME Nº 65, de 7 de julho de 2021, Súmula TCU nº 259, por analogia, e item 9.2.3. do Acórdão nº 7.021/2012- 2</w:t>
      </w:r>
      <w:r w:rsidR="00E614B2">
        <w:rPr>
          <w:rFonts w:ascii="Times New Roman" w:eastAsia="Times New Roman" w:hAnsi="Times New Roman" w:cs="Times New Roman"/>
          <w:color w:val="000000" w:themeColor="text1"/>
          <w:sz w:val="24"/>
          <w:szCs w:val="24"/>
          <w:highlight w:val="cyan"/>
        </w:rPr>
        <w:t>ª</w:t>
      </w:r>
      <w:r w:rsidRPr="0066121D">
        <w:rPr>
          <w:rFonts w:ascii="Times New Roman" w:eastAsia="Times New Roman" w:hAnsi="Times New Roman" w:cs="Times New Roman"/>
          <w:color w:val="000000" w:themeColor="text1"/>
          <w:sz w:val="24"/>
          <w:szCs w:val="24"/>
          <w:highlight w:val="cyan"/>
        </w:rPr>
        <w:t xml:space="preserve"> Câmara).</w:t>
      </w:r>
    </w:p>
    <w:p w14:paraId="0A7106BA" w14:textId="1864B8A2" w:rsidR="48E88F46" w:rsidRPr="003A61C8" w:rsidRDefault="1AD32999" w:rsidP="003A61C8">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3A61C8">
        <w:rPr>
          <w:rFonts w:ascii="Times New Roman" w:eastAsia="Times New Roman" w:hAnsi="Times New Roman" w:cs="Times New Roman"/>
          <w:b/>
          <w:bCs/>
          <w:color w:val="000000" w:themeColor="text1"/>
          <w:sz w:val="24"/>
          <w:szCs w:val="24"/>
          <w:highlight w:val="cyan"/>
          <w:u w:val="single"/>
        </w:rPr>
        <w:t>OU</w:t>
      </w:r>
      <w:r w:rsidRPr="003A61C8">
        <w:rPr>
          <w:rFonts w:ascii="Times New Roman" w:eastAsia="Times New Roman" w:hAnsi="Times New Roman" w:cs="Times New Roman"/>
          <w:b/>
          <w:bCs/>
          <w:color w:val="000000" w:themeColor="text1"/>
          <w:sz w:val="24"/>
          <w:szCs w:val="24"/>
          <w:u w:val="single"/>
        </w:rPr>
        <w:t xml:space="preserve"> </w:t>
      </w:r>
    </w:p>
    <w:p w14:paraId="1D5C316D" w14:textId="0215BAA6" w:rsidR="002C47D5" w:rsidRDefault="1AD32999" w:rsidP="00614089">
      <w:pPr>
        <w:spacing w:after="0" w:line="240" w:lineRule="auto"/>
        <w:ind w:firstLine="708"/>
        <w:jc w:val="both"/>
        <w:rPr>
          <w:rFonts w:ascii="Times New Roman" w:eastAsia="Times New Roman" w:hAnsi="Times New Roman" w:cs="Times New Roman"/>
          <w:b/>
          <w:bCs/>
          <w:color w:val="000000" w:themeColor="text1"/>
          <w:sz w:val="24"/>
          <w:szCs w:val="24"/>
        </w:rPr>
      </w:pPr>
      <w:r w:rsidRPr="5D8365CD">
        <w:rPr>
          <w:rFonts w:ascii="Times New Roman" w:eastAsia="Times New Roman" w:hAnsi="Times New Roman" w:cs="Times New Roman"/>
          <w:color w:val="000000" w:themeColor="text1"/>
          <w:sz w:val="24"/>
          <w:szCs w:val="24"/>
          <w:highlight w:val="cyan"/>
        </w:rPr>
        <w:t>Destaca-se que não foram fixados preços unitários máximos para cada item do termo de referência (art. 6º, XXIII, "i", art. 23, § 1º, I, da Lei nº 14.133, de 2021 c/c art. 5º, I</w:t>
      </w:r>
      <w:r w:rsidR="003A61C8" w:rsidRPr="5D8365CD">
        <w:rPr>
          <w:rFonts w:ascii="Times New Roman" w:eastAsia="Times New Roman" w:hAnsi="Times New Roman" w:cs="Times New Roman"/>
          <w:color w:val="000000" w:themeColor="text1"/>
          <w:sz w:val="24"/>
          <w:szCs w:val="24"/>
          <w:highlight w:val="cyan"/>
        </w:rPr>
        <w:t>,</w:t>
      </w:r>
      <w:r w:rsidRPr="5D8365CD">
        <w:rPr>
          <w:rFonts w:ascii="Times New Roman" w:eastAsia="Times New Roman" w:hAnsi="Times New Roman" w:cs="Times New Roman"/>
          <w:color w:val="000000" w:themeColor="text1"/>
          <w:sz w:val="24"/>
          <w:szCs w:val="24"/>
          <w:highlight w:val="cyan"/>
        </w:rPr>
        <w:t xml:space="preserve"> da IN SEGES/ME Nº 65, de 7 de julho de 2021, Súmula TCU nº 259, por analogia, e item 9.2.3. do Acórdão nº 7.021/2012- 2</w:t>
      </w:r>
      <w:r w:rsidR="003A61C8" w:rsidRPr="5D8365CD">
        <w:rPr>
          <w:rFonts w:ascii="Times New Roman" w:eastAsia="Times New Roman" w:hAnsi="Times New Roman" w:cs="Times New Roman"/>
          <w:color w:val="000000" w:themeColor="text1"/>
          <w:sz w:val="24"/>
          <w:szCs w:val="24"/>
          <w:highlight w:val="cyan"/>
        </w:rPr>
        <w:t>ª</w:t>
      </w:r>
      <w:r w:rsidRPr="5D8365CD">
        <w:rPr>
          <w:rFonts w:ascii="Times New Roman" w:eastAsia="Times New Roman" w:hAnsi="Times New Roman" w:cs="Times New Roman"/>
          <w:color w:val="000000" w:themeColor="text1"/>
          <w:sz w:val="24"/>
          <w:szCs w:val="24"/>
          <w:highlight w:val="cyan"/>
        </w:rPr>
        <w:t xml:space="preserve"> Câmara), </w:t>
      </w:r>
      <w:r w:rsidRPr="5D8365CD">
        <w:rPr>
          <w:rFonts w:ascii="Times New Roman" w:eastAsia="Times New Roman" w:hAnsi="Times New Roman" w:cs="Times New Roman"/>
          <w:b/>
          <w:bCs/>
          <w:color w:val="000000" w:themeColor="text1"/>
          <w:sz w:val="24"/>
          <w:szCs w:val="24"/>
          <w:highlight w:val="cyan"/>
        </w:rPr>
        <w:t>o que deve ser providenciado.</w:t>
      </w:r>
    </w:p>
    <w:p w14:paraId="7452BC9A" w14:textId="77777777" w:rsidR="002C47D5" w:rsidRDefault="002C47D5" w:rsidP="64C763B2">
      <w:pPr>
        <w:spacing w:after="0" w:line="240" w:lineRule="auto"/>
        <w:rPr>
          <w:rFonts w:ascii="Times New Roman" w:eastAsia="Times New Roman" w:hAnsi="Times New Roman" w:cs="Times New Roman"/>
          <w:b/>
          <w:bCs/>
          <w:color w:val="000000" w:themeColor="text1"/>
          <w:sz w:val="24"/>
          <w:szCs w:val="24"/>
        </w:rPr>
      </w:pPr>
    </w:p>
    <w:p w14:paraId="00D026A4" w14:textId="77777777" w:rsidR="00CE1024" w:rsidRDefault="00CE1024">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2AE07091" w14:textId="16A631C6" w:rsidR="00934FDC" w:rsidRPr="0066121D" w:rsidRDefault="738490E2"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lastRenderedPageBreak/>
        <w:t>Necessidade da contratação e vedações às especificações restritivas</w:t>
      </w:r>
      <w:r w:rsidRPr="0066121D">
        <w:rPr>
          <w:rFonts w:ascii="Times New Roman" w:eastAsia="Times New Roman" w:hAnsi="Times New Roman" w:cs="Times New Roman"/>
          <w:color w:val="000000" w:themeColor="text1"/>
          <w:sz w:val="24"/>
          <w:szCs w:val="24"/>
        </w:rPr>
        <w:t xml:space="preserve"> </w:t>
      </w:r>
    </w:p>
    <w:p w14:paraId="226CE77C" w14:textId="15DE0AC7" w:rsidR="590F6F7A" w:rsidRPr="0066121D" w:rsidRDefault="590F6F7A" w:rsidP="64C763B2">
      <w:pPr>
        <w:spacing w:after="0" w:line="240" w:lineRule="auto"/>
        <w:jc w:val="both"/>
        <w:rPr>
          <w:rFonts w:ascii="Times New Roman" w:eastAsia="Times New Roman" w:hAnsi="Times New Roman" w:cs="Times New Roman"/>
          <w:color w:val="000000" w:themeColor="text1"/>
          <w:sz w:val="24"/>
          <w:szCs w:val="24"/>
        </w:rPr>
      </w:pPr>
    </w:p>
    <w:p w14:paraId="648F6754" w14:textId="00985AE1" w:rsidR="68048437" w:rsidRPr="0066121D" w:rsidRDefault="5A55A61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A necessidade da contratação foi justificada, tendo sido estimados os quantitativos do objeto a partir de método amparado por documentos juntados aos autos </w:t>
      </w:r>
      <w:r w:rsidRPr="0066121D">
        <w:rPr>
          <w:rFonts w:ascii="Times New Roman" w:eastAsia="Times New Roman" w:hAnsi="Times New Roman" w:cs="Times New Roman"/>
          <w:color w:val="FF0000"/>
          <w:sz w:val="24"/>
          <w:szCs w:val="24"/>
          <w:highlight w:val="cyan"/>
        </w:rPr>
        <w:t>(fls. XXX/doc. SEI XXX</w:t>
      </w:r>
      <w:r w:rsidRPr="0066121D">
        <w:rPr>
          <w:rFonts w:ascii="Times New Roman" w:eastAsia="Times New Roman" w:hAnsi="Times New Roman" w:cs="Times New Roman"/>
          <w:color w:val="000000" w:themeColor="text1"/>
          <w:sz w:val="24"/>
          <w:szCs w:val="24"/>
          <w:highlight w:val="cyan"/>
        </w:rPr>
        <w:t>).</w:t>
      </w:r>
    </w:p>
    <w:p w14:paraId="1F7FD7B4" w14:textId="4927E530" w:rsidR="68048437" w:rsidRPr="0066121D" w:rsidRDefault="5A55A61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 </w:t>
      </w:r>
    </w:p>
    <w:p w14:paraId="391BA4DD" w14:textId="1FDBAE05" w:rsidR="68048437" w:rsidRPr="0066121D" w:rsidRDefault="5A55A617"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Como se sabe, a justificativa da necessidade da contratação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61C69CB8" w14:textId="392A504A" w:rsidR="68048437" w:rsidRPr="00E614B2" w:rsidRDefault="5A55A617" w:rsidP="00E614B2">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614B2">
        <w:rPr>
          <w:rFonts w:ascii="Times New Roman" w:eastAsia="Times New Roman" w:hAnsi="Times New Roman" w:cs="Times New Roman"/>
          <w:b/>
          <w:bCs/>
          <w:color w:val="000000" w:themeColor="text1"/>
          <w:sz w:val="24"/>
          <w:szCs w:val="24"/>
          <w:highlight w:val="cyan"/>
          <w:u w:val="single"/>
        </w:rPr>
        <w:t>OU</w:t>
      </w:r>
    </w:p>
    <w:p w14:paraId="400DD694" w14:textId="740BC481" w:rsidR="68048437" w:rsidRPr="0066121D" w:rsidRDefault="5A55A617" w:rsidP="00E614B2">
      <w:pPr>
        <w:spacing w:after="0" w:line="240" w:lineRule="auto"/>
        <w:ind w:firstLine="708"/>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No caso, não consta a justificativa da contratação nos autos, sendo indispensável que a Administração a providencie em conformidade com as diretrizes da IN SEGES nº 58, de 2022. Recomenda-se, ainda, que o esclarecimento técnico contenha menção expressa aos documentos do processo que foram utilizados para o cálculo da estimativa dos quantitativos a serem contratados.</w:t>
      </w:r>
    </w:p>
    <w:p w14:paraId="2CA4D6DF" w14:textId="29AF39AA" w:rsidR="00934FDC" w:rsidRPr="00E614B2" w:rsidRDefault="51650439" w:rsidP="00E614B2">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614B2">
        <w:rPr>
          <w:rFonts w:ascii="Times New Roman" w:eastAsia="Times New Roman" w:hAnsi="Times New Roman" w:cs="Times New Roman"/>
          <w:b/>
          <w:bCs/>
          <w:color w:val="000000" w:themeColor="text1"/>
          <w:sz w:val="24"/>
          <w:szCs w:val="24"/>
          <w:highlight w:val="cyan"/>
          <w:u w:val="single"/>
        </w:rPr>
        <w:t>OU</w:t>
      </w:r>
    </w:p>
    <w:p w14:paraId="35397079" w14:textId="4AD80944" w:rsidR="00934FDC" w:rsidRPr="0066121D" w:rsidRDefault="748C6F37" w:rsidP="5D8365CD">
      <w:pPr>
        <w:spacing w:after="0" w:line="240" w:lineRule="auto"/>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caso, a justificativa da necessidade da contratação lançada no processo merece ser aperfeiçoada, sendo certo que a Administração deverá juntar manifestação técnica que esclareça a metodologia utilizada para estimativa dos quantitativos a serem contratados, com a respectiva memória de cálculo e documentos (ex.: histórico de outras contratações, relatórios, dados sobre a demanda interna, gráficos, séries históricas), pois as informações trazidas aos autos estão pouco detalhadas. Recomenda-se, ainda, que o esclarecimento técnico contenha menção expressa aos documentos do processo que foram utilizados para o cálculo da estimativa de quantidades.</w:t>
      </w:r>
    </w:p>
    <w:p w14:paraId="1E8C5EB8" w14:textId="14BDA3E7"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0E46778B" w14:textId="2EB138B9" w:rsidR="11C7A423" w:rsidRPr="0066121D" w:rsidRDefault="440A3F63"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Observe-se, ainda, que são vedadas especificações do objeto que, por excessivas, irrelevantes ou desnecessárias, limitem ou frustrem a competição</w:t>
      </w:r>
      <w:r w:rsidR="01C2F4E2" w:rsidRPr="0066121D">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direcionem ou favoreçam à contratação de prestador específico (art. 9º, da Lei nº 14.133, de 2021). Portanto, o gestor deverá </w:t>
      </w:r>
      <w:r w:rsidRPr="0066121D">
        <w:rPr>
          <w:rFonts w:ascii="Times New Roman" w:eastAsia="Times New Roman" w:hAnsi="Times New Roman" w:cs="Times New Roman"/>
          <w:color w:val="000000" w:themeColor="text1"/>
          <w:sz w:val="24"/>
          <w:szCs w:val="24"/>
          <w:u w:val="single"/>
        </w:rPr>
        <w:t>tomar as devidas cautelas para assegurar que as especificações correspondam àquelas essenciais à contratação, sem as quais não poderão ser atendidas as necessidades da Administração.</w:t>
      </w:r>
      <w:r w:rsidRPr="0066121D">
        <w:rPr>
          <w:rFonts w:ascii="Times New Roman" w:eastAsia="Times New Roman" w:hAnsi="Times New Roman" w:cs="Times New Roman"/>
          <w:color w:val="000000" w:themeColor="text1"/>
          <w:sz w:val="24"/>
          <w:szCs w:val="24"/>
        </w:rPr>
        <w:t xml:space="preserve"> </w:t>
      </w:r>
      <w:r w:rsidRPr="0066121D">
        <w:rPr>
          <w:rFonts w:ascii="Times New Roman" w:eastAsia="Times New Roman" w:hAnsi="Times New Roman" w:cs="Times New Roman"/>
          <w:sz w:val="24"/>
          <w:szCs w:val="24"/>
        </w:rPr>
        <w:t xml:space="preserve"> </w:t>
      </w:r>
    </w:p>
    <w:p w14:paraId="71B12D79" w14:textId="3BD0153E"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C3649BF" w14:textId="44FFA2D9" w:rsidR="6BF3B8C4" w:rsidRPr="0066121D" w:rsidRDefault="0DA6F96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de serviços, registre-se que o gestor deverá estar atento às diretrizes gerais do subitem 1.1 do anexo V da IN SEGES/MP nº 05</w:t>
      </w:r>
      <w:r w:rsidR="76620DB7"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2017, quais sejam:</w:t>
      </w:r>
    </w:p>
    <w:p w14:paraId="55B2EF48" w14:textId="50A4CE70" w:rsidR="5DEB1D79" w:rsidRPr="00FE6DEF" w:rsidRDefault="5DEB1D79" w:rsidP="64C763B2">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DA6F96E" w:rsidRPr="00FE6DEF">
        <w:rPr>
          <w:rFonts w:ascii="Times New Roman" w:eastAsia="Times New Roman" w:hAnsi="Times New Roman" w:cs="Times New Roman"/>
          <w:color w:val="FF0000"/>
          <w:sz w:val="20"/>
          <w:szCs w:val="20"/>
        </w:rPr>
        <w:t>a) prever especificações que representem a real demanda de desempenho do órgão ou entidade, não sendo admissíveis especificações que deixem de agregar valor ao resultado da contratação ou sejam superiores às necessidades do órgão ou entidade;</w:t>
      </w:r>
    </w:p>
    <w:p w14:paraId="625B27C7" w14:textId="77777777" w:rsidR="00FE6DEF" w:rsidRDefault="0DA6F96E" w:rsidP="00FE6DEF">
      <w:pPr>
        <w:spacing w:after="0" w:line="240" w:lineRule="auto"/>
        <w:ind w:left="2268"/>
        <w:jc w:val="both"/>
        <w:rPr>
          <w:rFonts w:ascii="Times New Roman" w:eastAsia="Times New Roman" w:hAnsi="Times New Roman" w:cs="Times New Roman"/>
          <w:color w:val="FF0000"/>
          <w:sz w:val="20"/>
          <w:szCs w:val="20"/>
        </w:rPr>
      </w:pPr>
      <w:r w:rsidRPr="00FE6DEF">
        <w:rPr>
          <w:rFonts w:ascii="Times New Roman" w:eastAsia="Times New Roman" w:hAnsi="Times New Roman" w:cs="Times New Roman"/>
          <w:color w:val="FF0000"/>
          <w:sz w:val="20"/>
          <w:szCs w:val="20"/>
        </w:rPr>
        <w:t>b) não fixar especificações que, por excessivas, irrelevantes ou desnecessárias, limitam, injustificadamente, a competitividade ou direcionam ou favoreçam a contratação de prestador específico</w:t>
      </w:r>
      <w:r w:rsidR="00FE6DEF">
        <w:rPr>
          <w:rFonts w:ascii="Times New Roman" w:eastAsia="Times New Roman" w:hAnsi="Times New Roman" w:cs="Times New Roman"/>
          <w:color w:val="FF0000"/>
          <w:sz w:val="20"/>
          <w:szCs w:val="20"/>
        </w:rPr>
        <w:t>;</w:t>
      </w:r>
    </w:p>
    <w:p w14:paraId="1789EA7B" w14:textId="645128F7" w:rsidR="527EE590" w:rsidRPr="00FE6DEF" w:rsidRDefault="00FE6DEF" w:rsidP="00FE6DEF">
      <w:pPr>
        <w:spacing w:after="0" w:line="240" w:lineRule="auto"/>
        <w:ind w:left="2268"/>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c) n</w:t>
      </w:r>
      <w:r w:rsidR="0DA6F96E" w:rsidRPr="00FE6DEF">
        <w:rPr>
          <w:rFonts w:ascii="Times New Roman" w:eastAsia="Times New Roman" w:hAnsi="Times New Roman" w:cs="Times New Roman"/>
          <w:color w:val="FF0000"/>
          <w:sz w:val="20"/>
          <w:szCs w:val="20"/>
        </w:rPr>
        <w:t>ão adotar especificações que estejam defasadas tecnológica e/ou metodologicamente ou com preços superiores aos de serviços com melhor desempenho.</w:t>
      </w:r>
    </w:p>
    <w:p w14:paraId="730C9DC2" w14:textId="77777777" w:rsidR="00BC26F8" w:rsidRDefault="00BC26F8" w:rsidP="64C763B2">
      <w:pPr>
        <w:spacing w:after="0" w:line="240" w:lineRule="auto"/>
        <w:jc w:val="both"/>
        <w:rPr>
          <w:rFonts w:ascii="Times New Roman" w:eastAsia="Times New Roman" w:hAnsi="Times New Roman" w:cs="Times New Roman"/>
          <w:color w:val="FF0000"/>
          <w:sz w:val="24"/>
          <w:szCs w:val="24"/>
        </w:rPr>
      </w:pPr>
    </w:p>
    <w:p w14:paraId="2D79B7EF" w14:textId="00C079C8" w:rsidR="1F187A78" w:rsidRPr="0066121D" w:rsidRDefault="3F7EFBF9" w:rsidP="64C763B2">
      <w:pPr>
        <w:spacing w:after="0" w:line="240" w:lineRule="auto"/>
        <w:jc w:val="both"/>
        <w:rPr>
          <w:rFonts w:ascii="Times New Roman" w:eastAsia="Times New Roman" w:hAnsi="Times New Roman" w:cs="Times New Roman"/>
          <w:color w:val="000000" w:themeColor="text1"/>
          <w:sz w:val="24"/>
          <w:szCs w:val="24"/>
        </w:rPr>
      </w:pPr>
      <w:r w:rsidRPr="00E22F69">
        <w:rPr>
          <w:rFonts w:ascii="Times New Roman" w:eastAsia="Times New Roman" w:hAnsi="Times New Roman" w:cs="Times New Roman"/>
          <w:color w:val="000000" w:themeColor="text1"/>
          <w:sz w:val="24"/>
          <w:szCs w:val="24"/>
          <w:u w:val="single"/>
        </w:rPr>
        <w:t>Recomenda-se</w:t>
      </w:r>
      <w:r w:rsidRPr="0066121D">
        <w:rPr>
          <w:rFonts w:ascii="Times New Roman" w:eastAsia="Times New Roman" w:hAnsi="Times New Roman" w:cs="Times New Roman"/>
          <w:color w:val="000000" w:themeColor="text1"/>
          <w:sz w:val="24"/>
          <w:szCs w:val="24"/>
        </w:rPr>
        <w:t xml:space="preserve"> que a Administração se certifique de que as especificações técnicas previstas no Termo de Referência atendem às premissas acima citadas.</w:t>
      </w:r>
    </w:p>
    <w:p w14:paraId="7CD986BA" w14:textId="77777777" w:rsidR="002C47D5" w:rsidRDefault="002C47D5" w:rsidP="64C763B2">
      <w:pPr>
        <w:spacing w:after="0" w:line="240" w:lineRule="auto"/>
        <w:jc w:val="both"/>
        <w:rPr>
          <w:rFonts w:ascii="Times New Roman" w:eastAsia="Times New Roman" w:hAnsi="Times New Roman" w:cs="Times New Roman"/>
          <w:color w:val="000000" w:themeColor="text1"/>
          <w:sz w:val="24"/>
          <w:szCs w:val="24"/>
        </w:rPr>
      </w:pPr>
    </w:p>
    <w:p w14:paraId="2BECD140" w14:textId="77777777" w:rsidR="00CE1024" w:rsidRDefault="00CE102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3C0E468F" w14:textId="4C67246A" w:rsidR="00934FDC" w:rsidRPr="0066121D" w:rsidRDefault="1CA4FFF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lastRenderedPageBreak/>
        <w:t xml:space="preserve">Ainda sobre esse tema, vale destacar que, caso as especificações somente possam ser atendidas por uma quantidade de fornecedores considerada restrita, deverá ser avaliada a pertinência de retirar ou flexibilizar requisitos, de modo que se possa manter apenas aqueles considerados indispensáveis (art. 9º, I, §2º, da IN SEGES </w:t>
      </w:r>
      <w:r w:rsidR="25626905" w:rsidRPr="0066121D">
        <w:rPr>
          <w:rFonts w:ascii="Times New Roman" w:eastAsia="Times New Roman" w:hAnsi="Times New Roman" w:cs="Times New Roman"/>
          <w:color w:val="000000" w:themeColor="text1"/>
          <w:sz w:val="24"/>
          <w:szCs w:val="24"/>
        </w:rPr>
        <w:t>n</w:t>
      </w:r>
      <w:r w:rsidRPr="0066121D">
        <w:rPr>
          <w:rFonts w:ascii="Times New Roman" w:eastAsia="Times New Roman" w:hAnsi="Times New Roman" w:cs="Times New Roman"/>
          <w:color w:val="000000" w:themeColor="text1"/>
          <w:sz w:val="24"/>
          <w:szCs w:val="24"/>
        </w:rPr>
        <w:t>º 58</w:t>
      </w:r>
      <w:r w:rsidR="4DAD7967"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2022).</w:t>
      </w:r>
    </w:p>
    <w:p w14:paraId="68093F5A" w14:textId="7A9CEEF5"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590F6F7A" w:rsidRPr="0066121D" w14:paraId="3F16342F" w14:textId="77777777" w:rsidTr="64C763B2">
        <w:trPr>
          <w:trHeight w:val="300"/>
        </w:trPr>
        <w:tc>
          <w:tcPr>
            <w:tcW w:w="9015" w:type="dxa"/>
          </w:tcPr>
          <w:p w14:paraId="7AC5ED28" w14:textId="165AF6B5" w:rsidR="33BE1B59" w:rsidRPr="0066121D" w:rsidRDefault="3A1AD9FA"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Se houver indícios de que há especificação restritiva, acrescentar o tópico abaixo</w:t>
            </w:r>
          </w:p>
        </w:tc>
      </w:tr>
    </w:tbl>
    <w:p w14:paraId="14B72E08" w14:textId="277FAA0E" w:rsidR="00934FDC" w:rsidRPr="0066121D" w:rsidRDefault="738490E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056C799" w14:textId="2D33F8D9" w:rsidR="00934FDC" w:rsidRPr="0066121D" w:rsidRDefault="5738101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Diante dessa exigência legal, percebe-se que, aparentemente, houve a inclusão de especificação potencialmente restritiva à</w:t>
      </w:r>
      <w:r w:rsidR="061CD88E" w:rsidRPr="0066121D">
        <w:rPr>
          <w:rFonts w:ascii="Times New Roman" w:eastAsia="Times New Roman" w:hAnsi="Times New Roman" w:cs="Times New Roman"/>
          <w:color w:val="FF0000"/>
          <w:sz w:val="24"/>
          <w:szCs w:val="24"/>
        </w:rPr>
        <w:t xml:space="preserve"> seleção do fornecedor/executante dos serviços</w:t>
      </w:r>
      <w:r w:rsidRPr="0066121D">
        <w:rPr>
          <w:rFonts w:ascii="Times New Roman" w:eastAsia="Times New Roman" w:hAnsi="Times New Roman" w:cs="Times New Roman"/>
          <w:color w:val="FF0000"/>
          <w:sz w:val="24"/>
          <w:szCs w:val="24"/>
        </w:rPr>
        <w:t>, uma vez que foi exigido XXX. Desse modo, deve haver justificativa da razão pela qual se torna necessária a aquisição de bens com essas características, sob pena de inviabilizar o regular prosseguimento d</w:t>
      </w:r>
      <w:r w:rsidR="2F53FD9B" w:rsidRPr="0066121D">
        <w:rPr>
          <w:rFonts w:ascii="Times New Roman" w:eastAsia="Times New Roman" w:hAnsi="Times New Roman" w:cs="Times New Roman"/>
          <w:color w:val="FF0000"/>
          <w:sz w:val="24"/>
          <w:szCs w:val="24"/>
        </w:rPr>
        <w:t>a contratação</w:t>
      </w:r>
      <w:r w:rsidRPr="0066121D">
        <w:rPr>
          <w:rFonts w:ascii="Times New Roman" w:eastAsia="Times New Roman" w:hAnsi="Times New Roman" w:cs="Times New Roman"/>
          <w:color w:val="FF0000"/>
          <w:sz w:val="24"/>
          <w:szCs w:val="24"/>
        </w:rPr>
        <w:t xml:space="preserve">. </w:t>
      </w:r>
      <w:r w:rsidRPr="0066121D">
        <w:rPr>
          <w:rFonts w:ascii="Times New Roman" w:eastAsia="Times New Roman" w:hAnsi="Times New Roman" w:cs="Times New Roman"/>
          <w:color w:val="000000" w:themeColor="text1"/>
          <w:sz w:val="24"/>
          <w:szCs w:val="24"/>
        </w:rPr>
        <w:t xml:space="preserve"> </w:t>
      </w:r>
    </w:p>
    <w:p w14:paraId="7081EBD4" w14:textId="1E87F49A"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9128" w:type="dxa"/>
        <w:tblLayout w:type="fixed"/>
        <w:tblLook w:val="06A0" w:firstRow="1" w:lastRow="0" w:firstColumn="1" w:lastColumn="0" w:noHBand="1" w:noVBand="1"/>
      </w:tblPr>
      <w:tblGrid>
        <w:gridCol w:w="9128"/>
      </w:tblGrid>
      <w:tr w:rsidR="257865AE" w:rsidRPr="0066121D" w14:paraId="6F5B5E32" w14:textId="77777777" w:rsidTr="64C763B2">
        <w:trPr>
          <w:trHeight w:val="300"/>
        </w:trPr>
        <w:tc>
          <w:tcPr>
            <w:tcW w:w="9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5F0B3750" w14:textId="1F0AC46B"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O Procurador deverá avaliar a incidência, no caso concreto, da previsão constante dos artigos 31 e 42 da Instrução Normativa SEGES/MP n. 05, de 2017, que estabelecem requisitos para a contratação de empresa para desempenhar a atividade de fiscalização contratual.</w:t>
            </w:r>
          </w:p>
        </w:tc>
      </w:tr>
    </w:tbl>
    <w:p w14:paraId="51CCF490" w14:textId="74A2BAE9" w:rsidR="20BE192E" w:rsidRPr="0066121D" w:rsidRDefault="20BE192E" w:rsidP="64C763B2">
      <w:pPr>
        <w:spacing w:after="0" w:line="240" w:lineRule="auto"/>
        <w:rPr>
          <w:rFonts w:ascii="Times New Roman" w:eastAsia="Times New Roman" w:hAnsi="Times New Roman" w:cs="Times New Roman"/>
          <w:sz w:val="24"/>
          <w:szCs w:val="24"/>
        </w:rPr>
      </w:pPr>
    </w:p>
    <w:tbl>
      <w:tblPr>
        <w:tblStyle w:val="Tabelacomgrade"/>
        <w:tblW w:w="9128" w:type="dxa"/>
        <w:tblLayout w:type="fixed"/>
        <w:tblLook w:val="06A0" w:firstRow="1" w:lastRow="0" w:firstColumn="1" w:lastColumn="0" w:noHBand="1" w:noVBand="1"/>
      </w:tblPr>
      <w:tblGrid>
        <w:gridCol w:w="9128"/>
      </w:tblGrid>
      <w:tr w:rsidR="257865AE" w:rsidRPr="0066121D" w14:paraId="6417CA36" w14:textId="77777777" w:rsidTr="64C763B2">
        <w:trPr>
          <w:trHeight w:val="300"/>
        </w:trPr>
        <w:tc>
          <w:tcPr>
            <w:tcW w:w="9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tcPr>
          <w:p w14:paraId="1E95F6C9" w14:textId="5E5CA2BE"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w:t>
            </w:r>
            <w:r w:rsidRPr="0066121D">
              <w:rPr>
                <w:rFonts w:ascii="Times New Roman" w:eastAsia="Times New Roman" w:hAnsi="Times New Roman" w:cs="Times New Roman"/>
                <w:color w:val="000000" w:themeColor="text1"/>
                <w:sz w:val="24"/>
                <w:szCs w:val="24"/>
                <w:highlight w:val="yellow"/>
              </w:rPr>
              <w:t xml:space="preserve"> No caso de contratação de serviços, acrescentar o tópico abaixo:</w:t>
            </w:r>
          </w:p>
        </w:tc>
      </w:tr>
    </w:tbl>
    <w:p w14:paraId="3DE99D98" w14:textId="2472F017" w:rsidR="257865AE" w:rsidRPr="0066121D" w:rsidRDefault="257865AE" w:rsidP="64C763B2">
      <w:pPr>
        <w:spacing w:after="0" w:line="240" w:lineRule="auto"/>
        <w:rPr>
          <w:rFonts w:ascii="Times New Roman" w:eastAsia="Times New Roman" w:hAnsi="Times New Roman" w:cs="Times New Roman"/>
          <w:sz w:val="24"/>
          <w:szCs w:val="24"/>
        </w:rPr>
      </w:pPr>
    </w:p>
    <w:p w14:paraId="348DAF70" w14:textId="284F70A2" w:rsidR="527EE590" w:rsidRDefault="00C14303" w:rsidP="64C763B2">
      <w:pPr>
        <w:spacing w:after="0" w:line="240" w:lineRule="auto"/>
        <w:rPr>
          <w:rFonts w:ascii="Times New Roman" w:eastAsia="Times New Roman" w:hAnsi="Times New Roman" w:cs="Times New Roman"/>
          <w:b/>
          <w:bCs/>
          <w:color w:val="FF0000"/>
          <w:sz w:val="24"/>
          <w:szCs w:val="24"/>
        </w:rPr>
      </w:pPr>
      <w:r w:rsidRPr="00C14303">
        <w:rPr>
          <w:rFonts w:ascii="Times New Roman" w:eastAsia="Times New Roman" w:hAnsi="Times New Roman" w:cs="Times New Roman"/>
          <w:b/>
          <w:bCs/>
          <w:color w:val="FF0000"/>
          <w:sz w:val="24"/>
          <w:szCs w:val="24"/>
        </w:rPr>
        <w:t>Da viabilidade jurídica da terceirização</w:t>
      </w:r>
    </w:p>
    <w:p w14:paraId="252E626F" w14:textId="4A7EA764" w:rsidR="64C763B2" w:rsidRDefault="64C763B2" w:rsidP="64C763B2">
      <w:pPr>
        <w:spacing w:after="0" w:line="240" w:lineRule="auto"/>
        <w:jc w:val="both"/>
        <w:rPr>
          <w:rFonts w:ascii="Times New Roman" w:eastAsia="Times New Roman" w:hAnsi="Times New Roman" w:cs="Times New Roman"/>
          <w:color w:val="FF0000"/>
          <w:sz w:val="24"/>
          <w:szCs w:val="24"/>
        </w:rPr>
      </w:pPr>
    </w:p>
    <w:p w14:paraId="77E89518" w14:textId="6D3EE7DA" w:rsidR="00C14303" w:rsidRPr="00C14303" w:rsidRDefault="00C14303" w:rsidP="00C14303">
      <w:pPr>
        <w:spacing w:after="0" w:line="240" w:lineRule="auto"/>
        <w:jc w:val="both"/>
        <w:rPr>
          <w:rFonts w:ascii="Times New Roman" w:eastAsia="Times New Roman" w:hAnsi="Times New Roman" w:cs="Times New Roman"/>
          <w:color w:val="FF0000"/>
          <w:sz w:val="24"/>
          <w:szCs w:val="24"/>
        </w:rPr>
      </w:pPr>
      <w:r w:rsidRPr="00C14303">
        <w:rPr>
          <w:rFonts w:ascii="Times New Roman" w:eastAsia="Times New Roman" w:hAnsi="Times New Roman" w:cs="Times New Roman"/>
          <w:color w:val="FF0000"/>
          <w:sz w:val="24"/>
          <w:szCs w:val="24"/>
        </w:rPr>
        <w:t>O art. 48 da Lei n. 14.133, de 2021, permite a terceirização de atividades acessórias, instrumentais ou complementares, observadas as vedações a seguir:</w:t>
      </w:r>
    </w:p>
    <w:p w14:paraId="215178E1" w14:textId="4D970BC1" w:rsidR="00C14303" w:rsidRPr="00C14303" w:rsidRDefault="00C14303" w:rsidP="00C14303">
      <w:pPr>
        <w:spacing w:after="0" w:line="240" w:lineRule="auto"/>
        <w:jc w:val="both"/>
        <w:rPr>
          <w:rFonts w:ascii="Times New Roman" w:eastAsia="Times New Roman" w:hAnsi="Times New Roman" w:cs="Times New Roman"/>
          <w:color w:val="FF0000"/>
          <w:sz w:val="24"/>
          <w:szCs w:val="24"/>
        </w:rPr>
      </w:pPr>
    </w:p>
    <w:p w14:paraId="36AAD7E9" w14:textId="5329D598" w:rsidR="00C14303" w:rsidRPr="00C14303" w:rsidRDefault="00C14303" w:rsidP="00C14303">
      <w:pPr>
        <w:spacing w:after="0" w:line="240" w:lineRule="auto"/>
        <w:jc w:val="both"/>
        <w:rPr>
          <w:rFonts w:ascii="Times New Roman" w:eastAsia="Times New Roman" w:hAnsi="Times New Roman" w:cs="Times New Roman"/>
          <w:color w:val="FF0000"/>
          <w:sz w:val="24"/>
          <w:szCs w:val="24"/>
        </w:rPr>
      </w:pPr>
    </w:p>
    <w:p w14:paraId="1F7F06CB"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C14303">
        <w:rPr>
          <w:rFonts w:ascii="Times New Roman" w:eastAsia="Times New Roman" w:hAnsi="Times New Roman" w:cs="Times New Roman"/>
          <w:iCs/>
          <w:color w:val="FF0000"/>
          <w:sz w:val="20"/>
          <w:szCs w:val="20"/>
          <w:lang w:eastAsia="pt-BR"/>
        </w:rPr>
        <w:t>Art. 48. </w:t>
      </w:r>
      <w:r w:rsidRPr="00C14303">
        <w:rPr>
          <w:rFonts w:ascii="Times New Roman" w:eastAsia="Times New Roman" w:hAnsi="Times New Roman" w:cs="Times New Roman"/>
          <w:b/>
          <w:bCs/>
          <w:iCs/>
          <w:color w:val="FF0000"/>
          <w:sz w:val="20"/>
          <w:szCs w:val="20"/>
          <w:u w:val="single"/>
          <w:lang w:eastAsia="pt-BR"/>
        </w:rPr>
        <w:t>Poderão ser objeto de execução por terceiros</w:t>
      </w:r>
      <w:r w:rsidRPr="00C14303">
        <w:rPr>
          <w:rFonts w:ascii="Times New Roman" w:eastAsia="Times New Roman" w:hAnsi="Times New Roman" w:cs="Times New Roman"/>
          <w:b/>
          <w:bCs/>
          <w:iCs/>
          <w:color w:val="FF0000"/>
          <w:sz w:val="20"/>
          <w:szCs w:val="20"/>
          <w:lang w:eastAsia="pt-BR"/>
        </w:rPr>
        <w:t> as atividades materiais acessórias, instrumentais ou complementares aos assuntos que constituam área de competência legal do órgão ou da entidade,</w:t>
      </w:r>
      <w:r w:rsidRPr="00C14303">
        <w:rPr>
          <w:rFonts w:ascii="Times New Roman" w:eastAsia="Times New Roman" w:hAnsi="Times New Roman" w:cs="Times New Roman"/>
          <w:iCs/>
          <w:color w:val="FF0000"/>
          <w:sz w:val="20"/>
          <w:szCs w:val="20"/>
          <w:lang w:eastAsia="pt-BR"/>
        </w:rPr>
        <w:t> </w:t>
      </w:r>
      <w:r w:rsidRPr="00C14303">
        <w:rPr>
          <w:rFonts w:ascii="Times New Roman" w:eastAsia="Times New Roman" w:hAnsi="Times New Roman" w:cs="Times New Roman"/>
          <w:b/>
          <w:bCs/>
          <w:iCs/>
          <w:color w:val="FF0000"/>
          <w:sz w:val="20"/>
          <w:szCs w:val="20"/>
          <w:u w:val="single"/>
          <w:lang w:eastAsia="pt-BR"/>
        </w:rPr>
        <w:t>vedado</w:t>
      </w:r>
      <w:r w:rsidRPr="00C14303">
        <w:rPr>
          <w:rFonts w:ascii="Times New Roman" w:eastAsia="Times New Roman" w:hAnsi="Times New Roman" w:cs="Times New Roman"/>
          <w:b/>
          <w:bCs/>
          <w:iCs/>
          <w:color w:val="FF0000"/>
          <w:sz w:val="20"/>
          <w:szCs w:val="20"/>
          <w:lang w:eastAsia="pt-BR"/>
        </w:rPr>
        <w:t> à Administração ou a seus agentes, na contratação do serviço terceirizado:</w:t>
      </w:r>
    </w:p>
    <w:p w14:paraId="6734668C"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F562B4">
        <w:rPr>
          <w:rFonts w:ascii="Times New Roman" w:eastAsia="Times New Roman" w:hAnsi="Times New Roman" w:cs="Times New Roman"/>
          <w:color w:val="FF0000"/>
          <w:sz w:val="20"/>
          <w:szCs w:val="20"/>
          <w:lang w:eastAsia="pt-BR"/>
        </w:rPr>
        <w:t xml:space="preserve">I - </w:t>
      </w:r>
      <w:proofErr w:type="gramStart"/>
      <w:r w:rsidRPr="00F562B4">
        <w:rPr>
          <w:rFonts w:ascii="Times New Roman" w:eastAsia="Times New Roman" w:hAnsi="Times New Roman" w:cs="Times New Roman"/>
          <w:color w:val="FF0000"/>
          <w:sz w:val="20"/>
          <w:szCs w:val="20"/>
          <w:lang w:eastAsia="pt-BR"/>
        </w:rPr>
        <w:t>indicar</w:t>
      </w:r>
      <w:proofErr w:type="gramEnd"/>
      <w:r w:rsidRPr="00F562B4">
        <w:rPr>
          <w:rFonts w:ascii="Times New Roman" w:eastAsia="Times New Roman" w:hAnsi="Times New Roman" w:cs="Times New Roman"/>
          <w:color w:val="FF0000"/>
          <w:sz w:val="20"/>
          <w:szCs w:val="20"/>
          <w:lang w:eastAsia="pt-BR"/>
        </w:rPr>
        <w:t xml:space="preserve"> pessoas expressamente nominadas para executar direta ou indiretamente o objeto contratado; </w:t>
      </w:r>
    </w:p>
    <w:p w14:paraId="604F00AB"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F562B4">
        <w:rPr>
          <w:rFonts w:ascii="Times New Roman" w:eastAsia="Times New Roman" w:hAnsi="Times New Roman" w:cs="Times New Roman"/>
          <w:color w:val="FF0000"/>
          <w:sz w:val="20"/>
          <w:szCs w:val="20"/>
          <w:lang w:eastAsia="pt-BR"/>
        </w:rPr>
        <w:t xml:space="preserve">II - </w:t>
      </w:r>
      <w:proofErr w:type="gramStart"/>
      <w:r w:rsidRPr="00F562B4">
        <w:rPr>
          <w:rFonts w:ascii="Times New Roman" w:eastAsia="Times New Roman" w:hAnsi="Times New Roman" w:cs="Times New Roman"/>
          <w:color w:val="FF0000"/>
          <w:sz w:val="20"/>
          <w:szCs w:val="20"/>
          <w:lang w:eastAsia="pt-BR"/>
        </w:rPr>
        <w:t>fixar</w:t>
      </w:r>
      <w:proofErr w:type="gramEnd"/>
      <w:r w:rsidRPr="00F562B4">
        <w:rPr>
          <w:rFonts w:ascii="Times New Roman" w:eastAsia="Times New Roman" w:hAnsi="Times New Roman" w:cs="Times New Roman"/>
          <w:color w:val="FF0000"/>
          <w:sz w:val="20"/>
          <w:szCs w:val="20"/>
          <w:lang w:eastAsia="pt-BR"/>
        </w:rPr>
        <w:t xml:space="preserve"> salário inferior ao definido em lei ou em ato normativo a ser pago pelo contratado; </w:t>
      </w:r>
    </w:p>
    <w:p w14:paraId="51D98AF8"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F562B4">
        <w:rPr>
          <w:rFonts w:ascii="Times New Roman" w:eastAsia="Times New Roman" w:hAnsi="Times New Roman" w:cs="Times New Roman"/>
          <w:color w:val="FF0000"/>
          <w:sz w:val="20"/>
          <w:szCs w:val="20"/>
          <w:lang w:eastAsia="pt-BR"/>
        </w:rPr>
        <w:t>III - estabelecer vínculo de subordinação com funcionário de empresa prestadora de serviço terceirizado; </w:t>
      </w:r>
    </w:p>
    <w:p w14:paraId="21B526AF"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F562B4">
        <w:rPr>
          <w:rFonts w:ascii="Times New Roman" w:eastAsia="Times New Roman" w:hAnsi="Times New Roman" w:cs="Times New Roman"/>
          <w:color w:val="FF0000"/>
          <w:sz w:val="20"/>
          <w:szCs w:val="20"/>
          <w:lang w:eastAsia="pt-BR"/>
        </w:rPr>
        <w:t xml:space="preserve">IV - </w:t>
      </w:r>
      <w:proofErr w:type="gramStart"/>
      <w:r w:rsidRPr="00F562B4">
        <w:rPr>
          <w:rFonts w:ascii="Times New Roman" w:eastAsia="Times New Roman" w:hAnsi="Times New Roman" w:cs="Times New Roman"/>
          <w:color w:val="FF0000"/>
          <w:sz w:val="20"/>
          <w:szCs w:val="20"/>
          <w:lang w:eastAsia="pt-BR"/>
        </w:rPr>
        <w:t>definir</w:t>
      </w:r>
      <w:proofErr w:type="gramEnd"/>
      <w:r w:rsidRPr="00F562B4">
        <w:rPr>
          <w:rFonts w:ascii="Times New Roman" w:eastAsia="Times New Roman" w:hAnsi="Times New Roman" w:cs="Times New Roman"/>
          <w:color w:val="FF0000"/>
          <w:sz w:val="20"/>
          <w:szCs w:val="20"/>
          <w:lang w:eastAsia="pt-BR"/>
        </w:rPr>
        <w:t xml:space="preserve"> forma de pagamento mediante exclusivo reembolso dos salários pagos; </w:t>
      </w:r>
    </w:p>
    <w:p w14:paraId="3D99D234"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F562B4">
        <w:rPr>
          <w:rFonts w:ascii="Times New Roman" w:eastAsia="Times New Roman" w:hAnsi="Times New Roman" w:cs="Times New Roman"/>
          <w:color w:val="FF0000"/>
          <w:sz w:val="20"/>
          <w:szCs w:val="20"/>
          <w:lang w:eastAsia="pt-BR"/>
        </w:rPr>
        <w:t xml:space="preserve">V - </w:t>
      </w:r>
      <w:proofErr w:type="gramStart"/>
      <w:r w:rsidRPr="00F562B4">
        <w:rPr>
          <w:rFonts w:ascii="Times New Roman" w:eastAsia="Times New Roman" w:hAnsi="Times New Roman" w:cs="Times New Roman"/>
          <w:color w:val="FF0000"/>
          <w:sz w:val="20"/>
          <w:szCs w:val="20"/>
          <w:lang w:eastAsia="pt-BR"/>
        </w:rPr>
        <w:t>demandar</w:t>
      </w:r>
      <w:proofErr w:type="gramEnd"/>
      <w:r w:rsidRPr="00F562B4">
        <w:rPr>
          <w:rFonts w:ascii="Times New Roman" w:eastAsia="Times New Roman" w:hAnsi="Times New Roman" w:cs="Times New Roman"/>
          <w:color w:val="FF0000"/>
          <w:sz w:val="20"/>
          <w:szCs w:val="20"/>
          <w:lang w:eastAsia="pt-BR"/>
        </w:rPr>
        <w:t xml:space="preserve"> a funcionário de empresa prestadora de serviço terceirizado a execução de tarefas fora do escopo do objeto da contratação; </w:t>
      </w:r>
    </w:p>
    <w:p w14:paraId="5121EB6F"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F562B4">
        <w:rPr>
          <w:rFonts w:ascii="Times New Roman" w:eastAsia="Times New Roman" w:hAnsi="Times New Roman" w:cs="Times New Roman"/>
          <w:color w:val="FF0000"/>
          <w:sz w:val="20"/>
          <w:szCs w:val="20"/>
          <w:lang w:eastAsia="pt-BR"/>
        </w:rPr>
        <w:t xml:space="preserve">VI - </w:t>
      </w:r>
      <w:proofErr w:type="gramStart"/>
      <w:r w:rsidRPr="00F562B4">
        <w:rPr>
          <w:rFonts w:ascii="Times New Roman" w:eastAsia="Times New Roman" w:hAnsi="Times New Roman" w:cs="Times New Roman"/>
          <w:color w:val="FF0000"/>
          <w:sz w:val="20"/>
          <w:szCs w:val="20"/>
          <w:lang w:eastAsia="pt-BR"/>
        </w:rPr>
        <w:t>prever</w:t>
      </w:r>
      <w:proofErr w:type="gramEnd"/>
      <w:r w:rsidRPr="00F562B4">
        <w:rPr>
          <w:rFonts w:ascii="Times New Roman" w:eastAsia="Times New Roman" w:hAnsi="Times New Roman" w:cs="Times New Roman"/>
          <w:color w:val="FF0000"/>
          <w:sz w:val="20"/>
          <w:szCs w:val="20"/>
          <w:lang w:eastAsia="pt-BR"/>
        </w:rPr>
        <w:t xml:space="preserve"> em edital exigências que constituam intervenção indevida da Administração na gestão interna do contratado. </w:t>
      </w:r>
    </w:p>
    <w:p w14:paraId="1D51D34C" w14:textId="77777777" w:rsidR="00C14303" w:rsidRPr="00F562B4" w:rsidRDefault="00C14303" w:rsidP="00C14303">
      <w:pPr>
        <w:spacing w:after="48" w:line="240" w:lineRule="auto"/>
        <w:ind w:left="2268"/>
        <w:jc w:val="both"/>
        <w:rPr>
          <w:rFonts w:ascii="Times New Roman" w:eastAsia="Times New Roman" w:hAnsi="Times New Roman" w:cs="Times New Roman"/>
          <w:color w:val="FF0000"/>
          <w:sz w:val="20"/>
          <w:szCs w:val="20"/>
          <w:lang w:eastAsia="pt-BR"/>
        </w:rPr>
      </w:pPr>
      <w:r w:rsidRPr="00F562B4">
        <w:rPr>
          <w:rFonts w:ascii="Times New Roman" w:eastAsia="Times New Roman" w:hAnsi="Times New Roman" w:cs="Times New Roman"/>
          <w:color w:val="FF0000"/>
          <w:sz w:val="20"/>
          <w:szCs w:val="20"/>
          <w:lang w:eastAsia="pt-BR"/>
        </w:rPr>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06F3FACB" w14:textId="77777777" w:rsidR="00C14303" w:rsidRPr="00C14303" w:rsidRDefault="00C14303" w:rsidP="00C14303">
      <w:pPr>
        <w:spacing w:after="0" w:line="240" w:lineRule="auto"/>
        <w:jc w:val="both"/>
        <w:rPr>
          <w:rFonts w:ascii="Times New Roman" w:eastAsia="Times New Roman" w:hAnsi="Times New Roman" w:cs="Times New Roman"/>
          <w:color w:val="FF0000"/>
          <w:sz w:val="24"/>
          <w:szCs w:val="24"/>
        </w:rPr>
      </w:pPr>
    </w:p>
    <w:p w14:paraId="6DFDBD8D" w14:textId="52499BF7" w:rsidR="00C14303" w:rsidRPr="00C14303" w:rsidRDefault="00C14303" w:rsidP="64C763B2">
      <w:pPr>
        <w:spacing w:after="0" w:line="240" w:lineRule="auto"/>
        <w:jc w:val="both"/>
        <w:rPr>
          <w:rFonts w:ascii="Times New Roman" w:eastAsia="Times New Roman" w:hAnsi="Times New Roman" w:cs="Times New Roman"/>
          <w:color w:val="FF0000"/>
          <w:sz w:val="24"/>
          <w:szCs w:val="24"/>
        </w:rPr>
      </w:pPr>
    </w:p>
    <w:p w14:paraId="5A42C02A" w14:textId="77777777" w:rsidR="00C14303" w:rsidRPr="00F562B4" w:rsidRDefault="00C14303" w:rsidP="00C14303">
      <w:pPr>
        <w:spacing w:after="0" w:line="240" w:lineRule="auto"/>
        <w:jc w:val="both"/>
        <w:rPr>
          <w:rFonts w:ascii="Times New Roman" w:eastAsia="Times New Roman" w:hAnsi="Times New Roman" w:cs="Times New Roman"/>
          <w:color w:val="FF0000"/>
          <w:sz w:val="24"/>
          <w:szCs w:val="24"/>
        </w:rPr>
      </w:pPr>
      <w:r w:rsidRPr="00F562B4">
        <w:rPr>
          <w:rFonts w:ascii="Times New Roman" w:eastAsia="Times New Roman" w:hAnsi="Times New Roman" w:cs="Times New Roman"/>
          <w:color w:val="FF0000"/>
          <w:sz w:val="24"/>
          <w:szCs w:val="24"/>
        </w:rPr>
        <w:lastRenderedPageBreak/>
        <w:t>Diante disso, como condição preliminar à realização da licitação, cabe à Administração atestar nos autos, à luz dos dispositivos acima citados, a viabilidade jurídica de terceirização das atividades a serem licitadas e contratadas. </w:t>
      </w:r>
    </w:p>
    <w:p w14:paraId="21D5B1A1" w14:textId="77777777" w:rsidR="00C14303" w:rsidRPr="00C14303" w:rsidRDefault="00C14303" w:rsidP="00C14303">
      <w:pPr>
        <w:spacing w:after="0" w:line="240" w:lineRule="auto"/>
        <w:jc w:val="both"/>
        <w:rPr>
          <w:rFonts w:ascii="Times New Roman" w:eastAsia="Times New Roman" w:hAnsi="Times New Roman" w:cs="Times New Roman"/>
          <w:color w:val="FF0000"/>
          <w:sz w:val="24"/>
          <w:szCs w:val="24"/>
        </w:rPr>
      </w:pPr>
    </w:p>
    <w:p w14:paraId="4DD2FF65" w14:textId="23843443" w:rsidR="00C14303" w:rsidRPr="00F562B4" w:rsidRDefault="00C14303" w:rsidP="00C14303">
      <w:pPr>
        <w:spacing w:after="0" w:line="240" w:lineRule="auto"/>
        <w:jc w:val="both"/>
        <w:rPr>
          <w:rFonts w:ascii="Times New Roman" w:eastAsia="Times New Roman" w:hAnsi="Times New Roman" w:cs="Times New Roman"/>
          <w:color w:val="FF0000"/>
          <w:sz w:val="24"/>
          <w:szCs w:val="24"/>
        </w:rPr>
      </w:pPr>
      <w:r w:rsidRPr="00F562B4">
        <w:rPr>
          <w:rFonts w:ascii="Times New Roman" w:eastAsia="Times New Roman" w:hAnsi="Times New Roman" w:cs="Times New Roman"/>
          <w:color w:val="FF0000"/>
          <w:sz w:val="24"/>
          <w:szCs w:val="24"/>
        </w:rPr>
        <w:t>Em sendo assim, compete à Administração demonstrar que a contratação pretendida se encontra em consonância com o disposto na Lei n. 14.133, de 2021.</w:t>
      </w:r>
    </w:p>
    <w:p w14:paraId="6CF134A9" w14:textId="7C7E20BE" w:rsidR="00C14303" w:rsidRPr="005641DF" w:rsidRDefault="00C14303" w:rsidP="64C763B2">
      <w:pPr>
        <w:spacing w:after="0" w:line="240" w:lineRule="auto"/>
        <w:jc w:val="both"/>
        <w:rPr>
          <w:rFonts w:ascii="Times New Roman" w:eastAsia="Times New Roman" w:hAnsi="Times New Roman" w:cs="Times New Roman"/>
          <w:color w:val="FF0000"/>
          <w:sz w:val="24"/>
          <w:szCs w:val="24"/>
        </w:rPr>
      </w:pPr>
    </w:p>
    <w:p w14:paraId="0DBB01DA" w14:textId="77777777" w:rsidR="00C14303" w:rsidRPr="005641DF" w:rsidRDefault="00C14303" w:rsidP="64C763B2">
      <w:pPr>
        <w:spacing w:after="0" w:line="240" w:lineRule="auto"/>
        <w:jc w:val="both"/>
        <w:rPr>
          <w:rFonts w:ascii="Times New Roman" w:eastAsia="Times New Roman"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15"/>
      </w:tblGrid>
      <w:tr w:rsidR="005641DF" w:rsidRPr="005641DF" w14:paraId="6EE482FC" w14:textId="77777777" w:rsidTr="64C763B2">
        <w:trPr>
          <w:trHeight w:val="300"/>
        </w:trPr>
        <w:tc>
          <w:tcPr>
            <w:tcW w:w="9015" w:type="dxa"/>
          </w:tcPr>
          <w:p w14:paraId="20BF44A7" w14:textId="60E8F6B5" w:rsidR="24FBE3A5" w:rsidRPr="005641DF" w:rsidRDefault="34982F22" w:rsidP="64C763B2">
            <w:pPr>
              <w:jc w:val="both"/>
              <w:rPr>
                <w:rFonts w:ascii="Times New Roman" w:eastAsia="Times New Roman" w:hAnsi="Times New Roman" w:cs="Times New Roman"/>
                <w:color w:val="FF0000"/>
                <w:sz w:val="24"/>
                <w:szCs w:val="24"/>
                <w:highlight w:val="yellow"/>
              </w:rPr>
            </w:pPr>
            <w:r w:rsidRPr="005641DF">
              <w:rPr>
                <w:rFonts w:ascii="Times New Roman" w:eastAsia="Times New Roman" w:hAnsi="Times New Roman" w:cs="Times New Roman"/>
                <w:b/>
                <w:bCs/>
                <w:color w:val="FF0000"/>
                <w:sz w:val="24"/>
                <w:szCs w:val="24"/>
                <w:highlight w:val="yellow"/>
              </w:rPr>
              <w:t>Nota Explicativa:</w:t>
            </w:r>
            <w:r w:rsidRPr="005641DF">
              <w:rPr>
                <w:rFonts w:ascii="Times New Roman" w:eastAsia="Times New Roman" w:hAnsi="Times New Roman" w:cs="Times New Roman"/>
                <w:color w:val="FF0000"/>
                <w:sz w:val="24"/>
                <w:szCs w:val="24"/>
                <w:highlight w:val="yellow"/>
              </w:rPr>
              <w:t xml:space="preserve"> Caso conste dos autos declaração expressa de que as atividades podem ser terceirizadas, deverá ser acrescentado o trecho abaixo:</w:t>
            </w:r>
          </w:p>
        </w:tc>
      </w:tr>
    </w:tbl>
    <w:p w14:paraId="7405E592" w14:textId="77777777" w:rsidR="005641DF" w:rsidRPr="005641DF" w:rsidRDefault="005641DF" w:rsidP="005641DF">
      <w:pPr>
        <w:spacing w:after="48" w:line="240" w:lineRule="auto"/>
        <w:jc w:val="both"/>
        <w:rPr>
          <w:rFonts w:ascii="Calibri, sans-serif" w:eastAsia="Times New Roman" w:hAnsi="Calibri, sans-serif" w:cs="Times New Roman"/>
          <w:color w:val="FF0000"/>
          <w:sz w:val="20"/>
          <w:szCs w:val="20"/>
          <w:shd w:val="clear" w:color="auto" w:fill="00FFFF"/>
          <w:lang w:eastAsia="pt-BR"/>
        </w:rPr>
      </w:pPr>
    </w:p>
    <w:p w14:paraId="1848852B" w14:textId="075C1E5F" w:rsidR="005641DF" w:rsidRPr="00F562B4" w:rsidRDefault="005641DF" w:rsidP="005641DF">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Percebe-se, nesse sentido, que a Administração declarou, à fl. XXX/doc. SEI XXX, que as atividades podem ser terceirizadas em razão de XXX. Não certificou, contudo, </w:t>
      </w:r>
      <w:r w:rsidRPr="00F562B4">
        <w:rPr>
          <w:rFonts w:ascii="Times New Roman" w:eastAsia="Times New Roman" w:hAnsi="Times New Roman" w:cs="Times New Roman"/>
          <w:color w:val="FF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FF0000"/>
          <w:sz w:val="24"/>
          <w:szCs w:val="24"/>
          <w:shd w:val="clear" w:color="auto" w:fill="00FFFF"/>
          <w:lang w:eastAsia="pt-BR"/>
        </w:rPr>
        <w:t> abrangidas pelo plano de cargos do ente. </w:t>
      </w:r>
    </w:p>
    <w:p w14:paraId="54A33ACD" w14:textId="77777777" w:rsidR="005641DF" w:rsidRPr="005641DF" w:rsidRDefault="005641DF" w:rsidP="005641DF">
      <w:pPr>
        <w:spacing w:after="48" w:line="240" w:lineRule="auto"/>
        <w:jc w:val="both"/>
        <w:rPr>
          <w:rFonts w:ascii="Times New Roman" w:eastAsia="Times New Roman" w:hAnsi="Times New Roman" w:cs="Times New Roman"/>
          <w:color w:val="FF0000"/>
          <w:sz w:val="24"/>
          <w:szCs w:val="24"/>
          <w:shd w:val="clear" w:color="auto" w:fill="00FFFF"/>
          <w:lang w:eastAsia="pt-BR"/>
        </w:rPr>
      </w:pPr>
    </w:p>
    <w:p w14:paraId="31298336" w14:textId="3F9BBCB5" w:rsidR="005641DF" w:rsidRPr="00F562B4" w:rsidRDefault="005641DF" w:rsidP="005641DF">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FF0000"/>
          <w:sz w:val="24"/>
          <w:szCs w:val="24"/>
          <w:u w:val="single"/>
          <w:shd w:val="clear" w:color="auto" w:fill="00FFFF"/>
          <w:lang w:eastAsia="pt-BR"/>
        </w:rPr>
        <w:t>a manifestação sobre a incidência ou não da vedação disposta no inc. XXX do art. 48 da Lei n. 14.133, de 2021</w:t>
      </w:r>
      <w:r w:rsidRPr="00F562B4">
        <w:rPr>
          <w:rFonts w:ascii="Times New Roman" w:eastAsia="Times New Roman" w:hAnsi="Times New Roman" w:cs="Times New Roman"/>
          <w:color w:val="FF0000"/>
          <w:sz w:val="24"/>
          <w:szCs w:val="24"/>
          <w:shd w:val="clear" w:color="auto" w:fill="00FFFF"/>
          <w:lang w:eastAsia="pt-BR"/>
        </w:rPr>
        <w:t>. Se necessário, deve demonstrar que há autorização legal para a terceirização, isto é, que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(arts. 7º, 8º e 9º, da IN SEGES/MP nº 05, de 26 de maio de 2017).  </w:t>
      </w:r>
    </w:p>
    <w:p w14:paraId="3133D8F7" w14:textId="77777777" w:rsidR="005641DF" w:rsidRPr="005641DF" w:rsidRDefault="005641DF" w:rsidP="005641DF">
      <w:pPr>
        <w:spacing w:after="48" w:line="240" w:lineRule="auto"/>
        <w:jc w:val="both"/>
        <w:rPr>
          <w:rFonts w:ascii="Times New Roman" w:eastAsia="Times New Roman" w:hAnsi="Times New Roman" w:cs="Times New Roman"/>
          <w:b/>
          <w:bCs/>
          <w:color w:val="FF0000"/>
          <w:sz w:val="24"/>
          <w:szCs w:val="24"/>
          <w:u w:val="single"/>
          <w:shd w:val="clear" w:color="auto" w:fill="00FFFF"/>
          <w:lang w:eastAsia="pt-BR"/>
        </w:rPr>
      </w:pPr>
    </w:p>
    <w:p w14:paraId="209B7820" w14:textId="1513BC84" w:rsidR="005641DF" w:rsidRPr="00F562B4" w:rsidRDefault="005641DF" w:rsidP="005641DF">
      <w:pPr>
        <w:spacing w:after="48" w:line="240" w:lineRule="auto"/>
        <w:jc w:val="both"/>
        <w:rPr>
          <w:rFonts w:ascii="Times New Roman" w:eastAsia="Times New Roman" w:hAnsi="Times New Roman" w:cs="Times New Roman"/>
          <w:color w:val="FF0000"/>
          <w:sz w:val="24"/>
          <w:szCs w:val="24"/>
          <w:lang w:eastAsia="pt-BR"/>
        </w:rPr>
      </w:pPr>
      <w:r w:rsidRPr="005641DF">
        <w:rPr>
          <w:rFonts w:ascii="Times New Roman" w:eastAsia="Times New Roman" w:hAnsi="Times New Roman" w:cs="Times New Roman"/>
          <w:b/>
          <w:bCs/>
          <w:color w:val="FF0000"/>
          <w:sz w:val="24"/>
          <w:szCs w:val="24"/>
          <w:u w:val="single"/>
          <w:shd w:val="clear" w:color="auto" w:fill="00FFFF"/>
          <w:lang w:eastAsia="pt-BR"/>
        </w:rPr>
        <w:t>OU</w:t>
      </w:r>
    </w:p>
    <w:p w14:paraId="68DE99E4" w14:textId="6BEE86EB" w:rsidR="64C763B2" w:rsidRPr="005641DF" w:rsidRDefault="64C763B2" w:rsidP="64C763B2">
      <w:pPr>
        <w:spacing w:after="0" w:line="240" w:lineRule="auto"/>
        <w:jc w:val="both"/>
        <w:rPr>
          <w:rFonts w:ascii="Times New Roman" w:eastAsia="Times New Roman" w:hAnsi="Times New Roman" w:cs="Times New Roman"/>
          <w:b/>
          <w:bCs/>
          <w:color w:val="FF0000"/>
          <w:sz w:val="24"/>
          <w:szCs w:val="24"/>
          <w:highlight w:val="cyan"/>
        </w:rPr>
      </w:pPr>
    </w:p>
    <w:tbl>
      <w:tblPr>
        <w:tblStyle w:val="Tabelacomgrade"/>
        <w:tblW w:w="0" w:type="auto"/>
        <w:tblLayout w:type="fixed"/>
        <w:tblLook w:val="06A0" w:firstRow="1" w:lastRow="0" w:firstColumn="1" w:lastColumn="0" w:noHBand="1" w:noVBand="1"/>
      </w:tblPr>
      <w:tblGrid>
        <w:gridCol w:w="9015"/>
      </w:tblGrid>
      <w:tr w:rsidR="527EE590" w:rsidRPr="005641DF" w14:paraId="6F9F4668" w14:textId="77777777" w:rsidTr="64C763B2">
        <w:trPr>
          <w:trHeight w:val="300"/>
        </w:trPr>
        <w:tc>
          <w:tcPr>
            <w:tcW w:w="9015" w:type="dxa"/>
          </w:tcPr>
          <w:p w14:paraId="60544AAA" w14:textId="03995A38" w:rsidR="72443AE2" w:rsidRPr="005641DF" w:rsidRDefault="301FADED" w:rsidP="64C763B2">
            <w:pPr>
              <w:jc w:val="both"/>
              <w:rPr>
                <w:rFonts w:ascii="Times New Roman" w:eastAsia="Times New Roman" w:hAnsi="Times New Roman" w:cs="Times New Roman"/>
                <w:color w:val="FF0000"/>
                <w:sz w:val="24"/>
                <w:szCs w:val="24"/>
              </w:rPr>
            </w:pPr>
            <w:r w:rsidRPr="005641DF">
              <w:rPr>
                <w:rFonts w:ascii="Times New Roman" w:eastAsia="Times New Roman" w:hAnsi="Times New Roman" w:cs="Times New Roman"/>
                <w:b/>
                <w:bCs/>
                <w:color w:val="FF0000"/>
                <w:sz w:val="24"/>
                <w:szCs w:val="24"/>
                <w:highlight w:val="yellow"/>
              </w:rPr>
              <w:t>Nota Explicativa:</w:t>
            </w:r>
            <w:r w:rsidRPr="005641DF">
              <w:rPr>
                <w:rFonts w:ascii="Times New Roman" w:eastAsia="Times New Roman" w:hAnsi="Times New Roman" w:cs="Times New Roman"/>
                <w:color w:val="FF0000"/>
                <w:sz w:val="24"/>
                <w:szCs w:val="24"/>
                <w:highlight w:val="yellow"/>
              </w:rPr>
              <w:t xml:space="preserve"> Caso existam indícios de que a terceirização das atividades é vedada, poderá haver a substituição dos dois parágrafos acima transcritos pelo parágrafo abaixo:</w:t>
            </w:r>
          </w:p>
        </w:tc>
      </w:tr>
    </w:tbl>
    <w:p w14:paraId="5A3B9075" w14:textId="4DA63E84" w:rsidR="527EE590" w:rsidRPr="005641DF" w:rsidRDefault="527EE590" w:rsidP="64C763B2">
      <w:pPr>
        <w:spacing w:after="0" w:line="240" w:lineRule="auto"/>
        <w:jc w:val="both"/>
        <w:rPr>
          <w:rFonts w:ascii="Times New Roman" w:eastAsia="Times New Roman" w:hAnsi="Times New Roman" w:cs="Times New Roman"/>
          <w:color w:val="FF0000"/>
          <w:sz w:val="24"/>
          <w:szCs w:val="24"/>
          <w:highlight w:val="yellow"/>
        </w:rPr>
      </w:pPr>
    </w:p>
    <w:p w14:paraId="6F2722A7" w14:textId="77777777" w:rsidR="005641DF" w:rsidRPr="00F562B4" w:rsidRDefault="005641DF" w:rsidP="005641DF">
      <w:pPr>
        <w:spacing w:after="48" w:line="240" w:lineRule="auto"/>
        <w:jc w:val="both"/>
        <w:rPr>
          <w:rFonts w:ascii="Times New Roman" w:eastAsia="Times New Roman" w:hAnsi="Times New Roman" w:cs="Times New Roman"/>
          <w:color w:val="FF0000"/>
          <w:sz w:val="24"/>
          <w:szCs w:val="24"/>
          <w:shd w:val="clear" w:color="auto" w:fill="00FFFF"/>
          <w:lang w:eastAsia="pt-BR"/>
        </w:rPr>
      </w:pPr>
      <w:r w:rsidRPr="00F562B4">
        <w:rPr>
          <w:rFonts w:ascii="Times New Roman" w:eastAsia="Times New Roman" w:hAnsi="Times New Roman" w:cs="Times New Roman"/>
          <w:color w:val="FF0000"/>
          <w:sz w:val="24"/>
          <w:szCs w:val="24"/>
          <w:shd w:val="clear" w:color="auto" w:fill="00FFFF"/>
          <w:lang w:eastAsia="pt-BR"/>
        </w:rPr>
        <w:t xml:space="preserve">Diante desse quadro normativo, percebe-se que, aparentemente, as atividades indicadas no objeto estão vedadas pelo inciso XXX do art. 48 da Lei n. 14.133, de 2021 e/ou pelo </w:t>
      </w:r>
      <w:proofErr w:type="spellStart"/>
      <w:r w:rsidRPr="00F562B4">
        <w:rPr>
          <w:rFonts w:ascii="Times New Roman" w:eastAsia="Times New Roman" w:hAnsi="Times New Roman" w:cs="Times New Roman"/>
          <w:color w:val="FF0000"/>
          <w:sz w:val="24"/>
          <w:szCs w:val="24"/>
          <w:shd w:val="clear" w:color="auto" w:fill="00FFFF"/>
          <w:lang w:eastAsia="pt-BR"/>
        </w:rPr>
        <w:t>Art</w:t>
      </w:r>
      <w:proofErr w:type="spellEnd"/>
      <w:r w:rsidRPr="00F562B4">
        <w:rPr>
          <w:rFonts w:ascii="Times New Roman" w:eastAsia="Times New Roman" w:hAnsi="Times New Roman" w:cs="Times New Roman"/>
          <w:color w:val="FF0000"/>
          <w:sz w:val="24"/>
          <w:szCs w:val="24"/>
          <w:shd w:val="clear" w:color="auto" w:fill="00FFFF"/>
          <w:lang w:eastAsia="pt-BR"/>
        </w:rPr>
        <w:t xml:space="preserve"> 7º, 8º e 9 da IN SEGES/MP nº 05, de 2017). Pelo exposto, como condição preliminar à realização da licitação, deverá haver a demonstração, nos autos, de que há autorização legal para tanto, isto é,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sob pena de ilicitude da contratação (arts. 7º, 8º e 9º, da IN SEGES/MP nº 05, de 2017). </w:t>
      </w:r>
    </w:p>
    <w:p w14:paraId="11409652" w14:textId="77777777" w:rsidR="002C47D5" w:rsidRDefault="002C47D5" w:rsidP="64C763B2">
      <w:pPr>
        <w:spacing w:after="0" w:line="240" w:lineRule="auto"/>
        <w:jc w:val="both"/>
        <w:rPr>
          <w:rFonts w:ascii="Times New Roman" w:eastAsia="Times New Roman" w:hAnsi="Times New Roman" w:cs="Times New Roman"/>
          <w:b/>
          <w:bCs/>
          <w:color w:val="000000" w:themeColor="text1"/>
          <w:sz w:val="24"/>
          <w:szCs w:val="24"/>
        </w:rPr>
      </w:pPr>
    </w:p>
    <w:p w14:paraId="00D8188C" w14:textId="7B30913C" w:rsidR="00934FDC" w:rsidRPr="0066121D" w:rsidRDefault="029FBFE8"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Parcelamento da contratação e regra geral da necessária adjudicação por itens </w:t>
      </w:r>
    </w:p>
    <w:p w14:paraId="0AA6E880" w14:textId="57BC0528" w:rsidR="00934FDC" w:rsidRPr="0066121D" w:rsidRDefault="00934FDC" w:rsidP="64C763B2">
      <w:pPr>
        <w:spacing w:after="0" w:line="240" w:lineRule="auto"/>
        <w:jc w:val="both"/>
        <w:rPr>
          <w:rFonts w:ascii="Times New Roman" w:eastAsia="Times New Roman" w:hAnsi="Times New Roman" w:cs="Times New Roman"/>
          <w:b/>
          <w:bCs/>
          <w:strike/>
          <w:color w:val="000000" w:themeColor="text1"/>
          <w:sz w:val="24"/>
          <w:szCs w:val="24"/>
        </w:rPr>
      </w:pPr>
    </w:p>
    <w:p w14:paraId="382108E5" w14:textId="385A0067"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Outro ponto relevante diz respeito ao parcelamento do objeto a ser contratado. Em havendo divisibilidade de natureza técnica e econômica, a regra geral é</w:t>
      </w:r>
      <w:r w:rsidR="38240B0B" w:rsidRPr="0066121D">
        <w:rPr>
          <w:rFonts w:ascii="Times New Roman" w:eastAsia="Times New Roman" w:hAnsi="Times New Roman" w:cs="Times New Roman"/>
          <w:color w:val="000000" w:themeColor="text1"/>
          <w:sz w:val="24"/>
          <w:szCs w:val="24"/>
        </w:rPr>
        <w:t xml:space="preserve"> contratar</w:t>
      </w:r>
      <w:r w:rsidRPr="0066121D">
        <w:rPr>
          <w:rFonts w:ascii="Times New Roman" w:eastAsia="Times New Roman" w:hAnsi="Times New Roman" w:cs="Times New Roman"/>
          <w:color w:val="000000" w:themeColor="text1"/>
          <w:sz w:val="24"/>
          <w:szCs w:val="24"/>
        </w:rPr>
        <w:t xml:space="preserve"> </w:t>
      </w:r>
      <w:r w:rsidR="17C1F4DE" w:rsidRPr="0066121D">
        <w:rPr>
          <w:rFonts w:ascii="Times New Roman" w:eastAsia="Times New Roman" w:hAnsi="Times New Roman" w:cs="Times New Roman"/>
          <w:color w:val="000000" w:themeColor="text1"/>
          <w:sz w:val="24"/>
          <w:szCs w:val="24"/>
        </w:rPr>
        <w:t>em</w:t>
      </w:r>
      <w:r w:rsidRPr="0066121D">
        <w:rPr>
          <w:rFonts w:ascii="Times New Roman" w:eastAsia="Times New Roman" w:hAnsi="Times New Roman" w:cs="Times New Roman"/>
          <w:color w:val="000000" w:themeColor="text1"/>
          <w:sz w:val="24"/>
          <w:szCs w:val="24"/>
        </w:rPr>
        <w:t xml:space="preserve"> itens, tal qual previsto na Súmula TCU nº 247: </w:t>
      </w:r>
    </w:p>
    <w:p w14:paraId="3876754C" w14:textId="2462564A" w:rsidR="64C763B2" w:rsidRPr="0066121D" w:rsidRDefault="64C763B2" w:rsidP="64C763B2">
      <w:pPr>
        <w:spacing w:after="0" w:line="240" w:lineRule="auto"/>
        <w:ind w:left="2430"/>
        <w:jc w:val="both"/>
        <w:rPr>
          <w:rFonts w:ascii="Times New Roman" w:eastAsia="Times New Roman" w:hAnsi="Times New Roman" w:cs="Times New Roman"/>
          <w:b/>
          <w:bCs/>
          <w:color w:val="000000" w:themeColor="text1"/>
          <w:sz w:val="24"/>
          <w:szCs w:val="24"/>
        </w:rPr>
      </w:pPr>
    </w:p>
    <w:p w14:paraId="4D3B3446" w14:textId="38286AA9" w:rsidR="00934FDC" w:rsidRPr="00581A06" w:rsidRDefault="760C6097" w:rsidP="00581A06">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b/>
          <w:bCs/>
          <w:color w:val="000000" w:themeColor="text1"/>
          <w:sz w:val="20"/>
          <w:szCs w:val="20"/>
        </w:rPr>
        <w:t>É obrigatória a admissão da adjudicação por item e não por preço global,</w:t>
      </w:r>
      <w:r w:rsidRPr="00581A06">
        <w:rPr>
          <w:rFonts w:ascii="Times New Roman" w:eastAsia="Times New Roman" w:hAnsi="Times New Roman" w:cs="Times New Roman"/>
          <w:color w:val="000000" w:themeColor="text1"/>
          <w:sz w:val="20"/>
          <w:szCs w:val="20"/>
        </w:rPr>
        <w:t xml:space="preserve"> nos editais das licitações para a contratação de obras, serviços, compras e alienações, </w:t>
      </w:r>
      <w:r w:rsidRPr="00581A06">
        <w:rPr>
          <w:rFonts w:ascii="Times New Roman" w:eastAsia="Times New Roman" w:hAnsi="Times New Roman" w:cs="Times New Roman"/>
          <w:b/>
          <w:bCs/>
          <w:color w:val="000000" w:themeColor="text1"/>
          <w:sz w:val="20"/>
          <w:szCs w:val="20"/>
        </w:rPr>
        <w:t>cujo objeto seja divisível</w:t>
      </w:r>
      <w:r w:rsidRPr="00581A06">
        <w:rPr>
          <w:rFonts w:ascii="Times New Roman" w:eastAsia="Times New Roman" w:hAnsi="Times New Roman" w:cs="Times New Roman"/>
          <w:color w:val="000000" w:themeColor="text1"/>
          <w:sz w:val="20"/>
          <w:szCs w:val="20"/>
        </w:rPr>
        <w:t xml:space="preserve">,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w:t>
      </w:r>
      <w:r w:rsidRPr="00581A06">
        <w:rPr>
          <w:rFonts w:ascii="Times New Roman" w:eastAsia="Times New Roman" w:hAnsi="Times New Roman" w:cs="Times New Roman"/>
          <w:color w:val="000000" w:themeColor="text1"/>
          <w:sz w:val="20"/>
          <w:szCs w:val="20"/>
        </w:rPr>
        <w:lastRenderedPageBreak/>
        <w:t xml:space="preserve">ou unidades autônomas, devendo as exigências de habilitação adequar-se a essa divisibilidade.  </w:t>
      </w:r>
    </w:p>
    <w:p w14:paraId="05019AA8" w14:textId="77777777" w:rsidR="00CE1024" w:rsidRDefault="00CE1024" w:rsidP="64C763B2">
      <w:pPr>
        <w:spacing w:after="0" w:line="240" w:lineRule="auto"/>
        <w:jc w:val="both"/>
        <w:rPr>
          <w:rFonts w:ascii="Times New Roman" w:eastAsia="Times New Roman" w:hAnsi="Times New Roman" w:cs="Times New Roman"/>
          <w:color w:val="FF0000"/>
          <w:sz w:val="24"/>
          <w:szCs w:val="24"/>
        </w:rPr>
      </w:pPr>
    </w:p>
    <w:p w14:paraId="01556108" w14:textId="372441EB"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 xml:space="preserve">No caso de compras, na aplicação do princípio do parcelamento, </w:t>
      </w:r>
      <w:r w:rsidRPr="0066121D">
        <w:rPr>
          <w:rFonts w:ascii="Times New Roman" w:eastAsia="Times New Roman" w:hAnsi="Times New Roman" w:cs="Times New Roman"/>
          <w:b/>
          <w:bCs/>
          <w:color w:val="FF0000"/>
          <w:sz w:val="24"/>
          <w:szCs w:val="24"/>
        </w:rPr>
        <w:t>deverão ser considerados</w:t>
      </w:r>
      <w:r w:rsidRPr="0066121D">
        <w:rPr>
          <w:rFonts w:ascii="Times New Roman" w:eastAsia="Times New Roman" w:hAnsi="Times New Roman" w:cs="Times New Roman"/>
          <w:color w:val="FF0000"/>
          <w:sz w:val="24"/>
          <w:szCs w:val="24"/>
        </w:rPr>
        <w:t xml:space="preserve"> (art. 40, V, “b”, § 2º, Lei nº 14.133, de 2021):</w:t>
      </w:r>
      <w:r w:rsidRPr="0066121D">
        <w:rPr>
          <w:rFonts w:ascii="Times New Roman" w:eastAsia="Times New Roman" w:hAnsi="Times New Roman" w:cs="Times New Roman"/>
          <w:color w:val="000000" w:themeColor="text1"/>
          <w:sz w:val="24"/>
          <w:szCs w:val="24"/>
        </w:rPr>
        <w:t xml:space="preserve"> </w:t>
      </w:r>
    </w:p>
    <w:p w14:paraId="76CA0501" w14:textId="3D2E2083"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9CA6CDD" w14:textId="21F3B73B" w:rsidR="00934FDC" w:rsidRPr="00581A06" w:rsidRDefault="760C6097" w:rsidP="64C763B2">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color w:val="FF0000"/>
          <w:sz w:val="20"/>
          <w:szCs w:val="20"/>
        </w:rPr>
        <w:t xml:space="preserve">I - </w:t>
      </w:r>
      <w:proofErr w:type="gramStart"/>
      <w:r w:rsidRPr="00581A06">
        <w:rPr>
          <w:rFonts w:ascii="Times New Roman" w:eastAsia="Times New Roman" w:hAnsi="Times New Roman" w:cs="Times New Roman"/>
          <w:color w:val="FF0000"/>
          <w:sz w:val="20"/>
          <w:szCs w:val="20"/>
        </w:rPr>
        <w:t>a</w:t>
      </w:r>
      <w:proofErr w:type="gramEnd"/>
      <w:r w:rsidRPr="00581A06">
        <w:rPr>
          <w:rFonts w:ascii="Times New Roman" w:eastAsia="Times New Roman" w:hAnsi="Times New Roman" w:cs="Times New Roman"/>
          <w:color w:val="FF0000"/>
          <w:sz w:val="20"/>
          <w:szCs w:val="20"/>
        </w:rPr>
        <w:t xml:space="preserve"> viabilidade da divisão do objeto em lotes;</w:t>
      </w:r>
      <w:r w:rsidRPr="00581A06">
        <w:rPr>
          <w:rFonts w:ascii="Times New Roman" w:eastAsia="Times New Roman" w:hAnsi="Times New Roman" w:cs="Times New Roman"/>
          <w:color w:val="000000" w:themeColor="text1"/>
          <w:sz w:val="20"/>
          <w:szCs w:val="20"/>
        </w:rPr>
        <w:t xml:space="preserve"> </w:t>
      </w:r>
    </w:p>
    <w:p w14:paraId="70A092F8" w14:textId="290674F4" w:rsidR="00934FDC" w:rsidRPr="00581A06" w:rsidRDefault="760C6097" w:rsidP="64C763B2">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color w:val="FF0000"/>
          <w:sz w:val="20"/>
          <w:szCs w:val="20"/>
        </w:rPr>
        <w:t xml:space="preserve">II - </w:t>
      </w:r>
      <w:proofErr w:type="gramStart"/>
      <w:r w:rsidRPr="00581A06">
        <w:rPr>
          <w:rFonts w:ascii="Times New Roman" w:eastAsia="Times New Roman" w:hAnsi="Times New Roman" w:cs="Times New Roman"/>
          <w:color w:val="FF0000"/>
          <w:sz w:val="20"/>
          <w:szCs w:val="20"/>
        </w:rPr>
        <w:t>o</w:t>
      </w:r>
      <w:proofErr w:type="gramEnd"/>
      <w:r w:rsidRPr="00581A06">
        <w:rPr>
          <w:rFonts w:ascii="Times New Roman" w:eastAsia="Times New Roman" w:hAnsi="Times New Roman" w:cs="Times New Roman"/>
          <w:color w:val="FF0000"/>
          <w:sz w:val="20"/>
          <w:szCs w:val="20"/>
        </w:rPr>
        <w:t xml:space="preserve"> aproveitamento das peculiaridades do mercado local, com vistas à economicidade, sempre que possível, desde que atendidos os parâmetros de qualidade; e</w:t>
      </w:r>
      <w:r w:rsidRPr="00581A06">
        <w:rPr>
          <w:rFonts w:ascii="Times New Roman" w:eastAsia="Times New Roman" w:hAnsi="Times New Roman" w:cs="Times New Roman"/>
          <w:color w:val="000000" w:themeColor="text1"/>
          <w:sz w:val="20"/>
          <w:szCs w:val="20"/>
        </w:rPr>
        <w:t xml:space="preserve"> </w:t>
      </w:r>
    </w:p>
    <w:p w14:paraId="5360793F" w14:textId="290E603D" w:rsidR="00934FDC" w:rsidRPr="00581A06" w:rsidRDefault="760C6097" w:rsidP="64C763B2">
      <w:pPr>
        <w:spacing w:after="0" w:line="240" w:lineRule="auto"/>
        <w:ind w:left="2268"/>
        <w:jc w:val="both"/>
        <w:rPr>
          <w:rFonts w:ascii="Times New Roman" w:eastAsia="Times New Roman" w:hAnsi="Times New Roman" w:cs="Times New Roman"/>
          <w:color w:val="000000" w:themeColor="text1"/>
          <w:sz w:val="20"/>
          <w:szCs w:val="20"/>
        </w:rPr>
      </w:pPr>
      <w:r w:rsidRPr="00581A06">
        <w:rPr>
          <w:rFonts w:ascii="Times New Roman" w:eastAsia="Times New Roman" w:hAnsi="Times New Roman" w:cs="Times New Roman"/>
          <w:color w:val="FF0000"/>
          <w:sz w:val="20"/>
          <w:szCs w:val="20"/>
        </w:rPr>
        <w:t>III - o dever de buscar a ampliação da competição e de evitar a concentração de mercado.</w:t>
      </w:r>
      <w:r w:rsidRPr="00581A06">
        <w:rPr>
          <w:rFonts w:ascii="Times New Roman" w:eastAsia="Times New Roman" w:hAnsi="Times New Roman" w:cs="Times New Roman"/>
          <w:color w:val="000000" w:themeColor="text1"/>
          <w:sz w:val="20"/>
          <w:szCs w:val="20"/>
        </w:rPr>
        <w:t xml:space="preserve">  </w:t>
      </w:r>
    </w:p>
    <w:p w14:paraId="787F3938" w14:textId="33FED3EA"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2461B57D" w14:textId="307CD78C"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 xml:space="preserve">Ademais, </w:t>
      </w:r>
      <w:r w:rsidRPr="0066121D">
        <w:rPr>
          <w:rFonts w:ascii="Times New Roman" w:eastAsia="Times New Roman" w:hAnsi="Times New Roman" w:cs="Times New Roman"/>
          <w:b/>
          <w:bCs/>
          <w:color w:val="FF0000"/>
          <w:sz w:val="24"/>
          <w:szCs w:val="24"/>
        </w:rPr>
        <w:t>o parcelamento não será adotado quando</w:t>
      </w:r>
      <w:r w:rsidRPr="0066121D">
        <w:rPr>
          <w:rFonts w:ascii="Times New Roman" w:eastAsia="Times New Roman" w:hAnsi="Times New Roman" w:cs="Times New Roman"/>
          <w:color w:val="FF0000"/>
          <w:sz w:val="24"/>
          <w:szCs w:val="24"/>
        </w:rPr>
        <w:t xml:space="preserve"> (art. 40, V, “b”, § 3º, Lei nº 14.133, de 2021):</w:t>
      </w:r>
      <w:r w:rsidRPr="0066121D">
        <w:rPr>
          <w:rFonts w:ascii="Times New Roman" w:eastAsia="Times New Roman" w:hAnsi="Times New Roman" w:cs="Times New Roman"/>
          <w:color w:val="000000" w:themeColor="text1"/>
          <w:sz w:val="24"/>
          <w:szCs w:val="24"/>
        </w:rPr>
        <w:t xml:space="preserve"> </w:t>
      </w:r>
    </w:p>
    <w:p w14:paraId="0EA2E75C" w14:textId="34D4ECD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23EA671" w14:textId="0772BFCD" w:rsidR="00934FDC" w:rsidRPr="006419FF" w:rsidRDefault="760C6097" w:rsidP="006419FF">
      <w:pPr>
        <w:spacing w:after="0" w:line="240" w:lineRule="auto"/>
        <w:ind w:left="2268"/>
        <w:jc w:val="both"/>
        <w:rPr>
          <w:rFonts w:ascii="Times New Roman" w:eastAsia="Times New Roman" w:hAnsi="Times New Roman" w:cs="Times New Roman"/>
          <w:color w:val="000000" w:themeColor="text1"/>
          <w:sz w:val="20"/>
          <w:szCs w:val="20"/>
        </w:rPr>
      </w:pPr>
      <w:r w:rsidRPr="006419FF">
        <w:rPr>
          <w:rFonts w:ascii="Times New Roman" w:eastAsia="Times New Roman" w:hAnsi="Times New Roman" w:cs="Times New Roman"/>
          <w:color w:val="FF0000"/>
          <w:sz w:val="20"/>
          <w:szCs w:val="20"/>
        </w:rPr>
        <w:t xml:space="preserve">I - </w:t>
      </w:r>
      <w:proofErr w:type="gramStart"/>
      <w:r w:rsidRPr="006419FF">
        <w:rPr>
          <w:rFonts w:ascii="Times New Roman" w:eastAsia="Times New Roman" w:hAnsi="Times New Roman" w:cs="Times New Roman"/>
          <w:color w:val="FF0000"/>
          <w:sz w:val="20"/>
          <w:szCs w:val="20"/>
        </w:rPr>
        <w:t>a</w:t>
      </w:r>
      <w:proofErr w:type="gramEnd"/>
      <w:r w:rsidRPr="006419FF">
        <w:rPr>
          <w:rFonts w:ascii="Times New Roman" w:eastAsia="Times New Roman" w:hAnsi="Times New Roman" w:cs="Times New Roman"/>
          <w:color w:val="FF0000"/>
          <w:sz w:val="20"/>
          <w:szCs w:val="20"/>
        </w:rPr>
        <w:t xml:space="preserve"> economia de escala, a redução de custos de gestão de contratos ou a maior vantagem na contratação recomendar a compra do item do mesmo fornecedor;</w:t>
      </w:r>
      <w:r w:rsidRPr="006419FF">
        <w:rPr>
          <w:rFonts w:ascii="Times New Roman" w:eastAsia="Times New Roman" w:hAnsi="Times New Roman" w:cs="Times New Roman"/>
          <w:color w:val="000000" w:themeColor="text1"/>
          <w:sz w:val="20"/>
          <w:szCs w:val="20"/>
        </w:rPr>
        <w:t xml:space="preserve"> </w:t>
      </w:r>
    </w:p>
    <w:p w14:paraId="47DEF89F" w14:textId="60809EC4" w:rsidR="00934FDC" w:rsidRPr="006419FF" w:rsidRDefault="760C6097" w:rsidP="006419FF">
      <w:pPr>
        <w:spacing w:after="0" w:line="240" w:lineRule="auto"/>
        <w:ind w:left="2268"/>
        <w:jc w:val="both"/>
        <w:rPr>
          <w:rFonts w:ascii="Times New Roman" w:eastAsia="Times New Roman" w:hAnsi="Times New Roman" w:cs="Times New Roman"/>
          <w:color w:val="000000" w:themeColor="text1"/>
          <w:sz w:val="20"/>
          <w:szCs w:val="20"/>
        </w:rPr>
      </w:pPr>
      <w:r w:rsidRPr="006419FF">
        <w:rPr>
          <w:rFonts w:ascii="Times New Roman" w:eastAsia="Times New Roman" w:hAnsi="Times New Roman" w:cs="Times New Roman"/>
          <w:color w:val="FF0000"/>
          <w:sz w:val="20"/>
          <w:szCs w:val="20"/>
        </w:rPr>
        <w:t xml:space="preserve">II - </w:t>
      </w:r>
      <w:proofErr w:type="gramStart"/>
      <w:r w:rsidRPr="006419FF">
        <w:rPr>
          <w:rFonts w:ascii="Times New Roman" w:eastAsia="Times New Roman" w:hAnsi="Times New Roman" w:cs="Times New Roman"/>
          <w:color w:val="FF0000"/>
          <w:sz w:val="20"/>
          <w:szCs w:val="20"/>
        </w:rPr>
        <w:t>o</w:t>
      </w:r>
      <w:proofErr w:type="gramEnd"/>
      <w:r w:rsidRPr="006419FF">
        <w:rPr>
          <w:rFonts w:ascii="Times New Roman" w:eastAsia="Times New Roman" w:hAnsi="Times New Roman" w:cs="Times New Roman"/>
          <w:color w:val="FF0000"/>
          <w:sz w:val="20"/>
          <w:szCs w:val="20"/>
        </w:rPr>
        <w:t xml:space="preserve"> objeto a ser contratado configurar sistema único e integrado e houver a possibilidade de risco ao conjunto do objeto pretendido;</w:t>
      </w:r>
      <w:r w:rsidRPr="006419FF">
        <w:rPr>
          <w:rFonts w:ascii="Times New Roman" w:eastAsia="Times New Roman" w:hAnsi="Times New Roman" w:cs="Times New Roman"/>
          <w:color w:val="000000" w:themeColor="text1"/>
          <w:sz w:val="20"/>
          <w:szCs w:val="20"/>
        </w:rPr>
        <w:t xml:space="preserve"> </w:t>
      </w:r>
    </w:p>
    <w:p w14:paraId="4132D8EF" w14:textId="10C7F82E" w:rsidR="00934FDC" w:rsidRPr="006419FF" w:rsidRDefault="760C6097" w:rsidP="006419FF">
      <w:pPr>
        <w:spacing w:after="0" w:line="240" w:lineRule="auto"/>
        <w:ind w:left="2268"/>
        <w:jc w:val="both"/>
        <w:rPr>
          <w:rFonts w:ascii="Times New Roman" w:eastAsia="Times New Roman" w:hAnsi="Times New Roman" w:cs="Times New Roman"/>
          <w:color w:val="000000" w:themeColor="text1"/>
          <w:sz w:val="20"/>
          <w:szCs w:val="20"/>
        </w:rPr>
      </w:pPr>
      <w:r w:rsidRPr="006419FF">
        <w:rPr>
          <w:rFonts w:ascii="Times New Roman" w:eastAsia="Times New Roman" w:hAnsi="Times New Roman" w:cs="Times New Roman"/>
          <w:color w:val="FF0000"/>
          <w:sz w:val="20"/>
          <w:szCs w:val="20"/>
        </w:rPr>
        <w:t>III - o processo de padronização ou de escolha de marca levar a fornecedor exclusivo.</w:t>
      </w:r>
      <w:r w:rsidRPr="006419FF">
        <w:rPr>
          <w:rFonts w:ascii="Times New Roman" w:eastAsia="Times New Roman" w:hAnsi="Times New Roman" w:cs="Times New Roman"/>
          <w:color w:val="000000" w:themeColor="text1"/>
          <w:sz w:val="20"/>
          <w:szCs w:val="20"/>
        </w:rPr>
        <w:t xml:space="preserve">  </w:t>
      </w:r>
    </w:p>
    <w:p w14:paraId="6BDE5D8E" w14:textId="789747A1" w:rsidR="64C763B2" w:rsidRPr="0066121D" w:rsidRDefault="64C763B2" w:rsidP="64C763B2">
      <w:pPr>
        <w:spacing w:after="0" w:line="240" w:lineRule="auto"/>
        <w:ind w:left="2551"/>
        <w:jc w:val="both"/>
        <w:rPr>
          <w:rFonts w:ascii="Times New Roman" w:eastAsia="Times New Roman" w:hAnsi="Times New Roman" w:cs="Times New Roman"/>
          <w:color w:val="000000" w:themeColor="text1"/>
          <w:sz w:val="24"/>
          <w:szCs w:val="24"/>
        </w:rPr>
      </w:pPr>
    </w:p>
    <w:p w14:paraId="733A9ADC" w14:textId="3ADF2322"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 xml:space="preserve">No caso de serviços, na aplicação do princípio do parcelamento, </w:t>
      </w:r>
      <w:r w:rsidRPr="0066121D">
        <w:rPr>
          <w:rFonts w:ascii="Times New Roman" w:eastAsia="Times New Roman" w:hAnsi="Times New Roman" w:cs="Times New Roman"/>
          <w:b/>
          <w:bCs/>
          <w:color w:val="FF0000"/>
          <w:sz w:val="24"/>
          <w:szCs w:val="24"/>
        </w:rPr>
        <w:t>deverão ser considerados</w:t>
      </w:r>
      <w:r w:rsidRPr="0066121D">
        <w:rPr>
          <w:rFonts w:ascii="Times New Roman" w:eastAsia="Times New Roman" w:hAnsi="Times New Roman" w:cs="Times New Roman"/>
          <w:color w:val="FF0000"/>
          <w:sz w:val="24"/>
          <w:szCs w:val="24"/>
        </w:rPr>
        <w:t xml:space="preserve"> (art. 47, II, § 1º, Lei nº 14.133, de 2021):</w:t>
      </w:r>
      <w:r w:rsidRPr="0066121D">
        <w:rPr>
          <w:rFonts w:ascii="Times New Roman" w:eastAsia="Times New Roman" w:hAnsi="Times New Roman" w:cs="Times New Roman"/>
          <w:color w:val="000000" w:themeColor="text1"/>
          <w:sz w:val="24"/>
          <w:szCs w:val="24"/>
        </w:rPr>
        <w:t xml:space="preserve"> </w:t>
      </w:r>
    </w:p>
    <w:p w14:paraId="1E01193C" w14:textId="7B129999"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6EEF4D0" w14:textId="6C64660F" w:rsidR="00934FDC" w:rsidRPr="009566A2" w:rsidRDefault="760C6097" w:rsidP="009566A2">
      <w:pPr>
        <w:spacing w:after="0" w:line="240" w:lineRule="auto"/>
        <w:ind w:left="2268"/>
        <w:jc w:val="both"/>
        <w:rPr>
          <w:rFonts w:ascii="Times New Roman" w:eastAsia="Times New Roman" w:hAnsi="Times New Roman" w:cs="Times New Roman"/>
          <w:color w:val="000000" w:themeColor="text1"/>
          <w:sz w:val="20"/>
          <w:szCs w:val="20"/>
        </w:rPr>
      </w:pPr>
      <w:r w:rsidRPr="009566A2">
        <w:rPr>
          <w:rFonts w:ascii="Times New Roman" w:eastAsia="Times New Roman" w:hAnsi="Times New Roman" w:cs="Times New Roman"/>
          <w:color w:val="FF0000"/>
          <w:sz w:val="20"/>
          <w:szCs w:val="20"/>
        </w:rPr>
        <w:t xml:space="preserve">I - </w:t>
      </w:r>
      <w:proofErr w:type="gramStart"/>
      <w:r w:rsidRPr="009566A2">
        <w:rPr>
          <w:rFonts w:ascii="Times New Roman" w:eastAsia="Times New Roman" w:hAnsi="Times New Roman" w:cs="Times New Roman"/>
          <w:color w:val="FF0000"/>
          <w:sz w:val="20"/>
          <w:szCs w:val="20"/>
        </w:rPr>
        <w:t>a</w:t>
      </w:r>
      <w:proofErr w:type="gramEnd"/>
      <w:r w:rsidRPr="009566A2">
        <w:rPr>
          <w:rFonts w:ascii="Times New Roman" w:eastAsia="Times New Roman" w:hAnsi="Times New Roman" w:cs="Times New Roman"/>
          <w:color w:val="FF0000"/>
          <w:sz w:val="20"/>
          <w:szCs w:val="20"/>
        </w:rPr>
        <w:t xml:space="preserve"> responsabilidade técnica;</w:t>
      </w:r>
      <w:r w:rsidRPr="009566A2">
        <w:rPr>
          <w:rFonts w:ascii="Times New Roman" w:eastAsia="Times New Roman" w:hAnsi="Times New Roman" w:cs="Times New Roman"/>
          <w:color w:val="000000" w:themeColor="text1"/>
          <w:sz w:val="20"/>
          <w:szCs w:val="20"/>
        </w:rPr>
        <w:t xml:space="preserve"> </w:t>
      </w:r>
    </w:p>
    <w:p w14:paraId="4D6356A9" w14:textId="20900B96" w:rsidR="00934FDC" w:rsidRPr="009566A2" w:rsidRDefault="760C6097" w:rsidP="009566A2">
      <w:pPr>
        <w:spacing w:after="0" w:line="240" w:lineRule="auto"/>
        <w:ind w:left="2268"/>
        <w:jc w:val="both"/>
        <w:rPr>
          <w:rFonts w:ascii="Times New Roman" w:eastAsia="Times New Roman" w:hAnsi="Times New Roman" w:cs="Times New Roman"/>
          <w:color w:val="000000" w:themeColor="text1"/>
          <w:sz w:val="20"/>
          <w:szCs w:val="20"/>
        </w:rPr>
      </w:pPr>
      <w:r w:rsidRPr="009566A2">
        <w:rPr>
          <w:rFonts w:ascii="Times New Roman" w:eastAsia="Times New Roman" w:hAnsi="Times New Roman" w:cs="Times New Roman"/>
          <w:color w:val="FF0000"/>
          <w:sz w:val="20"/>
          <w:szCs w:val="20"/>
        </w:rPr>
        <w:t xml:space="preserve">II - </w:t>
      </w:r>
      <w:proofErr w:type="gramStart"/>
      <w:r w:rsidRPr="009566A2">
        <w:rPr>
          <w:rFonts w:ascii="Times New Roman" w:eastAsia="Times New Roman" w:hAnsi="Times New Roman" w:cs="Times New Roman"/>
          <w:color w:val="FF0000"/>
          <w:sz w:val="20"/>
          <w:szCs w:val="20"/>
        </w:rPr>
        <w:t>o</w:t>
      </w:r>
      <w:proofErr w:type="gramEnd"/>
      <w:r w:rsidRPr="009566A2">
        <w:rPr>
          <w:rFonts w:ascii="Times New Roman" w:eastAsia="Times New Roman" w:hAnsi="Times New Roman" w:cs="Times New Roman"/>
          <w:color w:val="FF0000"/>
          <w:sz w:val="20"/>
          <w:szCs w:val="20"/>
        </w:rPr>
        <w:t xml:space="preserve"> custo para a Administração de vários contratos frente às vantagens da redução de custos, com divisão do objeto em itens;</w:t>
      </w:r>
      <w:r w:rsidRPr="009566A2">
        <w:rPr>
          <w:rFonts w:ascii="Times New Roman" w:eastAsia="Times New Roman" w:hAnsi="Times New Roman" w:cs="Times New Roman"/>
          <w:color w:val="000000" w:themeColor="text1"/>
          <w:sz w:val="20"/>
          <w:szCs w:val="20"/>
        </w:rPr>
        <w:t xml:space="preserve"> </w:t>
      </w:r>
    </w:p>
    <w:p w14:paraId="5F52D0FC" w14:textId="3FE363AE" w:rsidR="00934FDC" w:rsidRPr="009566A2" w:rsidRDefault="760C6097" w:rsidP="009566A2">
      <w:pPr>
        <w:spacing w:after="0" w:line="240" w:lineRule="auto"/>
        <w:ind w:left="2268"/>
        <w:jc w:val="both"/>
        <w:rPr>
          <w:rFonts w:ascii="Times New Roman" w:eastAsia="Times New Roman" w:hAnsi="Times New Roman" w:cs="Times New Roman"/>
          <w:color w:val="000000" w:themeColor="text1"/>
          <w:sz w:val="20"/>
          <w:szCs w:val="20"/>
        </w:rPr>
      </w:pPr>
      <w:r w:rsidRPr="009566A2">
        <w:rPr>
          <w:rFonts w:ascii="Times New Roman" w:eastAsia="Times New Roman" w:hAnsi="Times New Roman" w:cs="Times New Roman"/>
          <w:color w:val="FF0000"/>
          <w:sz w:val="20"/>
          <w:szCs w:val="20"/>
        </w:rPr>
        <w:t>III - o dever de buscar a ampliação da competição e de evitar a concentração de mercado.</w:t>
      </w:r>
      <w:r w:rsidRPr="009566A2">
        <w:rPr>
          <w:rFonts w:ascii="Times New Roman" w:eastAsia="Times New Roman" w:hAnsi="Times New Roman" w:cs="Times New Roman"/>
          <w:color w:val="000000" w:themeColor="text1"/>
          <w:sz w:val="20"/>
          <w:szCs w:val="20"/>
        </w:rPr>
        <w:t xml:space="preserve">  </w:t>
      </w:r>
    </w:p>
    <w:p w14:paraId="6E56053C" w14:textId="3AE14E87"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0BCA8A4A" w14:textId="1734C230"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highlight w:val="cyan"/>
        </w:rPr>
        <w:t>Dito isso, percebe-se que o presente procedimento previu a</w:t>
      </w:r>
      <w:r w:rsidR="48A255C1" w:rsidRPr="0066121D">
        <w:rPr>
          <w:rFonts w:ascii="Times New Roman" w:eastAsia="Times New Roman" w:hAnsi="Times New Roman" w:cs="Times New Roman"/>
          <w:color w:val="FF0000"/>
          <w:sz w:val="24"/>
          <w:szCs w:val="24"/>
          <w:highlight w:val="cyan"/>
        </w:rPr>
        <w:t xml:space="preserve"> contratação</w:t>
      </w:r>
      <w:r w:rsidR="37A994DA" w:rsidRPr="0066121D">
        <w:rPr>
          <w:rFonts w:ascii="Times New Roman" w:eastAsia="Times New Roman" w:hAnsi="Times New Roman" w:cs="Times New Roman"/>
          <w:color w:val="FF0000"/>
          <w:sz w:val="24"/>
          <w:szCs w:val="24"/>
          <w:highlight w:val="cyan"/>
        </w:rPr>
        <w:t xml:space="preserve"> em</w:t>
      </w:r>
      <w:r w:rsidRPr="0066121D">
        <w:rPr>
          <w:rFonts w:ascii="Times New Roman" w:eastAsia="Times New Roman" w:hAnsi="Times New Roman" w:cs="Times New Roman"/>
          <w:color w:val="FF0000"/>
          <w:sz w:val="24"/>
          <w:szCs w:val="24"/>
          <w:highlight w:val="cyan"/>
        </w:rPr>
        <w:t xml:space="preserve"> itens, razão pela qual não há observação adicional a fazer.</w:t>
      </w:r>
      <w:r w:rsidRPr="0066121D">
        <w:rPr>
          <w:rFonts w:ascii="Times New Roman" w:eastAsia="Times New Roman" w:hAnsi="Times New Roman" w:cs="Times New Roman"/>
          <w:color w:val="FF0000"/>
          <w:sz w:val="24"/>
          <w:szCs w:val="24"/>
        </w:rPr>
        <w:t xml:space="preserve"> </w:t>
      </w:r>
    </w:p>
    <w:p w14:paraId="3B389F12" w14:textId="2B05BFAE" w:rsidR="00934FDC" w:rsidRPr="009566A2" w:rsidRDefault="760C6097" w:rsidP="009566A2">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9566A2">
        <w:rPr>
          <w:rFonts w:ascii="Times New Roman" w:eastAsia="Times New Roman" w:hAnsi="Times New Roman" w:cs="Times New Roman"/>
          <w:b/>
          <w:bCs/>
          <w:color w:val="FF0000"/>
          <w:sz w:val="24"/>
          <w:szCs w:val="24"/>
          <w:highlight w:val="cyan"/>
          <w:u w:val="single"/>
        </w:rPr>
        <w:t>OU</w:t>
      </w:r>
      <w:r w:rsidRPr="009566A2">
        <w:rPr>
          <w:rFonts w:ascii="Times New Roman" w:eastAsia="Times New Roman" w:hAnsi="Times New Roman" w:cs="Times New Roman"/>
          <w:b/>
          <w:bCs/>
          <w:color w:val="FF0000"/>
          <w:sz w:val="24"/>
          <w:szCs w:val="24"/>
          <w:u w:val="single"/>
        </w:rPr>
        <w:t xml:space="preserve"> </w:t>
      </w:r>
    </w:p>
    <w:p w14:paraId="049178FB" w14:textId="627AAC66" w:rsidR="00934FDC" w:rsidRPr="0066121D" w:rsidRDefault="760C6097" w:rsidP="003C12CF">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highlight w:val="cyan"/>
        </w:rPr>
        <w:t>Dito isso, percebe-se que o presente procedimento previu a</w:t>
      </w:r>
      <w:r w:rsidR="53D70221" w:rsidRPr="5D8365CD">
        <w:rPr>
          <w:rFonts w:ascii="Times New Roman" w:eastAsia="Times New Roman" w:hAnsi="Times New Roman" w:cs="Times New Roman"/>
          <w:color w:val="FF0000"/>
          <w:sz w:val="24"/>
          <w:szCs w:val="24"/>
          <w:highlight w:val="cyan"/>
        </w:rPr>
        <w:t xml:space="preserve"> contratação</w:t>
      </w:r>
      <w:r w:rsidRPr="5D8365CD">
        <w:rPr>
          <w:rFonts w:ascii="Times New Roman" w:eastAsia="Times New Roman" w:hAnsi="Times New Roman" w:cs="Times New Roman"/>
          <w:color w:val="FF0000"/>
          <w:sz w:val="24"/>
          <w:szCs w:val="24"/>
          <w:highlight w:val="cyan"/>
        </w:rPr>
        <w:t xml:space="preserve"> </w:t>
      </w:r>
      <w:r w:rsidR="75F25BDB" w:rsidRPr="5D8365CD">
        <w:rPr>
          <w:rFonts w:ascii="Times New Roman" w:eastAsia="Times New Roman" w:hAnsi="Times New Roman" w:cs="Times New Roman"/>
          <w:color w:val="FF0000"/>
          <w:sz w:val="24"/>
          <w:szCs w:val="24"/>
          <w:highlight w:val="cyan"/>
        </w:rPr>
        <w:t xml:space="preserve">em </w:t>
      </w:r>
      <w:r w:rsidRPr="5D8365CD">
        <w:rPr>
          <w:rFonts w:ascii="Times New Roman" w:eastAsia="Times New Roman" w:hAnsi="Times New Roman" w:cs="Times New Roman"/>
          <w:color w:val="FF0000"/>
          <w:sz w:val="24"/>
          <w:szCs w:val="24"/>
          <w:highlight w:val="cyan"/>
        </w:rPr>
        <w:t>lotes/grupo (OU a um único contratado), com as justificativas de ordem técnica e econômica presentes às fls. XXX/no doc. SEI XXX. Por essa razão, não há observação adicional a fazer.</w:t>
      </w:r>
      <w:r w:rsidRPr="5D8365CD">
        <w:rPr>
          <w:rFonts w:ascii="Times New Roman" w:eastAsia="Times New Roman" w:hAnsi="Times New Roman" w:cs="Times New Roman"/>
          <w:color w:val="FF0000"/>
          <w:sz w:val="24"/>
          <w:szCs w:val="24"/>
        </w:rPr>
        <w:t xml:space="preserve"> </w:t>
      </w:r>
    </w:p>
    <w:p w14:paraId="0537DC57" w14:textId="60FA75CD" w:rsidR="00934FDC" w:rsidRPr="009566A2" w:rsidRDefault="760C6097" w:rsidP="009566A2">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9566A2">
        <w:rPr>
          <w:rFonts w:ascii="Times New Roman" w:eastAsia="Times New Roman" w:hAnsi="Times New Roman" w:cs="Times New Roman"/>
          <w:b/>
          <w:bCs/>
          <w:color w:val="FF0000"/>
          <w:sz w:val="24"/>
          <w:szCs w:val="24"/>
          <w:highlight w:val="cyan"/>
          <w:u w:val="single"/>
        </w:rPr>
        <w:t>OU</w:t>
      </w:r>
      <w:r w:rsidRPr="009566A2">
        <w:rPr>
          <w:rFonts w:ascii="Times New Roman" w:eastAsia="Times New Roman" w:hAnsi="Times New Roman" w:cs="Times New Roman"/>
          <w:b/>
          <w:bCs/>
          <w:color w:val="FF0000"/>
          <w:sz w:val="24"/>
          <w:szCs w:val="24"/>
          <w:u w:val="single"/>
        </w:rPr>
        <w:t xml:space="preserve"> </w:t>
      </w:r>
    </w:p>
    <w:p w14:paraId="7904293A" w14:textId="030884AE" w:rsidR="00934FDC" w:rsidRPr="0066121D" w:rsidRDefault="760C6097" w:rsidP="003C12CF">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highlight w:val="cyan"/>
        </w:rPr>
        <w:t>Dito isso, e dada a orientação da Corte de Contas, deverá ser providenciada justificativa adequada para a agregação de todos os itens em lote/grupo (OU para a adjudicação a um único contratado), o que não se verifica nos autos. Nesse sentido, somente será possível haver esse agrupamento se essa escolha for a que melhor atenda aos comandos dos §§ 2º e 3º do art. 40 e § 1º do art. 47 da Lei nº 14.133, de 2021, e da Súmula n. 247 do TCU. Do contrário, deverá ser adotada a técnica da adjudicação por itens.</w:t>
      </w:r>
      <w:r w:rsidRPr="5D8365CD">
        <w:rPr>
          <w:rFonts w:ascii="Times New Roman" w:eastAsia="Times New Roman" w:hAnsi="Times New Roman" w:cs="Times New Roman"/>
          <w:color w:val="FF0000"/>
          <w:sz w:val="24"/>
          <w:szCs w:val="24"/>
        </w:rPr>
        <w:t xml:space="preserve"> </w:t>
      </w:r>
    </w:p>
    <w:p w14:paraId="7C984905" w14:textId="18DD2E9E" w:rsidR="00934FDC" w:rsidRPr="00D02474" w:rsidRDefault="760C6097" w:rsidP="00D02474">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D02474">
        <w:rPr>
          <w:rFonts w:ascii="Times New Roman" w:eastAsia="Times New Roman" w:hAnsi="Times New Roman" w:cs="Times New Roman"/>
          <w:b/>
          <w:bCs/>
          <w:color w:val="FF0000"/>
          <w:sz w:val="24"/>
          <w:szCs w:val="24"/>
          <w:highlight w:val="cyan"/>
          <w:u w:val="single"/>
        </w:rPr>
        <w:t>OU</w:t>
      </w:r>
      <w:r w:rsidRPr="00D02474">
        <w:rPr>
          <w:rFonts w:ascii="Times New Roman" w:eastAsia="Times New Roman" w:hAnsi="Times New Roman" w:cs="Times New Roman"/>
          <w:b/>
          <w:bCs/>
          <w:color w:val="FF0000"/>
          <w:sz w:val="24"/>
          <w:szCs w:val="24"/>
          <w:u w:val="single"/>
        </w:rPr>
        <w:t xml:space="preserve"> </w:t>
      </w:r>
    </w:p>
    <w:p w14:paraId="50DC322D" w14:textId="1C443DD0" w:rsidR="00D02474" w:rsidRDefault="760C6097" w:rsidP="003C12CF">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highlight w:val="cyan"/>
        </w:rPr>
        <w:t>Dito isso, percebe-se que o presente procedimento previu a</w:t>
      </w:r>
      <w:r w:rsidR="2DC40562" w:rsidRPr="5D8365CD">
        <w:rPr>
          <w:rFonts w:ascii="Times New Roman" w:eastAsia="Times New Roman" w:hAnsi="Times New Roman" w:cs="Times New Roman"/>
          <w:color w:val="FF0000"/>
          <w:sz w:val="24"/>
          <w:szCs w:val="24"/>
          <w:highlight w:val="cyan"/>
        </w:rPr>
        <w:t xml:space="preserve"> contratação em </w:t>
      </w:r>
      <w:r w:rsidRPr="5D8365CD">
        <w:rPr>
          <w:rFonts w:ascii="Times New Roman" w:eastAsia="Times New Roman" w:hAnsi="Times New Roman" w:cs="Times New Roman"/>
          <w:color w:val="FF0000"/>
          <w:sz w:val="24"/>
          <w:szCs w:val="24"/>
          <w:highlight w:val="cyan"/>
        </w:rPr>
        <w:t xml:space="preserve">  lotes/grupo (OU a um único contratado). A despeito de as justificativas para essa decisão terem sido lançadas às fls. XXX/no doc. SEI XXX, entende-se que precisam ser melhoradas à luz dos parâmetros dos §§ 2º e 3º do art. 40 e § 1º do art. 47 da Lei nº 14.133, de 2021, e da Súmula n.</w:t>
      </w:r>
      <w:r w:rsidR="0045654D" w:rsidRPr="5D8365CD">
        <w:rPr>
          <w:rFonts w:ascii="Times New Roman" w:eastAsia="Times New Roman" w:hAnsi="Times New Roman" w:cs="Times New Roman"/>
          <w:color w:val="FF0000"/>
          <w:sz w:val="24"/>
          <w:szCs w:val="24"/>
          <w:highlight w:val="cyan"/>
        </w:rPr>
        <w:t>º</w:t>
      </w:r>
      <w:r w:rsidRPr="5D8365CD">
        <w:rPr>
          <w:rFonts w:ascii="Times New Roman" w:eastAsia="Times New Roman" w:hAnsi="Times New Roman" w:cs="Times New Roman"/>
          <w:color w:val="FF0000"/>
          <w:sz w:val="24"/>
          <w:szCs w:val="24"/>
          <w:highlight w:val="cyan"/>
        </w:rPr>
        <w:t xml:space="preserve"> 247 do TCU.</w:t>
      </w:r>
      <w:r w:rsidRPr="5D8365CD">
        <w:rPr>
          <w:rFonts w:ascii="Times New Roman" w:eastAsia="Times New Roman" w:hAnsi="Times New Roman" w:cs="Times New Roman"/>
          <w:color w:val="000000" w:themeColor="text1"/>
          <w:sz w:val="24"/>
          <w:szCs w:val="24"/>
          <w:u w:val="single"/>
        </w:rPr>
        <w:t xml:space="preserve"> </w:t>
      </w:r>
    </w:p>
    <w:p w14:paraId="01040DBD" w14:textId="77777777" w:rsidR="00CE1024" w:rsidRPr="00CE1024" w:rsidRDefault="00CE1024" w:rsidP="64C763B2">
      <w:pPr>
        <w:spacing w:after="0" w:line="240" w:lineRule="auto"/>
        <w:jc w:val="both"/>
        <w:rPr>
          <w:rFonts w:ascii="Times New Roman" w:eastAsia="Times New Roman" w:hAnsi="Times New Roman" w:cs="Times New Roman"/>
          <w:color w:val="000000" w:themeColor="text1"/>
          <w:sz w:val="24"/>
          <w:szCs w:val="24"/>
        </w:rPr>
      </w:pPr>
    </w:p>
    <w:p w14:paraId="71F89001" w14:textId="3F45C59A"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lastRenderedPageBreak/>
        <w:t>Relembre-se, ainda, que a inserção, em mesmo lote, de itens usualmente produzidos por empresas de ramos distintos restringe o caráter competitivo da contratação (cf. Informativo de Licitações e Contratos nº 148/2013 - TCU).</w:t>
      </w:r>
      <w:r w:rsidRPr="0066121D">
        <w:rPr>
          <w:rFonts w:ascii="Times New Roman" w:eastAsia="Times New Roman" w:hAnsi="Times New Roman" w:cs="Times New Roman"/>
          <w:color w:val="000000" w:themeColor="text1"/>
          <w:sz w:val="24"/>
          <w:szCs w:val="24"/>
        </w:rPr>
        <w:t xml:space="preserve">  </w:t>
      </w:r>
    </w:p>
    <w:p w14:paraId="4F32B004" w14:textId="6A1AA68D"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1528C8DA" w14:textId="77777777" w:rsidTr="0045654D">
        <w:trPr>
          <w:trHeight w:val="300"/>
        </w:trPr>
        <w:tc>
          <w:tcPr>
            <w:tcW w:w="9015" w:type="dxa"/>
            <w:tcMar>
              <w:top w:w="30" w:type="dxa"/>
              <w:left w:w="30" w:type="dxa"/>
              <w:bottom w:w="30" w:type="dxa"/>
              <w:right w:w="30" w:type="dxa"/>
            </w:tcMar>
            <w:vAlign w:val="center"/>
          </w:tcPr>
          <w:p w14:paraId="29C49509" w14:textId="24FC8526" w:rsidR="257865AE" w:rsidRPr="0066121D" w:rsidRDefault="738783CC"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o objeto revele abrangência territorial ampla, deverá ser utilizado o trecho abaixo:</w:t>
            </w:r>
          </w:p>
        </w:tc>
      </w:tr>
    </w:tbl>
    <w:p w14:paraId="4F7C51EA" w14:textId="4452AE27" w:rsidR="00934FDC" w:rsidRPr="0066121D" w:rsidRDefault="00934FDC" w:rsidP="64C763B2">
      <w:pPr>
        <w:spacing w:after="0" w:line="240" w:lineRule="auto"/>
        <w:jc w:val="both"/>
        <w:rPr>
          <w:rFonts w:ascii="Times New Roman" w:eastAsia="Times New Roman" w:hAnsi="Times New Roman" w:cs="Times New Roman"/>
          <w:color w:val="000000" w:themeColor="text1"/>
          <w:sz w:val="24"/>
          <w:szCs w:val="24"/>
        </w:rPr>
      </w:pPr>
    </w:p>
    <w:p w14:paraId="23AAE530" w14:textId="258C921F"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Outro aspecto que chama atenção refere-se ao tamanho do objeto contratual que envolve diversas localidades do Estado/País, com risco de restringir a competitividade do procedimento.</w:t>
      </w:r>
      <w:r w:rsidRPr="0066121D">
        <w:rPr>
          <w:rFonts w:ascii="Times New Roman" w:eastAsia="Times New Roman" w:hAnsi="Times New Roman" w:cs="Times New Roman"/>
          <w:color w:val="000000" w:themeColor="text1"/>
          <w:sz w:val="24"/>
          <w:szCs w:val="24"/>
        </w:rPr>
        <w:t xml:space="preserve"> </w:t>
      </w:r>
    </w:p>
    <w:p w14:paraId="01C67C2F" w14:textId="490A90D1"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CBD4297" w14:textId="062359DC" w:rsidR="00934FDC" w:rsidRPr="0066121D" w:rsidRDefault="760C6097"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da magnitude pretendida pela Administração.</w:t>
      </w:r>
    </w:p>
    <w:p w14:paraId="326E4D46" w14:textId="125B96A6" w:rsidR="00934FDC" w:rsidRPr="0066121D" w:rsidRDefault="00934FDC" w:rsidP="64C763B2">
      <w:pPr>
        <w:spacing w:after="0" w:line="240" w:lineRule="auto"/>
        <w:jc w:val="both"/>
        <w:rPr>
          <w:rFonts w:ascii="Times New Roman" w:eastAsia="Times New Roman" w:hAnsi="Times New Roman" w:cs="Times New Roman"/>
          <w:strike/>
          <w:color w:val="FF0000"/>
          <w:sz w:val="24"/>
          <w:szCs w:val="24"/>
        </w:rPr>
      </w:pPr>
    </w:p>
    <w:p w14:paraId="2D193387" w14:textId="52860C4C" w:rsidR="00934FDC" w:rsidRPr="0066121D" w:rsidRDefault="51650439"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Critérios e práticas de sustentabilidade nas contratações</w:t>
      </w:r>
    </w:p>
    <w:p w14:paraId="4D083B5D" w14:textId="0D296E6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7CA8920F" w14:textId="6D4DEDCF" w:rsidR="00934FDC" w:rsidRPr="0066121D" w:rsidRDefault="1CC373E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Em relação aos critérios e práticas de sustentabilidade (art. 5º, art. 11, IV, art. 18, §1º, XII, e §2º, da Lei nº 14.133, de 2021, art. 7º, XI</w:t>
      </w:r>
      <w:r w:rsidR="00C67CBF">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da Lei nº 12.305, de 2 de agosto de 2010 e art. 9º, II e XII, da IN SEGES nº 58, de 2022), deverão ser tomados os seguintes cuidados gerais:</w:t>
      </w:r>
    </w:p>
    <w:p w14:paraId="03E715BB" w14:textId="364B89FF" w:rsidR="64C763B2" w:rsidRPr="0066121D" w:rsidRDefault="64C763B2" w:rsidP="64C763B2">
      <w:pPr>
        <w:spacing w:after="0" w:line="240" w:lineRule="auto"/>
        <w:ind w:left="2551"/>
        <w:jc w:val="both"/>
        <w:rPr>
          <w:rFonts w:ascii="Times New Roman" w:eastAsia="Times New Roman" w:hAnsi="Times New Roman" w:cs="Times New Roman"/>
          <w:color w:val="000000" w:themeColor="text1"/>
          <w:sz w:val="24"/>
          <w:szCs w:val="24"/>
        </w:rPr>
      </w:pPr>
    </w:p>
    <w:p w14:paraId="4D27CFA3" w14:textId="420F3EA9"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a) definir os critérios e práticas objetivamente no Termo de Referência como especificação técnica do objeto, obrigação da contratada ou requisito previsto em lei especial;</w:t>
      </w:r>
    </w:p>
    <w:p w14:paraId="6120FD47" w14:textId="6BE62754"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b) justificar a exigência nos autos;</w:t>
      </w:r>
    </w:p>
    <w:p w14:paraId="3FE968DC" w14:textId="370BA214"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 xml:space="preserve">c) verificar se os critérios e práticas preservam o caráter competitivo </w:t>
      </w:r>
      <w:r w:rsidR="50112011" w:rsidRPr="00C67CBF">
        <w:rPr>
          <w:rFonts w:ascii="Times New Roman" w:eastAsia="Times New Roman" w:hAnsi="Times New Roman" w:cs="Times New Roman"/>
          <w:color w:val="000000" w:themeColor="text1"/>
          <w:sz w:val="20"/>
          <w:szCs w:val="20"/>
        </w:rPr>
        <w:t>da contratação;</w:t>
      </w:r>
    </w:p>
    <w:p w14:paraId="22DD0CD5" w14:textId="4364AE1F" w:rsidR="00934FDC" w:rsidRPr="00C67CBF" w:rsidRDefault="51650439" w:rsidP="00C67CBF">
      <w:pPr>
        <w:spacing w:after="0" w:line="240" w:lineRule="auto"/>
        <w:ind w:left="2268"/>
        <w:jc w:val="both"/>
        <w:rPr>
          <w:rFonts w:ascii="Times New Roman" w:eastAsia="Times New Roman" w:hAnsi="Times New Roman" w:cs="Times New Roman"/>
          <w:color w:val="000000" w:themeColor="text1"/>
          <w:sz w:val="20"/>
          <w:szCs w:val="20"/>
        </w:rPr>
      </w:pPr>
      <w:r w:rsidRPr="00C67CBF">
        <w:rPr>
          <w:rFonts w:ascii="Times New Roman" w:eastAsia="Times New Roman" w:hAnsi="Times New Roman" w:cs="Times New Roman"/>
          <w:color w:val="000000" w:themeColor="text1"/>
          <w:sz w:val="20"/>
          <w:szCs w:val="20"/>
        </w:rPr>
        <w:t>d) verificar o alinhamento da contratação com o Plano de Gestão de Logística Sustentável.</w:t>
      </w:r>
    </w:p>
    <w:p w14:paraId="0ED2756A" w14:textId="28C25B0B"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039C690" w14:textId="740B9F8A" w:rsidR="00934FDC" w:rsidRPr="0066121D" w:rsidRDefault="76A01510"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Posto isso, para definição dos critérios e práticas de sustentabilidade, recomenda-se consulta ao Guia Nacional de Contratações Sustentáveis, disponibilizado pela Advocacia</w:t>
      </w:r>
      <w:r w:rsidRPr="0066121D">
        <w:rPr>
          <w:rFonts w:ascii="Times New Roman" w:eastAsia="Times New Roman" w:hAnsi="Times New Roman" w:cs="Times New Roman"/>
          <w:strike/>
          <w:color w:val="000000" w:themeColor="text1"/>
          <w:sz w:val="24"/>
          <w:szCs w:val="24"/>
        </w:rPr>
        <w:t>-</w:t>
      </w:r>
      <w:r w:rsidRPr="0066121D">
        <w:rPr>
          <w:rFonts w:ascii="Times New Roman" w:eastAsia="Times New Roman" w:hAnsi="Times New Roman" w:cs="Times New Roman"/>
          <w:color w:val="000000" w:themeColor="text1"/>
          <w:sz w:val="24"/>
          <w:szCs w:val="24"/>
        </w:rPr>
        <w:t>Geral da União em seu sítio eletrônico.</w:t>
      </w:r>
      <w:r w:rsidRPr="0066121D">
        <w:rPr>
          <w:rFonts w:ascii="Times New Roman" w:eastAsia="Times New Roman" w:hAnsi="Times New Roman" w:cs="Times New Roman"/>
          <w:sz w:val="24"/>
          <w:szCs w:val="24"/>
        </w:rPr>
        <w:t xml:space="preserve"> </w:t>
      </w:r>
    </w:p>
    <w:p w14:paraId="428F32B1" w14:textId="647BB6C1" w:rsidR="64C763B2" w:rsidRPr="0066121D" w:rsidRDefault="64C763B2" w:rsidP="64C763B2">
      <w:pPr>
        <w:spacing w:after="0" w:line="240" w:lineRule="auto"/>
        <w:jc w:val="both"/>
        <w:rPr>
          <w:rFonts w:ascii="Times New Roman" w:eastAsia="Times New Roman" w:hAnsi="Times New Roman" w:cs="Times New Roman"/>
          <w:sz w:val="24"/>
          <w:szCs w:val="24"/>
        </w:rPr>
      </w:pPr>
    </w:p>
    <w:p w14:paraId="27DB4741" w14:textId="3B9B5CDD" w:rsidR="00934FDC" w:rsidRPr="0066121D" w:rsidRDefault="1544742E" w:rsidP="64C763B2">
      <w:pPr>
        <w:spacing w:after="0" w:line="240" w:lineRule="auto"/>
        <w:jc w:val="both"/>
        <w:rPr>
          <w:rFonts w:ascii="Times New Roman" w:eastAsia="Times New Roman" w:hAnsi="Times New Roman" w:cs="Times New Roman"/>
          <w:color w:val="FF0000"/>
          <w:sz w:val="24"/>
          <w:szCs w:val="24"/>
        </w:rPr>
      </w:pPr>
      <w:r w:rsidRPr="00A305EE">
        <w:rPr>
          <w:rFonts w:ascii="Times New Roman" w:eastAsia="Times New Roman" w:hAnsi="Times New Roman" w:cs="Times New Roman"/>
          <w:color w:val="FF0000"/>
          <w:sz w:val="24"/>
          <w:szCs w:val="24"/>
          <w:u w:val="single"/>
        </w:rPr>
        <w:t>As contratações de obras e serviços de engenharia devem respeitar, especialmente, as normas relativas a</w:t>
      </w:r>
      <w:r w:rsidRPr="0066121D">
        <w:rPr>
          <w:rFonts w:ascii="Times New Roman" w:eastAsia="Times New Roman" w:hAnsi="Times New Roman" w:cs="Times New Roman"/>
          <w:color w:val="FF0000"/>
          <w:sz w:val="24"/>
          <w:szCs w:val="24"/>
        </w:rPr>
        <w:t xml:space="preserve">: </w:t>
      </w:r>
      <w:r w:rsidRPr="0066121D">
        <w:rPr>
          <w:rFonts w:ascii="Times New Roman" w:eastAsia="Times New Roman" w:hAnsi="Times New Roman" w:cs="Times New Roman"/>
          <w:i/>
          <w:iCs/>
          <w:color w:val="FF0000"/>
          <w:sz w:val="24"/>
          <w:szCs w:val="24"/>
        </w:rPr>
        <w:t>I - disposição final ambientalmente adequada dos resíduos sólidos gerados pelas obras contratadas;</w:t>
      </w:r>
      <w:r w:rsidR="48C50B07" w:rsidRPr="0066121D">
        <w:rPr>
          <w:rFonts w:ascii="Times New Roman" w:eastAsia="Times New Roman" w:hAnsi="Times New Roman" w:cs="Times New Roman"/>
          <w:i/>
          <w:iCs/>
          <w:color w:val="FF0000"/>
          <w:sz w:val="24"/>
          <w:szCs w:val="24"/>
        </w:rPr>
        <w:t xml:space="preserve"> </w:t>
      </w:r>
      <w:r w:rsidRPr="0066121D">
        <w:rPr>
          <w:rFonts w:ascii="Times New Roman" w:eastAsia="Times New Roman" w:hAnsi="Times New Roman" w:cs="Times New Roman"/>
          <w:i/>
          <w:iCs/>
          <w:color w:val="FF0000"/>
          <w:sz w:val="24"/>
          <w:szCs w:val="24"/>
        </w:rPr>
        <w:t>II - mitigação por condicionantes e compensação ambiental, que serão definidas no procedimento de licenciamento ambiental; III - utilização de produtos, de equipamentos e de serviços que, comprovadamente, favoreçam a redução do consumo de energia e de recursos naturais; IV - avaliação de impacto de vizinhança, na forma da legislação urbanística; V - proteção do patrimônio histórico, cultural, arqueológico e imaterial, inclusive por meio da avaliação do impacto direto ou indireto causado pelas obras contratadas; VI - acessibilidade para pessoas com deficiência ou com mobilidade reduzida</w:t>
      </w:r>
      <w:r w:rsidRPr="0066121D">
        <w:rPr>
          <w:rFonts w:ascii="Times New Roman" w:eastAsia="Times New Roman" w:hAnsi="Times New Roman" w:cs="Times New Roman"/>
          <w:color w:val="FF0000"/>
          <w:sz w:val="24"/>
          <w:szCs w:val="24"/>
        </w:rPr>
        <w:t xml:space="preserve"> (art. 45, da Lei n</w:t>
      </w:r>
      <w:r w:rsidR="1BCE82FA" w:rsidRPr="0066121D">
        <w:rPr>
          <w:rFonts w:ascii="Times New Roman" w:eastAsia="Times New Roman" w:hAnsi="Times New Roman" w:cs="Times New Roman"/>
          <w:color w:val="FF0000"/>
          <w:sz w:val="24"/>
          <w:szCs w:val="24"/>
        </w:rPr>
        <w:t>.</w:t>
      </w:r>
      <w:r w:rsidR="0067783B">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14.133, de 2021). </w:t>
      </w:r>
    </w:p>
    <w:p w14:paraId="0B1EC14F" w14:textId="77777777" w:rsidR="00105D92" w:rsidRDefault="00105D92" w:rsidP="64C763B2">
      <w:pPr>
        <w:spacing w:after="0" w:line="240" w:lineRule="auto"/>
        <w:jc w:val="both"/>
        <w:rPr>
          <w:rFonts w:ascii="Times New Roman" w:eastAsia="Times New Roman" w:hAnsi="Times New Roman" w:cs="Times New Roman"/>
          <w:color w:val="FF0000"/>
          <w:sz w:val="24"/>
          <w:szCs w:val="24"/>
        </w:rPr>
      </w:pPr>
    </w:p>
    <w:p w14:paraId="67A717F4" w14:textId="0ED86590" w:rsidR="64C763B2" w:rsidRPr="00CE1024" w:rsidRDefault="76A01510" w:rsidP="00CE1024">
      <w:pPr>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Se a Administração entender que os serviços não se sujeitam a critérios de sustentabilidade, deverá apresentar a devida justificativa.</w:t>
      </w:r>
      <w:r w:rsidR="51650439" w:rsidRPr="0066121D">
        <w:rPr>
          <w:rFonts w:ascii="Times New Roman" w:eastAsia="Times New Roman" w:hAnsi="Times New Roman" w:cs="Times New Roman"/>
          <w:color w:val="000000" w:themeColor="text1"/>
          <w:sz w:val="24"/>
          <w:szCs w:val="24"/>
          <w:highlight w:val="cyan"/>
        </w:rPr>
        <w:t xml:space="preserve"> </w:t>
      </w:r>
    </w:p>
    <w:p w14:paraId="102B76EA" w14:textId="23953226"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lastRenderedPageBreak/>
        <w:t xml:space="preserve">Feitas essas considerações, verifica-se que a Administração incluiu, </w:t>
      </w:r>
      <w:r w:rsidRPr="0066121D">
        <w:rPr>
          <w:rFonts w:ascii="Times New Roman" w:eastAsia="Times New Roman" w:hAnsi="Times New Roman" w:cs="Times New Roman"/>
          <w:color w:val="FF0000"/>
          <w:sz w:val="24"/>
          <w:szCs w:val="24"/>
          <w:highlight w:val="cyan"/>
        </w:rPr>
        <w:t>no item XX do termo de referência/estudos preliminares/edital</w:t>
      </w:r>
      <w:r w:rsidRPr="0066121D">
        <w:rPr>
          <w:rFonts w:ascii="Times New Roman" w:eastAsia="Times New Roman" w:hAnsi="Times New Roman" w:cs="Times New Roman"/>
          <w:color w:val="000000" w:themeColor="text1"/>
          <w:sz w:val="24"/>
          <w:szCs w:val="24"/>
          <w:highlight w:val="cyan"/>
        </w:rPr>
        <w:t>, critérios e práticas de sustentabilidade.</w:t>
      </w:r>
    </w:p>
    <w:p w14:paraId="29D8D957" w14:textId="25EFC8D4" w:rsidR="00934FDC" w:rsidRPr="00887A3C" w:rsidRDefault="51650439" w:rsidP="00887A3C">
      <w:pPr>
        <w:spacing w:after="0" w:line="240" w:lineRule="auto"/>
        <w:ind w:firstLine="708"/>
        <w:jc w:val="both"/>
        <w:rPr>
          <w:rFonts w:ascii="Times New Roman" w:eastAsia="Times New Roman" w:hAnsi="Times New Roman" w:cs="Times New Roman"/>
          <w:b/>
          <w:bCs/>
          <w:sz w:val="24"/>
          <w:szCs w:val="24"/>
          <w:highlight w:val="cyan"/>
          <w:u w:val="single"/>
        </w:rPr>
      </w:pPr>
      <w:r w:rsidRPr="00887A3C">
        <w:rPr>
          <w:rFonts w:ascii="Times New Roman" w:eastAsia="Times New Roman" w:hAnsi="Times New Roman" w:cs="Times New Roman"/>
          <w:b/>
          <w:bCs/>
          <w:sz w:val="24"/>
          <w:szCs w:val="24"/>
          <w:highlight w:val="cyan"/>
          <w:u w:val="single"/>
        </w:rPr>
        <w:t>OU</w:t>
      </w:r>
    </w:p>
    <w:p w14:paraId="74A7609E" w14:textId="45B1CFAA" w:rsidR="00934FDC" w:rsidRPr="0066121D" w:rsidRDefault="51650439" w:rsidP="009115B6">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 xml:space="preserve">Feitas essas considerações, verifica-se que a Administração justificou, </w:t>
      </w:r>
      <w:r w:rsidRPr="5D8365CD">
        <w:rPr>
          <w:rFonts w:ascii="Times New Roman" w:eastAsia="Times New Roman" w:hAnsi="Times New Roman" w:cs="Times New Roman"/>
          <w:color w:val="FF0000"/>
          <w:sz w:val="24"/>
          <w:szCs w:val="24"/>
          <w:highlight w:val="cyan"/>
        </w:rPr>
        <w:t>às fls.</w:t>
      </w:r>
      <w:r w:rsidRPr="5D8365CD">
        <w:rPr>
          <w:rFonts w:ascii="Times New Roman" w:eastAsia="Times New Roman" w:hAnsi="Times New Roman" w:cs="Times New Roman"/>
          <w:color w:val="000000" w:themeColor="text1"/>
          <w:sz w:val="24"/>
          <w:szCs w:val="24"/>
        </w:rPr>
        <w:t xml:space="preserve"> </w:t>
      </w:r>
      <w:r w:rsidRPr="5D8365CD">
        <w:rPr>
          <w:rFonts w:ascii="Times New Roman" w:eastAsia="Times New Roman" w:hAnsi="Times New Roman" w:cs="Times New Roman"/>
          <w:color w:val="FF0000"/>
          <w:sz w:val="24"/>
          <w:szCs w:val="24"/>
          <w:highlight w:val="cyan"/>
        </w:rPr>
        <w:t>XXX/no doc. SEI n. XXX</w:t>
      </w:r>
      <w:r w:rsidRPr="5D8365CD">
        <w:rPr>
          <w:rFonts w:ascii="Times New Roman" w:eastAsia="Times New Roman" w:hAnsi="Times New Roman" w:cs="Times New Roman"/>
          <w:color w:val="000000" w:themeColor="text1"/>
          <w:sz w:val="24"/>
          <w:szCs w:val="24"/>
          <w:highlight w:val="cyan"/>
        </w:rPr>
        <w:t>, a não exigência dos critérios e práticas de sustentabilidade.</w:t>
      </w:r>
    </w:p>
    <w:p w14:paraId="6D159756" w14:textId="3F03F170" w:rsidR="00934FDC" w:rsidRPr="00887A3C" w:rsidRDefault="51650439" w:rsidP="00887A3C">
      <w:pPr>
        <w:spacing w:after="0" w:line="240" w:lineRule="auto"/>
        <w:ind w:firstLine="708"/>
        <w:jc w:val="both"/>
        <w:rPr>
          <w:rFonts w:ascii="Times New Roman" w:eastAsia="Times New Roman" w:hAnsi="Times New Roman" w:cs="Times New Roman"/>
          <w:b/>
          <w:bCs/>
          <w:sz w:val="24"/>
          <w:szCs w:val="24"/>
          <w:highlight w:val="cyan"/>
          <w:u w:val="single"/>
        </w:rPr>
      </w:pPr>
      <w:r w:rsidRPr="00887A3C">
        <w:rPr>
          <w:rFonts w:ascii="Times New Roman" w:eastAsia="Times New Roman" w:hAnsi="Times New Roman" w:cs="Times New Roman"/>
          <w:b/>
          <w:bCs/>
          <w:sz w:val="24"/>
          <w:szCs w:val="24"/>
          <w:highlight w:val="cyan"/>
          <w:u w:val="single"/>
        </w:rPr>
        <w:t>OU</w:t>
      </w:r>
    </w:p>
    <w:p w14:paraId="206A86B8" w14:textId="06C0F9C2" w:rsidR="00934FDC" w:rsidRPr="0066121D" w:rsidRDefault="51650439" w:rsidP="009115B6">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Feitas essas considerações, verifica-se que a Administração precisa atender às exigências salientadas acima, pois nem teceu considerações sobre os requisitos de sustentabilidade ambiental, nem justificou a sua não incidência.</w:t>
      </w:r>
    </w:p>
    <w:p w14:paraId="63F6E50C" w14:textId="340AF48A" w:rsidR="00934FDC" w:rsidRPr="0066121D" w:rsidRDefault="00934FDC" w:rsidP="64C763B2">
      <w:pPr>
        <w:spacing w:after="0" w:line="240" w:lineRule="auto"/>
        <w:rPr>
          <w:rFonts w:ascii="Times New Roman" w:eastAsia="Times New Roman" w:hAnsi="Times New Roman" w:cs="Times New Roman"/>
          <w:b/>
          <w:bCs/>
          <w:color w:val="000000" w:themeColor="text1"/>
          <w:sz w:val="24"/>
          <w:szCs w:val="24"/>
        </w:rPr>
      </w:pPr>
    </w:p>
    <w:p w14:paraId="6462EC65" w14:textId="4CD0DFF6" w:rsidR="0BE75029" w:rsidRPr="0066121D" w:rsidRDefault="1E267BAC"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Do orçamento da contratação, da obrigatoriedade de elaboração de planilhas e da justificativa de preço </w:t>
      </w:r>
    </w:p>
    <w:p w14:paraId="48A218DD" w14:textId="5396DE54"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553CBD6" w14:textId="48905114"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Quanto ao orçamento, </w:t>
      </w:r>
      <w:r w:rsidRPr="0066121D">
        <w:rPr>
          <w:rFonts w:ascii="Times New Roman" w:eastAsia="Times New Roman" w:hAnsi="Times New Roman" w:cs="Times New Roman"/>
          <w:b/>
          <w:bCs/>
          <w:color w:val="000000" w:themeColor="text1"/>
          <w:sz w:val="24"/>
          <w:szCs w:val="24"/>
        </w:rPr>
        <w:t>é dever da Administração, elaborar planilha detalhada com a consolidação dos quantitativos e preços unitários e total da contratação</w:t>
      </w:r>
      <w:r w:rsidRPr="0066121D">
        <w:rPr>
          <w:rFonts w:ascii="Times New Roman" w:eastAsia="Times New Roman" w:hAnsi="Times New Roman" w:cs="Times New Roman"/>
          <w:color w:val="000000" w:themeColor="text1"/>
          <w:sz w:val="24"/>
          <w:szCs w:val="24"/>
        </w:rPr>
        <w:t xml:space="preserve"> (art. 6º, XXIII, "i", art. 18, IV, e § 1º, VI, art. 72, II, da Lei nº 14.133, de 2021). </w:t>
      </w:r>
    </w:p>
    <w:p w14:paraId="635D6464" w14:textId="721BB87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0A22D5EC" w14:textId="00BB5F96"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Tendo em conta a natureza estritamente técnica do orçamento, a adequação da metodologia empregada para estimar o valor de mercado do objeto contratual deixará de ser examinada por esse órgão jurídico, posto ser atribuição não afeta à formação jurídica e ao prisma do exame da estrita legalidade. </w:t>
      </w:r>
    </w:p>
    <w:p w14:paraId="3697305F" w14:textId="40C93CD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7CCE1CD7" w14:textId="0A1B84D7" w:rsidR="002C47D5"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 contratação por inexigibilidade de licitação não dispensa a justificativa do preço (art. 72, VII, da Lei n</w:t>
      </w:r>
      <w:r w:rsidR="2663AC9D" w:rsidRPr="0066121D">
        <w:rPr>
          <w:rFonts w:ascii="Times New Roman" w:eastAsia="Times New Roman" w:hAnsi="Times New Roman" w:cs="Times New Roman"/>
          <w:color w:val="000000" w:themeColor="text1"/>
          <w:sz w:val="24"/>
          <w:szCs w:val="24"/>
        </w:rPr>
        <w:t>.</w:t>
      </w:r>
      <w:r w:rsidR="0006216D">
        <w:rPr>
          <w:rFonts w:ascii="Times New Roman" w:eastAsia="Times New Roman" w:hAnsi="Times New Roman" w:cs="Times New Roman"/>
          <w:color w:val="000000" w:themeColor="text1"/>
          <w:sz w:val="24"/>
          <w:szCs w:val="24"/>
        </w:rPr>
        <w:t>º</w:t>
      </w:r>
      <w:r w:rsidRPr="0066121D">
        <w:rPr>
          <w:rFonts w:ascii="Times New Roman" w:eastAsia="Times New Roman" w:hAnsi="Times New Roman" w:cs="Times New Roman"/>
          <w:color w:val="000000" w:themeColor="text1"/>
          <w:sz w:val="24"/>
          <w:szCs w:val="24"/>
        </w:rPr>
        <w:t xml:space="preserve"> 14.133, de 2021). Assim, deve a Administração verificar se o preço a ser contratado encontra-se em consonância com o valor de mercado, por exemplo, com os demais valores pagos pela Administração Pública em contratações similares, de forma que não exista superfaturamento.  </w:t>
      </w:r>
      <w:r w:rsidR="00BC26F8">
        <w:rPr>
          <w:rFonts w:ascii="Times New Roman" w:eastAsia="Times New Roman" w:hAnsi="Times New Roman" w:cs="Times New Roman"/>
          <w:color w:val="000000" w:themeColor="text1"/>
          <w:sz w:val="24"/>
          <w:szCs w:val="24"/>
        </w:rPr>
        <w:br/>
      </w:r>
    </w:p>
    <w:p w14:paraId="6384CA97" w14:textId="7CF2770D" w:rsidR="0BE75029" w:rsidRPr="0066121D" w:rsidRDefault="1E267BAC"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 pesquisa de mercado nas contratações diretas é tratada na Lei n.</w:t>
      </w:r>
      <w:r w:rsidR="00087A8F">
        <w:rPr>
          <w:rFonts w:ascii="Times New Roman" w:eastAsia="Times New Roman" w:hAnsi="Times New Roman" w:cs="Times New Roman"/>
          <w:color w:val="000000" w:themeColor="text1"/>
          <w:sz w:val="24"/>
          <w:szCs w:val="24"/>
        </w:rPr>
        <w:t>º</w:t>
      </w:r>
      <w:r w:rsidRPr="0066121D">
        <w:rPr>
          <w:rFonts w:ascii="Times New Roman" w:eastAsia="Times New Roman" w:hAnsi="Times New Roman" w:cs="Times New Roman"/>
          <w:color w:val="000000" w:themeColor="text1"/>
          <w:sz w:val="24"/>
          <w:szCs w:val="24"/>
        </w:rPr>
        <w:t xml:space="preserve"> 14.133, de 2021:  </w:t>
      </w:r>
    </w:p>
    <w:p w14:paraId="54ABCFE0" w14:textId="18BB6CB2"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38C3EE1" w14:textId="56B7AFFA" w:rsidR="0BE75029" w:rsidRPr="00087A8F" w:rsidRDefault="1E267BAC" w:rsidP="00087A8F">
      <w:pPr>
        <w:spacing w:after="0" w:line="240" w:lineRule="auto"/>
        <w:ind w:left="2268"/>
        <w:jc w:val="both"/>
        <w:rPr>
          <w:rFonts w:ascii="Times New Roman" w:eastAsia="Times New Roman" w:hAnsi="Times New Roman" w:cs="Times New Roman"/>
          <w:color w:val="000000" w:themeColor="text1"/>
          <w:sz w:val="20"/>
          <w:szCs w:val="20"/>
        </w:rPr>
      </w:pPr>
      <w:r w:rsidRPr="00087A8F">
        <w:rPr>
          <w:rFonts w:ascii="Times New Roman" w:eastAsia="Times New Roman" w:hAnsi="Times New Roman" w:cs="Times New Roman"/>
          <w:color w:val="000000" w:themeColor="text1"/>
          <w:sz w:val="20"/>
          <w:szCs w:val="20"/>
        </w:rPr>
        <w:t xml:space="preserve">Art. 23 (...) § 4º </w:t>
      </w:r>
      <w:r w:rsidRPr="00087A8F">
        <w:rPr>
          <w:rFonts w:ascii="Times New Roman" w:eastAsia="Times New Roman" w:hAnsi="Times New Roman" w:cs="Times New Roman"/>
          <w:b/>
          <w:bCs/>
          <w:color w:val="000000" w:themeColor="text1"/>
          <w:sz w:val="20"/>
          <w:szCs w:val="20"/>
        </w:rPr>
        <w:t>Nas contratações diretas por inexigibilidade ou por dispensa,</w:t>
      </w:r>
      <w:r w:rsidRPr="00087A8F">
        <w:rPr>
          <w:rFonts w:ascii="Times New Roman" w:eastAsia="Times New Roman" w:hAnsi="Times New Roman" w:cs="Times New Roman"/>
          <w:color w:val="000000" w:themeColor="text1"/>
          <w:sz w:val="20"/>
          <w:szCs w:val="20"/>
        </w:rPr>
        <w:t xml:space="preserve"> quando não for possível estimar o valor do objeto na forma estabelecida nos §§ 1º, 2º e 3º deste artigo, 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 ou por outro meio idôneo.</w:t>
      </w:r>
    </w:p>
    <w:p w14:paraId="45EF9FAB" w14:textId="66B03C75" w:rsidR="67ED0628" w:rsidRPr="0066121D" w:rsidRDefault="67ED0628" w:rsidP="64C763B2">
      <w:pPr>
        <w:spacing w:after="0" w:line="240" w:lineRule="auto"/>
        <w:jc w:val="both"/>
        <w:rPr>
          <w:rFonts w:ascii="Times New Roman" w:eastAsia="Times New Roman" w:hAnsi="Times New Roman" w:cs="Times New Roman"/>
          <w:b/>
          <w:bCs/>
          <w:color w:val="000000" w:themeColor="text1"/>
          <w:sz w:val="24"/>
          <w:szCs w:val="24"/>
          <w:highlight w:val="yellow"/>
        </w:rPr>
      </w:pPr>
    </w:p>
    <w:tbl>
      <w:tblPr>
        <w:tblStyle w:val="Tabelacomgrade"/>
        <w:tblW w:w="9128" w:type="dxa"/>
        <w:tblLayout w:type="fixed"/>
        <w:tblLook w:val="06A0" w:firstRow="1" w:lastRow="0" w:firstColumn="1" w:lastColumn="0" w:noHBand="1" w:noVBand="1"/>
      </w:tblPr>
      <w:tblGrid>
        <w:gridCol w:w="9128"/>
      </w:tblGrid>
      <w:tr w:rsidR="67ED0628" w:rsidRPr="0066121D" w14:paraId="04E87893" w14:textId="77777777" w:rsidTr="64C763B2">
        <w:trPr>
          <w:trHeight w:val="300"/>
        </w:trPr>
        <w:tc>
          <w:tcPr>
            <w:tcW w:w="9128" w:type="dxa"/>
          </w:tcPr>
          <w:p w14:paraId="3C20F2CC" w14:textId="28244B5A" w:rsidR="7F9AD0AF" w:rsidRPr="0066121D" w:rsidRDefault="3E3AD222"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Em se tratando de </w:t>
            </w:r>
            <w:r w:rsidRPr="0066121D">
              <w:rPr>
                <w:rFonts w:ascii="Times New Roman" w:eastAsia="Times New Roman" w:hAnsi="Times New Roman" w:cs="Times New Roman"/>
                <w:b/>
                <w:bCs/>
                <w:color w:val="000000" w:themeColor="text1"/>
                <w:sz w:val="24"/>
                <w:szCs w:val="24"/>
                <w:highlight w:val="yellow"/>
              </w:rPr>
              <w:t>aquisições ou serviços sem dedicação exclusiva</w:t>
            </w:r>
            <w:r w:rsidRPr="0066121D">
              <w:rPr>
                <w:rFonts w:ascii="Times New Roman" w:eastAsia="Times New Roman" w:hAnsi="Times New Roman" w:cs="Times New Roman"/>
                <w:color w:val="000000" w:themeColor="text1"/>
                <w:sz w:val="24"/>
                <w:szCs w:val="24"/>
                <w:highlight w:val="yellow"/>
              </w:rPr>
              <w:t>, utilizar a redação em vermelho abaixo.</w:t>
            </w:r>
          </w:p>
        </w:tc>
      </w:tr>
    </w:tbl>
    <w:p w14:paraId="2D364079" w14:textId="77777777" w:rsidR="00105D92" w:rsidRDefault="00105D92" w:rsidP="64C763B2">
      <w:pPr>
        <w:spacing w:after="0" w:line="240" w:lineRule="auto"/>
        <w:jc w:val="both"/>
        <w:rPr>
          <w:rFonts w:ascii="Times New Roman" w:eastAsia="Times New Roman" w:hAnsi="Times New Roman" w:cs="Times New Roman"/>
          <w:color w:val="FF0000"/>
          <w:sz w:val="24"/>
          <w:szCs w:val="24"/>
        </w:rPr>
      </w:pPr>
    </w:p>
    <w:p w14:paraId="1DAD506B" w14:textId="5E4533AF" w:rsidR="00105D92" w:rsidRDefault="1E267BAC" w:rsidP="00CE1024">
      <w:pPr>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Nos termos do art. 7º, </w:t>
      </w:r>
      <w:r w:rsidRPr="00465692">
        <w:rPr>
          <w:rFonts w:ascii="Times New Roman" w:eastAsia="Times New Roman" w:hAnsi="Times New Roman" w:cs="Times New Roman"/>
          <w:i/>
          <w:iCs/>
          <w:color w:val="FF0000"/>
          <w:sz w:val="24"/>
          <w:szCs w:val="24"/>
        </w:rPr>
        <w:t>caput</w:t>
      </w:r>
      <w:r w:rsidRPr="0066121D">
        <w:rPr>
          <w:rFonts w:ascii="Times New Roman" w:eastAsia="Times New Roman" w:hAnsi="Times New Roman" w:cs="Times New Roman"/>
          <w:color w:val="FF0000"/>
          <w:sz w:val="24"/>
          <w:szCs w:val="24"/>
        </w:rPr>
        <w:t xml:space="preserve">, da IN SEGES/ME nº 65, de 2021, nas contratações diretas por inexigibilidade ou por dispensa de licitação, aplica-se o disposto no art. 5º da IN SEGES/ME nº 65, de 2021. </w:t>
      </w:r>
    </w:p>
    <w:p w14:paraId="71CE301E" w14:textId="77777777" w:rsidR="00CE1024" w:rsidRDefault="00CE102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267DDB47" w14:textId="1FDCB9BC" w:rsidR="0BE75029" w:rsidRPr="0066121D" w:rsidRDefault="1E267BA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 xml:space="preserve">Quando não for possível estimar o valor do objeto na forma estabelecida no art. 5º da IN SEGES/ME nº 65, de 2021, a justificativa de preços será dada com base em valores de contratações de objetos idênticos, comercializados pela futura contratada, por meio da apresentação de notas fiscais emitidas para outros contratantes, públicos ou privados, no período de até 1 (um) ano anterior à data da contratação pela Administração, ou por outro meio idôneo (art. 7º, § 1º, da IN SEGES/ME nº 65, de 2021).  </w:t>
      </w:r>
    </w:p>
    <w:p w14:paraId="2E5B57FF" w14:textId="785ED01B"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1C691F1" w14:textId="68EE8EFC" w:rsidR="0BE75029" w:rsidRPr="0066121D" w:rsidRDefault="1E267BA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Excepcionalmente, caso a futura contratada não tenha comercializado o objeto anteriormente, a justificativa de preço de que trata o caput pode ser realizada com objetos de mesma natureza, devendo apresentar especificações técnicas que demonstrem similaridade com o objeto pretendido (art. 7º, § 2º, da IN SEGES/ME nº 65, de 2021).  </w:t>
      </w:r>
    </w:p>
    <w:p w14:paraId="26A08031" w14:textId="4DE1A4F4"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p>
    <w:p w14:paraId="6922732C" w14:textId="249073FB"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 xml:space="preserve">Dessa forma, a pesquisa de preços deverá ser executada de acordo com a IN SEGES/ME nº 65, de 2021. </w:t>
      </w:r>
      <w:r w:rsidRPr="0066121D">
        <w:rPr>
          <w:rFonts w:ascii="Times New Roman" w:eastAsia="Times New Roman" w:hAnsi="Times New Roman" w:cs="Times New Roman"/>
          <w:color w:val="FF0000"/>
          <w:sz w:val="24"/>
          <w:szCs w:val="24"/>
        </w:rPr>
        <w:t>Em especial, deverão ser cumpridas as orientações abaixo:</w:t>
      </w:r>
    </w:p>
    <w:p w14:paraId="2CD9788B" w14:textId="4DA1B4EC" w:rsidR="0BE75029" w:rsidRPr="0066121D" w:rsidRDefault="0BE75029" w:rsidP="64C763B2">
      <w:pPr>
        <w:spacing w:after="0" w:line="240" w:lineRule="auto"/>
        <w:jc w:val="both"/>
        <w:rPr>
          <w:rFonts w:ascii="Times New Roman" w:eastAsia="Times New Roman" w:hAnsi="Times New Roman" w:cs="Times New Roman"/>
          <w:sz w:val="24"/>
          <w:szCs w:val="24"/>
        </w:rPr>
      </w:pPr>
    </w:p>
    <w:p w14:paraId="12D2E529" w14:textId="0EF7E61D"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a pesquisa de preços deve contemplar bens cujas especificações guardam identidade com as daqueles efetivamente desejados, evitando a comparação entre bens que não sejam equivalentes;</w:t>
      </w:r>
    </w:p>
    <w:p w14:paraId="2AE1D6CC" w14:textId="167B50F4"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 xml:space="preserve"> a pesquisa de preços será materializada em documento que conterá, no mínimo: identificação do(s) agente(s) responsável(</w:t>
      </w:r>
      <w:proofErr w:type="spellStart"/>
      <w:r w:rsidRPr="00183FB7">
        <w:rPr>
          <w:rFonts w:ascii="Times New Roman" w:eastAsia="Times New Roman" w:hAnsi="Times New Roman" w:cs="Times New Roman"/>
          <w:color w:val="FF0000"/>
          <w:sz w:val="20"/>
          <w:szCs w:val="20"/>
        </w:rPr>
        <w:t>is</w:t>
      </w:r>
      <w:proofErr w:type="spellEnd"/>
      <w:r w:rsidRPr="00183FB7">
        <w:rPr>
          <w:rFonts w:ascii="Times New Roman" w:eastAsia="Times New Roman" w:hAnsi="Times New Roman" w:cs="Times New Roman"/>
          <w:color w:val="FF0000"/>
          <w:sz w:val="20"/>
          <w:szCs w:val="20"/>
        </w:rPr>
        <w:t>)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p>
    <w:p w14:paraId="0D8B74F4" w14:textId="274CE972"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 xml:space="preserve">na pesquisa de preços será realizada mediante a utilização dos parâmetros, empregados de forma combinada ou não (art. 5º). </w:t>
      </w:r>
    </w:p>
    <w:p w14:paraId="1E0A02C4" w14:textId="0923FD4B"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w:t>
      </w:r>
    </w:p>
    <w:p w14:paraId="4748DC37" w14:textId="77777777" w:rsidR="00CE1024" w:rsidRDefault="5AA203E3" w:rsidP="00CE1024">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 xml:space="preserve">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782894BF" w14:textId="77777777" w:rsidR="00CE1024" w:rsidRDefault="00CE1024">
      <w:pP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br w:type="page"/>
      </w:r>
    </w:p>
    <w:p w14:paraId="051F5621" w14:textId="5134F85B" w:rsidR="002C47D5" w:rsidRPr="00CE1024" w:rsidRDefault="5AA203E3" w:rsidP="00CE1024">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CE1024">
        <w:rPr>
          <w:rFonts w:ascii="Times New Roman" w:eastAsia="Times New Roman" w:hAnsi="Times New Roman" w:cs="Times New Roman"/>
          <w:color w:val="FF0000"/>
          <w:sz w:val="20"/>
          <w:szCs w:val="20"/>
        </w:rPr>
        <w:lastRenderedPageBreak/>
        <w:t>entre as fontes da pesquisa de preços, devem ser priorizadas a “</w:t>
      </w:r>
      <w:r w:rsidRPr="00CE1024">
        <w:rPr>
          <w:rFonts w:ascii="Times New Roman" w:eastAsia="Times New Roman" w:hAnsi="Times New Roman" w:cs="Times New Roman"/>
          <w:i/>
          <w:iCs/>
          <w:color w:val="FF0000"/>
          <w:sz w:val="20"/>
          <w:szCs w:val="20"/>
        </w:rPr>
        <w:t>composição de custos unitários menores ou iguais à mediana do item correspondente nos sistemas oficiais de governo, como Painel de Preços ou banco de preços em saúde, observado o índice de atualização de preços correspondente</w:t>
      </w:r>
      <w:r w:rsidRPr="00CE1024">
        <w:rPr>
          <w:rFonts w:ascii="Times New Roman" w:eastAsia="Times New Roman" w:hAnsi="Times New Roman" w:cs="Times New Roman"/>
          <w:color w:val="FF0000"/>
          <w:sz w:val="20"/>
          <w:szCs w:val="20"/>
        </w:rPr>
        <w:t>” e as “</w:t>
      </w:r>
      <w:r w:rsidRPr="00CE1024">
        <w:rPr>
          <w:rFonts w:ascii="Times New Roman" w:eastAsia="Times New Roman" w:hAnsi="Times New Roman" w:cs="Times New Roman"/>
          <w:i/>
          <w:iCs/>
          <w:color w:val="FF0000"/>
          <w:sz w:val="20"/>
          <w:szCs w:val="20"/>
        </w:rPr>
        <w:t>contratações similares feitas pela Administração Pública, em execução ou concluídas no período de 1 (um) ano anterior à data da pesquisa de preços, inclusive mediante sistema de registro de preços, observado o índice de atualização de preços correspondente</w:t>
      </w:r>
      <w:r w:rsidRPr="00CE1024">
        <w:rPr>
          <w:rFonts w:ascii="Times New Roman" w:eastAsia="Times New Roman" w:hAnsi="Times New Roman" w:cs="Times New Roman"/>
          <w:color w:val="FF0000"/>
          <w:sz w:val="20"/>
          <w:szCs w:val="20"/>
        </w:rPr>
        <w:t xml:space="preserve">”, </w:t>
      </w:r>
      <w:r w:rsidRPr="00CE1024">
        <w:rPr>
          <w:rFonts w:ascii="Times New Roman" w:eastAsia="Times New Roman" w:hAnsi="Times New Roman" w:cs="Times New Roman"/>
          <w:b/>
          <w:bCs/>
          <w:color w:val="FF0000"/>
          <w:sz w:val="20"/>
          <w:szCs w:val="20"/>
        </w:rPr>
        <w:t>em detrimento</w:t>
      </w:r>
      <w:r w:rsidRPr="00CE1024">
        <w:rPr>
          <w:rFonts w:ascii="Times New Roman" w:eastAsia="Times New Roman" w:hAnsi="Times New Roman" w:cs="Times New Roman"/>
          <w:color w:val="FF0000"/>
          <w:sz w:val="20"/>
          <w:szCs w:val="20"/>
        </w:rPr>
        <w:t xml:space="preserve"> da “</w:t>
      </w:r>
      <w:r w:rsidRPr="00CE1024">
        <w:rPr>
          <w:rFonts w:ascii="Times New Roman" w:eastAsia="Times New Roman" w:hAnsi="Times New Roman" w:cs="Times New Roman"/>
          <w:i/>
          <w:iCs/>
          <w:color w:val="FF0000"/>
          <w:sz w:val="20"/>
          <w:szCs w:val="20"/>
        </w:rPr>
        <w:t>pesquisa publicada em mídia especializada, de tabela de referência formalmente aprovada pelo Poder Executivo federal e de sítios eletrônicos especializados ou de domínio amplo</w:t>
      </w:r>
      <w:r w:rsidRPr="00CE1024">
        <w:rPr>
          <w:rFonts w:ascii="Times New Roman" w:eastAsia="Times New Roman" w:hAnsi="Times New Roman" w:cs="Times New Roman"/>
          <w:color w:val="FF0000"/>
          <w:sz w:val="20"/>
          <w:szCs w:val="20"/>
        </w:rPr>
        <w:t>”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w:t>
      </w:r>
    </w:p>
    <w:p w14:paraId="454196B9" w14:textId="79747E54"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p>
    <w:p w14:paraId="43656D98" w14:textId="4A642D17"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somente em casos excepcionais, será admitida a determinação de preço estimado com base em menos de três preços, desde que devidamente justificada nos autos pelo gestor responsável e aprovada pela autoridade competente (art. 6º, § 5º);</w:t>
      </w:r>
    </w:p>
    <w:p w14:paraId="4E07477E" w14:textId="788CF270"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183FB7">
        <w:rPr>
          <w:rFonts w:ascii="Times New Roman" w:eastAsia="Times New Roman" w:hAnsi="Times New Roman" w:cs="Times New Roman"/>
          <w:color w:val="FF0000"/>
          <w:sz w:val="20"/>
          <w:szCs w:val="20"/>
        </w:rPr>
        <w:t>justificar a metodologia empregada para a estimativa dos custos da contratação (art. 6º, §§ 1º, 2º e 3º).</w:t>
      </w:r>
    </w:p>
    <w:p w14:paraId="03A7D86B" w14:textId="1B3CC1FC" w:rsidR="0BE75029" w:rsidRPr="00183FB7" w:rsidRDefault="5AA203E3" w:rsidP="00183FB7">
      <w:pPr>
        <w:pStyle w:val="PargrafodaLista"/>
        <w:numPr>
          <w:ilvl w:val="2"/>
          <w:numId w:val="1"/>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183FB7">
        <w:rPr>
          <w:rFonts w:ascii="Times New Roman" w:eastAsia="Times New Roman" w:hAnsi="Times New Roman" w:cs="Times New Roman"/>
          <w:color w:val="FF0000"/>
          <w:sz w:val="20"/>
          <w:szCs w:val="20"/>
        </w:rPr>
        <w:t xml:space="preserve">o preço estimado da contratação poderá ser obtido, ainda, acrescentando ou subtraindo determinado percentual, de forma a aliar a atratividade do mercado e mitigar o risco de sobrepreço (art. 6º, §2). </w:t>
      </w:r>
      <w:r w:rsidRPr="00183FB7">
        <w:rPr>
          <w:rFonts w:ascii="Times New Roman" w:eastAsia="Times New Roman" w:hAnsi="Times New Roman" w:cs="Times New Roman"/>
          <w:color w:val="000000" w:themeColor="text1"/>
          <w:sz w:val="20"/>
          <w:szCs w:val="20"/>
        </w:rPr>
        <w:t xml:space="preserve"> </w:t>
      </w:r>
    </w:p>
    <w:p w14:paraId="70F38056" w14:textId="5341FAD3" w:rsidR="0BE75029" w:rsidRPr="0066121D" w:rsidRDefault="0BE75029" w:rsidP="64C763B2">
      <w:pPr>
        <w:spacing w:after="0" w:line="240" w:lineRule="auto"/>
        <w:ind w:left="1440"/>
        <w:jc w:val="both"/>
        <w:rPr>
          <w:rFonts w:ascii="Times New Roman" w:eastAsia="Times New Roman" w:hAnsi="Times New Roman" w:cs="Times New Roman"/>
          <w:color w:val="FF0000"/>
          <w:sz w:val="24"/>
          <w:szCs w:val="24"/>
        </w:rPr>
      </w:pPr>
    </w:p>
    <w:p w14:paraId="65490337" w14:textId="69A3A9EF"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Adicionalmente, é recomendável que a pesquisa de preços reflita o valor praticado na praça em que será prestado o serviço ou fornecido o produto, refletindo, tanto quanto possível, o valor de mercado da localidade onde será realizada a contratação.</w:t>
      </w:r>
    </w:p>
    <w:p w14:paraId="02A3536D" w14:textId="7CD4A956"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0CED3B55" w14:textId="04912405"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w:t>
      </w:r>
    </w:p>
    <w:p w14:paraId="2BFEBBFA" w14:textId="29E78065" w:rsidR="64C763B2" w:rsidRPr="0066121D" w:rsidRDefault="64C763B2" w:rsidP="64C763B2">
      <w:pPr>
        <w:spacing w:after="0" w:line="240" w:lineRule="auto"/>
        <w:jc w:val="both"/>
        <w:rPr>
          <w:rFonts w:ascii="Times New Roman" w:eastAsia="Times New Roman" w:hAnsi="Times New Roman" w:cs="Times New Roman"/>
          <w:color w:val="FF0000"/>
          <w:sz w:val="24"/>
          <w:szCs w:val="24"/>
          <w:highlight w:val="cyan"/>
        </w:rPr>
      </w:pPr>
    </w:p>
    <w:p w14:paraId="51554C35" w14:textId="08F85FC5" w:rsidR="0BE75029" w:rsidRPr="0066121D" w:rsidRDefault="5AA203E3"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Verifica-se que foram estimados os custos unitário e total da contratação às fls. XXX/no doc. SEI n. XX, a partir dos dados coletados por meio de pesquisa de preços, havendo a Administração emitido manifestação técnica conclusiva, contendo a análise crítica dos preços obtidos.</w:t>
      </w:r>
    </w:p>
    <w:p w14:paraId="25B3E6AE" w14:textId="64C90482" w:rsidR="002C47D5" w:rsidRPr="00105D92" w:rsidRDefault="5AA203E3" w:rsidP="00105D92">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1C151C">
        <w:rPr>
          <w:rFonts w:ascii="Times New Roman" w:eastAsia="Times New Roman" w:hAnsi="Times New Roman" w:cs="Times New Roman"/>
          <w:b/>
          <w:bCs/>
          <w:color w:val="FF0000"/>
          <w:sz w:val="24"/>
          <w:szCs w:val="24"/>
          <w:highlight w:val="cyan"/>
          <w:u w:val="single"/>
        </w:rPr>
        <w:t>OU</w:t>
      </w:r>
    </w:p>
    <w:p w14:paraId="017FD5F2" w14:textId="30C58CB6" w:rsidR="0BE75029" w:rsidRPr="0066121D" w:rsidRDefault="5AA203E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 xml:space="preserve">No caso, não há qualquer justificativa do preço nos autos. Necessário, pois, que o órgão assessorado a providencie,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p>
    <w:p w14:paraId="13E277A0" w14:textId="760BE15E" w:rsidR="0BE75029" w:rsidRPr="001C151C" w:rsidRDefault="5AA203E3" w:rsidP="001C151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1C151C">
        <w:rPr>
          <w:rFonts w:ascii="Times New Roman" w:eastAsia="Times New Roman" w:hAnsi="Times New Roman" w:cs="Times New Roman"/>
          <w:b/>
          <w:bCs/>
          <w:color w:val="FF0000"/>
          <w:sz w:val="24"/>
          <w:szCs w:val="24"/>
          <w:highlight w:val="cyan"/>
          <w:u w:val="single"/>
        </w:rPr>
        <w:t xml:space="preserve">OU </w:t>
      </w:r>
    </w:p>
    <w:p w14:paraId="5C8421BB" w14:textId="171B7DCE" w:rsidR="0BE75029" w:rsidRPr="0066121D" w:rsidRDefault="5AA203E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lastRenderedPageBreak/>
        <w:t xml:space="preserve">No caso dos autos, a justificativa do preço foi anexada às fls. XXX/ao doc. SEI n. XXX, mas parece não atender satisfatoriamente às premissas aqui recomendadas. Necessário, pois, que o órgão a complemente,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p>
    <w:p w14:paraId="652CAD87" w14:textId="40D1C69D" w:rsidR="0BE75029" w:rsidRPr="001C151C" w:rsidRDefault="5AA203E3" w:rsidP="001C151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1C151C">
        <w:rPr>
          <w:rFonts w:ascii="Times New Roman" w:eastAsia="Times New Roman" w:hAnsi="Times New Roman" w:cs="Times New Roman"/>
          <w:b/>
          <w:bCs/>
          <w:color w:val="FF0000"/>
          <w:sz w:val="24"/>
          <w:szCs w:val="24"/>
          <w:highlight w:val="cyan"/>
          <w:u w:val="single"/>
        </w:rPr>
        <w:t xml:space="preserve">OU   </w:t>
      </w:r>
    </w:p>
    <w:p w14:paraId="2B3FB745" w14:textId="4ABD4B6D" w:rsidR="0BE75029" w:rsidRPr="0066121D" w:rsidRDefault="5AA203E3" w:rsidP="009115B6">
      <w:pPr>
        <w:spacing w:after="0" w:line="240" w:lineRule="auto"/>
        <w:ind w:firstLine="708"/>
        <w:jc w:val="both"/>
        <w:rPr>
          <w:rFonts w:ascii="Times New Roman" w:eastAsia="Times New Roman" w:hAnsi="Times New Roman" w:cs="Times New Roman"/>
          <w:color w:val="FF0000"/>
          <w:sz w:val="24"/>
          <w:szCs w:val="24"/>
        </w:rPr>
      </w:pPr>
      <w:r w:rsidRPr="5D8365CD">
        <w:rPr>
          <w:rFonts w:ascii="Times New Roman" w:eastAsia="Times New Roman" w:hAnsi="Times New Roman" w:cs="Times New Roman"/>
          <w:color w:val="FF0000"/>
          <w:sz w:val="24"/>
          <w:szCs w:val="24"/>
          <w:highlight w:val="cyan"/>
        </w:rPr>
        <w:t>Apesar da justificativa apresentada, entende-se que a Administração deve fazer um esforço adicional para obter alguma referência do preço que não seja apenas a declaração da própria empresa, como, por exemplo, consultar tabelas de preços divulgadas pela contratada em seu sítio eletrônico ou outro de amplo domínio, ou ainda, comparar com objetos da mesma natureza, nos termos do art. 7º, §1º, da IN 65, de 2021. Caso isso ainda não seja possível, deverá ser feita justificativa, pelo gestor, nos termos do art. 7º, §2º, da IN 65, de 2021</w:t>
      </w:r>
      <w:r w:rsidRPr="5D8365CD">
        <w:rPr>
          <w:rFonts w:ascii="Times New Roman" w:eastAsia="Times New Roman" w:hAnsi="Times New Roman" w:cs="Times New Roman"/>
          <w:color w:val="FF0000"/>
          <w:sz w:val="24"/>
          <w:szCs w:val="24"/>
        </w:rPr>
        <w:t>.</w:t>
      </w:r>
    </w:p>
    <w:p w14:paraId="2ECAADFC" w14:textId="59065DC1" w:rsidR="0BE75029" w:rsidRPr="0066121D" w:rsidRDefault="5AA203E3"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15DBC38" w14:textId="4DE2F77C" w:rsidR="0BE75029" w:rsidRPr="0066121D" w:rsidRDefault="5AA203E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Nesse contexto, cumpre ressaltar que o órgão assessorado é quem dispõe de condições técnicas adequadas para avaliar a idoneidade da proposta formulada pela pretensa contratada, não tendo este órgão de consultoria conhecimento técnico para se pronunciar a respeito das conclusões apresentadas.</w:t>
      </w:r>
    </w:p>
    <w:p w14:paraId="71534B57" w14:textId="23709B6F"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15"/>
      </w:tblGrid>
      <w:tr w:rsidR="64C763B2" w:rsidRPr="0066121D" w14:paraId="103A1600" w14:textId="77777777" w:rsidTr="64C763B2">
        <w:trPr>
          <w:trHeight w:val="300"/>
        </w:trPr>
        <w:tc>
          <w:tcPr>
            <w:tcW w:w="9015" w:type="dxa"/>
          </w:tcPr>
          <w:p w14:paraId="3D6C97C8" w14:textId="09FBFAB7" w:rsidR="32565896" w:rsidRPr="0066121D" w:rsidRDefault="32565896"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Em se tratando de </w:t>
            </w:r>
            <w:r w:rsidRPr="0066121D">
              <w:rPr>
                <w:rFonts w:ascii="Times New Roman" w:eastAsia="Times New Roman" w:hAnsi="Times New Roman" w:cs="Times New Roman"/>
                <w:b/>
                <w:bCs/>
                <w:color w:val="000000" w:themeColor="text1"/>
                <w:sz w:val="24"/>
                <w:szCs w:val="24"/>
                <w:highlight w:val="yellow"/>
              </w:rPr>
              <w:t>serviços com dedicação exclusiva de mão de obra</w:t>
            </w:r>
            <w:r w:rsidRPr="0066121D">
              <w:rPr>
                <w:rFonts w:ascii="Times New Roman" w:eastAsia="Times New Roman" w:hAnsi="Times New Roman" w:cs="Times New Roman"/>
                <w:color w:val="000000" w:themeColor="text1"/>
                <w:sz w:val="24"/>
                <w:szCs w:val="24"/>
                <w:highlight w:val="yellow"/>
              </w:rPr>
              <w:t>, utilizar a redação em vermelho abaixo.</w:t>
            </w:r>
          </w:p>
        </w:tc>
      </w:tr>
    </w:tbl>
    <w:p w14:paraId="7F504D66" w14:textId="1CBCD9AC" w:rsidR="64C763B2" w:rsidRPr="0066121D" w:rsidRDefault="64C763B2" w:rsidP="64C763B2">
      <w:pPr>
        <w:spacing w:after="0" w:line="240" w:lineRule="auto"/>
        <w:jc w:val="both"/>
        <w:rPr>
          <w:rFonts w:ascii="Times New Roman" w:eastAsia="Times New Roman" w:hAnsi="Times New Roman" w:cs="Times New Roman"/>
          <w:b/>
          <w:bCs/>
          <w:color w:val="000000" w:themeColor="text1"/>
          <w:sz w:val="24"/>
          <w:szCs w:val="24"/>
          <w:highlight w:val="yellow"/>
        </w:rPr>
      </w:pPr>
    </w:p>
    <w:p w14:paraId="4DEEA2B4" w14:textId="14A6AF6C" w:rsidR="0BE75029" w:rsidRPr="0066121D" w:rsidRDefault="0B8BA51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de contratação de serviços a serem executados com dedicação exclusiva de mão de obra, como na espécie, a composição e o detalhamento dos custos do orçamento estimativo devem tomar como base o modelo de planilha de custos e formação de preços que consta do Anexo VII-D da IN SEGES/MP nº 05</w:t>
      </w:r>
      <w:r w:rsidR="4D7DA21B"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2017, adaptado às características do serviço a ser licitado (art. 9º da IN SEGES/ME nº 65, de 2021). </w:t>
      </w:r>
    </w:p>
    <w:p w14:paraId="1CF68E5E" w14:textId="7467CDC2"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rPr>
        <w:t>Para o correto preenchimento da planilha, deverá ser verificado, primeiramente, se as categoriais envolvidas na contratação são regidas por algum instrumento coletivo que fixe seus direitos e obrigações - convenção coletiva de trabalho, acordo coletivo de trabalho ou sentença normativa. Isso significa que, se os custos de mão de obra são vinculados a algum instrumento coletivo, em princípio, pesquisas de preços junto a fornecedores para estimação de salários e benefícios não seriam apropriadas, pois os valores a serem pagos decorrem de pisos salariais estipulados por aqueles atos/negócios jurídicos.</w:t>
      </w:r>
    </w:p>
    <w:p w14:paraId="7A874B36" w14:textId="77777777" w:rsidR="002C47D5" w:rsidRDefault="002C47D5" w:rsidP="64C763B2">
      <w:pPr>
        <w:spacing w:after="0" w:line="240" w:lineRule="auto"/>
        <w:jc w:val="both"/>
        <w:rPr>
          <w:rFonts w:ascii="Times New Roman" w:eastAsia="Times New Roman" w:hAnsi="Times New Roman" w:cs="Times New Roman"/>
          <w:color w:val="FF0000"/>
          <w:sz w:val="24"/>
          <w:szCs w:val="24"/>
        </w:rPr>
      </w:pPr>
    </w:p>
    <w:p w14:paraId="10637BBD" w14:textId="4A27F8F9" w:rsidR="0BE75029" w:rsidRPr="0066121D" w:rsidRDefault="0B8BA51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O que importa, nesse sentido, para fins de cálculo do orçamento, é que a estimativa dos custos da contratação seja realizada a partir do instrumento coletivo adequado. Outro não é o entendimento do TCU:</w:t>
      </w:r>
    </w:p>
    <w:p w14:paraId="30A89EE6" w14:textId="5E601017" w:rsidR="0BE75029" w:rsidRPr="00B2027E" w:rsidRDefault="0BE75029" w:rsidP="00B2027E">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B8BA513" w:rsidRPr="00B2027E">
        <w:rPr>
          <w:rFonts w:ascii="Times New Roman" w:eastAsia="Times New Roman" w:hAnsi="Times New Roman" w:cs="Times New Roman"/>
          <w:b/>
          <w:bCs/>
          <w:color w:val="FF0000"/>
          <w:sz w:val="20"/>
          <w:szCs w:val="20"/>
        </w:rPr>
        <w:t>Boletim de Jurisprudência 197/201</w:t>
      </w:r>
      <w:r w:rsidR="0B8BA513" w:rsidRPr="00B2027E">
        <w:rPr>
          <w:rFonts w:ascii="Times New Roman" w:eastAsia="Times New Roman" w:hAnsi="Times New Roman" w:cs="Times New Roman"/>
          <w:color w:val="FF0000"/>
          <w:sz w:val="20"/>
          <w:szCs w:val="20"/>
        </w:rPr>
        <w:t>7</w:t>
      </w:r>
    </w:p>
    <w:p w14:paraId="55E85CF7" w14:textId="278B740F" w:rsidR="0BE75029" w:rsidRPr="00B2027E" w:rsidRDefault="0B8BA513" w:rsidP="00B2027E">
      <w:pPr>
        <w:spacing w:after="0" w:line="240" w:lineRule="auto"/>
        <w:ind w:left="2268"/>
        <w:jc w:val="both"/>
        <w:rPr>
          <w:rFonts w:ascii="Times New Roman" w:eastAsia="Times New Roman" w:hAnsi="Times New Roman" w:cs="Times New Roman"/>
          <w:color w:val="FF0000"/>
          <w:sz w:val="20"/>
          <w:szCs w:val="20"/>
        </w:rPr>
      </w:pPr>
      <w:r w:rsidRPr="00B2027E">
        <w:rPr>
          <w:rFonts w:ascii="Times New Roman" w:eastAsia="Times New Roman" w:hAnsi="Times New Roman" w:cs="Times New Roman"/>
          <w:color w:val="FF0000"/>
          <w:sz w:val="20"/>
          <w:szCs w:val="20"/>
        </w:rPr>
        <w:t xml:space="preserve">Acórdão TCU </w:t>
      </w:r>
      <w:r w:rsidR="00C720C1" w:rsidRPr="00B2027E">
        <w:rPr>
          <w:rFonts w:ascii="Times New Roman" w:eastAsia="Times New Roman" w:hAnsi="Times New Roman" w:cs="Times New Roman"/>
          <w:color w:val="FF0000"/>
          <w:sz w:val="20"/>
          <w:szCs w:val="20"/>
        </w:rPr>
        <w:t xml:space="preserve">n.º </w:t>
      </w:r>
      <w:r w:rsidRPr="00B2027E">
        <w:rPr>
          <w:rFonts w:ascii="Times New Roman" w:eastAsia="Times New Roman" w:hAnsi="Times New Roman" w:cs="Times New Roman"/>
          <w:color w:val="FF0000"/>
          <w:sz w:val="20"/>
          <w:szCs w:val="20"/>
        </w:rPr>
        <w:t xml:space="preserve">2443/2017 </w:t>
      </w:r>
      <w:r w:rsidR="00C720C1" w:rsidRPr="00B2027E">
        <w:rPr>
          <w:rFonts w:ascii="Times New Roman" w:eastAsia="Times New Roman" w:hAnsi="Times New Roman" w:cs="Times New Roman"/>
          <w:color w:val="FF0000"/>
          <w:sz w:val="20"/>
          <w:szCs w:val="20"/>
        </w:rPr>
        <w:t xml:space="preserve">- </w:t>
      </w:r>
      <w:r w:rsidRPr="00B2027E">
        <w:rPr>
          <w:rFonts w:ascii="Times New Roman" w:eastAsia="Times New Roman" w:hAnsi="Times New Roman" w:cs="Times New Roman"/>
          <w:color w:val="FF0000"/>
          <w:sz w:val="20"/>
          <w:szCs w:val="20"/>
        </w:rPr>
        <w:t>Plenário (Representação, Relator Ministro Aroldo Cedraz)</w:t>
      </w:r>
    </w:p>
    <w:p w14:paraId="177C2AD5" w14:textId="180C8685"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t>Enunciado</w:t>
      </w:r>
    </w:p>
    <w:p w14:paraId="357B08C1" w14:textId="498353A8" w:rsidR="0BE75029" w:rsidRPr="00B2027E" w:rsidRDefault="0B8BA513" w:rsidP="00B2027E">
      <w:pPr>
        <w:spacing w:after="0" w:line="240" w:lineRule="auto"/>
        <w:ind w:left="2268"/>
        <w:jc w:val="both"/>
        <w:rPr>
          <w:rFonts w:ascii="Times New Roman" w:eastAsia="Times New Roman" w:hAnsi="Times New Roman" w:cs="Times New Roman"/>
          <w:color w:val="FF0000"/>
          <w:sz w:val="20"/>
          <w:szCs w:val="20"/>
        </w:rPr>
      </w:pPr>
      <w:r w:rsidRPr="00B2027E">
        <w:rPr>
          <w:rFonts w:ascii="Times New Roman" w:eastAsia="Times New Roman" w:hAnsi="Times New Roman" w:cs="Times New Roman"/>
          <w:color w:val="FF0000"/>
          <w:sz w:val="20"/>
          <w:szCs w:val="20"/>
        </w:rPr>
        <w:t>O fato de o orçamento estimativo da licitação não considerar os salários definidos em convenção coletiva mais recente, a despeito da possibilidade de repactuação em seguida à assinatura do contrato, viola o art. 9º, § 2º, do Decreto 5.450/2005, uma vez que o orçamento estimativo deve refletir os preços de mercado no momento da publicação do edital.</w:t>
      </w:r>
    </w:p>
    <w:p w14:paraId="694EA361" w14:textId="27D8A3AF" w:rsidR="0BE75029" w:rsidRPr="00B2027E" w:rsidRDefault="0BE75029" w:rsidP="00B2027E">
      <w:pPr>
        <w:spacing w:after="0" w:line="240" w:lineRule="auto"/>
        <w:ind w:left="2268"/>
        <w:jc w:val="both"/>
        <w:rPr>
          <w:rFonts w:ascii="Times New Roman" w:eastAsia="Times New Roman" w:hAnsi="Times New Roman" w:cs="Times New Roman"/>
          <w:color w:val="FF0000"/>
          <w:sz w:val="20"/>
          <w:szCs w:val="20"/>
        </w:rPr>
      </w:pPr>
    </w:p>
    <w:p w14:paraId="4CAC6F60" w14:textId="77777777" w:rsidR="00105D92" w:rsidRDefault="00105D92" w:rsidP="00B2027E">
      <w:pPr>
        <w:spacing w:after="0" w:line="240" w:lineRule="auto"/>
        <w:ind w:left="2268"/>
        <w:jc w:val="both"/>
        <w:rPr>
          <w:rFonts w:ascii="Times New Roman" w:eastAsia="Times New Roman" w:hAnsi="Times New Roman" w:cs="Times New Roman"/>
          <w:b/>
          <w:bCs/>
          <w:color w:val="FF0000"/>
          <w:sz w:val="20"/>
          <w:szCs w:val="20"/>
        </w:rPr>
      </w:pPr>
    </w:p>
    <w:p w14:paraId="250518BF" w14:textId="0EBEE6E4"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lastRenderedPageBreak/>
        <w:t>Informativo de Licitações e Contratos 250/2015</w:t>
      </w:r>
    </w:p>
    <w:p w14:paraId="09E76FE1" w14:textId="740339A0"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t>Enunciado</w:t>
      </w:r>
    </w:p>
    <w:p w14:paraId="46EC2E77" w14:textId="4DE4B419" w:rsidR="0BE75029" w:rsidRPr="00B2027E" w:rsidRDefault="0B8BA513" w:rsidP="00B2027E">
      <w:pPr>
        <w:spacing w:after="0" w:line="240" w:lineRule="auto"/>
        <w:ind w:left="2268"/>
        <w:jc w:val="both"/>
        <w:rPr>
          <w:rFonts w:ascii="Times New Roman" w:eastAsia="Times New Roman" w:hAnsi="Times New Roman" w:cs="Times New Roman"/>
          <w:b/>
          <w:bCs/>
          <w:color w:val="FF0000"/>
          <w:sz w:val="20"/>
          <w:szCs w:val="20"/>
        </w:rPr>
      </w:pPr>
      <w:r w:rsidRPr="00B2027E">
        <w:rPr>
          <w:rFonts w:ascii="Times New Roman" w:eastAsia="Times New Roman" w:hAnsi="Times New Roman" w:cs="Times New Roman"/>
          <w:b/>
          <w:bCs/>
          <w:color w:val="FF0000"/>
          <w:sz w:val="20"/>
          <w:szCs w:val="20"/>
        </w:rPr>
        <w:t>Nos estudos técnicos preliminares de contratação de mão de obra terceirizada, a ausência de indicação, de forma clara e precisa, do sindicato, acordo coletivo, convenção coletiva ou sentença normativa que rege a categoria profissional que executará o serviço, com base na Classificação Brasileira de Ocupações - CBO, afronta o art. 6º, inciso IX, alínea 'a', da Lei 8.666/93.</w:t>
      </w:r>
    </w:p>
    <w:p w14:paraId="6DECA457" w14:textId="21C9F5C2" w:rsidR="0BE75029" w:rsidRPr="00B2027E" w:rsidRDefault="0B8BA513" w:rsidP="00B2027E">
      <w:pPr>
        <w:spacing w:after="0" w:line="240" w:lineRule="auto"/>
        <w:ind w:left="2268"/>
        <w:jc w:val="both"/>
        <w:rPr>
          <w:rFonts w:ascii="Times New Roman" w:eastAsia="Times New Roman" w:hAnsi="Times New Roman" w:cs="Times New Roman"/>
          <w:b/>
          <w:bCs/>
          <w:i/>
          <w:iCs/>
          <w:color w:val="FF0000"/>
          <w:sz w:val="20"/>
          <w:szCs w:val="20"/>
        </w:rPr>
      </w:pPr>
      <w:r w:rsidRPr="00B2027E">
        <w:rPr>
          <w:rFonts w:ascii="Times New Roman" w:eastAsia="Times New Roman" w:hAnsi="Times New Roman" w:cs="Times New Roman"/>
          <w:color w:val="FF0000"/>
          <w:sz w:val="20"/>
          <w:szCs w:val="20"/>
        </w:rPr>
        <w:t xml:space="preserve">Representação de licitante a respeito de possíveis irregularidades ocorridas na condução de pregão eletrônico pela Prefeitura Universitária da Universidade Federal da Paraíba (UFPB), para contratação de serviços de manutenção e conservação da estrutura física dos campi I, II, III e IV, com fornecimento de mão de obra, utensílios e equipamentos necessários. [...] </w:t>
      </w:r>
      <w:r w:rsidRPr="00B2027E">
        <w:rPr>
          <w:rFonts w:ascii="Times New Roman" w:eastAsia="Times New Roman" w:hAnsi="Times New Roman" w:cs="Times New Roman"/>
          <w:i/>
          <w:iCs/>
          <w:color w:val="FF0000"/>
          <w:sz w:val="20"/>
          <w:szCs w:val="20"/>
        </w:rPr>
        <w:t xml:space="preserve">o Termo de Referência do pregão em apreço </w:t>
      </w:r>
      <w:r w:rsidRPr="00B2027E">
        <w:rPr>
          <w:rFonts w:ascii="Times New Roman" w:eastAsia="Times New Roman" w:hAnsi="Times New Roman" w:cs="Times New Roman"/>
          <w:color w:val="FF0000"/>
          <w:sz w:val="20"/>
          <w:szCs w:val="20"/>
        </w:rPr>
        <w:t xml:space="preserve">não fez conexão entre a categoria profissional a ser terceirizada e a CBO, assim como </w:t>
      </w:r>
      <w:r w:rsidRPr="00B2027E">
        <w:rPr>
          <w:rFonts w:ascii="Times New Roman" w:eastAsia="Times New Roman" w:hAnsi="Times New Roman" w:cs="Times New Roman"/>
          <w:i/>
          <w:iCs/>
          <w:color w:val="FF0000"/>
          <w:sz w:val="20"/>
          <w:szCs w:val="20"/>
        </w:rPr>
        <w:t xml:space="preserve">não trouxe de forma clara e precisa a memória de cálculo do custo de cada categoria profissional, o que </w:t>
      </w:r>
      <w:r w:rsidRPr="00B2027E">
        <w:rPr>
          <w:rFonts w:ascii="Times New Roman" w:eastAsia="Times New Roman" w:hAnsi="Times New Roman" w:cs="Times New Roman"/>
          <w:color w:val="FF0000"/>
          <w:sz w:val="20"/>
          <w:szCs w:val="20"/>
        </w:rPr>
        <w:t>impossibilitaria</w:t>
      </w:r>
      <w:r w:rsidRPr="00B2027E">
        <w:rPr>
          <w:rFonts w:ascii="Times New Roman" w:eastAsia="Times New Roman" w:hAnsi="Times New Roman" w:cs="Times New Roman"/>
          <w:i/>
          <w:iCs/>
          <w:color w:val="FF0000"/>
          <w:sz w:val="20"/>
          <w:szCs w:val="20"/>
        </w:rPr>
        <w:t xml:space="preserve"> a avaliação dos custos da contratação, na forma do art. 6º, IX, da Lei 8.666/1993</w:t>
      </w:r>
      <w:r w:rsidRPr="00B2027E">
        <w:rPr>
          <w:rFonts w:ascii="Times New Roman" w:eastAsia="Times New Roman" w:hAnsi="Times New Roman" w:cs="Times New Roman"/>
          <w:color w:val="FF0000"/>
          <w:sz w:val="20"/>
          <w:szCs w:val="20"/>
        </w:rPr>
        <w:t xml:space="preserve">. Essas falhas contribuem para problemas como o verificado no caso em exame, de apresentação de propostas com valores mais vantajosos que os oferecidos pela empresa declarada vencedora. [...] </w:t>
      </w:r>
      <w:hyperlink r:id="rId34" w:anchor="/detalhamento/11/%252a/NUMACORDAO%253A3982%2520ANOACORDAO%253A2015%2520COLEGIADO%253A%2522Primeira%2520C%25C3%25A2mara%2522/DTRELEVANCIA%2520desc/false/1">
        <w:r w:rsidRPr="00B2027E">
          <w:rPr>
            <w:rStyle w:val="Hyperlink"/>
            <w:rFonts w:ascii="Times New Roman" w:eastAsia="Times New Roman" w:hAnsi="Times New Roman" w:cs="Times New Roman"/>
            <w:b/>
            <w:bCs/>
            <w:i/>
            <w:iCs/>
            <w:color w:val="FF0000"/>
            <w:sz w:val="20"/>
            <w:szCs w:val="20"/>
            <w:u w:val="none"/>
          </w:rPr>
          <w:t>Acórdão TCU 3982/2015-1ª Câmara</w:t>
        </w:r>
      </w:hyperlink>
      <w:r w:rsidRPr="00B2027E">
        <w:rPr>
          <w:rFonts w:ascii="Times New Roman" w:eastAsia="Times New Roman" w:hAnsi="Times New Roman" w:cs="Times New Roman"/>
          <w:b/>
          <w:bCs/>
          <w:i/>
          <w:iCs/>
          <w:color w:val="FF0000"/>
          <w:sz w:val="20"/>
          <w:szCs w:val="20"/>
        </w:rPr>
        <w:t>, TC 027.026/2014-0, relator Ministro Bruno Dantas, 7.7.2015.</w:t>
      </w:r>
    </w:p>
    <w:p w14:paraId="222DC4BB" w14:textId="433100CE"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rPr>
        <w:t>As informações sobre os custos de mão de obra, portanto, deverão ser obtidas por meio de consulta ao(s) instrumento(s) coletivo(s) que rege(m) a(s) categoria(s) dentro da base territorial onde os serviços serão desempenhados. Por conseguinte, apenas deverão ser realizadas pesquisas de preços em fontes diversas, com o objetivo de serem obtidos os preços de referência para a mão de obra, se inexistirem instrumentos coletivos aptos a regerem as categorias na respectiva base territorial. Nesse sentido, extrai-se da IN SEGES/MP nº 05</w:t>
      </w:r>
      <w:r w:rsidR="07F524C2" w:rsidRPr="0066121D">
        <w:rPr>
          <w:rFonts w:ascii="Times New Roman" w:eastAsia="Times New Roman" w:hAnsi="Times New Roman" w:cs="Times New Roman"/>
          <w:color w:val="FF0000"/>
          <w:sz w:val="24"/>
          <w:szCs w:val="24"/>
        </w:rPr>
        <w:t xml:space="preserve">, de </w:t>
      </w:r>
      <w:r w:rsidR="0B8BA513" w:rsidRPr="0066121D">
        <w:rPr>
          <w:rFonts w:ascii="Times New Roman" w:eastAsia="Times New Roman" w:hAnsi="Times New Roman" w:cs="Times New Roman"/>
          <w:color w:val="FF0000"/>
          <w:sz w:val="24"/>
          <w:szCs w:val="24"/>
        </w:rPr>
        <w:t>2017:</w:t>
      </w:r>
    </w:p>
    <w:p w14:paraId="1911FEC8" w14:textId="4B289F89" w:rsidR="0BE75029" w:rsidRPr="00B8064D" w:rsidRDefault="0BE75029" w:rsidP="64C763B2">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B8BA513" w:rsidRPr="00B8064D">
        <w:rPr>
          <w:rFonts w:ascii="Times New Roman" w:eastAsia="Times New Roman" w:hAnsi="Times New Roman" w:cs="Times New Roman"/>
          <w:color w:val="FF0000"/>
          <w:sz w:val="20"/>
          <w:szCs w:val="20"/>
        </w:rPr>
        <w:t>Anexo I</w:t>
      </w:r>
    </w:p>
    <w:p w14:paraId="3EE0AC37" w14:textId="49CE09B0"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69B9C503" w14:textId="03B9B3C8"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XXII - SALÁRIO: valor a ser efetivamente pago ao profissional envolvido diretamente na execução contratual, não podendo ser inferior ao estabelecido em Acordo ou Convenção Coletiva, Sentença Normativa ou lei</w:t>
      </w:r>
      <w:r w:rsidRPr="00B8064D">
        <w:rPr>
          <w:rFonts w:ascii="Times New Roman" w:eastAsia="Times New Roman" w:hAnsi="Times New Roman" w:cs="Times New Roman"/>
          <w:b/>
          <w:bCs/>
          <w:color w:val="FF0000"/>
          <w:sz w:val="20"/>
          <w:szCs w:val="20"/>
        </w:rPr>
        <w:t xml:space="preserve">. </w:t>
      </w:r>
      <w:r w:rsidRPr="00B8064D">
        <w:rPr>
          <w:rFonts w:ascii="Times New Roman" w:eastAsia="Times New Roman" w:hAnsi="Times New Roman" w:cs="Times New Roman"/>
          <w:color w:val="FF0000"/>
          <w:sz w:val="20"/>
          <w:szCs w:val="20"/>
        </w:rPr>
        <w:t>Quando da inexistência destes, o valor poderá ser aquele praticado no mercado ou apurado em publicações ou pesquisas setoriais para a categoria profissional correspondente.</w:t>
      </w:r>
    </w:p>
    <w:p w14:paraId="2B4E57F1" w14:textId="58A0A2E8" w:rsidR="00BC26F8" w:rsidRDefault="0B8BA513" w:rsidP="00105D9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724A9DD9" w14:textId="6F5F04F7"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Anexo V</w:t>
      </w:r>
    </w:p>
    <w:p w14:paraId="20C9141B" w14:textId="510F7725"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277FDF17" w14:textId="66CABF08"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2.9. Estimativa de preços e preços referenciais:</w:t>
      </w:r>
    </w:p>
    <w:p w14:paraId="54EDDD71" w14:textId="7FD5EF1D"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w:t>
      </w:r>
    </w:p>
    <w:p w14:paraId="1C90C4B5" w14:textId="69F63469"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 No caso de serviços com regime de dedicação exclusiva de mão de obra, o custo estimado da contratação deve contemplar o valor máximo global e mensal estabelecido em decorrência da identificação dos elementos que compõem o preço dos serviços, definidos da seguinte forma:</w:t>
      </w:r>
    </w:p>
    <w:p w14:paraId="6D298873" w14:textId="3798139A"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b.1. por meio do preenchimento da planilha de custos e formação de preços, observados os custos dos itens referentes ao serviço, podendo ser motivadamente dispensada naquelas contratações em que a natureza do seu objeto torne inviável ou desnecessário o detalhamento dos custos para aferição da exequibilidade dos preços praticados;</w:t>
      </w:r>
    </w:p>
    <w:p w14:paraId="2A48B0CA" w14:textId="00CC96D6"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b.2. por meio de fundamentada pesquisa dos preços praticados no mercado em contratações similares; ou ainda por meio da adoção de valores constantes de indicadores setoriais, tabelas de fabricantes, valores oficiais de referência, tarifas públicas ou outros equivalentes, se for o caso; e</w:t>
      </w:r>
    </w:p>
    <w:p w14:paraId="4D3E53E0" w14:textId="3B7C03D3" w:rsidR="0BE75029" w:rsidRPr="00B8064D" w:rsidRDefault="0B8BA513" w:rsidP="64C763B2">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b.3. previsão de regras claras quanto à composição dos custos que impactem no valor global das propostas das licitantes, principalmente no que se refere a regras de depreciação de equipamentos a serem utilizados no serviço.</w:t>
      </w:r>
    </w:p>
    <w:p w14:paraId="5F451722" w14:textId="15F61DF7" w:rsidR="0BE75029" w:rsidRPr="0066121D" w:rsidRDefault="0BE75029" w:rsidP="64C763B2">
      <w:pPr>
        <w:spacing w:after="0" w:line="240" w:lineRule="auto"/>
        <w:ind w:left="1440"/>
        <w:jc w:val="both"/>
        <w:rPr>
          <w:rFonts w:ascii="Times New Roman" w:eastAsia="Times New Roman" w:hAnsi="Times New Roman" w:cs="Times New Roman"/>
          <w:color w:val="FF0000"/>
          <w:sz w:val="24"/>
          <w:szCs w:val="24"/>
        </w:rPr>
      </w:pPr>
    </w:p>
    <w:p w14:paraId="54BE2F25" w14:textId="6C8A5576" w:rsidR="0BE75029" w:rsidRPr="0066121D" w:rsidRDefault="0B8BA513"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Nesse particular, a Administração deve buscar se certificar de que o instrumento coletivo utilizado para compor o preço de referência realmente rege a categoria profissional envolvida na futura contratação dentro da base territorial onde os serviços serão desempenhados, confirmando, ainda, o período de vigência da mesma norma coletiva, em face do art. 614, § 3º, da CLT. Além disso, é necessária a juntada de cópia da convenção ou acordo coletivo utilizado como base para compor o orçamento estimativo da licitação, devendo ser observado pela Equipe de Planejamento da Contratação o disposto no art. 6º da IN SEGES/MP nº 05</w:t>
      </w:r>
      <w:r w:rsidR="69381C4D"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2017, que veda a vinculação a qualquer disposição de instrumento coletivo que:</w:t>
      </w:r>
    </w:p>
    <w:p w14:paraId="21B1B3D5" w14:textId="710FE4E6" w:rsidR="0BE75029" w:rsidRPr="00B8064D" w:rsidRDefault="0BE75029" w:rsidP="00B8064D">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0B8BA513" w:rsidRPr="00B8064D">
        <w:rPr>
          <w:rFonts w:ascii="Times New Roman" w:eastAsia="Times New Roman" w:hAnsi="Times New Roman" w:cs="Times New Roman"/>
          <w:color w:val="FF0000"/>
          <w:sz w:val="20"/>
          <w:szCs w:val="20"/>
        </w:rPr>
        <w:t>a) trate do pagamento de participação dos trabalhadores nos lucros ou resultados da empresa contratada;</w:t>
      </w:r>
    </w:p>
    <w:p w14:paraId="54729F99" w14:textId="7F99892F" w:rsidR="0BE75029" w:rsidRPr="00B8064D" w:rsidRDefault="0B8BA513" w:rsidP="00B8064D">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b) cuide de matéria não trabalhista ou que estabeleçam direitos não previstos em lei (ex.: valores ou índices obrigatórios de encargos sociais ou previdenciários, preços para os insumos relacionados ao exercício da atividade);</w:t>
      </w:r>
    </w:p>
    <w:p w14:paraId="727D284D" w14:textId="38357988" w:rsidR="0BE75029" w:rsidRPr="00B8064D" w:rsidRDefault="0B8BA513" w:rsidP="00B8064D">
      <w:pPr>
        <w:spacing w:after="0" w:line="240" w:lineRule="auto"/>
        <w:ind w:left="2268"/>
        <w:jc w:val="both"/>
        <w:rPr>
          <w:rFonts w:ascii="Times New Roman" w:eastAsia="Times New Roman" w:hAnsi="Times New Roman" w:cs="Times New Roman"/>
          <w:color w:val="FF0000"/>
          <w:sz w:val="20"/>
          <w:szCs w:val="20"/>
        </w:rPr>
      </w:pPr>
      <w:r w:rsidRPr="00B8064D">
        <w:rPr>
          <w:rFonts w:ascii="Times New Roman" w:eastAsia="Times New Roman" w:hAnsi="Times New Roman" w:cs="Times New Roman"/>
          <w:color w:val="FF0000"/>
          <w:sz w:val="20"/>
          <w:szCs w:val="20"/>
        </w:rPr>
        <w:t>c) trate de obrigações e direitos que somente se aplicam aos contratos com a Administração Pública.</w:t>
      </w:r>
    </w:p>
    <w:p w14:paraId="14FDA50A" w14:textId="583DF4F4" w:rsidR="0BE75029" w:rsidRPr="0066121D" w:rsidRDefault="0BE7502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highlight w:val="cyan"/>
        </w:rPr>
        <w:t>Dito isto, verifica-se que, no caso, a Administração apresentou planilha(s) de custos e formação de preços elaborada(s) por servidor devidamente identificado nos autos (fls. XXX SEI n. XXX), a(s) qual(</w:t>
      </w:r>
      <w:proofErr w:type="spellStart"/>
      <w:r w:rsidR="0B8BA513" w:rsidRPr="0066121D">
        <w:rPr>
          <w:rFonts w:ascii="Times New Roman" w:eastAsia="Times New Roman" w:hAnsi="Times New Roman" w:cs="Times New Roman"/>
          <w:color w:val="FF0000"/>
          <w:sz w:val="24"/>
          <w:szCs w:val="24"/>
          <w:highlight w:val="cyan"/>
        </w:rPr>
        <w:t>is</w:t>
      </w:r>
      <w:proofErr w:type="spellEnd"/>
      <w:r w:rsidR="0B8BA513" w:rsidRPr="0066121D">
        <w:rPr>
          <w:rFonts w:ascii="Times New Roman" w:eastAsia="Times New Roman" w:hAnsi="Times New Roman" w:cs="Times New Roman"/>
          <w:color w:val="FF0000"/>
          <w:sz w:val="24"/>
          <w:szCs w:val="24"/>
          <w:highlight w:val="cyan"/>
        </w:rPr>
        <w:t>) parece(m) estar compatível(</w:t>
      </w:r>
      <w:proofErr w:type="spellStart"/>
      <w:r w:rsidR="0B8BA513" w:rsidRPr="0066121D">
        <w:rPr>
          <w:rFonts w:ascii="Times New Roman" w:eastAsia="Times New Roman" w:hAnsi="Times New Roman" w:cs="Times New Roman"/>
          <w:color w:val="FF0000"/>
          <w:sz w:val="24"/>
          <w:szCs w:val="24"/>
          <w:highlight w:val="cyan"/>
        </w:rPr>
        <w:t>is</w:t>
      </w:r>
      <w:proofErr w:type="spellEnd"/>
      <w:r w:rsidR="0B8BA513" w:rsidRPr="0066121D">
        <w:rPr>
          <w:rFonts w:ascii="Times New Roman" w:eastAsia="Times New Roman" w:hAnsi="Times New Roman" w:cs="Times New Roman"/>
          <w:color w:val="FF0000"/>
          <w:sz w:val="24"/>
          <w:szCs w:val="24"/>
          <w:highlight w:val="cyan"/>
        </w:rPr>
        <w:t xml:space="preserve">) com as diretrizes acima apontadas, de modo que não cabem considerações outras sobre o assunto. </w:t>
      </w:r>
    </w:p>
    <w:p w14:paraId="2CCDF799" w14:textId="070CEDE9" w:rsidR="0BE75029" w:rsidRPr="0099676C" w:rsidRDefault="0B8BA513" w:rsidP="0099676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99676C">
        <w:rPr>
          <w:rFonts w:ascii="Times New Roman" w:eastAsia="Times New Roman" w:hAnsi="Times New Roman" w:cs="Times New Roman"/>
          <w:b/>
          <w:bCs/>
          <w:color w:val="FF0000"/>
          <w:sz w:val="24"/>
          <w:szCs w:val="24"/>
          <w:highlight w:val="cyan"/>
          <w:u w:val="single"/>
        </w:rPr>
        <w:t>OU</w:t>
      </w:r>
    </w:p>
    <w:p w14:paraId="3BF4A403" w14:textId="28FB6BB8" w:rsidR="0BE75029" w:rsidRPr="0066121D" w:rsidRDefault="0B8BA51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 xml:space="preserve">Dito isso, percebe-se que foi(foram) juntada(s) aos autos planilha(s) de custos e formação de preços (fls. XXX SEI n. XXX), elaborada(s) por servidor devidamente identificado nos autos, com base em instrumento(s) coletivo(s) vigente(s) na base territorial onde serão desempenhados os serviços (fls. XXX SEI n. XXX). Não está claro, contudo, se foram elaboradas tantas planilhas quanto necessárias à estimação dos custos unitários da contratação em cada local da execução contratual. Deverá haver, nesse sentido, esclarecimento nos autos e eventual atendimento desta orientação se já não foi adotada. </w:t>
      </w:r>
      <w:r w:rsidRPr="5D8365CD">
        <w:rPr>
          <w:rFonts w:ascii="Times New Roman" w:eastAsia="Times New Roman" w:hAnsi="Times New Roman" w:cs="Times New Roman"/>
          <w:b/>
          <w:bCs/>
          <w:color w:val="FF0000"/>
          <w:sz w:val="24"/>
          <w:szCs w:val="24"/>
          <w:highlight w:val="cyan"/>
        </w:rPr>
        <w:t>OU</w:t>
      </w:r>
      <w:r w:rsidRPr="5D8365CD">
        <w:rPr>
          <w:rFonts w:ascii="Times New Roman" w:eastAsia="Times New Roman" w:hAnsi="Times New Roman" w:cs="Times New Roman"/>
          <w:color w:val="FF0000"/>
          <w:sz w:val="24"/>
          <w:szCs w:val="24"/>
          <w:highlight w:val="cyan"/>
        </w:rPr>
        <w:t xml:space="preserve"> Deve-se, contudo, indicar, em campo específico da planilha, qual foi a convenção coletiva de trabalho/o acordo coletivo de trabalho/a sentença normativa adotada(o), com os respectivos anos de celebração e períodos de vigência, para informar o piso salarial da categoria em cada base territorial (Acórdão TCU nº 3.982/2015 - 1ª Câmara e art. 8º, II, da CF/88).</w:t>
      </w:r>
    </w:p>
    <w:p w14:paraId="1B85F363" w14:textId="0F6488B6" w:rsidR="0BE75029" w:rsidRPr="00887044" w:rsidRDefault="0B8BA513" w:rsidP="00887044">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887044">
        <w:rPr>
          <w:rFonts w:ascii="Times New Roman" w:eastAsia="Times New Roman" w:hAnsi="Times New Roman" w:cs="Times New Roman"/>
          <w:b/>
          <w:bCs/>
          <w:color w:val="FF0000"/>
          <w:sz w:val="24"/>
          <w:szCs w:val="24"/>
          <w:highlight w:val="cyan"/>
          <w:u w:val="single"/>
        </w:rPr>
        <w:t>OU</w:t>
      </w:r>
    </w:p>
    <w:p w14:paraId="3CDBEA81" w14:textId="7B1AFB7C" w:rsidR="0BE75029" w:rsidRPr="0066121D" w:rsidRDefault="0B8BA513" w:rsidP="009115B6">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 xml:space="preserve">Dito isso, percebe-se que não foram elaboradas planilhas de custo e formação de preços a partir de cada instrumento coletivo vigente na base territorial onde serão desempenhados os serviços. Houve apenas a consolidação da pesquisa de preços junto a fornecedores, sem que tenha havido o detalhamento dos custos da contratação em planilha (remuneração, encargos, benefícios, provisão para rescisão, custo de reposição do profissional ausente, custos indiretos, tributos e lucros), com a adoção dos instrumentos coletivos adequados, como determina a jurisprudência consolidada do TCU e a própria legislação. </w:t>
      </w:r>
    </w:p>
    <w:p w14:paraId="053F4178" w14:textId="595C3AC9" w:rsidR="0BE75029" w:rsidRPr="0066121D" w:rsidRDefault="0BE75029" w:rsidP="64C763B2">
      <w:pPr>
        <w:spacing w:after="0" w:line="240" w:lineRule="auto"/>
        <w:jc w:val="both"/>
        <w:rPr>
          <w:rFonts w:ascii="Times New Roman" w:eastAsia="Times New Roman" w:hAnsi="Times New Roman" w:cs="Times New Roman"/>
          <w:b/>
          <w:bCs/>
          <w:color w:val="FF0000"/>
          <w:sz w:val="24"/>
          <w:szCs w:val="24"/>
          <w:highlight w:val="green"/>
        </w:rPr>
      </w:pPr>
      <w:r w:rsidRPr="0066121D">
        <w:rPr>
          <w:rFonts w:ascii="Times New Roman" w:hAnsi="Times New Roman" w:cs="Times New Roman"/>
          <w:sz w:val="24"/>
          <w:szCs w:val="24"/>
        </w:rPr>
        <w:br/>
      </w:r>
      <w:r w:rsidR="0B8BA513" w:rsidRPr="0066121D">
        <w:rPr>
          <w:rFonts w:ascii="Times New Roman" w:eastAsia="Times New Roman" w:hAnsi="Times New Roman" w:cs="Times New Roman"/>
          <w:color w:val="FF0000"/>
          <w:sz w:val="24"/>
          <w:szCs w:val="24"/>
        </w:rPr>
        <w:t>Recomenda-se, assim, a elaboração e juntada aos autos de planilha de custos e formação de preços, preenchida com a indicação de todos os custos unitários dos itens referentes ao serviço. Caso inexistam instrumentos coletivos aptos a regerem os direitos e deveres das categorias envolvidas na contratação, deverão ser realizados os devidos esclarecimentos, inclusive com a indicação da metodologia utilizada para estimar os custos relativos à mão de obra.</w:t>
      </w:r>
    </w:p>
    <w:p w14:paraId="6E180480" w14:textId="2A718D59" w:rsidR="00105D92" w:rsidRPr="0066121D" w:rsidRDefault="00CE1024" w:rsidP="00CE102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tbl>
      <w:tblPr>
        <w:tblStyle w:val="Tabelacomgrade"/>
        <w:tblW w:w="0" w:type="auto"/>
        <w:tblLayout w:type="fixed"/>
        <w:tblLook w:val="06A0" w:firstRow="1" w:lastRow="0" w:firstColumn="1" w:lastColumn="0" w:noHBand="1" w:noVBand="1"/>
      </w:tblPr>
      <w:tblGrid>
        <w:gridCol w:w="9015"/>
      </w:tblGrid>
      <w:tr w:rsidR="67ED0628" w:rsidRPr="0066121D" w14:paraId="07AE5540" w14:textId="77777777" w:rsidTr="64C763B2">
        <w:trPr>
          <w:trHeight w:val="300"/>
        </w:trPr>
        <w:tc>
          <w:tcPr>
            <w:tcW w:w="9015" w:type="dxa"/>
          </w:tcPr>
          <w:p w14:paraId="7B3164E9" w14:textId="44954D7B" w:rsidR="7481976D" w:rsidRPr="0066121D" w:rsidRDefault="59BA4BF3" w:rsidP="64C763B2">
            <w:pPr>
              <w:jc w:val="both"/>
              <w:rPr>
                <w:rFonts w:ascii="Times New Roman" w:eastAsia="Times New Roman" w:hAnsi="Times New Roman" w:cs="Times New Roman"/>
                <w:b/>
                <w:bCs/>
                <w:color w:val="FF0000"/>
                <w:sz w:val="24"/>
                <w:szCs w:val="24"/>
                <w:highlight w:val="green"/>
              </w:rPr>
            </w:pPr>
            <w:r w:rsidRPr="0066121D">
              <w:rPr>
                <w:rFonts w:ascii="Times New Roman" w:eastAsia="Times New Roman" w:hAnsi="Times New Roman" w:cs="Times New Roman"/>
                <w:b/>
                <w:bCs/>
                <w:color w:val="000000" w:themeColor="text1"/>
                <w:sz w:val="24"/>
                <w:szCs w:val="24"/>
                <w:highlight w:val="yellow"/>
              </w:rPr>
              <w:lastRenderedPageBreak/>
              <w:t>Nota Explicativa:</w:t>
            </w:r>
            <w:r w:rsidRPr="0066121D">
              <w:rPr>
                <w:rFonts w:ascii="Times New Roman" w:eastAsia="Times New Roman" w:hAnsi="Times New Roman" w:cs="Times New Roman"/>
                <w:color w:val="000000" w:themeColor="text1"/>
                <w:sz w:val="24"/>
                <w:szCs w:val="24"/>
                <w:highlight w:val="yellow"/>
              </w:rPr>
              <w:t xml:space="preserve"> Caso a Administração deseje estabelecer remuneração com valor superior ao piso salarial fixado para a categoria envolvida na execução do objeto a ser contratado, deverá atentar para o fato de que, nessa hipótese, o valor do salário a ser pago deverá ser estimado a partir de pesquisa de mercado. Segue abaixo sugestão de redação, a ser acrescentada e adaptada ao caso concreto, para </w:t>
            </w:r>
            <w:r w:rsidRPr="0066121D">
              <w:rPr>
                <w:rFonts w:ascii="Times New Roman" w:eastAsia="Times New Roman" w:hAnsi="Times New Roman" w:cs="Times New Roman"/>
                <w:b/>
                <w:bCs/>
                <w:color w:val="000000" w:themeColor="text1"/>
                <w:sz w:val="24"/>
                <w:szCs w:val="24"/>
                <w:highlight w:val="yellow"/>
              </w:rPr>
              <w:t>situações em que a Administração prevê no termo de referência remuneração acima do piso salarial da categoria:</w:t>
            </w:r>
          </w:p>
        </w:tc>
      </w:tr>
    </w:tbl>
    <w:p w14:paraId="2E9D3763" w14:textId="4B9DEDB9" w:rsidR="67ED0628" w:rsidRPr="0066121D" w:rsidRDefault="67ED0628" w:rsidP="64C763B2">
      <w:pPr>
        <w:spacing w:after="0" w:line="240" w:lineRule="auto"/>
        <w:jc w:val="both"/>
        <w:rPr>
          <w:rFonts w:ascii="Times New Roman" w:eastAsia="Times New Roman" w:hAnsi="Times New Roman" w:cs="Times New Roman"/>
          <w:b/>
          <w:bCs/>
          <w:i/>
          <w:iCs/>
          <w:color w:val="FF0000"/>
          <w:sz w:val="24"/>
          <w:szCs w:val="24"/>
          <w:highlight w:val="yellow"/>
        </w:rPr>
      </w:pPr>
    </w:p>
    <w:p w14:paraId="77398C79" w14:textId="703D544E" w:rsidR="0BE75029" w:rsidRPr="0066121D" w:rsidRDefault="537C7E8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Cabe salientar, ainda, que, segundo o art. 5º, VI, da IN SEGES/MP nº 05</w:t>
      </w:r>
      <w:r w:rsidR="356FDEF1"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2017, em regra, configura ingerência indevida na administração da contratada a definição do valor de remuneração a ser paga aos trabalhadores da empresa alocados à prestação dos serviços contratados, devendo ser adotados como mínimo obrigatório, quando houver, os benefícios e valores previstos em Acordo, Convenção ou Dissídio Coletivo de Trabalho. Excepcionalmente, contudo, admite-se esse tipo de previsão em </w:t>
      </w:r>
      <w:r w:rsidRPr="0066121D">
        <w:rPr>
          <w:rFonts w:ascii="Times New Roman" w:eastAsia="Times New Roman" w:hAnsi="Times New Roman" w:cs="Times New Roman"/>
          <w:i/>
          <w:iCs/>
          <w:color w:val="FF0000"/>
          <w:sz w:val="24"/>
          <w:szCs w:val="24"/>
        </w:rPr>
        <w:t xml:space="preserve">"casos específicos em que se necessitam de profissionais com habilitação/experiência superior </w:t>
      </w:r>
      <w:proofErr w:type="gramStart"/>
      <w:r w:rsidRPr="0066121D">
        <w:rPr>
          <w:rFonts w:ascii="Times New Roman" w:eastAsia="Times New Roman" w:hAnsi="Times New Roman" w:cs="Times New Roman"/>
          <w:i/>
          <w:iCs/>
          <w:color w:val="FF0000"/>
          <w:sz w:val="24"/>
          <w:szCs w:val="24"/>
        </w:rPr>
        <w:t>a</w:t>
      </w:r>
      <w:proofErr w:type="gramEnd"/>
      <w:r w:rsidRPr="0066121D">
        <w:rPr>
          <w:rFonts w:ascii="Times New Roman" w:eastAsia="Times New Roman" w:hAnsi="Times New Roman" w:cs="Times New Roman"/>
          <w:i/>
          <w:iCs/>
          <w:color w:val="FF0000"/>
          <w:sz w:val="24"/>
          <w:szCs w:val="24"/>
        </w:rPr>
        <w:t xml:space="preserve"> daqueles que, no mercado, são remunerados pelo piso salarial da categoria, desde que justificadamente".</w:t>
      </w:r>
      <w:r w:rsidRPr="0066121D">
        <w:rPr>
          <w:rFonts w:ascii="Times New Roman" w:eastAsia="Times New Roman" w:hAnsi="Times New Roman" w:cs="Times New Roman"/>
          <w:color w:val="FF0000"/>
          <w:sz w:val="24"/>
          <w:szCs w:val="24"/>
        </w:rPr>
        <w:t xml:space="preserve"> </w:t>
      </w:r>
    </w:p>
    <w:p w14:paraId="681B86CC" w14:textId="3236121B"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rPr>
        <w:t xml:space="preserve">O tema já foi objeto de análise por parte da PGF, por meio do Parecer nº 5/2012/GT359/DEPCONSU/PGF/AGU, aprovado pelo Procurador-Geral Federal, a partir do qual foi elaborada a Conclusão DEPCONSU nº 18/2012, nos seguintes termos: </w:t>
      </w:r>
    </w:p>
    <w:p w14:paraId="479B8446" w14:textId="254B3A28" w:rsidR="0BE75029" w:rsidRPr="001218FB" w:rsidRDefault="0BE75029" w:rsidP="001218FB">
      <w:pPr>
        <w:spacing w:after="0" w:line="240" w:lineRule="auto"/>
        <w:ind w:left="2268"/>
        <w:jc w:val="both"/>
        <w:rPr>
          <w:rFonts w:ascii="Times New Roman" w:eastAsia="Times New Roman" w:hAnsi="Times New Roman" w:cs="Times New Roman"/>
          <w:color w:val="FF0000"/>
          <w:sz w:val="20"/>
          <w:szCs w:val="20"/>
        </w:rPr>
      </w:pPr>
      <w:r w:rsidRPr="0066121D">
        <w:rPr>
          <w:rFonts w:ascii="Times New Roman" w:hAnsi="Times New Roman" w:cs="Times New Roman"/>
          <w:sz w:val="24"/>
          <w:szCs w:val="24"/>
        </w:rPr>
        <w:br/>
      </w:r>
      <w:r w:rsidR="537C7E88" w:rsidRPr="001218FB">
        <w:rPr>
          <w:rFonts w:ascii="Times New Roman" w:eastAsia="Times New Roman" w:hAnsi="Times New Roman" w:cs="Times New Roman"/>
          <w:color w:val="FF0000"/>
          <w:sz w:val="20"/>
          <w:szCs w:val="20"/>
        </w:rPr>
        <w:t xml:space="preserve">CONCLUSÃO DEPCONSU/PGF/AGU Nº 18/2012 </w:t>
      </w:r>
    </w:p>
    <w:p w14:paraId="63DE9800" w14:textId="50156FEF" w:rsidR="0BE75029" w:rsidRPr="001218FB" w:rsidRDefault="537C7E88" w:rsidP="001218FB">
      <w:pPr>
        <w:spacing w:after="0" w:line="240" w:lineRule="auto"/>
        <w:ind w:left="2268"/>
        <w:jc w:val="both"/>
        <w:rPr>
          <w:rFonts w:ascii="Times New Roman" w:eastAsia="Times New Roman" w:hAnsi="Times New Roman" w:cs="Times New Roman"/>
          <w:color w:val="FF0000"/>
          <w:sz w:val="20"/>
          <w:szCs w:val="20"/>
        </w:rPr>
      </w:pPr>
      <w:r w:rsidRPr="001218FB">
        <w:rPr>
          <w:rFonts w:ascii="Times New Roman" w:eastAsia="Times New Roman" w:hAnsi="Times New Roman" w:cs="Times New Roman"/>
          <w:color w:val="FF0000"/>
          <w:sz w:val="20"/>
          <w:szCs w:val="20"/>
        </w:rPr>
        <w:t>I. NAS CONTRATAÇÕES QUE ENVOLVAM DEDICAÇÃO EXCLUSIVA DE MÃO-DE-OBRA, SEJAM AQUELAS POR ALOCAÇÃO DE POSTOS DE TRABALHO SEJAM AQUELAS MEDIDAS E PAGAS POR RESULTADO, A ADMINISTRAÇÃO ESTÁ OBRIGADA A OBEDECER AOS PISOS SALARIAIS DAS CATEGORIAS;</w:t>
      </w:r>
    </w:p>
    <w:p w14:paraId="5E50B332" w14:textId="7748590E" w:rsidR="0BE75029" w:rsidRPr="001218FB" w:rsidRDefault="537C7E88" w:rsidP="001218FB">
      <w:pPr>
        <w:spacing w:after="0" w:line="240" w:lineRule="auto"/>
        <w:ind w:left="2268"/>
        <w:jc w:val="both"/>
        <w:rPr>
          <w:rFonts w:ascii="Times New Roman" w:eastAsia="Times New Roman" w:hAnsi="Times New Roman" w:cs="Times New Roman"/>
          <w:b/>
          <w:bCs/>
          <w:color w:val="FF0000"/>
          <w:sz w:val="20"/>
          <w:szCs w:val="20"/>
        </w:rPr>
      </w:pPr>
      <w:r w:rsidRPr="001218FB">
        <w:rPr>
          <w:rFonts w:ascii="Times New Roman" w:eastAsia="Times New Roman" w:hAnsi="Times New Roman" w:cs="Times New Roman"/>
          <w:color w:val="FF0000"/>
          <w:sz w:val="20"/>
          <w:szCs w:val="20"/>
        </w:rPr>
        <w:t xml:space="preserve">II. É ADMITIDA, EXCEPCIONALMENTE, A FIXAÇÃO DE SALÁRIO ACIMA DO PISO DA CATEGORIA NAS CONTRATAÇÕES POR POSTOS DE TRABALHO, </w:t>
      </w:r>
      <w:r w:rsidRPr="001218FB">
        <w:rPr>
          <w:rFonts w:ascii="Times New Roman" w:eastAsia="Times New Roman" w:hAnsi="Times New Roman" w:cs="Times New Roman"/>
          <w:b/>
          <w:bCs/>
          <w:color w:val="FF0000"/>
          <w:sz w:val="20"/>
          <w:szCs w:val="20"/>
        </w:rPr>
        <w:t>SENDO VEDADA NAQUELAS EM QUE O SERVIÇO É MEDIDO E PAGO POR RESULTADOS;</w:t>
      </w:r>
    </w:p>
    <w:p w14:paraId="53142D69" w14:textId="1B1B69E8" w:rsidR="0BE75029" w:rsidRPr="001218FB" w:rsidRDefault="537C7E88" w:rsidP="001218FB">
      <w:pPr>
        <w:spacing w:after="0" w:line="240" w:lineRule="auto"/>
        <w:ind w:left="2268"/>
        <w:jc w:val="both"/>
        <w:rPr>
          <w:rFonts w:ascii="Times New Roman" w:eastAsia="Times New Roman" w:hAnsi="Times New Roman" w:cs="Times New Roman"/>
          <w:color w:val="FF0000"/>
          <w:sz w:val="20"/>
          <w:szCs w:val="20"/>
        </w:rPr>
      </w:pPr>
      <w:r w:rsidRPr="001218FB">
        <w:rPr>
          <w:rFonts w:ascii="Times New Roman" w:eastAsia="Times New Roman" w:hAnsi="Times New Roman" w:cs="Times New Roman"/>
          <w:color w:val="FF0000"/>
          <w:sz w:val="20"/>
          <w:szCs w:val="20"/>
        </w:rPr>
        <w:t xml:space="preserve">III. QUANDO UTILIZAR-SE DA FIXAÇÃO DE SALÁRIO ACIMA DO PISO DA CATEGORIA, A ADMINISTRAÇÃO DEVERÁ FAZER CONSTAR EXPRESSAMENTE DOS AUTOS </w:t>
      </w:r>
      <w:r w:rsidRPr="001218FB">
        <w:rPr>
          <w:rFonts w:ascii="Times New Roman" w:eastAsia="Times New Roman" w:hAnsi="Times New Roman" w:cs="Times New Roman"/>
          <w:b/>
          <w:bCs/>
          <w:color w:val="FF0000"/>
          <w:sz w:val="20"/>
          <w:szCs w:val="20"/>
        </w:rPr>
        <w:t>FUNDAMENTAÇÃO CLARA E OBJETIVA</w:t>
      </w:r>
      <w:r w:rsidRPr="001218FB">
        <w:rPr>
          <w:rFonts w:ascii="Times New Roman" w:eastAsia="Times New Roman" w:hAnsi="Times New Roman" w:cs="Times New Roman"/>
          <w:color w:val="FF0000"/>
          <w:sz w:val="20"/>
          <w:szCs w:val="20"/>
        </w:rPr>
        <w:t xml:space="preserve"> QUE DEMONSTRE </w:t>
      </w:r>
      <w:r w:rsidRPr="001218FB">
        <w:rPr>
          <w:rFonts w:ascii="Times New Roman" w:eastAsia="Times New Roman" w:hAnsi="Times New Roman" w:cs="Times New Roman"/>
          <w:b/>
          <w:bCs/>
          <w:color w:val="FF0000"/>
          <w:sz w:val="20"/>
          <w:szCs w:val="20"/>
        </w:rPr>
        <w:t>A NECESSIDADE E ADEQUAÇÃO DA MEDIDA,</w:t>
      </w:r>
      <w:r w:rsidRPr="001218FB">
        <w:rPr>
          <w:rFonts w:ascii="Times New Roman" w:eastAsia="Times New Roman" w:hAnsi="Times New Roman" w:cs="Times New Roman"/>
          <w:color w:val="FF0000"/>
          <w:sz w:val="20"/>
          <w:szCs w:val="20"/>
        </w:rPr>
        <w:t xml:space="preserve"> COM RESPALDO EM </w:t>
      </w:r>
      <w:r w:rsidRPr="001218FB">
        <w:rPr>
          <w:rFonts w:ascii="Times New Roman" w:eastAsia="Times New Roman" w:hAnsi="Times New Roman" w:cs="Times New Roman"/>
          <w:b/>
          <w:bCs/>
          <w:color w:val="FF0000"/>
          <w:sz w:val="20"/>
          <w:szCs w:val="20"/>
        </w:rPr>
        <w:t>ESTUDOS APTOS A COMPROVAR O VALOR ADOTADO</w:t>
      </w:r>
      <w:r w:rsidRPr="001218FB">
        <w:rPr>
          <w:rFonts w:ascii="Times New Roman" w:eastAsia="Times New Roman" w:hAnsi="Times New Roman" w:cs="Times New Roman"/>
          <w:color w:val="FF0000"/>
          <w:sz w:val="20"/>
          <w:szCs w:val="20"/>
        </w:rPr>
        <w:t xml:space="preserve">, O </w:t>
      </w:r>
      <w:r w:rsidRPr="001218FB">
        <w:rPr>
          <w:rFonts w:ascii="Times New Roman" w:eastAsia="Times New Roman" w:hAnsi="Times New Roman" w:cs="Times New Roman"/>
          <w:b/>
          <w:bCs/>
          <w:color w:val="FF0000"/>
          <w:sz w:val="20"/>
          <w:szCs w:val="20"/>
        </w:rPr>
        <w:t>GANHO DE EFICIÊNCIA ESPERADO</w:t>
      </w:r>
      <w:r w:rsidRPr="001218FB">
        <w:rPr>
          <w:rFonts w:ascii="Times New Roman" w:eastAsia="Times New Roman" w:hAnsi="Times New Roman" w:cs="Times New Roman"/>
          <w:color w:val="FF0000"/>
          <w:sz w:val="20"/>
          <w:szCs w:val="20"/>
        </w:rPr>
        <w:t xml:space="preserve">, A </w:t>
      </w:r>
      <w:r w:rsidRPr="001218FB">
        <w:rPr>
          <w:rFonts w:ascii="Times New Roman" w:eastAsia="Times New Roman" w:hAnsi="Times New Roman" w:cs="Times New Roman"/>
          <w:b/>
          <w:bCs/>
          <w:color w:val="FF0000"/>
          <w:sz w:val="20"/>
          <w:szCs w:val="20"/>
        </w:rPr>
        <w:t>ESPECIFICIDADE DOS SERVIÇOS,</w:t>
      </w:r>
      <w:r w:rsidRPr="001218FB">
        <w:rPr>
          <w:rFonts w:ascii="Times New Roman" w:eastAsia="Times New Roman" w:hAnsi="Times New Roman" w:cs="Times New Roman"/>
          <w:color w:val="FF0000"/>
          <w:sz w:val="20"/>
          <w:szCs w:val="20"/>
        </w:rPr>
        <w:t xml:space="preserve"> A </w:t>
      </w:r>
      <w:r w:rsidRPr="001218FB">
        <w:rPr>
          <w:rFonts w:ascii="Times New Roman" w:eastAsia="Times New Roman" w:hAnsi="Times New Roman" w:cs="Times New Roman"/>
          <w:b/>
          <w:bCs/>
          <w:color w:val="FF0000"/>
          <w:sz w:val="20"/>
          <w:szCs w:val="20"/>
        </w:rPr>
        <w:t>QUALIFICAÇÃO DIFERENCIADA DA MÃO-DE-OBRA EXIGIDA,</w:t>
      </w:r>
      <w:r w:rsidRPr="001218FB">
        <w:rPr>
          <w:rFonts w:ascii="Times New Roman" w:eastAsia="Times New Roman" w:hAnsi="Times New Roman" w:cs="Times New Roman"/>
          <w:color w:val="FF0000"/>
          <w:sz w:val="20"/>
          <w:szCs w:val="20"/>
        </w:rPr>
        <w:t xml:space="preserve"> BEM COMO OUTROS MOTIVOS IDÔNEOS A FUNDAMENTAR A EXCEPCIONALIDADE.</w:t>
      </w:r>
    </w:p>
    <w:p w14:paraId="7BF4138D" w14:textId="3EAE1BD4" w:rsidR="0BE75029" w:rsidRPr="0066121D"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rPr>
        <w:t xml:space="preserve">Nesse sentido, somente poderá a Administração fixar um valor remuneratório superior ao piso salarial da categoria mediante a apresentação de justificativas aptas a demonstrar que as especificidades do objeto contratado demandam a alocação de profissionais com habilitação/experiência diferenciada, superior à daqueles comumente encontrados no mercado, para viabilizar a adequada execução dos serviços e satisfazer a contento as necessidades administrativas. </w:t>
      </w:r>
    </w:p>
    <w:p w14:paraId="53B6133C" w14:textId="23979F99" w:rsidR="0BE75029" w:rsidRPr="00105D92"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rPr>
        <w:t xml:space="preserve">Na espécie, é possível observar, no Termo de Referência, que foram formuladas exigências de qualificação/experiência profissional específicas e diferenciadas, a serem atendidas pelos empregados da contratada que serão alocados à futura prestação dos serviços. Em virtude disso, o termo de </w:t>
      </w:r>
      <w:r w:rsidR="301341F9" w:rsidRPr="0066121D">
        <w:rPr>
          <w:rFonts w:ascii="Times New Roman" w:eastAsia="Times New Roman" w:hAnsi="Times New Roman" w:cs="Times New Roman"/>
          <w:color w:val="FF0000"/>
          <w:sz w:val="24"/>
          <w:szCs w:val="24"/>
        </w:rPr>
        <w:t>referência</w:t>
      </w:r>
      <w:r w:rsidR="537C7E88" w:rsidRPr="0066121D">
        <w:rPr>
          <w:rFonts w:ascii="Times New Roman" w:eastAsia="Times New Roman" w:hAnsi="Times New Roman" w:cs="Times New Roman"/>
          <w:color w:val="FF0000"/>
          <w:sz w:val="24"/>
          <w:szCs w:val="24"/>
        </w:rPr>
        <w:t xml:space="preserve"> fixou remuneração salarial a ser paga a esses trabalhadores, em valor superior ao piso da respectiva categoria profissional envolvida (fls. XXX ou SEI XXX). </w:t>
      </w:r>
      <w:r w:rsidRPr="0066121D">
        <w:rPr>
          <w:rFonts w:ascii="Times New Roman" w:hAnsi="Times New Roman" w:cs="Times New Roman"/>
          <w:sz w:val="24"/>
          <w:szCs w:val="24"/>
        </w:rPr>
        <w:br/>
      </w:r>
      <w:r w:rsidR="537C7E88" w:rsidRPr="0066121D">
        <w:rPr>
          <w:rFonts w:ascii="Times New Roman" w:eastAsia="Times New Roman" w:hAnsi="Times New Roman" w:cs="Times New Roman"/>
          <w:color w:val="FF0000"/>
          <w:sz w:val="24"/>
          <w:szCs w:val="24"/>
          <w:highlight w:val="cyan"/>
        </w:rPr>
        <w:lastRenderedPageBreak/>
        <w:t>Até o presente momento, entretanto, não foram trazidos aos autos informações e documentos que justifiquem a opção administrativa de formular exigências de habilitação/experiência profissional superior para o exercício das atividades de XXXX, tampouco da consequente previsão de pagamento salarial acima do piso da categoria, o que deverá ser providenciado, levando em conta as orientações da Conclusão DEPCONSU nº 18/2012, acima transcrita.</w:t>
      </w:r>
    </w:p>
    <w:p w14:paraId="7318B608" w14:textId="4BACD8CB" w:rsidR="0BE75029" w:rsidRPr="00B263CC" w:rsidRDefault="537C7E88" w:rsidP="00B263CC">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B263CC">
        <w:rPr>
          <w:rFonts w:ascii="Times New Roman" w:eastAsia="Times New Roman" w:hAnsi="Times New Roman" w:cs="Times New Roman"/>
          <w:b/>
          <w:bCs/>
          <w:color w:val="FF0000"/>
          <w:sz w:val="24"/>
          <w:szCs w:val="24"/>
          <w:highlight w:val="cyan"/>
          <w:u w:val="single"/>
        </w:rPr>
        <w:t xml:space="preserve">OU </w:t>
      </w:r>
    </w:p>
    <w:p w14:paraId="06F764CD" w14:textId="5BDA2E46" w:rsidR="0BE75029" w:rsidRPr="0066121D" w:rsidRDefault="537C7E88" w:rsidP="00F74EB0">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No caso, verifica-se que a Administração trouxe aos autos justificativas e documentos para demonstrar a necessidade e adequação da previsão de exigências de habilitação/experiência profissional superior para o exercício das atividades de XXXX, bem como da fixação de salário acima do piso da categoria envolvida na prestação dos serviços licitados (fls</w:t>
      </w:r>
      <w:r w:rsidR="00B263CC" w:rsidRPr="5D8365CD">
        <w:rPr>
          <w:rFonts w:ascii="Times New Roman" w:eastAsia="Times New Roman" w:hAnsi="Times New Roman" w:cs="Times New Roman"/>
          <w:color w:val="FF0000"/>
          <w:sz w:val="24"/>
          <w:szCs w:val="24"/>
          <w:highlight w:val="cyan"/>
        </w:rPr>
        <w:t>.</w:t>
      </w:r>
      <w:r w:rsidRPr="5D8365CD">
        <w:rPr>
          <w:rFonts w:ascii="Times New Roman" w:eastAsia="Times New Roman" w:hAnsi="Times New Roman" w:cs="Times New Roman"/>
          <w:color w:val="FF0000"/>
          <w:sz w:val="24"/>
          <w:szCs w:val="24"/>
          <w:highlight w:val="cyan"/>
        </w:rPr>
        <w:t xml:space="preserve"> XXX ou SEI XXX). Destaque-se, apenas, que tal manifestação é de exclusiva responsabilidade do gestor, não cabendo a esta Procuradoria se pronunciar conclusivamente sobre esse ponto. </w:t>
      </w:r>
    </w:p>
    <w:p w14:paraId="352D79AA" w14:textId="5CC442B6" w:rsidR="0BE75029" w:rsidRPr="008079A2" w:rsidRDefault="0BE7502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537C7E88" w:rsidRPr="008079A2">
        <w:rPr>
          <w:rFonts w:ascii="Times New Roman" w:eastAsia="Times New Roman" w:hAnsi="Times New Roman" w:cs="Times New Roman"/>
          <w:color w:val="FF0000"/>
          <w:sz w:val="24"/>
          <w:szCs w:val="24"/>
        </w:rPr>
        <w:t>Noutro giro, quanto aos custos decorrentes do mercado, não vinculados a qualquer instrumento coletivo ou tarifas públicas, a pesquisa de preços deverá ser executada de acordo com a IN SEGES/ME nº 65</w:t>
      </w:r>
      <w:r w:rsidR="7CACF54E" w:rsidRPr="008079A2">
        <w:rPr>
          <w:rFonts w:ascii="Times New Roman" w:eastAsia="Times New Roman" w:hAnsi="Times New Roman" w:cs="Times New Roman"/>
          <w:color w:val="FF0000"/>
          <w:sz w:val="24"/>
          <w:szCs w:val="24"/>
        </w:rPr>
        <w:t xml:space="preserve">, de </w:t>
      </w:r>
      <w:r w:rsidR="537C7E88" w:rsidRPr="008079A2">
        <w:rPr>
          <w:rFonts w:ascii="Times New Roman" w:eastAsia="Times New Roman" w:hAnsi="Times New Roman" w:cs="Times New Roman"/>
          <w:color w:val="FF0000"/>
          <w:sz w:val="24"/>
          <w:szCs w:val="24"/>
        </w:rPr>
        <w:t>2021. Em especial, deverão ser cumpridas as orientações abaixo:</w:t>
      </w:r>
    </w:p>
    <w:p w14:paraId="4D4790CC" w14:textId="58D7F43A"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2C4D88BC" w14:textId="77777777" w:rsidTr="00571638">
        <w:trPr>
          <w:trHeight w:val="300"/>
        </w:trPr>
        <w:tc>
          <w:tcPr>
            <w:tcW w:w="9015" w:type="dxa"/>
            <w:tcMar>
              <w:top w:w="30" w:type="dxa"/>
              <w:left w:w="30" w:type="dxa"/>
              <w:bottom w:w="30" w:type="dxa"/>
              <w:right w:w="30" w:type="dxa"/>
            </w:tcMar>
            <w:vAlign w:val="center"/>
          </w:tcPr>
          <w:p w14:paraId="0F626686" w14:textId="079EC9E6"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não exista manifestação técnica conclusiva sobre a pesquisa, deve-se utilizar o item abaixo:</w:t>
            </w:r>
          </w:p>
        </w:tc>
      </w:tr>
    </w:tbl>
    <w:p w14:paraId="129C52A3" w14:textId="5C9656DA"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4638860" w14:textId="6A82192E"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No caso, há a necessidade de manifestação técnica conclusiva que analise, criticamente, os preços coletados, com a desconsideração dos preços inexequíveis ou excessivamente elevados (art. 6º, caput, §§ 3º e 4º, da IN SEGES/ME nº 65, de 2021).</w:t>
      </w:r>
      <w:r w:rsidRPr="0066121D">
        <w:rPr>
          <w:rFonts w:ascii="Times New Roman" w:eastAsia="Times New Roman" w:hAnsi="Times New Roman" w:cs="Times New Roman"/>
          <w:color w:val="000000" w:themeColor="text1"/>
          <w:sz w:val="24"/>
          <w:szCs w:val="24"/>
        </w:rPr>
        <w:t xml:space="preserve"> </w:t>
      </w:r>
    </w:p>
    <w:p w14:paraId="5012CDAF" w14:textId="278A72BE"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472766F2" w14:textId="77777777" w:rsidTr="008D481F">
        <w:trPr>
          <w:trHeight w:val="300"/>
        </w:trPr>
        <w:tc>
          <w:tcPr>
            <w:tcW w:w="9015" w:type="dxa"/>
            <w:tcMar>
              <w:top w:w="30" w:type="dxa"/>
              <w:left w:w="30" w:type="dxa"/>
              <w:bottom w:w="30" w:type="dxa"/>
              <w:right w:w="30" w:type="dxa"/>
            </w:tcMar>
            <w:vAlign w:val="center"/>
          </w:tcPr>
          <w:p w14:paraId="1E048F07" w14:textId="5868278F" w:rsidR="257865AE" w:rsidRPr="0066121D" w:rsidRDefault="3037C23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b/>
                <w:bCs/>
                <w:i/>
                <w:iCs/>
                <w:color w:val="000000" w:themeColor="text1"/>
                <w:sz w:val="24"/>
                <w:szCs w:val="24"/>
                <w:highlight w:val="yellow"/>
              </w:rPr>
              <w:t xml:space="preserve"> </w:t>
            </w:r>
            <w:r w:rsidRPr="0066121D">
              <w:rPr>
                <w:rFonts w:ascii="Times New Roman" w:eastAsia="Times New Roman" w:hAnsi="Times New Roman" w:cs="Times New Roman"/>
                <w:color w:val="000000" w:themeColor="text1"/>
                <w:sz w:val="24"/>
                <w:szCs w:val="24"/>
                <w:highlight w:val="yellow"/>
              </w:rPr>
              <w:t>Caso tenham sido consultados apenas fornecedores de mercado, sem justificativa, deve-se utilizar o item abaixo:</w:t>
            </w:r>
            <w:r w:rsidRPr="0066121D">
              <w:rPr>
                <w:rFonts w:ascii="Times New Roman" w:eastAsia="Times New Roman" w:hAnsi="Times New Roman" w:cs="Times New Roman"/>
                <w:color w:val="000000" w:themeColor="text1"/>
                <w:sz w:val="24"/>
                <w:szCs w:val="24"/>
              </w:rPr>
              <w:t xml:space="preserve"> </w:t>
            </w:r>
          </w:p>
        </w:tc>
      </w:tr>
    </w:tbl>
    <w:p w14:paraId="166CC77D" w14:textId="07AD60CC" w:rsidR="64C763B2" w:rsidRPr="0066121D" w:rsidRDefault="64C763B2" w:rsidP="64C763B2">
      <w:pPr>
        <w:spacing w:after="0" w:line="240" w:lineRule="auto"/>
        <w:rPr>
          <w:rFonts w:ascii="Times New Roman" w:eastAsia="Times New Roman" w:hAnsi="Times New Roman" w:cs="Times New Roman"/>
          <w:sz w:val="24"/>
          <w:szCs w:val="24"/>
        </w:rPr>
      </w:pPr>
    </w:p>
    <w:p w14:paraId="12D474AA" w14:textId="6AF11492"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FF0000"/>
          <w:sz w:val="24"/>
          <w:szCs w:val="24"/>
        </w:rPr>
        <w:t>Tendo em vista que pesquisa foi realizada apenas por meio da consulta direta a fornecedor, deverá a Administração demonstrar que tentou obter preços de referência em sistemas oficiais de governo, como Painel de Preços ou banco de preços em saúde, e em contratações públicas similares</w:t>
      </w:r>
      <w:r w:rsidRPr="5D8365CD">
        <w:rPr>
          <w:rFonts w:ascii="Times New Roman" w:eastAsia="Times New Roman" w:hAnsi="Times New Roman" w:cs="Times New Roman"/>
          <w:color w:val="000000" w:themeColor="text1"/>
          <w:sz w:val="24"/>
          <w:szCs w:val="24"/>
        </w:rPr>
        <w:t xml:space="preserve"> </w:t>
      </w:r>
      <w:r w:rsidRPr="5D8365CD">
        <w:rPr>
          <w:rFonts w:ascii="Times New Roman" w:eastAsia="Times New Roman" w:hAnsi="Times New Roman" w:cs="Times New Roman"/>
          <w:color w:val="FF0000"/>
          <w:sz w:val="24"/>
          <w:szCs w:val="24"/>
        </w:rPr>
        <w:t xml:space="preserve">(art. 5º, § 1º, da IN SEGES/ME nº 65, de 2021). </w:t>
      </w:r>
      <w:r w:rsidRPr="5D8365CD">
        <w:rPr>
          <w:rFonts w:ascii="Times New Roman" w:eastAsia="Times New Roman" w:hAnsi="Times New Roman" w:cs="Times New Roman"/>
          <w:color w:val="000000" w:themeColor="text1"/>
          <w:sz w:val="24"/>
          <w:szCs w:val="24"/>
        </w:rPr>
        <w:t xml:space="preserve"> </w:t>
      </w:r>
    </w:p>
    <w:p w14:paraId="1C28AF18" w14:textId="44BE880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7FCBBA4" w14:textId="7B9A5A54"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Nesses termos, a Administração deverá rever a pesquisa de preços, para corrigir a falha aventada, pois a pesquisa direta com fornecedores somente deverá ser utilizada quando não for viável a obtenção de informações sobre os preços nos dois parâmetros indicados acima.</w:t>
      </w:r>
      <w:r w:rsidRPr="0066121D">
        <w:rPr>
          <w:rFonts w:ascii="Times New Roman" w:eastAsia="Times New Roman" w:hAnsi="Times New Roman" w:cs="Times New Roman"/>
          <w:color w:val="000000" w:themeColor="text1"/>
          <w:sz w:val="24"/>
          <w:szCs w:val="24"/>
        </w:rPr>
        <w:t xml:space="preserve"> </w:t>
      </w:r>
    </w:p>
    <w:p w14:paraId="7DCABE9D" w14:textId="7E08625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37D95C5B" w14:textId="3033EBA2"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Se, por alguma razão, for tecnicamente inviável a adoção dos parâmetros preferenciais (Painel de Preços, banco de preços em saúde e pesquisa em contratações públicas similares), deverá ser trazida aos autos justificativa para o não atendimento da orientação.</w:t>
      </w:r>
      <w:r w:rsidRPr="0066121D">
        <w:rPr>
          <w:rFonts w:ascii="Times New Roman" w:eastAsia="Times New Roman" w:hAnsi="Times New Roman" w:cs="Times New Roman"/>
          <w:color w:val="000000" w:themeColor="text1"/>
          <w:sz w:val="24"/>
          <w:szCs w:val="24"/>
          <w:u w:val="single"/>
        </w:rPr>
        <w:t xml:space="preserve"> </w:t>
      </w:r>
    </w:p>
    <w:p w14:paraId="46C783B4" w14:textId="675DEE3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u w:val="single"/>
        </w:rPr>
      </w:pPr>
    </w:p>
    <w:p w14:paraId="03558808" w14:textId="7DABA1CF"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t>Observa-se, ademais, que não consta dos autos a solicitação formal, por meio de ofício ou e-mail, para apresentação de cotação encaminhada pela Administração ao fornecedor, o que deverá ser juntado, em atenção ao art. 5º, IV, da IN SEGES/ME nº 65, de 2021. Deverá a Administração certificar, outrossim, conforme o disposto no art. 5º, IV, da IN SEGES/ME nº 65, de 2021, que a data da pesquisa feita junto ao fornecedor não seja com mais de 6 (seis) meses de antecedência.</w:t>
      </w:r>
      <w:r w:rsidRPr="0066121D">
        <w:rPr>
          <w:rFonts w:ascii="Times New Roman" w:eastAsia="Times New Roman" w:hAnsi="Times New Roman" w:cs="Times New Roman"/>
          <w:color w:val="000000" w:themeColor="text1"/>
          <w:sz w:val="24"/>
          <w:szCs w:val="24"/>
        </w:rPr>
        <w:t xml:space="preserve"> </w:t>
      </w:r>
    </w:p>
    <w:p w14:paraId="321A0D1B" w14:textId="77777777" w:rsidR="00CE1024" w:rsidRDefault="00CE1024" w:rsidP="64C763B2">
      <w:pPr>
        <w:spacing w:after="0" w:line="240" w:lineRule="auto"/>
        <w:jc w:val="both"/>
        <w:rPr>
          <w:rFonts w:ascii="Times New Roman" w:eastAsia="Times New Roman" w:hAnsi="Times New Roman" w:cs="Times New Roman"/>
          <w:color w:val="000000" w:themeColor="text1"/>
          <w:sz w:val="24"/>
          <w:szCs w:val="24"/>
        </w:rPr>
      </w:pPr>
    </w:p>
    <w:p w14:paraId="587EDC89" w14:textId="61486A12" w:rsidR="0BE75029" w:rsidRPr="0066121D" w:rsidRDefault="1DA5EA4A"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rPr>
        <w:lastRenderedPageBreak/>
        <w:t>Caso sejam feitas adequações no orçamento da contratação, deverão ser realizadas as adaptações correspondentes no valor estimado da contratação em todas as minutas trazidas aos autos.</w:t>
      </w:r>
      <w:r w:rsidRPr="0066121D">
        <w:rPr>
          <w:rFonts w:ascii="Times New Roman" w:eastAsia="Times New Roman" w:hAnsi="Times New Roman" w:cs="Times New Roman"/>
          <w:color w:val="FF0000"/>
          <w:sz w:val="24"/>
          <w:szCs w:val="24"/>
          <w:u w:val="single"/>
        </w:rPr>
        <w:t xml:space="preserve"> </w:t>
      </w:r>
      <w:r w:rsidRPr="0066121D">
        <w:rPr>
          <w:rFonts w:ascii="Times New Roman" w:eastAsia="Times New Roman" w:hAnsi="Times New Roman" w:cs="Times New Roman"/>
          <w:color w:val="000000" w:themeColor="text1"/>
          <w:sz w:val="24"/>
          <w:szCs w:val="24"/>
          <w:u w:val="single"/>
        </w:rPr>
        <w:t xml:space="preserve"> </w:t>
      </w:r>
    </w:p>
    <w:p w14:paraId="7A88AA29" w14:textId="374EBA75" w:rsidR="0BE75029" w:rsidRPr="0066121D" w:rsidRDefault="0BE75029" w:rsidP="64C763B2">
      <w:pPr>
        <w:spacing w:after="0" w:line="240" w:lineRule="auto"/>
        <w:ind w:firstLine="1410"/>
        <w:jc w:val="both"/>
        <w:rPr>
          <w:rFonts w:ascii="Times New Roman" w:eastAsia="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590F6F7A" w:rsidRPr="0066121D" w14:paraId="5F07E363" w14:textId="77777777" w:rsidTr="64C763B2">
        <w:trPr>
          <w:trHeight w:val="300"/>
        </w:trPr>
        <w:tc>
          <w:tcPr>
            <w:tcW w:w="9015" w:type="dxa"/>
          </w:tcPr>
          <w:p w14:paraId="63C9CB8F" w14:textId="5D1D7E03" w:rsidR="59BD1718" w:rsidRPr="0066121D" w:rsidRDefault="34ED6D39"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Em se tratando de </w:t>
            </w:r>
            <w:r w:rsidRPr="0066121D">
              <w:rPr>
                <w:rFonts w:ascii="Times New Roman" w:eastAsia="Times New Roman" w:hAnsi="Times New Roman" w:cs="Times New Roman"/>
                <w:b/>
                <w:bCs/>
                <w:color w:val="000000" w:themeColor="text1"/>
                <w:sz w:val="24"/>
                <w:szCs w:val="24"/>
                <w:highlight w:val="yellow"/>
              </w:rPr>
              <w:t>serviços de engenharia</w:t>
            </w:r>
            <w:r w:rsidRPr="0066121D">
              <w:rPr>
                <w:rFonts w:ascii="Times New Roman" w:eastAsia="Times New Roman" w:hAnsi="Times New Roman" w:cs="Times New Roman"/>
                <w:color w:val="000000" w:themeColor="text1"/>
                <w:sz w:val="24"/>
                <w:szCs w:val="24"/>
                <w:highlight w:val="yellow"/>
              </w:rPr>
              <w:t>, deve ser</w:t>
            </w:r>
            <w:r w:rsidR="440B68EE" w:rsidRPr="0066121D">
              <w:rPr>
                <w:rFonts w:ascii="Times New Roman" w:eastAsia="Times New Roman" w:hAnsi="Times New Roman" w:cs="Times New Roman"/>
                <w:color w:val="000000" w:themeColor="text1"/>
                <w:sz w:val="24"/>
                <w:szCs w:val="24"/>
                <w:highlight w:val="yellow"/>
              </w:rPr>
              <w:t xml:space="preserve"> utilizada a</w:t>
            </w:r>
            <w:r w:rsidRPr="0066121D">
              <w:rPr>
                <w:rFonts w:ascii="Times New Roman" w:eastAsia="Times New Roman" w:hAnsi="Times New Roman" w:cs="Times New Roman"/>
                <w:color w:val="000000" w:themeColor="text1"/>
                <w:sz w:val="24"/>
                <w:szCs w:val="24"/>
                <w:highlight w:val="yellow"/>
              </w:rPr>
              <w:t xml:space="preserve"> </w:t>
            </w:r>
            <w:r w:rsidR="2BACECC8" w:rsidRPr="0066121D">
              <w:rPr>
                <w:rFonts w:ascii="Times New Roman" w:eastAsia="Times New Roman" w:hAnsi="Times New Roman" w:cs="Times New Roman"/>
                <w:color w:val="000000" w:themeColor="text1"/>
                <w:sz w:val="24"/>
                <w:szCs w:val="24"/>
                <w:highlight w:val="yellow"/>
              </w:rPr>
              <w:t>redação abaixo</w:t>
            </w:r>
            <w:r w:rsidRPr="0066121D">
              <w:rPr>
                <w:rFonts w:ascii="Times New Roman" w:eastAsia="Times New Roman" w:hAnsi="Times New Roman" w:cs="Times New Roman"/>
                <w:color w:val="000000" w:themeColor="text1"/>
                <w:sz w:val="24"/>
                <w:szCs w:val="24"/>
                <w:highlight w:val="yellow"/>
              </w:rPr>
              <w:t>.</w:t>
            </w:r>
          </w:p>
        </w:tc>
      </w:tr>
    </w:tbl>
    <w:p w14:paraId="7EA8E4A5" w14:textId="56BDC0C0" w:rsidR="257865AE" w:rsidRPr="0066121D" w:rsidRDefault="257865AE" w:rsidP="64C763B2">
      <w:pPr>
        <w:spacing w:after="0" w:line="240" w:lineRule="auto"/>
        <w:jc w:val="both"/>
        <w:rPr>
          <w:rFonts w:ascii="Times New Roman" w:eastAsia="Times New Roman" w:hAnsi="Times New Roman" w:cs="Times New Roman"/>
          <w:color w:val="000000" w:themeColor="text1"/>
          <w:sz w:val="24"/>
          <w:szCs w:val="24"/>
        </w:rPr>
      </w:pPr>
    </w:p>
    <w:p w14:paraId="1DEDA621" w14:textId="2340CC4D"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Quanto ao orçamento, é dever da Administração, na contratação de serviços, elaborar planilha detalhada com a consolidação dos quantitativos e preços unitários e total da contratação (art. 6º, XXIII, "i", art. 18, IV, e § 1º, VI, </w:t>
      </w:r>
      <w:r w:rsidR="447FCA1B" w:rsidRPr="0066121D">
        <w:rPr>
          <w:rFonts w:ascii="Times New Roman" w:eastAsia="Times New Roman" w:hAnsi="Times New Roman" w:cs="Times New Roman"/>
          <w:color w:val="FF0000"/>
          <w:sz w:val="24"/>
          <w:szCs w:val="24"/>
        </w:rPr>
        <w:t xml:space="preserve">art. 72, II, </w:t>
      </w:r>
      <w:r w:rsidRPr="0066121D">
        <w:rPr>
          <w:rFonts w:ascii="Times New Roman" w:eastAsia="Times New Roman" w:hAnsi="Times New Roman" w:cs="Times New Roman"/>
          <w:color w:val="FF0000"/>
          <w:sz w:val="24"/>
          <w:szCs w:val="24"/>
        </w:rPr>
        <w:t xml:space="preserve">da Lei nº 14.133, de 2021 c/c art. 2º, I, II, VIII e IX, do Decreto nº 7.983, de 2013). </w:t>
      </w:r>
    </w:p>
    <w:p w14:paraId="40AC24AC" w14:textId="7B96C54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492A613" w14:textId="47E147BE"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highlight w:val="cyan"/>
        </w:rPr>
        <w:t xml:space="preserve">Compulsando os autos, verifica-se que foi juntada planilha de custos e formação de preços elaborada por servidor devidamente identificado nos autos às fls. XXX/no doc. SEI XXX.  </w:t>
      </w:r>
      <w:r w:rsidRPr="0066121D">
        <w:rPr>
          <w:rFonts w:ascii="Times New Roman" w:eastAsia="Times New Roman" w:hAnsi="Times New Roman" w:cs="Times New Roman"/>
          <w:color w:val="FF0000"/>
          <w:sz w:val="24"/>
          <w:szCs w:val="24"/>
        </w:rPr>
        <w:t xml:space="preserve"> </w:t>
      </w:r>
    </w:p>
    <w:p w14:paraId="517B1381" w14:textId="72D643D2" w:rsidR="1D3FF4B2" w:rsidRPr="00E75B56" w:rsidRDefault="6A1529DA" w:rsidP="00E75B56">
      <w:pPr>
        <w:spacing w:after="0" w:line="240" w:lineRule="auto"/>
        <w:ind w:firstLine="708"/>
        <w:jc w:val="both"/>
        <w:rPr>
          <w:rFonts w:ascii="Times New Roman" w:eastAsia="Times New Roman" w:hAnsi="Times New Roman" w:cs="Times New Roman"/>
          <w:color w:val="FF0000"/>
          <w:sz w:val="24"/>
          <w:szCs w:val="24"/>
          <w:u w:val="single"/>
        </w:rPr>
      </w:pPr>
      <w:r w:rsidRPr="00E75B56">
        <w:rPr>
          <w:rFonts w:ascii="Times New Roman" w:eastAsia="Times New Roman" w:hAnsi="Times New Roman" w:cs="Times New Roman"/>
          <w:b/>
          <w:bCs/>
          <w:color w:val="FF0000"/>
          <w:sz w:val="24"/>
          <w:szCs w:val="24"/>
          <w:highlight w:val="cyan"/>
          <w:u w:val="single"/>
        </w:rPr>
        <w:t>OU</w:t>
      </w:r>
      <w:r w:rsidRPr="00E75B56">
        <w:rPr>
          <w:rFonts w:ascii="Times New Roman" w:eastAsia="Times New Roman" w:hAnsi="Times New Roman" w:cs="Times New Roman"/>
          <w:color w:val="FF0000"/>
          <w:sz w:val="24"/>
          <w:szCs w:val="24"/>
          <w:u w:val="single"/>
        </w:rPr>
        <w:t xml:space="preserve"> </w:t>
      </w:r>
    </w:p>
    <w:p w14:paraId="710221D8" w14:textId="0224CF57" w:rsidR="1D3FF4B2" w:rsidRPr="0066121D" w:rsidRDefault="6A1529DA" w:rsidP="00512600">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Compulsando os autos, verifica-se que não foi juntada planilha de custos e formação de preços elaborada pela Administração por meio de servidor devidamente identificado nos autos. Desse modo, deverá a planilha ser preenchida pela Administração com a indicação de todos os custos unitários dos itens referentes ao serviço.</w:t>
      </w:r>
    </w:p>
    <w:p w14:paraId="0ECFBF78" w14:textId="05FE4423"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7E90F772" w14:textId="546C9FAC"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Tendo em conta a natureza estritamente técnica do orçamento, a adequação da metodologia empregada para estimar os custos unitários da contratação deixará de ser examinada neste parecer, por se tratar de atribuição não afeta à formação jurídica e ao prisma do exame da estrita legalidade.   </w:t>
      </w:r>
    </w:p>
    <w:p w14:paraId="6CFB683F" w14:textId="0BCC4F7B"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E3553AC" w14:textId="2094CE1F"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Considera-se prudente, contudo, ressaltar alguns pontos considerados relevantes sob o prisma jurídico, a fim de melhor orientar, nesse particular, a atuação administrativa. Senão, veja-se.   </w:t>
      </w:r>
    </w:p>
    <w:p w14:paraId="3637E6BC" w14:textId="462015F5"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O gestor deve observar o art. 23, § 2º</w:t>
      </w:r>
      <w:r w:rsidR="00D00635">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da Lei nº 14.133, de 2021: </w:t>
      </w:r>
    </w:p>
    <w:p w14:paraId="0030293A" w14:textId="6083B2AA"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24564A36" w14:textId="1FC0408E"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Art. 23. 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 </w:t>
      </w:r>
    </w:p>
    <w:p w14:paraId="4C5B3CE4" w14:textId="016C3FB2"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 § 2º No processo licitatório para contratação de obras e serviços de engenharia, conforme regulamento, o valor estimado, acrescido do percentual de Benefícios e Despesas Indiretas (BDI) de referência e dos Encargos Sociais (ES) cabíveis, será definido por meio da utilização de parâmetros na seguinte ordem: </w:t>
      </w:r>
    </w:p>
    <w:p w14:paraId="31D05F7D" w14:textId="5C212B03"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 - </w:t>
      </w:r>
      <w:proofErr w:type="gramStart"/>
      <w:r w:rsidRPr="00D00635">
        <w:rPr>
          <w:rFonts w:ascii="Times New Roman" w:eastAsia="Times New Roman" w:hAnsi="Times New Roman" w:cs="Times New Roman"/>
          <w:color w:val="FF0000"/>
          <w:sz w:val="20"/>
          <w:szCs w:val="20"/>
        </w:rPr>
        <w:t>composição</w:t>
      </w:r>
      <w:proofErr w:type="gramEnd"/>
      <w:r w:rsidRPr="00D00635">
        <w:rPr>
          <w:rFonts w:ascii="Times New Roman" w:eastAsia="Times New Roman" w:hAnsi="Times New Roman" w:cs="Times New Roman"/>
          <w:color w:val="FF0000"/>
          <w:sz w:val="20"/>
          <w:szCs w:val="20"/>
        </w:rPr>
        <w:t xml:space="preserve"> de custos unitários menores ou iguais à mediana do item correspondente do Sistema de Custos Referenciais de Obras (</w:t>
      </w:r>
      <w:proofErr w:type="spellStart"/>
      <w:r w:rsidRPr="00D00635">
        <w:rPr>
          <w:rFonts w:ascii="Times New Roman" w:eastAsia="Times New Roman" w:hAnsi="Times New Roman" w:cs="Times New Roman"/>
          <w:color w:val="FF0000"/>
          <w:sz w:val="20"/>
          <w:szCs w:val="20"/>
        </w:rPr>
        <w:t>Sicro</w:t>
      </w:r>
      <w:proofErr w:type="spellEnd"/>
      <w:r w:rsidRPr="00D00635">
        <w:rPr>
          <w:rFonts w:ascii="Times New Roman" w:eastAsia="Times New Roman" w:hAnsi="Times New Roman" w:cs="Times New Roman"/>
          <w:color w:val="FF0000"/>
          <w:sz w:val="20"/>
          <w:szCs w:val="20"/>
        </w:rPr>
        <w:t>), para serviços e obras de infraestrutura de transportes, ou do Sistema Nacional de Pesquisa de Custos e Índices de Construção Civil (</w:t>
      </w:r>
      <w:proofErr w:type="spellStart"/>
      <w:r w:rsidRPr="00D00635">
        <w:rPr>
          <w:rFonts w:ascii="Times New Roman" w:eastAsia="Times New Roman" w:hAnsi="Times New Roman" w:cs="Times New Roman"/>
          <w:color w:val="FF0000"/>
          <w:sz w:val="20"/>
          <w:szCs w:val="20"/>
        </w:rPr>
        <w:t>Sinapi</w:t>
      </w:r>
      <w:proofErr w:type="spellEnd"/>
      <w:r w:rsidRPr="00D00635">
        <w:rPr>
          <w:rFonts w:ascii="Times New Roman" w:eastAsia="Times New Roman" w:hAnsi="Times New Roman" w:cs="Times New Roman"/>
          <w:color w:val="FF0000"/>
          <w:sz w:val="20"/>
          <w:szCs w:val="20"/>
        </w:rPr>
        <w:t xml:space="preserve">), para as demais obras e serviços de engenharia; </w:t>
      </w:r>
    </w:p>
    <w:p w14:paraId="4B309718" w14:textId="340884C3"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II - </w:t>
      </w:r>
      <w:proofErr w:type="gramStart"/>
      <w:r w:rsidRPr="00D00635">
        <w:rPr>
          <w:rFonts w:ascii="Times New Roman" w:eastAsia="Times New Roman" w:hAnsi="Times New Roman" w:cs="Times New Roman"/>
          <w:color w:val="FF0000"/>
          <w:sz w:val="20"/>
          <w:szCs w:val="20"/>
        </w:rPr>
        <w:t>utilização</w:t>
      </w:r>
      <w:proofErr w:type="gramEnd"/>
      <w:r w:rsidRPr="00D00635">
        <w:rPr>
          <w:rFonts w:ascii="Times New Roman" w:eastAsia="Times New Roman" w:hAnsi="Times New Roman" w:cs="Times New Roman"/>
          <w:color w:val="FF0000"/>
          <w:sz w:val="20"/>
          <w:szCs w:val="20"/>
        </w:rPr>
        <w:t xml:space="preserve"> de dados de pesquisa publicada em mídia especializada, de tabela de referência formalmente aprovada pelo Poder Executivo federal e de sítios eletrônicos especializados ou de domínio amplo, desde que contenham a data e a hora de acesso; </w:t>
      </w:r>
    </w:p>
    <w:p w14:paraId="4552ABB1" w14:textId="65849127" w:rsidR="1D3FF4B2" w:rsidRPr="00D00635" w:rsidRDefault="6A1529DA" w:rsidP="00D00635">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III - contratações similares feitas pela Administração Pública, em execução ou concluídas no período de 1 (um) ano anterior à data da pesquisa de preços, observado o índice de atualização de preços correspondente; </w:t>
      </w:r>
    </w:p>
    <w:p w14:paraId="79BEA319" w14:textId="51FFCC26" w:rsidR="257865AE" w:rsidRPr="00105D92" w:rsidRDefault="6A1529DA" w:rsidP="00105D92">
      <w:pPr>
        <w:spacing w:after="0" w:line="240" w:lineRule="auto"/>
        <w:ind w:left="2268"/>
        <w:jc w:val="both"/>
        <w:rPr>
          <w:rFonts w:ascii="Times New Roman" w:eastAsia="Times New Roman" w:hAnsi="Times New Roman" w:cs="Times New Roman"/>
          <w:color w:val="FF0000"/>
          <w:sz w:val="20"/>
          <w:szCs w:val="20"/>
        </w:rPr>
      </w:pPr>
      <w:r w:rsidRPr="00D00635">
        <w:rPr>
          <w:rFonts w:ascii="Times New Roman" w:eastAsia="Times New Roman" w:hAnsi="Times New Roman" w:cs="Times New Roman"/>
          <w:color w:val="FF0000"/>
          <w:sz w:val="20"/>
          <w:szCs w:val="20"/>
        </w:rPr>
        <w:t xml:space="preserve">IV - </w:t>
      </w:r>
      <w:proofErr w:type="gramStart"/>
      <w:r w:rsidRPr="00D00635">
        <w:rPr>
          <w:rFonts w:ascii="Times New Roman" w:eastAsia="Times New Roman" w:hAnsi="Times New Roman" w:cs="Times New Roman"/>
          <w:color w:val="FF0000"/>
          <w:sz w:val="20"/>
          <w:szCs w:val="20"/>
        </w:rPr>
        <w:t>pesquisa</w:t>
      </w:r>
      <w:proofErr w:type="gramEnd"/>
      <w:r w:rsidRPr="00D00635">
        <w:rPr>
          <w:rFonts w:ascii="Times New Roman" w:eastAsia="Times New Roman" w:hAnsi="Times New Roman" w:cs="Times New Roman"/>
          <w:color w:val="FF0000"/>
          <w:sz w:val="20"/>
          <w:szCs w:val="20"/>
        </w:rPr>
        <w:t xml:space="preserve"> na base nacional de notas fiscais eletrônicas, na forma de regulamento. </w:t>
      </w:r>
    </w:p>
    <w:p w14:paraId="2689BB5D" w14:textId="77777777" w:rsidR="00105D92" w:rsidRDefault="00105D92" w:rsidP="64C763B2">
      <w:pPr>
        <w:spacing w:after="0" w:line="240" w:lineRule="auto"/>
        <w:jc w:val="both"/>
        <w:rPr>
          <w:rFonts w:ascii="Times New Roman" w:eastAsia="Times New Roman" w:hAnsi="Times New Roman" w:cs="Times New Roman"/>
          <w:color w:val="FF0000"/>
          <w:sz w:val="24"/>
          <w:szCs w:val="24"/>
        </w:rPr>
      </w:pPr>
    </w:p>
    <w:p w14:paraId="35996BE5" w14:textId="77777777" w:rsidR="00CE1024" w:rsidRDefault="00CE102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27872341" w14:textId="2C75931C"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 xml:space="preserve">A IN SEGES/ME Nº 91, de 16 de dezembro de 2022, autoriza a aplicação do Decreto nº 7.983, de 2013, que estabelece regras e critérios para elaboração do orçamento de referência de obras e serviços de engenharia, contratados e executados com recursos dos orçamentos da União, </w:t>
      </w:r>
      <w:r w:rsidRPr="0066121D">
        <w:rPr>
          <w:rFonts w:ascii="Times New Roman" w:eastAsia="Times New Roman" w:hAnsi="Times New Roman" w:cs="Times New Roman"/>
          <w:b/>
          <w:bCs/>
          <w:color w:val="FF0000"/>
          <w:sz w:val="24"/>
          <w:szCs w:val="24"/>
        </w:rPr>
        <w:t>no que couber</w:t>
      </w:r>
      <w:r w:rsidRPr="0066121D">
        <w:rPr>
          <w:rFonts w:ascii="Times New Roman" w:eastAsia="Times New Roman" w:hAnsi="Times New Roman" w:cs="Times New Roman"/>
          <w:color w:val="FF0000"/>
          <w:sz w:val="24"/>
          <w:szCs w:val="24"/>
        </w:rPr>
        <w:t xml:space="preserve">, para a definição do valor estimado nos processos de licitação e de contratação direta de obras e serviços de engenharia. </w:t>
      </w:r>
    </w:p>
    <w:p w14:paraId="5230BE1C" w14:textId="56FF2BC2" w:rsidR="257865AE" w:rsidRPr="0066121D" w:rsidRDefault="257865AE" w:rsidP="64C763B2">
      <w:pPr>
        <w:spacing w:after="0" w:line="240" w:lineRule="auto"/>
        <w:jc w:val="both"/>
        <w:rPr>
          <w:rFonts w:ascii="Times New Roman" w:eastAsia="Times New Roman" w:hAnsi="Times New Roman" w:cs="Times New Roman"/>
          <w:color w:val="FF0000"/>
          <w:sz w:val="24"/>
          <w:szCs w:val="24"/>
        </w:rPr>
      </w:pPr>
    </w:p>
    <w:p w14:paraId="3FEEB525" w14:textId="430E71ED" w:rsidR="1D3FF4B2" w:rsidRPr="0066121D" w:rsidRDefault="6A1529DA"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 xml:space="preserve">Definição de critérios de aceitabilidade dos preços unitários e global: </w:t>
      </w:r>
    </w:p>
    <w:p w14:paraId="3CF9161D" w14:textId="71A03B27"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85EB505" w14:textId="6A7F29B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 que se refere à produção da planilha orçamentária, é importante que a Administração se paute conforme a expressa determinação do  Decreto nº 7.983, de 2013, não relegando toda a responsabilidade pela definição dos insumos necessários para o serviço de engenharia e o seu quantitativo (material, mão de obra e equipamentos) apenas para os projetistas, mas se certificando de que os elementos constantes dos projetos e planilhas orçamentárias por eles elaboradas estão de acordo com as determinações normativas.   </w:t>
      </w:r>
    </w:p>
    <w:p w14:paraId="7B62CF76" w14:textId="74DF560E"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E0EEFA8" w14:textId="754FC2B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Com relação à composição dos custos dos serviços de engenharia ao preço total estimado para cada despesa, a lei exige que seus elementos estejam muito bem evidenciados na planilha orçamentária prevista no art. 6º, XXIII, "i", art. 18, IV, e § 1º, VI, da Lei nº 14.133, de 2021, incluindo os valores unitários de todos os insumos, imprescindível para orientar o gestor em caso de acréscimos futuros.   </w:t>
      </w:r>
    </w:p>
    <w:p w14:paraId="7344BBBD" w14:textId="1B97008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74A13DF0" w14:textId="40ECCFA0"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Tais disposições são aplicáveis de acordo com as particularidades de cada obra ou serviço de engenharia.   </w:t>
      </w:r>
    </w:p>
    <w:p w14:paraId="40026E70" w14:textId="1872D1B3"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76AFC49" w14:textId="1FD3A7E1"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O Decreto nº 7.983, de 2013, determina que se devem utilizar primordialmente os valores constantes no SICRO/SINAPI.   </w:t>
      </w:r>
    </w:p>
    <w:p w14:paraId="33B0E5AE" w14:textId="103A5B8F"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6CDEB93" w14:textId="06AA8F7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Para as obras e serviços de engenharia, aplica-se a Súmula TCU n° 258/2010: </w:t>
      </w:r>
    </w:p>
    <w:p w14:paraId="03DC649F" w14:textId="24502E94"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91EECE6" w14:textId="6CA81389" w:rsidR="1D3FF4B2" w:rsidRPr="002A2494" w:rsidRDefault="6A1529DA" w:rsidP="002A2494">
      <w:pPr>
        <w:spacing w:after="0" w:line="240" w:lineRule="auto"/>
        <w:ind w:left="2268"/>
        <w:jc w:val="both"/>
        <w:rPr>
          <w:rFonts w:ascii="Times New Roman" w:eastAsia="Times New Roman" w:hAnsi="Times New Roman" w:cs="Times New Roman"/>
          <w:color w:val="FF0000"/>
          <w:sz w:val="20"/>
          <w:szCs w:val="20"/>
        </w:rPr>
      </w:pPr>
      <w:r w:rsidRPr="002A2494">
        <w:rPr>
          <w:rFonts w:ascii="Times New Roman" w:eastAsia="Times New Roman" w:hAnsi="Times New Roman" w:cs="Times New Roman"/>
          <w:color w:val="FF0000"/>
          <w:sz w:val="20"/>
          <w:szCs w:val="20"/>
        </w:rPr>
        <w:t xml:space="preserve">Súmula TCU n° 258 - As composições de custos unitários e o detalhamento de encargos sociais e do BDI integram o orçamento que compõe o projeto básico da obra ou serviço de engenharia, devem constar dos anexos do edital de licitação e das propostas das licitantes e não podem ser indicados mediante uso da expressão 'verba' ou de unidades genéricas. </w:t>
      </w:r>
    </w:p>
    <w:p w14:paraId="7DA06A18" w14:textId="4718D0A8"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C11E836" w14:textId="7BB82D35"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Na definição do art. 2°, VIII, do Decreto n° 7.983, de 2013, o orçamento de referência é o “</w:t>
      </w:r>
      <w:r w:rsidRPr="0066121D">
        <w:rPr>
          <w:rFonts w:ascii="Times New Roman" w:eastAsia="Times New Roman" w:hAnsi="Times New Roman" w:cs="Times New Roman"/>
          <w:i/>
          <w:iCs/>
          <w:color w:val="FF0000"/>
          <w:sz w:val="24"/>
          <w:szCs w:val="24"/>
        </w:rPr>
        <w:t>detalhamento do preço global de referência que expressa a descrição, quantidades e custos unitários de todos os serviços, incluídas as respectivas composições de custos unitários, necessários à execução da obra e compatíveis com o projeto que integra o edital de licitação</w:t>
      </w:r>
      <w:r w:rsidRPr="0066121D">
        <w:rPr>
          <w:rFonts w:ascii="Times New Roman" w:eastAsia="Times New Roman" w:hAnsi="Times New Roman" w:cs="Times New Roman"/>
          <w:color w:val="FF0000"/>
          <w:sz w:val="24"/>
          <w:szCs w:val="24"/>
        </w:rPr>
        <w:t xml:space="preserve">”.   </w:t>
      </w:r>
    </w:p>
    <w:p w14:paraId="1A8910BE" w14:textId="77777777" w:rsidR="00512600" w:rsidRDefault="00512600" w:rsidP="64C763B2">
      <w:pPr>
        <w:spacing w:after="0" w:line="240" w:lineRule="auto"/>
        <w:jc w:val="both"/>
        <w:rPr>
          <w:rFonts w:ascii="Times New Roman" w:eastAsia="Times New Roman" w:hAnsi="Times New Roman" w:cs="Times New Roman"/>
          <w:color w:val="FF0000"/>
          <w:sz w:val="24"/>
          <w:szCs w:val="24"/>
        </w:rPr>
      </w:pPr>
    </w:p>
    <w:p w14:paraId="53ABC155" w14:textId="78A2D9C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a decomposição dos custos unitários é passo essencial para a previsão dos critérios de aceitabilidade dos preços unitários e global a serem aplicados no julgamento das propostas – medida obrigatória para as obras e serviços de engenharia, conforme Orientação Normativa AGU n° 5</w:t>
      </w:r>
      <w:r w:rsidR="62D8DBA8" w:rsidRPr="0066121D">
        <w:rPr>
          <w:rFonts w:ascii="Times New Roman" w:eastAsia="Times New Roman" w:hAnsi="Times New Roman" w:cs="Times New Roman"/>
          <w:color w:val="FF0000"/>
          <w:sz w:val="24"/>
          <w:szCs w:val="24"/>
        </w:rPr>
        <w:t>, de</w:t>
      </w:r>
      <w:r w:rsidR="002A2494">
        <w:rPr>
          <w:rFonts w:ascii="Times New Roman" w:eastAsia="Times New Roman" w:hAnsi="Times New Roman" w:cs="Times New Roman"/>
          <w:color w:val="FF0000"/>
          <w:sz w:val="24"/>
          <w:szCs w:val="24"/>
        </w:rPr>
        <w:t xml:space="preserve"> </w:t>
      </w:r>
      <w:r w:rsidRPr="0066121D">
        <w:rPr>
          <w:rFonts w:ascii="Times New Roman" w:eastAsia="Times New Roman" w:hAnsi="Times New Roman" w:cs="Times New Roman"/>
          <w:color w:val="FF0000"/>
          <w:sz w:val="24"/>
          <w:szCs w:val="24"/>
        </w:rPr>
        <w:t xml:space="preserve">2009 e Súmula TCU n° 259, que assim dispõem respectivamente: </w:t>
      </w:r>
    </w:p>
    <w:p w14:paraId="04BB86E2" w14:textId="57D35A6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7A61BEDC" w14:textId="7FEFF9CC" w:rsidR="1D3FF4B2" w:rsidRDefault="6A1529DA" w:rsidP="64C763B2">
      <w:pPr>
        <w:spacing w:after="0" w:line="240" w:lineRule="auto"/>
        <w:ind w:left="2268"/>
        <w:jc w:val="both"/>
        <w:rPr>
          <w:rFonts w:ascii="Times New Roman" w:eastAsia="Times New Roman" w:hAnsi="Times New Roman" w:cs="Times New Roman"/>
          <w:color w:val="FF0000"/>
          <w:sz w:val="20"/>
          <w:szCs w:val="20"/>
        </w:rPr>
      </w:pPr>
      <w:r w:rsidRPr="002A2494">
        <w:rPr>
          <w:rFonts w:ascii="Times New Roman" w:eastAsia="Times New Roman" w:hAnsi="Times New Roman" w:cs="Times New Roman"/>
          <w:color w:val="FF0000"/>
          <w:sz w:val="20"/>
          <w:szCs w:val="20"/>
        </w:rPr>
        <w:t xml:space="preserve">Orientação Normativa nº 5: Na contratação de obra ou serviço de engenharia, o instrumento convocatório deve estabelecer critérios de aceitabilidade dos preços unitários e global. </w:t>
      </w:r>
    </w:p>
    <w:p w14:paraId="0266CB2A" w14:textId="77777777" w:rsidR="0058769D" w:rsidRPr="002A2494" w:rsidRDefault="0058769D" w:rsidP="64C763B2">
      <w:pPr>
        <w:spacing w:after="0" w:line="240" w:lineRule="auto"/>
        <w:ind w:left="2268"/>
        <w:jc w:val="both"/>
        <w:rPr>
          <w:rFonts w:ascii="Times New Roman" w:eastAsia="Times New Roman" w:hAnsi="Times New Roman" w:cs="Times New Roman"/>
          <w:color w:val="FF0000"/>
          <w:sz w:val="20"/>
          <w:szCs w:val="20"/>
        </w:rPr>
      </w:pPr>
    </w:p>
    <w:p w14:paraId="339B8062" w14:textId="00CD9931" w:rsidR="1D3FF4B2" w:rsidRPr="002A2494" w:rsidRDefault="6A1529DA" w:rsidP="64C763B2">
      <w:pPr>
        <w:spacing w:after="0" w:line="240" w:lineRule="auto"/>
        <w:ind w:left="2268"/>
        <w:jc w:val="both"/>
        <w:rPr>
          <w:rFonts w:ascii="Times New Roman" w:eastAsia="Times New Roman" w:hAnsi="Times New Roman" w:cs="Times New Roman"/>
          <w:color w:val="FF0000"/>
          <w:sz w:val="20"/>
          <w:szCs w:val="20"/>
        </w:rPr>
      </w:pPr>
      <w:r w:rsidRPr="002A2494">
        <w:rPr>
          <w:rFonts w:ascii="Times New Roman" w:eastAsia="Times New Roman" w:hAnsi="Times New Roman" w:cs="Times New Roman"/>
          <w:color w:val="FF0000"/>
          <w:sz w:val="20"/>
          <w:szCs w:val="20"/>
        </w:rPr>
        <w:lastRenderedPageBreak/>
        <w:t xml:space="preserve">Súmula nº 259: Nas contratações de obras e serviços de engenharia, a definição do critério de aceitabilidade dos preços unitários e global, com fixação de preços máximos para ambos, é obrigação e não faculdade do gestor. </w:t>
      </w:r>
    </w:p>
    <w:p w14:paraId="00A6964F" w14:textId="37730790"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w:t>
      </w:r>
    </w:p>
    <w:p w14:paraId="00E2E534" w14:textId="109E7CA7" w:rsidR="1D3FF4B2"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Nos termos do art. 11 do Decreto n° 7.983, de 2013, e na esteira da Súmula TCU n° 259 e Orientação Normativa AGU n° 5, de 2009, deverão constar do edital de licitação de obras e serviços de engenharia os critérios de aceitabilidade de preços – unitários e global.   </w:t>
      </w:r>
    </w:p>
    <w:p w14:paraId="6988A40B" w14:textId="77777777" w:rsidR="00CD63F2" w:rsidRPr="0066121D" w:rsidRDefault="00CD63F2" w:rsidP="64C763B2">
      <w:pPr>
        <w:spacing w:after="0" w:line="240" w:lineRule="auto"/>
        <w:jc w:val="both"/>
        <w:rPr>
          <w:rFonts w:ascii="Times New Roman" w:eastAsia="Times New Roman" w:hAnsi="Times New Roman" w:cs="Times New Roman"/>
          <w:color w:val="FF0000"/>
          <w:sz w:val="24"/>
          <w:szCs w:val="24"/>
        </w:rPr>
      </w:pPr>
    </w:p>
    <w:p w14:paraId="6A0042BF" w14:textId="26349E84"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Conforme art. 2°, IX, do Decreto n° 7.983, de 2013, são os “</w:t>
      </w:r>
      <w:r w:rsidRPr="0066121D">
        <w:rPr>
          <w:rFonts w:ascii="Times New Roman" w:eastAsia="Times New Roman" w:hAnsi="Times New Roman" w:cs="Times New Roman"/>
          <w:i/>
          <w:iCs/>
          <w:color w:val="FF0000"/>
          <w:sz w:val="24"/>
          <w:szCs w:val="24"/>
        </w:rPr>
        <w:t>parâmetros de preços máximos, unitários e global, a serem fixados pela administração pública e publicados no edital de licitação para aceitação e julgamento das propostas dos licitantes</w:t>
      </w:r>
      <w:r w:rsidRPr="0066121D">
        <w:rPr>
          <w:rFonts w:ascii="Times New Roman" w:eastAsia="Times New Roman" w:hAnsi="Times New Roman" w:cs="Times New Roman"/>
          <w:color w:val="FF0000"/>
          <w:sz w:val="24"/>
          <w:szCs w:val="24"/>
        </w:rPr>
        <w:t xml:space="preserve">”.   </w:t>
      </w:r>
    </w:p>
    <w:p w14:paraId="472C1964" w14:textId="41D2A7A6"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FDFF02A" w14:textId="5CF88472" w:rsidR="1D3FF4B2" w:rsidRPr="003E52AC" w:rsidRDefault="6A1529DA" w:rsidP="64C763B2">
      <w:pPr>
        <w:spacing w:after="0" w:line="240" w:lineRule="auto"/>
        <w:jc w:val="both"/>
        <w:rPr>
          <w:rFonts w:ascii="Times New Roman" w:eastAsia="Times New Roman" w:hAnsi="Times New Roman" w:cs="Times New Roman"/>
          <w:color w:val="FF0000"/>
          <w:sz w:val="24"/>
          <w:szCs w:val="24"/>
        </w:rPr>
      </w:pPr>
      <w:r w:rsidRPr="003E52AC">
        <w:rPr>
          <w:rFonts w:ascii="Times New Roman" w:eastAsia="Times New Roman" w:hAnsi="Times New Roman" w:cs="Times New Roman"/>
          <w:color w:val="FF0000"/>
          <w:sz w:val="24"/>
          <w:szCs w:val="24"/>
          <w:u w:val="single"/>
        </w:rPr>
        <w:t>Especificamente para o regime de empreitada por preço global</w:t>
      </w:r>
      <w:r w:rsidRPr="003E52AC">
        <w:rPr>
          <w:rFonts w:ascii="Times New Roman" w:eastAsia="Times New Roman" w:hAnsi="Times New Roman" w:cs="Times New Roman"/>
          <w:color w:val="FF0000"/>
          <w:sz w:val="24"/>
          <w:szCs w:val="24"/>
        </w:rPr>
        <w:t xml:space="preserve">, os critérios de aceitabilidade de preços serão definidos em relação aos preços global e de cada uma das etapas previstas no cronograma físico-financeiro do contrato. Assim, na formação do preço que constará das propostas dos licitantes, poderão ser utilizados custos unitários diferentes daqueles obtidos a partir dos sistemas de custos de referência, desde que o preço global orçado e o de cada uma das etapas previstas no cronograma físico-financeiro do contrato fiquem iguais ou abaixo dos preços de referência da Administração, assegurado aos órgãos de controle o acesso irrestrito a essas informações (art. 13, I, e parágrafo único, do Decreto n° 7.983, de 2013).   </w:t>
      </w:r>
    </w:p>
    <w:p w14:paraId="1C89E9C9" w14:textId="75B67D1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51786256" w14:textId="712C1253"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Cumpre registrar que a definição do critério de aceitabilidade dos preços unitários e global nos editais para a contratação de obras e serviços de engenharia, com a fixação de preços máximos para ambos, é obrigação e não faculdade do gestor (Súmula TCU 259), ainda que se trate de empreitada por preço global. Essa obrigação tem por objetivo mitigar a ocorrência dos riscos associados tanto ao “jogo de cronograma” quanto ao “jogo de planilha” (Acórdão </w:t>
      </w:r>
      <w:r w:rsidR="000D1D0D">
        <w:rPr>
          <w:rFonts w:ascii="Times New Roman" w:eastAsia="Times New Roman" w:hAnsi="Times New Roman" w:cs="Times New Roman"/>
          <w:color w:val="FF0000"/>
          <w:sz w:val="24"/>
          <w:szCs w:val="24"/>
        </w:rPr>
        <w:t xml:space="preserve">n.º </w:t>
      </w:r>
      <w:r w:rsidRPr="0066121D">
        <w:rPr>
          <w:rFonts w:ascii="Times New Roman" w:eastAsia="Times New Roman" w:hAnsi="Times New Roman" w:cs="Times New Roman"/>
          <w:color w:val="FF0000"/>
          <w:sz w:val="24"/>
          <w:szCs w:val="24"/>
        </w:rPr>
        <w:t xml:space="preserve">1695/2018 TCU-Plenário). </w:t>
      </w:r>
    </w:p>
    <w:p w14:paraId="6F02B580" w14:textId="49B5530F"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0603AA99" w14:textId="4D98A0B1" w:rsidR="1D3FF4B2" w:rsidRPr="0066121D" w:rsidRDefault="6A1529DA"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 xml:space="preserve">Composições de custos unitários menores ou iguais à mediana do SINAPI: </w:t>
      </w:r>
    </w:p>
    <w:p w14:paraId="21FE7F8E" w14:textId="6B34D74A"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AAE8611" w14:textId="00BE1321"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Nos termos do art. 3° do Decreto n° 7.983, de 2013, no âmbito da administração pública federal, o SINAPI é o sistema de referência para a fixação dos custos unitários das obras e serviços de engenharia, excetuados os itens caracterizados como montagem industrial ou que não possam ser considerados como de construção civil.   </w:t>
      </w:r>
    </w:p>
    <w:p w14:paraId="072DF21E" w14:textId="0F3D86B6"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B285A84" w14:textId="77777777" w:rsidR="00CE1024"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Na definição do art. 2°, II, do Decreto n° 7.983, de 2013, composição de custo unitário é o “</w:t>
      </w:r>
      <w:r w:rsidRPr="0066121D">
        <w:rPr>
          <w:rFonts w:ascii="Times New Roman" w:eastAsia="Times New Roman" w:hAnsi="Times New Roman" w:cs="Times New Roman"/>
          <w:i/>
          <w:iCs/>
          <w:color w:val="FF0000"/>
          <w:sz w:val="24"/>
          <w:szCs w:val="24"/>
        </w:rPr>
        <w:t>detalhamento do custo unitário do serviço que expresse a descrição, quantidades, produtividades e custos unitários dos materiais, mão de obra e equipamentos necessários à execução de uma unidade de medida”</w:t>
      </w:r>
      <w:r w:rsidRPr="0066121D">
        <w:rPr>
          <w:rFonts w:ascii="Times New Roman" w:eastAsia="Times New Roman" w:hAnsi="Times New Roman" w:cs="Times New Roman"/>
          <w:color w:val="FF0000"/>
          <w:sz w:val="24"/>
          <w:szCs w:val="24"/>
        </w:rPr>
        <w:t xml:space="preserve">. </w:t>
      </w:r>
    </w:p>
    <w:p w14:paraId="44D38FAC" w14:textId="77777777" w:rsidR="00A80F53" w:rsidRDefault="00A80F53" w:rsidP="64C763B2">
      <w:pPr>
        <w:spacing w:after="0" w:line="240" w:lineRule="auto"/>
        <w:jc w:val="both"/>
        <w:rPr>
          <w:rFonts w:ascii="Times New Roman" w:eastAsia="Times New Roman" w:hAnsi="Times New Roman" w:cs="Times New Roman"/>
          <w:color w:val="FF0000"/>
          <w:sz w:val="24"/>
          <w:szCs w:val="24"/>
        </w:rPr>
      </w:pPr>
    </w:p>
    <w:p w14:paraId="4736D9E6" w14:textId="25FBB821"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Já o custo unitário de referência é o “</w:t>
      </w:r>
      <w:r w:rsidRPr="0066121D">
        <w:rPr>
          <w:rFonts w:ascii="Times New Roman" w:eastAsia="Times New Roman" w:hAnsi="Times New Roman" w:cs="Times New Roman"/>
          <w:i/>
          <w:iCs/>
          <w:color w:val="FF0000"/>
          <w:sz w:val="24"/>
          <w:szCs w:val="24"/>
        </w:rPr>
        <w:t>valor unitário para execução de uma unidade de medida do serviço previsto no orçamento de referência e obtido com base nos sistemas de referência de custos ou pesquisa de mercado</w:t>
      </w:r>
      <w:r w:rsidRPr="0066121D">
        <w:rPr>
          <w:rFonts w:ascii="Times New Roman" w:eastAsia="Times New Roman" w:hAnsi="Times New Roman" w:cs="Times New Roman"/>
          <w:color w:val="FF0000"/>
          <w:sz w:val="24"/>
          <w:szCs w:val="24"/>
        </w:rPr>
        <w:t xml:space="preserve">” (art. 2°, I).   </w:t>
      </w:r>
    </w:p>
    <w:p w14:paraId="44855823" w14:textId="111F0A42"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3ED0944" w14:textId="38CEB0FC"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Na elaboração dos orçamentos de referência, poderão ser adotadas especificidades locais ou de projeto na elaboração das respectivas composições de custo unitário, desde que demonstrada a pertinência dos ajustes para a obra ou serviço de engenharia em relatório técnico elaborado por profissional habilitado (art. 8°, </w:t>
      </w:r>
      <w:r w:rsidRPr="000D1D0D">
        <w:rPr>
          <w:rFonts w:ascii="Times New Roman" w:eastAsia="Times New Roman" w:hAnsi="Times New Roman" w:cs="Times New Roman"/>
          <w:i/>
          <w:iCs/>
          <w:color w:val="FF0000"/>
          <w:sz w:val="24"/>
          <w:szCs w:val="24"/>
        </w:rPr>
        <w:t>caput</w:t>
      </w:r>
      <w:r w:rsidRPr="0066121D">
        <w:rPr>
          <w:rFonts w:ascii="Times New Roman" w:eastAsia="Times New Roman" w:hAnsi="Times New Roman" w:cs="Times New Roman"/>
          <w:color w:val="FF0000"/>
          <w:sz w:val="24"/>
          <w:szCs w:val="24"/>
        </w:rPr>
        <w:t xml:space="preserve">, do Decreto n° 7.983, de 2013).   </w:t>
      </w:r>
    </w:p>
    <w:p w14:paraId="76361EF6" w14:textId="78E8DC95"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 xml:space="preserve">Somente em condições especiais, devidamente justificadas, poderão os custos unitários de referência exceder os seus correspondentes do SINAPI, sem prejuízo da avaliação dos órgãos de controle (art. 8°, parágrafo único, do Decreto n° 7.983, de 2013).   </w:t>
      </w:r>
    </w:p>
    <w:p w14:paraId="7B43860B" w14:textId="20FAE1ED"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F109EC2" w14:textId="16EF39AF" w:rsidR="1D3FF4B2" w:rsidRPr="0066121D" w:rsidRDefault="6A1529D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caso de inviabilidade da definição dos custos com base no SINAPI, a estimativa de custo global poderá ser apurada por meio da utilização dos demais parâmetros elencados no art. 23, § 2º</w:t>
      </w:r>
      <w:r w:rsidR="00CB79B6">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da Lei nº 14.133, de 2021.</w:t>
      </w:r>
    </w:p>
    <w:p w14:paraId="6570F14E" w14:textId="47D4809A" w:rsidR="590F6F7A" w:rsidRPr="0066121D" w:rsidRDefault="590F6F7A" w:rsidP="64C763B2">
      <w:pPr>
        <w:spacing w:after="0" w:line="240" w:lineRule="auto"/>
        <w:jc w:val="both"/>
        <w:rPr>
          <w:rFonts w:ascii="Times New Roman" w:eastAsia="Times New Roman" w:hAnsi="Times New Roman" w:cs="Times New Roman"/>
          <w:b/>
          <w:bCs/>
          <w:color w:val="FF0000"/>
          <w:sz w:val="24"/>
          <w:szCs w:val="24"/>
        </w:rPr>
      </w:pPr>
    </w:p>
    <w:p w14:paraId="7C6ECC27" w14:textId="6CF0A71F" w:rsidR="00934FDC" w:rsidRPr="0066121D" w:rsidRDefault="51650439"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Detalhamento da composição do percentual de BDI:</w:t>
      </w:r>
    </w:p>
    <w:p w14:paraId="2FB979D5" w14:textId="136D1722" w:rsidR="64C763B2" w:rsidRPr="0066121D" w:rsidRDefault="64C763B2" w:rsidP="64C763B2">
      <w:pPr>
        <w:spacing w:after="0" w:line="240" w:lineRule="auto"/>
        <w:jc w:val="both"/>
        <w:rPr>
          <w:rFonts w:ascii="Times New Roman" w:eastAsia="Times New Roman" w:hAnsi="Times New Roman" w:cs="Times New Roman"/>
          <w:b/>
          <w:bCs/>
          <w:color w:val="FF0000"/>
          <w:sz w:val="24"/>
          <w:szCs w:val="24"/>
        </w:rPr>
      </w:pPr>
    </w:p>
    <w:p w14:paraId="41BD797F" w14:textId="41A5D202"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Conforme a já mencionada Súmula TCU n° 258, é obrigatório o detalhamento dos encargos sociais e do BDI no orçamento de referência da licitação.</w:t>
      </w:r>
    </w:p>
    <w:p w14:paraId="5644553D" w14:textId="78C3E5B7"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0307347A" w14:textId="42441E22"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 mesma premissa consta do art. 9° do Decreto n° 7.983</w:t>
      </w:r>
      <w:r w:rsidR="08D1CD0A"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2013, de acordo com o qual devem ser evidenciados, no mínimo, os seguintes componentes do BDI: taxa de rateio da administração central; percentuais de tributos incidentes sobre o preço do serviço, excluídos aqueles de natureza direta e personalíssima que oneram o contratado; taxa de risco, seguro e garantia do empreendimento, e taxa de lucro.</w:t>
      </w:r>
    </w:p>
    <w:p w14:paraId="16B1FEE2" w14:textId="3ACF3E38"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7684264" w14:textId="6A68F696"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É preciso destacar o disposto na súmula</w:t>
      </w:r>
      <w:r w:rsidR="00C67ACC">
        <w:rPr>
          <w:rFonts w:ascii="Times New Roman" w:eastAsia="Times New Roman" w:hAnsi="Times New Roman" w:cs="Times New Roman"/>
          <w:color w:val="FF0000"/>
          <w:sz w:val="24"/>
          <w:szCs w:val="24"/>
        </w:rPr>
        <w:t xml:space="preserve"> n.º </w:t>
      </w:r>
      <w:r w:rsidRPr="0066121D">
        <w:rPr>
          <w:rFonts w:ascii="Times New Roman" w:eastAsia="Times New Roman" w:hAnsi="Times New Roman" w:cs="Times New Roman"/>
          <w:color w:val="FF0000"/>
          <w:sz w:val="24"/>
          <w:szCs w:val="24"/>
        </w:rPr>
        <w:t>254 do TCU a respeito do IRPJ e CSLL na composição do BDI, conforme o enunciado assim lançado:</w:t>
      </w:r>
    </w:p>
    <w:p w14:paraId="07DE63A8" w14:textId="1738E8A6" w:rsidR="00934FDC" w:rsidRPr="0066121D" w:rsidRDefault="5BF889EE" w:rsidP="64C763B2">
      <w:pPr>
        <w:spacing w:after="0" w:line="240" w:lineRule="auto"/>
        <w:jc w:val="both"/>
        <w:rPr>
          <w:rFonts w:ascii="Times New Roman" w:eastAsia="Times New Roman" w:hAnsi="Times New Roman" w:cs="Times New Roman"/>
          <w:i/>
          <w:iCs/>
          <w:color w:val="FF0000"/>
          <w:sz w:val="24"/>
          <w:szCs w:val="24"/>
        </w:rPr>
      </w:pPr>
      <w:r w:rsidRPr="0066121D">
        <w:rPr>
          <w:rFonts w:ascii="Times New Roman" w:eastAsia="Times New Roman" w:hAnsi="Times New Roman" w:cs="Times New Roman"/>
          <w:i/>
          <w:iCs/>
          <w:color w:val="FF0000"/>
          <w:sz w:val="24"/>
          <w:szCs w:val="24"/>
        </w:rPr>
        <w:t xml:space="preserve"> </w:t>
      </w:r>
    </w:p>
    <w:p w14:paraId="3E438A49" w14:textId="66E9A6DE" w:rsidR="00934FDC" w:rsidRPr="00C67ACC" w:rsidRDefault="5BF889EE" w:rsidP="00C67ACC">
      <w:pPr>
        <w:spacing w:after="0" w:line="240" w:lineRule="auto"/>
        <w:ind w:left="2268"/>
        <w:jc w:val="both"/>
        <w:rPr>
          <w:rFonts w:ascii="Times New Roman" w:eastAsia="Times New Roman" w:hAnsi="Times New Roman" w:cs="Times New Roman"/>
          <w:color w:val="FF0000"/>
          <w:sz w:val="20"/>
          <w:szCs w:val="20"/>
        </w:rPr>
      </w:pPr>
      <w:r w:rsidRPr="00C67ACC">
        <w:rPr>
          <w:rFonts w:ascii="Times New Roman" w:eastAsia="Times New Roman" w:hAnsi="Times New Roman" w:cs="Times New Roman"/>
          <w:color w:val="FF0000"/>
          <w:sz w:val="20"/>
          <w:szCs w:val="20"/>
        </w:rPr>
        <w:t xml:space="preserve">O IRPJ – Imposto de Renda Pessoa Jurídica – e a CSLL – Contribuição Social sobre o Lucro Líquido – não se consubstanciam em despesa indireta passível de inclusão na taxa de Bonificações e Despesas Indiretas - BDI do orçamento-base da licitação, haja vista a natureza direta e </w:t>
      </w:r>
      <w:proofErr w:type="spellStart"/>
      <w:r w:rsidRPr="00C67ACC">
        <w:rPr>
          <w:rFonts w:ascii="Times New Roman" w:eastAsia="Times New Roman" w:hAnsi="Times New Roman" w:cs="Times New Roman"/>
          <w:color w:val="FF0000"/>
          <w:sz w:val="20"/>
          <w:szCs w:val="20"/>
        </w:rPr>
        <w:t>personalística</w:t>
      </w:r>
      <w:proofErr w:type="spellEnd"/>
      <w:r w:rsidRPr="00C67ACC">
        <w:rPr>
          <w:rFonts w:ascii="Times New Roman" w:eastAsia="Times New Roman" w:hAnsi="Times New Roman" w:cs="Times New Roman"/>
          <w:color w:val="FF0000"/>
          <w:sz w:val="20"/>
          <w:szCs w:val="20"/>
        </w:rPr>
        <w:t xml:space="preserve"> desses tributos, que oneram pessoalmente o contratado.</w:t>
      </w:r>
    </w:p>
    <w:p w14:paraId="2EFC879C" w14:textId="01C2E1D5"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265DC434" w14:textId="398DCBD4"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 pronunciamentos posteriores, o TCU esclareceu o seu entendimento, de que tanto a Súmula TCU nº 254/2010 como o art. 9º, do Decreto 7.983, de 2013, vedam a inclusão de tais rubricas apenas no orçamento-base da licitação, não sendo tais entendimentos aplicáveis aos preços ofertados pelos privados, conforme noticiado no informativo n.</w:t>
      </w:r>
      <w:r w:rsidR="00C67ACC">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279, nos seguintes termos:</w:t>
      </w:r>
    </w:p>
    <w:p w14:paraId="042934E6" w14:textId="68660CB0" w:rsidR="00934FDC" w:rsidRPr="0066121D" w:rsidRDefault="5BF889EE" w:rsidP="64C763B2">
      <w:pPr>
        <w:spacing w:after="0" w:line="240" w:lineRule="auto"/>
        <w:jc w:val="both"/>
        <w:rPr>
          <w:rFonts w:ascii="Times New Roman" w:eastAsia="Times New Roman" w:hAnsi="Times New Roman" w:cs="Times New Roman"/>
          <w:i/>
          <w:iCs/>
          <w:color w:val="FF0000"/>
          <w:sz w:val="24"/>
          <w:szCs w:val="24"/>
        </w:rPr>
      </w:pPr>
      <w:r w:rsidRPr="0066121D">
        <w:rPr>
          <w:rFonts w:ascii="Times New Roman" w:eastAsia="Times New Roman" w:hAnsi="Times New Roman" w:cs="Times New Roman"/>
          <w:i/>
          <w:iCs/>
          <w:color w:val="FF0000"/>
          <w:sz w:val="24"/>
          <w:szCs w:val="24"/>
        </w:rPr>
        <w:t xml:space="preserve"> </w:t>
      </w:r>
    </w:p>
    <w:p w14:paraId="7379D310" w14:textId="39455774" w:rsidR="00934FDC" w:rsidRPr="00C67ACC" w:rsidRDefault="5BF889EE" w:rsidP="00C67ACC">
      <w:pPr>
        <w:spacing w:after="0" w:line="240" w:lineRule="auto"/>
        <w:ind w:left="2268"/>
        <w:jc w:val="both"/>
        <w:rPr>
          <w:rFonts w:ascii="Times New Roman" w:eastAsia="Times New Roman" w:hAnsi="Times New Roman" w:cs="Times New Roman"/>
          <w:color w:val="FF0000"/>
          <w:sz w:val="20"/>
          <w:szCs w:val="20"/>
        </w:rPr>
      </w:pPr>
      <w:r w:rsidRPr="00C67ACC">
        <w:rPr>
          <w:rFonts w:ascii="Times New Roman" w:eastAsia="Times New Roman" w:hAnsi="Times New Roman" w:cs="Times New Roman"/>
          <w:color w:val="FF0000"/>
          <w:sz w:val="20"/>
          <w:szCs w:val="20"/>
        </w:rPr>
        <w:t>A inclusão, na composição do BDI constante das propostas das licitantes, do Imposto de Renda Pessoa Jurídica (IRPJ) e da Contribuição Social sobre o Lucro Líquido (CSLL) não é vedada nem acarreta, por si só, prejuízos ao erário, pois é legítimo que empresas considerem esses tributos quando do cálculo da equação econômico-financeira de suas propostas, desde que os preços praticados estejam de acordo com os paradigmas de mercado. O que é vedado é a inclusão do IRPJ e da CSLL no orçamento estimativo da licitação.</w:t>
      </w:r>
    </w:p>
    <w:p w14:paraId="154499C3" w14:textId="79FFCEF1"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9E44A4C" w14:textId="1786AADB"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Dessa forma, é vedada a inclusão do Imposto de Renda Pessoa Jurídica (IRPJ) e da Contribuição Social sobre o Lucro Líquido (CSLL) no orçamento estimativo da licitação.</w:t>
      </w:r>
    </w:p>
    <w:p w14:paraId="0A383E7B" w14:textId="6379488E" w:rsidR="00934FDC" w:rsidRPr="0066121D" w:rsidRDefault="5BF889EE" w:rsidP="00CE1024">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 entanto, é lícita a inclusão na composição do BDI do Imposto de Renda Pessoa Jurídica (IRPJ) e da Contribuição Social sobre o Lucro Líquido (CSLL) constante das propostas das licitantes. É legítimo que empresas considerem esses tributos quando do cálculo da equação econômico-financeira de suas propostas, desde que os preços praticados estejam de acordo com os paradigmas de mercado.</w:t>
      </w:r>
    </w:p>
    <w:p w14:paraId="42A27822" w14:textId="08C6E458"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FE0FDC4" w14:textId="6E82B82B"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 relação ao BDI para materiais e equipamentos, a Administração deve observar o que dispõe a Súmula n. 253 do TCU, que trata do BDI reduzido:</w:t>
      </w:r>
    </w:p>
    <w:p w14:paraId="2779ABDC" w14:textId="7DFB0C34" w:rsidR="00934FDC" w:rsidRPr="0066121D" w:rsidRDefault="5BF889EE" w:rsidP="64C763B2">
      <w:pPr>
        <w:spacing w:after="0" w:line="240" w:lineRule="auto"/>
        <w:jc w:val="both"/>
        <w:rPr>
          <w:rFonts w:ascii="Times New Roman" w:eastAsia="Times New Roman" w:hAnsi="Times New Roman" w:cs="Times New Roman"/>
          <w:i/>
          <w:iCs/>
          <w:color w:val="FF0000"/>
          <w:sz w:val="24"/>
          <w:szCs w:val="24"/>
        </w:rPr>
      </w:pPr>
      <w:r w:rsidRPr="0066121D">
        <w:rPr>
          <w:rFonts w:ascii="Times New Roman" w:eastAsia="Times New Roman" w:hAnsi="Times New Roman" w:cs="Times New Roman"/>
          <w:i/>
          <w:iCs/>
          <w:color w:val="FF0000"/>
          <w:sz w:val="24"/>
          <w:szCs w:val="24"/>
        </w:rPr>
        <w:lastRenderedPageBreak/>
        <w:t xml:space="preserve"> </w:t>
      </w:r>
    </w:p>
    <w:p w14:paraId="57B47294" w14:textId="2A097F90" w:rsidR="00934FDC" w:rsidRPr="00C67ACC" w:rsidRDefault="5BF889EE" w:rsidP="00C67ACC">
      <w:pPr>
        <w:spacing w:after="0" w:line="240" w:lineRule="auto"/>
        <w:ind w:left="2268"/>
        <w:jc w:val="both"/>
        <w:rPr>
          <w:rFonts w:ascii="Times New Roman" w:eastAsia="Times New Roman" w:hAnsi="Times New Roman" w:cs="Times New Roman"/>
          <w:color w:val="FF0000"/>
          <w:sz w:val="20"/>
          <w:szCs w:val="20"/>
        </w:rPr>
      </w:pPr>
      <w:r w:rsidRPr="00C67ACC">
        <w:rPr>
          <w:rFonts w:ascii="Times New Roman" w:eastAsia="Times New Roman" w:hAnsi="Times New Roman" w:cs="Times New Roman"/>
          <w:color w:val="FF0000"/>
          <w:sz w:val="20"/>
          <w:szCs w:val="20"/>
        </w:rPr>
        <w:t>Comprovada a inviabilidade técnico-econômica de parcelamento do objeto da licitação, nos termos da legislação em vigor, os itens de fornecimento de materiais e equipamentos de natureza específica que possam ser fornecidos por empresas com especialidades próprias e diversas e que representem percentual significativo do preço global da obra devem apresentar incidência de taxa de Bonificação e Despesas Indiretas - BDI reduzida em relação à taxa aplicável aos demais itens.</w:t>
      </w:r>
    </w:p>
    <w:p w14:paraId="3CADD3D5" w14:textId="7D0FC9C5" w:rsidR="00934FDC" w:rsidRPr="0066121D" w:rsidRDefault="5BF889EE"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3F12A952" w14:textId="2A012F17" w:rsidR="00934FDC" w:rsidRPr="0066121D" w:rsidRDefault="5BF889E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Como se trata de tópico referente a matéria técnica, cabe exclusivamente à Administração manifestar-se a respeito das exigências acima mencionadas.</w:t>
      </w:r>
    </w:p>
    <w:p w14:paraId="2F82FB23" w14:textId="236021B4" w:rsidR="00934FDC" w:rsidRPr="0066121D" w:rsidRDefault="00934FDC" w:rsidP="64C763B2">
      <w:pPr>
        <w:spacing w:after="0" w:line="240" w:lineRule="auto"/>
        <w:jc w:val="both"/>
        <w:rPr>
          <w:rFonts w:ascii="Times New Roman" w:eastAsia="Times New Roman" w:hAnsi="Times New Roman" w:cs="Times New Roman"/>
          <w:color w:val="FF0000"/>
          <w:sz w:val="24"/>
          <w:szCs w:val="24"/>
        </w:rPr>
      </w:pPr>
    </w:p>
    <w:p w14:paraId="691D0742" w14:textId="7A9040D4" w:rsidR="00934FDC" w:rsidRPr="0066121D" w:rsidRDefault="3947AD84" w:rsidP="64C763B2">
      <w:pPr>
        <w:spacing w:after="0" w:line="240" w:lineRule="auto"/>
        <w:jc w:val="both"/>
        <w:rPr>
          <w:rFonts w:ascii="Times New Roman" w:eastAsia="Times New Roman" w:hAnsi="Times New Roman" w:cs="Times New Roman"/>
          <w:b/>
          <w:bCs/>
          <w:color w:val="FF0000"/>
          <w:sz w:val="24"/>
          <w:szCs w:val="24"/>
        </w:rPr>
      </w:pPr>
      <w:bookmarkStart w:id="0" w:name="_Int_ekPrLmgk"/>
      <w:r w:rsidRPr="0066121D">
        <w:rPr>
          <w:rFonts w:ascii="Times New Roman" w:eastAsia="Times New Roman" w:hAnsi="Times New Roman" w:cs="Times New Roman"/>
          <w:b/>
          <w:bCs/>
          <w:color w:val="FF0000"/>
          <w:sz w:val="24"/>
          <w:szCs w:val="24"/>
        </w:rPr>
        <w:t>Cálculo da Contribuição Previdenciária - Orçamento onerado e desonerado</w:t>
      </w:r>
      <w:bookmarkEnd w:id="0"/>
    </w:p>
    <w:p w14:paraId="3F443D4F" w14:textId="0940D4F2"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C218FD5" w14:textId="5A782BF6"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Por força do art. 7º da Lei nº 12.546</w:t>
      </w:r>
      <w:r w:rsidR="35E2539B"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2011 foi afastado o caráter obrigatório do recolhimento das contribuições previdenciárias mediante alíquota da receita bruta e permitido que a empresa opte pela regra veiculada, ou pela tradicional, definida no art. 22 da Lei nº 8.212</w:t>
      </w:r>
      <w:r w:rsidR="1397F560" w:rsidRPr="0066121D">
        <w:rPr>
          <w:rFonts w:ascii="Times New Roman" w:eastAsia="Times New Roman" w:hAnsi="Times New Roman" w:cs="Times New Roman"/>
          <w:color w:val="FF0000"/>
          <w:sz w:val="24"/>
          <w:szCs w:val="24"/>
        </w:rPr>
        <w:t>, de</w:t>
      </w:r>
      <w:r w:rsidRPr="0066121D">
        <w:rPr>
          <w:rFonts w:ascii="Times New Roman" w:eastAsia="Times New Roman" w:hAnsi="Times New Roman" w:cs="Times New Roman"/>
          <w:color w:val="FF0000"/>
          <w:sz w:val="24"/>
          <w:szCs w:val="24"/>
        </w:rPr>
        <w:t>1991.</w:t>
      </w:r>
    </w:p>
    <w:p w14:paraId="1700A1E8" w14:textId="52D0803D"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E99A416" w14:textId="66082B20"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Assim, ante a possibilidade de escolha da forma de recolhimento do tributo pelas empresas, surge para a Administração o dever de buscar a proposta mais vantajosa, prestigiando o princípio de economicidade. Nesses termos, as planilhas para licitações de obras e serviços de engenharia devem ser avaliadas quanto ao melhor critério de tributação, seja o previsto no art. 7 º da Lei nº 12.546</w:t>
      </w:r>
      <w:r w:rsidR="1ECD54ED"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w:t>
      </w:r>
      <w:r w:rsidR="6E20A268" w:rsidRPr="0066121D">
        <w:rPr>
          <w:rFonts w:ascii="Times New Roman" w:eastAsia="Times New Roman" w:hAnsi="Times New Roman" w:cs="Times New Roman"/>
          <w:color w:val="FF0000"/>
          <w:sz w:val="24"/>
          <w:szCs w:val="24"/>
        </w:rPr>
        <w:t>0</w:t>
      </w:r>
      <w:r w:rsidRPr="0066121D">
        <w:rPr>
          <w:rFonts w:ascii="Times New Roman" w:eastAsia="Times New Roman" w:hAnsi="Times New Roman" w:cs="Times New Roman"/>
          <w:color w:val="FF0000"/>
          <w:sz w:val="24"/>
          <w:szCs w:val="24"/>
        </w:rPr>
        <w:t>11</w:t>
      </w:r>
      <w:r w:rsidR="00D9719C">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ou o estabelecido no art. 22 da Lei nº 8.212</w:t>
      </w:r>
      <w:r w:rsidR="6DA1DA4C" w:rsidRPr="0066121D">
        <w:rPr>
          <w:rFonts w:ascii="Times New Roman" w:eastAsia="Times New Roman" w:hAnsi="Times New Roman" w:cs="Times New Roman"/>
          <w:color w:val="FF0000"/>
          <w:sz w:val="24"/>
          <w:szCs w:val="24"/>
        </w:rPr>
        <w:t>, de19</w:t>
      </w:r>
      <w:r w:rsidRPr="0066121D">
        <w:rPr>
          <w:rFonts w:ascii="Times New Roman" w:eastAsia="Times New Roman" w:hAnsi="Times New Roman" w:cs="Times New Roman"/>
          <w:color w:val="FF0000"/>
          <w:sz w:val="24"/>
          <w:szCs w:val="24"/>
        </w:rPr>
        <w:t>91.</w:t>
      </w:r>
    </w:p>
    <w:p w14:paraId="181B12DE" w14:textId="52A883EA"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5D7F157" w14:textId="50DA8915"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bookmarkStart w:id="1" w:name="_Int_0t0rI6Bo"/>
      <w:r w:rsidRPr="0066121D">
        <w:rPr>
          <w:rFonts w:ascii="Times New Roman" w:eastAsia="Times New Roman" w:hAnsi="Times New Roman" w:cs="Times New Roman"/>
          <w:color w:val="FF0000"/>
          <w:sz w:val="24"/>
          <w:szCs w:val="24"/>
        </w:rPr>
        <w:t>Portanto, para que a Administração elabore seu orçamento de referência, deverá avaliar o regime tributário que lhe for mais vantajoso. Para tanto, recomenda-se a simulação das duas condições possíveis de recolhimento da contribuição previdenciária pelas empresas, elaborando duas planilhas, a fim de constatar qual será o mais vantajoso.</w:t>
      </w:r>
      <w:bookmarkEnd w:id="1"/>
    </w:p>
    <w:p w14:paraId="6B61054B" w14:textId="50B2694F" w:rsidR="00934FDC" w:rsidRPr="0066121D" w:rsidRDefault="3947AD84"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135F2D56" w14:textId="339135BB" w:rsidR="00934FDC" w:rsidRPr="0066121D" w:rsidRDefault="3947AD84" w:rsidP="64C763B2">
      <w:pPr>
        <w:spacing w:after="0" w:line="240" w:lineRule="auto"/>
        <w:jc w:val="both"/>
        <w:rPr>
          <w:rFonts w:ascii="Times New Roman" w:eastAsia="Times New Roman" w:hAnsi="Times New Roman" w:cs="Times New Roman"/>
          <w:color w:val="FF0000"/>
          <w:sz w:val="24"/>
          <w:szCs w:val="24"/>
        </w:rPr>
      </w:pPr>
      <w:bookmarkStart w:id="2" w:name="_Int_dPFQyKeP"/>
      <w:r w:rsidRPr="0066121D">
        <w:rPr>
          <w:rFonts w:ascii="Times New Roman" w:eastAsia="Times New Roman" w:hAnsi="Times New Roman" w:cs="Times New Roman"/>
          <w:color w:val="FF0000"/>
          <w:sz w:val="24"/>
          <w:szCs w:val="24"/>
        </w:rPr>
        <w:t>O menor valor global obtido a partir dos orçamentos elaborados deverá ser utilizado como referência para a licitação das obras e serviços, cabendo à Administração dar ampla publicidade a respeito do regime de tributação adotado para a elaboração dos orçamentos no termo de referência ou projeto básico e no edital da licitação.</w:t>
      </w:r>
      <w:bookmarkEnd w:id="2"/>
    </w:p>
    <w:p w14:paraId="69598C40" w14:textId="2789ECCF" w:rsidR="00CE1024" w:rsidRDefault="00CE1024">
      <w:pPr>
        <w:rPr>
          <w:rFonts w:ascii="Times New Roman" w:eastAsia="Times New Roman" w:hAnsi="Times New Roman" w:cs="Times New Roman"/>
          <w:b/>
          <w:bCs/>
          <w:color w:val="FF0000"/>
          <w:sz w:val="24"/>
          <w:szCs w:val="24"/>
        </w:rPr>
      </w:pPr>
    </w:p>
    <w:p w14:paraId="6F66E434" w14:textId="3EE16E84" w:rsidR="00934FDC" w:rsidRPr="0066121D" w:rsidRDefault="51650439" w:rsidP="64C763B2">
      <w:pPr>
        <w:spacing w:after="0" w:line="240" w:lineRule="auto"/>
        <w:jc w:val="both"/>
        <w:rPr>
          <w:rFonts w:ascii="Times New Roman" w:eastAsia="Times New Roman" w:hAnsi="Times New Roman" w:cs="Times New Roman"/>
          <w:b/>
          <w:bCs/>
          <w:color w:val="FF0000"/>
          <w:sz w:val="24"/>
          <w:szCs w:val="24"/>
          <w:highlight w:val="green"/>
        </w:rPr>
      </w:pPr>
      <w:r w:rsidRPr="0066121D">
        <w:rPr>
          <w:rFonts w:ascii="Times New Roman" w:eastAsia="Times New Roman" w:hAnsi="Times New Roman" w:cs="Times New Roman"/>
          <w:b/>
          <w:bCs/>
          <w:color w:val="FF0000"/>
          <w:sz w:val="24"/>
          <w:szCs w:val="24"/>
        </w:rPr>
        <w:t>Da exigência de Anotação de Responsabilidade Técnica - ART</w:t>
      </w:r>
      <w:r w:rsidR="6DD260D9" w:rsidRPr="0066121D">
        <w:rPr>
          <w:rFonts w:ascii="Times New Roman" w:eastAsia="Times New Roman" w:hAnsi="Times New Roman" w:cs="Times New Roman"/>
          <w:b/>
          <w:bCs/>
          <w:color w:val="FF0000"/>
          <w:sz w:val="24"/>
          <w:szCs w:val="24"/>
        </w:rPr>
        <w:t>,</w:t>
      </w:r>
      <w:r w:rsidRPr="0066121D">
        <w:rPr>
          <w:rFonts w:ascii="Times New Roman" w:eastAsia="Times New Roman" w:hAnsi="Times New Roman" w:cs="Times New Roman"/>
          <w:b/>
          <w:bCs/>
          <w:color w:val="FF0000"/>
          <w:sz w:val="24"/>
          <w:szCs w:val="24"/>
        </w:rPr>
        <w:t xml:space="preserve"> ou Registro de Responsabilidade Técnica - RRT</w:t>
      </w:r>
      <w:r w:rsidR="7E398BA0" w:rsidRPr="0066121D">
        <w:rPr>
          <w:rFonts w:ascii="Times New Roman" w:eastAsia="Times New Roman" w:hAnsi="Times New Roman" w:cs="Times New Roman"/>
          <w:b/>
          <w:bCs/>
          <w:color w:val="FF0000"/>
          <w:sz w:val="24"/>
          <w:szCs w:val="24"/>
        </w:rPr>
        <w:t xml:space="preserve"> ou</w:t>
      </w:r>
      <w:r w:rsidR="74625877" w:rsidRPr="0066121D">
        <w:rPr>
          <w:rFonts w:ascii="Times New Roman" w:eastAsia="Times New Roman" w:hAnsi="Times New Roman" w:cs="Times New Roman"/>
          <w:b/>
          <w:bCs/>
          <w:color w:val="FF0000"/>
          <w:sz w:val="24"/>
          <w:szCs w:val="24"/>
        </w:rPr>
        <w:t xml:space="preserve"> Termo de Responsabilidade Técnica</w:t>
      </w:r>
      <w:r w:rsidR="7E398BA0" w:rsidRPr="0066121D">
        <w:rPr>
          <w:rFonts w:ascii="Times New Roman" w:eastAsia="Times New Roman" w:hAnsi="Times New Roman" w:cs="Times New Roman"/>
          <w:b/>
          <w:bCs/>
          <w:color w:val="FF0000"/>
          <w:sz w:val="24"/>
          <w:szCs w:val="24"/>
        </w:rPr>
        <w:t xml:space="preserve"> </w:t>
      </w:r>
    </w:p>
    <w:p w14:paraId="6C5BAEAE" w14:textId="2184C6B5" w:rsidR="257865AE" w:rsidRPr="0066121D" w:rsidRDefault="257865AE" w:rsidP="64C763B2">
      <w:pPr>
        <w:spacing w:after="0" w:line="240" w:lineRule="auto"/>
        <w:jc w:val="both"/>
        <w:rPr>
          <w:rFonts w:ascii="Times New Roman" w:eastAsia="Times New Roman" w:hAnsi="Times New Roman" w:cs="Times New Roman"/>
          <w:color w:val="FF0000"/>
          <w:sz w:val="24"/>
          <w:szCs w:val="24"/>
          <w:highlight w:val="green"/>
        </w:rPr>
      </w:pPr>
    </w:p>
    <w:p w14:paraId="5C2C1B3E" w14:textId="75A2B13C"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Nos termos do art. 10 do Decreto n° 7.983</w:t>
      </w:r>
      <w:r w:rsidR="2FBCE03A"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2013, a anotação de responsabilidade técnica pelas planilhas orçamentárias deverá constar do projeto que integrar o edital de licitação, inclusive de suas eventuais alterações.</w:t>
      </w:r>
    </w:p>
    <w:p w14:paraId="6C3FA94B" w14:textId="2211B319" w:rsidR="6610FA50" w:rsidRPr="0066121D" w:rsidRDefault="47FBA2CA"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37E4F021" w14:textId="6F07FABE" w:rsidR="6610FA50" w:rsidRPr="00504AF8" w:rsidRDefault="47FBA2CA" w:rsidP="00504AF8">
      <w:pPr>
        <w:spacing w:after="0" w:line="240" w:lineRule="auto"/>
        <w:ind w:left="2268"/>
        <w:jc w:val="both"/>
        <w:rPr>
          <w:rFonts w:ascii="Times New Roman" w:eastAsia="Times New Roman" w:hAnsi="Times New Roman" w:cs="Times New Roman"/>
          <w:color w:val="FF0000"/>
          <w:sz w:val="20"/>
          <w:szCs w:val="20"/>
        </w:rPr>
      </w:pPr>
      <w:r w:rsidRPr="00504AF8">
        <w:rPr>
          <w:rFonts w:ascii="Times New Roman" w:eastAsia="Times New Roman" w:hAnsi="Times New Roman" w:cs="Times New Roman"/>
          <w:color w:val="FF0000"/>
          <w:sz w:val="20"/>
          <w:szCs w:val="20"/>
        </w:rPr>
        <w:t>De acordo com a Súmula TCU n° 260, “é dever do gestor exigir apresentação de Anotação de Responsabilidade Técnica - ART referente a projeto, execução, supervisão e fiscalização de obras e serviços de engenharia, com indicação do responsável pela elaboração de plantas, orçamento-base, especificações técnicas, composições de custos unitários, cronograma físico-financeiro e outras peças técnicas”.</w:t>
      </w:r>
    </w:p>
    <w:p w14:paraId="1CECF0F4" w14:textId="4C8EF61A" w:rsidR="6610FA50" w:rsidRPr="0066121D" w:rsidRDefault="47FBA2CA" w:rsidP="64C763B2">
      <w:pPr>
        <w:spacing w:after="0" w:line="240" w:lineRule="auto"/>
        <w:ind w:left="1440"/>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5E8800D1" w14:textId="07B47C82"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Dessa forma, a elaboração das planilhas orçamentárias e demais peças técnicas relativas a serviço de engenharia, arquitetura ou de técnica industrial exige a emissão de ART, RRT ou TRT, conforme Resolução CONFEA nº 361</w:t>
      </w:r>
      <w:r w:rsidR="304B1067"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1991, Resolução CAU nº 91</w:t>
      </w:r>
      <w:r w:rsidR="00D03373"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2014</w:t>
      </w:r>
      <w:r w:rsidR="001A0CE3">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 xml:space="preserve"> e </w:t>
      </w:r>
      <w:r w:rsidRPr="0066121D">
        <w:rPr>
          <w:rFonts w:ascii="Times New Roman" w:eastAsia="Times New Roman" w:hAnsi="Times New Roman" w:cs="Times New Roman"/>
          <w:color w:val="FF0000"/>
          <w:sz w:val="24"/>
          <w:szCs w:val="24"/>
        </w:rPr>
        <w:lastRenderedPageBreak/>
        <w:t>Resolução CFT nº 101</w:t>
      </w:r>
      <w:r w:rsidR="6E334EFF"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2020, respectivamente, independentemente de o profissional pertencer aos quadros da Administração Pública ou ser contratado por esta. </w:t>
      </w:r>
    </w:p>
    <w:p w14:paraId="536B61AC" w14:textId="41ABBD2B"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B75D297" w14:textId="03B8C571"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Embora o Decreto e a Súmula TCU nº 260 mencionem apenas a ART, entende-se cabível a interpretação extensiva, nos termos do art. 6º, XXI, da Lei nº 14</w:t>
      </w:r>
      <w:r w:rsidR="1B815E14"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FF0000"/>
          <w:sz w:val="24"/>
          <w:szCs w:val="24"/>
        </w:rPr>
        <w:t>133</w:t>
      </w:r>
      <w:r w:rsidR="255A5274"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2021, para abarcar também o RRT e o TRT, conforme os trabalhos forem elaborados por arquiteto ou por técnico industrial.</w:t>
      </w:r>
    </w:p>
    <w:p w14:paraId="08804CB0" w14:textId="6B030200" w:rsidR="6610FA50" w:rsidRPr="0066121D" w:rsidRDefault="47FBA2CA" w:rsidP="64C763B2">
      <w:pPr>
        <w:spacing w:after="0" w:line="240" w:lineRule="auto"/>
        <w:ind w:firstLine="1418"/>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55DC9C29" w14:textId="4947E13C"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bookmarkStart w:id="3" w:name="_Int_QXUfJIqM"/>
      <w:r w:rsidRPr="0066121D">
        <w:rPr>
          <w:rFonts w:ascii="Times New Roman" w:eastAsia="Times New Roman" w:hAnsi="Times New Roman" w:cs="Times New Roman"/>
          <w:color w:val="FF0000"/>
          <w:sz w:val="24"/>
          <w:szCs w:val="24"/>
        </w:rPr>
        <w:t>A matéria a respeito da constitucionalidade das taxas de polícias pela ART restou superada pelo STF no julgamento do Recurso Extraordinário 838.284, que declarou a constitucionalidade da cobrança de ART. Segundo o STF, "</w:t>
      </w:r>
      <w:r w:rsidRPr="0066121D">
        <w:rPr>
          <w:rFonts w:ascii="Times New Roman" w:eastAsia="Times New Roman" w:hAnsi="Times New Roman" w:cs="Times New Roman"/>
          <w:i/>
          <w:iCs/>
          <w:color w:val="FF0000"/>
          <w:sz w:val="24"/>
          <w:szCs w:val="24"/>
        </w:rPr>
        <w:t>não viola a legalidade tributária a lei que, prescrevendo o teto, possibilita o ato normativo infralegal fixar o valor de taxa em proporção razoável com os custos da atuação estatal, valor esse que não pode ser atualizado por ato do próprio conselho de fiscalização em percentual superior aos índices de correção monetária legalmente previstos</w:t>
      </w:r>
      <w:r w:rsidRPr="0066121D">
        <w:rPr>
          <w:rFonts w:ascii="Times New Roman" w:eastAsia="Times New Roman" w:hAnsi="Times New Roman" w:cs="Times New Roman"/>
          <w:color w:val="FF0000"/>
          <w:sz w:val="24"/>
          <w:szCs w:val="24"/>
        </w:rPr>
        <w:t>.".</w:t>
      </w:r>
      <w:bookmarkEnd w:id="3"/>
    </w:p>
    <w:p w14:paraId="7DF65165" w14:textId="1324B475" w:rsidR="6610FA50" w:rsidRPr="0066121D" w:rsidRDefault="47FBA2CA"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BC85E8D" w14:textId="35418079" w:rsidR="6610FA50" w:rsidRPr="0066121D" w:rsidRDefault="47FBA2CA"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Conforme a Nota Interna n.</w:t>
      </w:r>
      <w:r w:rsidR="00521921">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02/2016/CPLC/DEPCONSU/PGF/AGU, o ente público produtor do trabalho técnico especializado é o sujeito passivo das taxas referentes à Anotação de Responsabilidade Técnica, decorrente do exercício do poder de polícia do CREA, e das taxas referentes ao Registro de Responsabilidade Técnica, em razão do exercício do poder de polícia do CAU.</w:t>
      </w:r>
    </w:p>
    <w:p w14:paraId="57C1F595" w14:textId="78A5C31A" w:rsidR="257865AE" w:rsidRPr="0066121D" w:rsidRDefault="257865AE" w:rsidP="64C763B2">
      <w:pPr>
        <w:spacing w:after="0" w:line="240" w:lineRule="auto"/>
        <w:jc w:val="both"/>
        <w:rPr>
          <w:rFonts w:ascii="Times New Roman" w:eastAsia="Times New Roman" w:hAnsi="Times New Roman" w:cs="Times New Roman"/>
          <w:sz w:val="24"/>
          <w:szCs w:val="24"/>
        </w:rPr>
      </w:pPr>
    </w:p>
    <w:p w14:paraId="0FCAEDDF" w14:textId="61F2C050" w:rsidR="00934FDC" w:rsidRPr="0066121D" w:rsidRDefault="51650439"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No caso, verifica-se que foi juntada ART/RRT</w:t>
      </w:r>
      <w:r w:rsidR="504050FD" w:rsidRPr="0066121D">
        <w:rPr>
          <w:rFonts w:ascii="Times New Roman" w:eastAsia="Times New Roman" w:hAnsi="Times New Roman" w:cs="Times New Roman"/>
          <w:color w:val="FF0000"/>
          <w:sz w:val="24"/>
          <w:szCs w:val="24"/>
          <w:highlight w:val="cyan"/>
        </w:rPr>
        <w:t>/TRT</w:t>
      </w:r>
      <w:r w:rsidRPr="0066121D">
        <w:rPr>
          <w:rFonts w:ascii="Times New Roman" w:eastAsia="Times New Roman" w:hAnsi="Times New Roman" w:cs="Times New Roman"/>
          <w:color w:val="FF0000"/>
          <w:sz w:val="24"/>
          <w:szCs w:val="24"/>
          <w:highlight w:val="cyan"/>
        </w:rPr>
        <w:t>, conforme consta às fl</w:t>
      </w:r>
      <w:r w:rsidR="7A3F6702" w:rsidRPr="0066121D">
        <w:rPr>
          <w:rFonts w:ascii="Times New Roman" w:eastAsia="Times New Roman" w:hAnsi="Times New Roman" w:cs="Times New Roman"/>
          <w:color w:val="FF0000"/>
          <w:sz w:val="24"/>
          <w:szCs w:val="24"/>
          <w:highlight w:val="cyan"/>
        </w:rPr>
        <w:t>s</w:t>
      </w:r>
      <w:r w:rsidRPr="0066121D">
        <w:rPr>
          <w:rFonts w:ascii="Times New Roman" w:eastAsia="Times New Roman" w:hAnsi="Times New Roman" w:cs="Times New Roman"/>
          <w:color w:val="FF0000"/>
          <w:sz w:val="24"/>
          <w:szCs w:val="24"/>
          <w:highlight w:val="cyan"/>
        </w:rPr>
        <w:t>. XXX/ do doc. SEI XXX.</w:t>
      </w:r>
    </w:p>
    <w:p w14:paraId="366575F7" w14:textId="745A3C78" w:rsidR="00934FDC" w:rsidRPr="00403344" w:rsidRDefault="51650439" w:rsidP="00403344">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403344">
        <w:rPr>
          <w:rFonts w:ascii="Times New Roman" w:eastAsia="Times New Roman" w:hAnsi="Times New Roman" w:cs="Times New Roman"/>
          <w:b/>
          <w:bCs/>
          <w:color w:val="FF0000"/>
          <w:sz w:val="24"/>
          <w:szCs w:val="24"/>
          <w:highlight w:val="cyan"/>
          <w:u w:val="single"/>
        </w:rPr>
        <w:t>OU</w:t>
      </w:r>
    </w:p>
    <w:p w14:paraId="0BC824CC" w14:textId="2EAC1C5F" w:rsidR="00934FDC" w:rsidRPr="0066121D" w:rsidRDefault="738490E2" w:rsidP="004E6852">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No caso, verifica-se que não foi juntada ART/RRT</w:t>
      </w:r>
      <w:r w:rsidR="73379E2B" w:rsidRPr="5D8365CD">
        <w:rPr>
          <w:rFonts w:ascii="Times New Roman" w:eastAsia="Times New Roman" w:hAnsi="Times New Roman" w:cs="Times New Roman"/>
          <w:color w:val="FF0000"/>
          <w:sz w:val="24"/>
          <w:szCs w:val="24"/>
          <w:highlight w:val="cyan"/>
        </w:rPr>
        <w:t>/TRT</w:t>
      </w:r>
      <w:r w:rsidRPr="5D8365CD">
        <w:rPr>
          <w:rFonts w:ascii="Times New Roman" w:eastAsia="Times New Roman" w:hAnsi="Times New Roman" w:cs="Times New Roman"/>
          <w:color w:val="FF0000"/>
          <w:sz w:val="24"/>
          <w:szCs w:val="24"/>
          <w:highlight w:val="cyan"/>
        </w:rPr>
        <w:t xml:space="preserve">, </w:t>
      </w:r>
      <w:r w:rsidRPr="5D8365CD">
        <w:rPr>
          <w:rFonts w:ascii="Times New Roman" w:eastAsia="Times New Roman" w:hAnsi="Times New Roman" w:cs="Times New Roman"/>
          <w:b/>
          <w:bCs/>
          <w:color w:val="FF0000"/>
          <w:sz w:val="24"/>
          <w:szCs w:val="24"/>
          <w:highlight w:val="cyan"/>
        </w:rPr>
        <w:t>razão pela qual deverá a Administração providenciar tais documentos antes da deflagração d</w:t>
      </w:r>
      <w:r w:rsidR="632994BE" w:rsidRPr="5D8365CD">
        <w:rPr>
          <w:rFonts w:ascii="Times New Roman" w:eastAsia="Times New Roman" w:hAnsi="Times New Roman" w:cs="Times New Roman"/>
          <w:b/>
          <w:bCs/>
          <w:color w:val="FF0000"/>
          <w:sz w:val="24"/>
          <w:szCs w:val="24"/>
          <w:highlight w:val="cyan"/>
        </w:rPr>
        <w:t>a contratação</w:t>
      </w:r>
      <w:r w:rsidRPr="5D8365CD">
        <w:rPr>
          <w:rFonts w:ascii="Times New Roman" w:eastAsia="Times New Roman" w:hAnsi="Times New Roman" w:cs="Times New Roman"/>
          <w:color w:val="FF0000"/>
          <w:sz w:val="24"/>
          <w:szCs w:val="24"/>
          <w:highlight w:val="cyan"/>
        </w:rPr>
        <w:t>.</w:t>
      </w:r>
      <w:r w:rsidR="6639B921" w:rsidRPr="5D8365CD">
        <w:rPr>
          <w:rFonts w:ascii="Times New Roman" w:eastAsia="Times New Roman" w:hAnsi="Times New Roman" w:cs="Times New Roman"/>
          <w:color w:val="FF0000"/>
          <w:sz w:val="24"/>
          <w:szCs w:val="24"/>
        </w:rPr>
        <w:t xml:space="preserve"> </w:t>
      </w:r>
    </w:p>
    <w:p w14:paraId="47BCCCE7" w14:textId="00EA5D1C" w:rsidR="257865AE" w:rsidRPr="0066121D" w:rsidRDefault="257865AE" w:rsidP="64C763B2">
      <w:pPr>
        <w:spacing w:after="0" w:line="240" w:lineRule="auto"/>
        <w:jc w:val="both"/>
        <w:rPr>
          <w:rFonts w:ascii="Times New Roman" w:eastAsia="Times New Roman" w:hAnsi="Times New Roman" w:cs="Times New Roman"/>
          <w:color w:val="000000" w:themeColor="text1"/>
          <w:sz w:val="24"/>
          <w:szCs w:val="24"/>
        </w:rPr>
      </w:pPr>
    </w:p>
    <w:p w14:paraId="04A63B58" w14:textId="2B666C56" w:rsidR="206A2A40" w:rsidRPr="0066121D" w:rsidRDefault="310D17FC"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FF0000"/>
          <w:sz w:val="24"/>
          <w:szCs w:val="24"/>
        </w:rPr>
        <w:t>Do Regime de Execução</w:t>
      </w:r>
    </w:p>
    <w:p w14:paraId="1E4E37FF" w14:textId="40CABC16" w:rsidR="206A2A40" w:rsidRPr="0066121D" w:rsidRDefault="310D17FC"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tbl>
      <w:tblPr>
        <w:tblStyle w:val="Tabelacomgrade"/>
        <w:tblW w:w="9128" w:type="dxa"/>
        <w:tblLayout w:type="fixed"/>
        <w:tblLook w:val="06A0" w:firstRow="1" w:lastRow="0" w:firstColumn="1" w:lastColumn="0" w:noHBand="1" w:noVBand="1"/>
      </w:tblPr>
      <w:tblGrid>
        <w:gridCol w:w="9128"/>
      </w:tblGrid>
      <w:tr w:rsidR="257865AE" w:rsidRPr="0066121D" w14:paraId="66913D50" w14:textId="77777777" w:rsidTr="64C763B2">
        <w:trPr>
          <w:trHeight w:val="300"/>
        </w:trPr>
        <w:tc>
          <w:tcPr>
            <w:tcW w:w="9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72FE91BF" w14:textId="2F847CB5" w:rsidR="257865AE" w:rsidRPr="0066121D" w:rsidRDefault="3037C238"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t>Nota Explicativa:</w:t>
            </w:r>
            <w:r w:rsidRPr="0066121D">
              <w:rPr>
                <w:rFonts w:ascii="Times New Roman" w:eastAsia="Times New Roman" w:hAnsi="Times New Roman" w:cs="Times New Roman"/>
                <w:b/>
                <w:bCs/>
                <w:i/>
                <w:iCs/>
                <w:color w:val="000000" w:themeColor="text1"/>
                <w:sz w:val="24"/>
                <w:szCs w:val="24"/>
              </w:rPr>
              <w:t xml:space="preserve"> </w:t>
            </w:r>
            <w:r w:rsidRPr="0066121D">
              <w:rPr>
                <w:rFonts w:ascii="Times New Roman" w:eastAsia="Times New Roman" w:hAnsi="Times New Roman" w:cs="Times New Roman"/>
                <w:color w:val="000000" w:themeColor="text1"/>
                <w:sz w:val="24"/>
                <w:szCs w:val="24"/>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18D788B9" w14:textId="7D210D84" w:rsidR="206A2A40" w:rsidRPr="0066121D" w:rsidRDefault="206A2A40"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hAnsi="Times New Roman" w:cs="Times New Roman"/>
          <w:sz w:val="24"/>
          <w:szCs w:val="24"/>
        </w:rPr>
        <w:br/>
      </w:r>
      <w:r w:rsidR="310D17FC" w:rsidRPr="0066121D">
        <w:rPr>
          <w:rFonts w:ascii="Times New Roman" w:eastAsia="Times New Roman" w:hAnsi="Times New Roman" w:cs="Times New Roman"/>
          <w:color w:val="FF0000"/>
          <w:sz w:val="24"/>
          <w:szCs w:val="24"/>
        </w:rPr>
        <w:t>O regime de execução deve ser sopesado pela Administração, em particular em termos de eficiência na gestão contratual.</w:t>
      </w:r>
    </w:p>
    <w:p w14:paraId="705E00A5" w14:textId="31CD007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27A21BEC" w14:textId="3F2F4720"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Como regra, exige-se que as características qualitativas e quantitativas do objeto sejam previamente definidas no edital, permitindo-se aos licitantes a elaboração de proposta fundada em dados objetivos e seguros.</w:t>
      </w:r>
    </w:p>
    <w:p w14:paraId="6242F48E" w14:textId="46D3BE83"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69EC2C6C" w14:textId="77777777" w:rsidR="00105D92"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Quando isso não é possível, ou seja, quando não se sabe ao certo a estimativa precisa dos itens e quantitativos que compõem o objeto a ser contratado, o gestor deve avaliar a melhor forma de execução contratual</w:t>
      </w:r>
      <w:r w:rsidR="00105D92">
        <w:rPr>
          <w:rFonts w:ascii="Times New Roman" w:eastAsia="Times New Roman" w:hAnsi="Times New Roman" w:cs="Times New Roman"/>
          <w:color w:val="FF0000"/>
          <w:sz w:val="24"/>
          <w:szCs w:val="24"/>
        </w:rPr>
        <w:t>.</w:t>
      </w:r>
    </w:p>
    <w:p w14:paraId="57BD4FBC" w14:textId="77777777" w:rsidR="004E6852" w:rsidRDefault="004E6852" w:rsidP="64C763B2">
      <w:pPr>
        <w:spacing w:after="0" w:line="240" w:lineRule="auto"/>
        <w:jc w:val="both"/>
        <w:rPr>
          <w:rFonts w:ascii="Times New Roman" w:eastAsia="Times New Roman" w:hAnsi="Times New Roman" w:cs="Times New Roman"/>
          <w:color w:val="FF0000"/>
          <w:sz w:val="24"/>
          <w:szCs w:val="24"/>
        </w:rPr>
      </w:pPr>
    </w:p>
    <w:p w14:paraId="53C37C67" w14:textId="70827487"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Na empreitada por preço global, cada parte assume, em tese, o risco de eventuais distorções nos quantitativos a serem executados, que podem ser superiores ou inferiores àqueles originalmente previstos na planilha orçamentária da contratação. Justamente por isso, a adoção </w:t>
      </w:r>
      <w:r w:rsidRPr="0066121D">
        <w:rPr>
          <w:rFonts w:ascii="Times New Roman" w:eastAsia="Times New Roman" w:hAnsi="Times New Roman" w:cs="Times New Roman"/>
          <w:color w:val="FF0000"/>
          <w:sz w:val="24"/>
          <w:szCs w:val="24"/>
        </w:rPr>
        <w:lastRenderedPageBreak/>
        <w:t>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Lei nº 14.133, de 2021), para evitar distorções relevantes no decorrer da execução contratual (TCU. Acórdão 1978/2013-Plenário, TC 007.109/2013-0, relator Ministro Valmir Campelo, 31.7.2013).</w:t>
      </w:r>
    </w:p>
    <w:p w14:paraId="1B561C71" w14:textId="6C05E9F0"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6DCB92E" w14:textId="7BF4BBBE"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Já na empreitada por preço unitário (art. 6º, XXVIII, 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w:t>
      </w:r>
      <w:r w:rsidR="000E4ECE">
        <w:rPr>
          <w:rFonts w:ascii="Times New Roman" w:eastAsia="Times New Roman" w:hAnsi="Times New Roman" w:cs="Times New Roman"/>
          <w:color w:val="FF0000"/>
          <w:sz w:val="24"/>
          <w:szCs w:val="24"/>
        </w:rPr>
        <w:t xml:space="preserve">n.º </w:t>
      </w:r>
      <w:r w:rsidRPr="0066121D">
        <w:rPr>
          <w:rFonts w:ascii="Times New Roman" w:eastAsia="Times New Roman" w:hAnsi="Times New Roman" w:cs="Times New Roman"/>
          <w:color w:val="FF0000"/>
          <w:sz w:val="24"/>
          <w:szCs w:val="24"/>
        </w:rPr>
        <w:t>1978/2013-Plenário, TC 007.109/2013-0, relator Ministro Valmir Campelo, 31.7.2013).</w:t>
      </w:r>
    </w:p>
    <w:p w14:paraId="1B1426BC" w14:textId="29CED19D"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50E705FE" w14:textId="7EB10912"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Assim, na empreitada por preço unitário haverá a execução do contrato conforme a demanda, e esse regime de execução foi criado para resolver o problema da necessidade de fixar uma remuneração sem que se tivesse, desde logo, a quantidade exata do encargo a ser executado.</w:t>
      </w:r>
    </w:p>
    <w:p w14:paraId="18955847" w14:textId="419FD733"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4F7D0AED" w14:textId="396A503F" w:rsidR="206A2A40" w:rsidRPr="0066121D" w:rsidRDefault="310D17FC"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FF0000"/>
          <w:sz w:val="24"/>
          <w:szCs w:val="24"/>
        </w:rPr>
        <w:t>Nesse sentido, não é demais destacar o disposto no Enunciado Consultivo nº 93 LICITAÇÕES: '</w:t>
      </w:r>
      <w:r w:rsidRPr="0066121D">
        <w:rPr>
          <w:rFonts w:ascii="Times New Roman" w:eastAsia="Times New Roman" w:hAnsi="Times New Roman" w:cs="Times New Roman"/>
          <w:i/>
          <w:iCs/>
          <w:color w:val="FF0000"/>
          <w:sz w:val="24"/>
          <w:szCs w:val="24"/>
        </w:rPr>
        <w:t>É lícita a contratação para execução conforme a demanda para serviços, adotando-se como regime de execução a empreitada por preço unitário e a tarefa.</w:t>
      </w:r>
      <w:r w:rsidRPr="0066121D">
        <w:rPr>
          <w:rFonts w:ascii="Times New Roman" w:eastAsia="Times New Roman" w:hAnsi="Times New Roman" w:cs="Times New Roman"/>
          <w:color w:val="FF0000"/>
          <w:sz w:val="24"/>
          <w:szCs w:val="24"/>
        </w:rPr>
        <w:t>" Fonte: Parecer n.</w:t>
      </w:r>
      <w:r w:rsidR="0014704B">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00010/2013/CPLC/DEPCONSU/PGF/AGU. NUP 00407.000072/2020-36 (Seq. 116).  </w:t>
      </w:r>
      <w:r w:rsidRPr="0066121D">
        <w:rPr>
          <w:rFonts w:ascii="Times New Roman" w:eastAsia="Times New Roman" w:hAnsi="Times New Roman" w:cs="Times New Roman"/>
          <w:sz w:val="24"/>
          <w:szCs w:val="24"/>
        </w:rPr>
        <w:t xml:space="preserve"> </w:t>
      </w:r>
    </w:p>
    <w:p w14:paraId="28467ED9" w14:textId="2D6AC04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36AA88A2" w14:textId="07EC8B58"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p>
    <w:p w14:paraId="72EBB246" w14:textId="05E431AD"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1EA192AB" w14:textId="44D217F7"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Como desdobramento direto disso, em contratações por empreitada por preço global, a tramitação de eventuais aditivos contratuais quantitativos e qualitativos exigirá a apresentação de robusta justificativa.</w:t>
      </w:r>
    </w:p>
    <w:p w14:paraId="38DF2AB4" w14:textId="5B96E7D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9B81C4E" w14:textId="69F45A4E"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p>
    <w:p w14:paraId="526B5E2F" w14:textId="5E13AC7C"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B990730" w14:textId="0DA45617" w:rsidR="206A2A40" w:rsidRPr="0066121D" w:rsidRDefault="310D17FC"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No caso concreto, não houve maiores justificativas a respeito da escolha pela empreitada por preço </w:t>
      </w:r>
      <w:r w:rsidRPr="0066121D">
        <w:rPr>
          <w:rFonts w:ascii="Times New Roman" w:eastAsia="Times New Roman" w:hAnsi="Times New Roman" w:cs="Times New Roman"/>
          <w:color w:val="FF0000"/>
          <w:sz w:val="24"/>
          <w:szCs w:val="24"/>
          <w:highlight w:val="cyan"/>
        </w:rPr>
        <w:t>global/unitário.</w:t>
      </w:r>
      <w:r w:rsidRPr="0066121D">
        <w:rPr>
          <w:rFonts w:ascii="Times New Roman" w:eastAsia="Times New Roman" w:hAnsi="Times New Roman" w:cs="Times New Roman"/>
          <w:color w:val="FF0000"/>
          <w:sz w:val="24"/>
          <w:szCs w:val="24"/>
        </w:rPr>
        <w:t xml:space="preserve"> Assim sendo, recomenda-se que sejam trazidas ao processo maiores justificativas para o regime de execução escolhido para a presente contratação.</w:t>
      </w:r>
    </w:p>
    <w:p w14:paraId="357021EA" w14:textId="7ACEC725" w:rsidR="257865AE" w:rsidRPr="0066121D" w:rsidRDefault="257865AE" w:rsidP="64C763B2">
      <w:pPr>
        <w:spacing w:after="0" w:line="240" w:lineRule="auto"/>
        <w:jc w:val="both"/>
        <w:rPr>
          <w:rFonts w:ascii="Times New Roman" w:eastAsia="Times New Roman" w:hAnsi="Times New Roman" w:cs="Times New Roman"/>
          <w:b/>
          <w:bCs/>
          <w:color w:val="000000" w:themeColor="text1"/>
          <w:sz w:val="24"/>
          <w:szCs w:val="24"/>
        </w:rPr>
      </w:pPr>
    </w:p>
    <w:p w14:paraId="69027412" w14:textId="61CDE2ED" w:rsidR="6A048959" w:rsidRPr="0066121D" w:rsidRDefault="20B56D16" w:rsidP="64C763B2">
      <w:pPr>
        <w:spacing w:after="0" w:line="240" w:lineRule="auto"/>
        <w:jc w:val="both"/>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DA DISPENSA </w:t>
      </w:r>
      <w:r w:rsidR="4E17E387" w:rsidRPr="0066121D">
        <w:rPr>
          <w:rFonts w:ascii="Times New Roman" w:eastAsia="Times New Roman" w:hAnsi="Times New Roman" w:cs="Times New Roman"/>
          <w:b/>
          <w:bCs/>
          <w:color w:val="000000" w:themeColor="text1"/>
          <w:sz w:val="24"/>
          <w:szCs w:val="24"/>
        </w:rPr>
        <w:t xml:space="preserve">DE LICITAÇÃO </w:t>
      </w:r>
      <w:r w:rsidRPr="0066121D">
        <w:rPr>
          <w:rFonts w:ascii="Times New Roman" w:eastAsia="Times New Roman" w:hAnsi="Times New Roman" w:cs="Times New Roman"/>
          <w:b/>
          <w:bCs/>
          <w:color w:val="000000" w:themeColor="text1"/>
          <w:sz w:val="24"/>
          <w:szCs w:val="24"/>
        </w:rPr>
        <w:t xml:space="preserve">EM CASO DE EMERGÊNCIA OU CALAMIDADE PÚBLICA </w:t>
      </w:r>
    </w:p>
    <w:p w14:paraId="419F6C2F" w14:textId="01D9A201" w:rsidR="4FA54AA1" w:rsidRPr="0066121D" w:rsidRDefault="20B56D16"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53F5468" w14:textId="3D1C5EEC" w:rsidR="7EEF7630" w:rsidRPr="0066121D" w:rsidRDefault="53FEEF7F"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lastRenderedPageBreak/>
        <w:t>Em princípio,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(CF art. 37, XXI).</w:t>
      </w:r>
    </w:p>
    <w:p w14:paraId="4CA2ADF4" w14:textId="2FE7256F" w:rsidR="64C763B2" w:rsidRPr="0066121D" w:rsidRDefault="64C763B2" w:rsidP="64C763B2">
      <w:pPr>
        <w:spacing w:after="0" w:line="240" w:lineRule="auto"/>
        <w:jc w:val="both"/>
        <w:rPr>
          <w:rFonts w:ascii="Times New Roman" w:eastAsia="Times New Roman" w:hAnsi="Times New Roman" w:cs="Times New Roman"/>
          <w:sz w:val="24"/>
          <w:szCs w:val="24"/>
        </w:rPr>
      </w:pPr>
    </w:p>
    <w:p w14:paraId="701BF847" w14:textId="47F2F4BE" w:rsidR="4FA54AA1" w:rsidRPr="0066121D" w:rsidRDefault="53FEEF7F"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Entretanto,</w:t>
      </w:r>
      <w:r w:rsidR="1A1F75A1" w:rsidRPr="0066121D">
        <w:rPr>
          <w:rFonts w:ascii="Times New Roman" w:eastAsia="Times New Roman" w:hAnsi="Times New Roman" w:cs="Times New Roman"/>
          <w:sz w:val="24"/>
          <w:szCs w:val="24"/>
        </w:rPr>
        <w:t xml:space="preserve"> como exceção à regra prevista no artigo 37, XXI</w:t>
      </w:r>
      <w:r w:rsidR="00190D4E">
        <w:rPr>
          <w:rFonts w:ascii="Times New Roman" w:eastAsia="Times New Roman" w:hAnsi="Times New Roman" w:cs="Times New Roman"/>
          <w:sz w:val="24"/>
          <w:szCs w:val="24"/>
        </w:rPr>
        <w:t>,</w:t>
      </w:r>
      <w:r w:rsidR="1A1F75A1" w:rsidRPr="0066121D">
        <w:rPr>
          <w:rFonts w:ascii="Times New Roman" w:eastAsia="Times New Roman" w:hAnsi="Times New Roman" w:cs="Times New Roman"/>
          <w:sz w:val="24"/>
          <w:szCs w:val="24"/>
        </w:rPr>
        <w:t xml:space="preserve"> da Constituição Federal</w:t>
      </w:r>
      <w:r w:rsidRPr="0066121D">
        <w:rPr>
          <w:rFonts w:ascii="Times New Roman" w:eastAsia="Times New Roman" w:hAnsi="Times New Roman" w:cs="Times New Roman"/>
          <w:sz w:val="24"/>
          <w:szCs w:val="24"/>
        </w:rPr>
        <w:t xml:space="preserve"> </w:t>
      </w:r>
      <w:r w:rsidR="20B56D16" w:rsidRPr="0066121D">
        <w:rPr>
          <w:rFonts w:ascii="Times New Roman" w:eastAsia="Times New Roman" w:hAnsi="Times New Roman" w:cs="Times New Roman"/>
          <w:sz w:val="24"/>
          <w:szCs w:val="24"/>
        </w:rPr>
        <w:t xml:space="preserve">através do inciso VIII do art. 75, </w:t>
      </w:r>
      <w:r w:rsidR="22BB8817" w:rsidRPr="0066121D">
        <w:rPr>
          <w:rFonts w:ascii="Times New Roman" w:eastAsia="Times New Roman" w:hAnsi="Times New Roman" w:cs="Times New Roman"/>
          <w:sz w:val="24"/>
          <w:szCs w:val="24"/>
        </w:rPr>
        <w:t xml:space="preserve">a </w:t>
      </w:r>
      <w:r w:rsidR="5CE83E4C" w:rsidRPr="0066121D">
        <w:rPr>
          <w:rFonts w:ascii="Times New Roman" w:eastAsia="Times New Roman" w:hAnsi="Times New Roman" w:cs="Times New Roman"/>
          <w:sz w:val="24"/>
          <w:szCs w:val="24"/>
        </w:rPr>
        <w:t>L</w:t>
      </w:r>
      <w:r w:rsidR="22BB8817" w:rsidRPr="0066121D">
        <w:rPr>
          <w:rFonts w:ascii="Times New Roman" w:eastAsia="Times New Roman" w:hAnsi="Times New Roman" w:cs="Times New Roman"/>
          <w:sz w:val="24"/>
          <w:szCs w:val="24"/>
        </w:rPr>
        <w:t xml:space="preserve">ei </w:t>
      </w:r>
      <w:r w:rsidR="3A5F9199" w:rsidRPr="0066121D">
        <w:rPr>
          <w:rFonts w:ascii="Times New Roman" w:eastAsia="Times New Roman" w:hAnsi="Times New Roman" w:cs="Times New Roman"/>
          <w:sz w:val="24"/>
          <w:szCs w:val="24"/>
        </w:rPr>
        <w:t>n.</w:t>
      </w:r>
      <w:r w:rsidR="00905B1C">
        <w:rPr>
          <w:rFonts w:ascii="Times New Roman" w:eastAsia="Times New Roman" w:hAnsi="Times New Roman" w:cs="Times New Roman"/>
          <w:sz w:val="24"/>
          <w:szCs w:val="24"/>
        </w:rPr>
        <w:t>º</w:t>
      </w:r>
      <w:r w:rsidR="3A5F9199" w:rsidRPr="0066121D">
        <w:rPr>
          <w:rFonts w:ascii="Times New Roman" w:eastAsia="Times New Roman" w:hAnsi="Times New Roman" w:cs="Times New Roman"/>
          <w:sz w:val="24"/>
          <w:szCs w:val="24"/>
        </w:rPr>
        <w:t xml:space="preserve"> </w:t>
      </w:r>
      <w:r w:rsidR="22BB8817" w:rsidRPr="0066121D">
        <w:rPr>
          <w:rFonts w:ascii="Times New Roman" w:eastAsia="Times New Roman" w:hAnsi="Times New Roman" w:cs="Times New Roman"/>
          <w:sz w:val="24"/>
          <w:szCs w:val="24"/>
        </w:rPr>
        <w:t>14</w:t>
      </w:r>
      <w:r w:rsidR="71F86C7B" w:rsidRPr="0066121D">
        <w:rPr>
          <w:rFonts w:ascii="Times New Roman" w:eastAsia="Times New Roman" w:hAnsi="Times New Roman" w:cs="Times New Roman"/>
          <w:sz w:val="24"/>
          <w:szCs w:val="24"/>
        </w:rPr>
        <w:t>.</w:t>
      </w:r>
      <w:r w:rsidR="22BB8817" w:rsidRPr="0066121D">
        <w:rPr>
          <w:rFonts w:ascii="Times New Roman" w:eastAsia="Times New Roman" w:hAnsi="Times New Roman" w:cs="Times New Roman"/>
          <w:sz w:val="24"/>
          <w:szCs w:val="24"/>
        </w:rPr>
        <w:t>13</w:t>
      </w:r>
      <w:r w:rsidR="27E092E2" w:rsidRPr="0066121D">
        <w:rPr>
          <w:rFonts w:ascii="Times New Roman" w:eastAsia="Times New Roman" w:hAnsi="Times New Roman" w:cs="Times New Roman"/>
          <w:sz w:val="24"/>
          <w:szCs w:val="24"/>
        </w:rPr>
        <w:t xml:space="preserve">3, de </w:t>
      </w:r>
      <w:r w:rsidR="22BB8817" w:rsidRPr="0066121D">
        <w:rPr>
          <w:rFonts w:ascii="Times New Roman" w:eastAsia="Times New Roman" w:hAnsi="Times New Roman" w:cs="Times New Roman"/>
          <w:sz w:val="24"/>
          <w:szCs w:val="24"/>
        </w:rPr>
        <w:t>2021</w:t>
      </w:r>
      <w:r w:rsidR="00905B1C">
        <w:rPr>
          <w:rFonts w:ascii="Times New Roman" w:eastAsia="Times New Roman" w:hAnsi="Times New Roman" w:cs="Times New Roman"/>
          <w:sz w:val="24"/>
          <w:szCs w:val="24"/>
        </w:rPr>
        <w:t>,</w:t>
      </w:r>
      <w:r w:rsidR="22BB8817" w:rsidRPr="0066121D">
        <w:rPr>
          <w:rFonts w:ascii="Times New Roman" w:eastAsia="Times New Roman" w:hAnsi="Times New Roman" w:cs="Times New Roman"/>
          <w:sz w:val="24"/>
          <w:szCs w:val="24"/>
        </w:rPr>
        <w:t xml:space="preserve"> </w:t>
      </w:r>
      <w:r w:rsidR="20B56D16" w:rsidRPr="0066121D">
        <w:rPr>
          <w:rFonts w:ascii="Times New Roman" w:eastAsia="Times New Roman" w:hAnsi="Times New Roman" w:cs="Times New Roman"/>
          <w:sz w:val="24"/>
          <w:szCs w:val="24"/>
        </w:rPr>
        <w:t>previu a hipótese de dispensa nos casos de emergência ou de calamidade pública quando caracterizada urgência de atendimento da situação, da seguinte forma</w:t>
      </w:r>
      <w:r w:rsidR="6A09B9E8" w:rsidRPr="0066121D">
        <w:rPr>
          <w:rFonts w:ascii="Times New Roman" w:eastAsia="Times New Roman" w:hAnsi="Times New Roman" w:cs="Times New Roman"/>
          <w:sz w:val="24"/>
          <w:szCs w:val="24"/>
        </w:rPr>
        <w:t>:</w:t>
      </w:r>
    </w:p>
    <w:p w14:paraId="6DC3469C" w14:textId="383B0E51" w:rsidR="4FA54AA1" w:rsidRPr="0066121D" w:rsidRDefault="6A09B9E8"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560C6DD0" w14:textId="4140F9ED" w:rsidR="4FA54AA1" w:rsidRPr="00905B1C" w:rsidRDefault="20B56D16" w:rsidP="00905B1C">
      <w:pPr>
        <w:spacing w:after="0" w:line="240" w:lineRule="auto"/>
        <w:ind w:left="2268"/>
        <w:jc w:val="both"/>
        <w:rPr>
          <w:rFonts w:ascii="Times New Roman" w:eastAsia="Times New Roman" w:hAnsi="Times New Roman" w:cs="Times New Roman"/>
          <w:sz w:val="20"/>
          <w:szCs w:val="20"/>
        </w:rPr>
      </w:pPr>
      <w:r w:rsidRPr="00905B1C">
        <w:rPr>
          <w:rFonts w:ascii="Times New Roman" w:eastAsia="Times New Roman" w:hAnsi="Times New Roman" w:cs="Times New Roman"/>
          <w:sz w:val="20"/>
          <w:szCs w:val="20"/>
        </w:rPr>
        <w:t>Art. 75. É dispensável a licitação:</w:t>
      </w:r>
    </w:p>
    <w:p w14:paraId="4514287A" w14:textId="7EF8C0C5" w:rsidR="4FA54AA1" w:rsidRPr="00905B1C" w:rsidRDefault="20B56D16" w:rsidP="00905B1C">
      <w:pPr>
        <w:spacing w:after="0" w:line="240" w:lineRule="auto"/>
        <w:ind w:left="2268"/>
        <w:jc w:val="both"/>
        <w:rPr>
          <w:rFonts w:ascii="Times New Roman" w:eastAsia="Times New Roman" w:hAnsi="Times New Roman" w:cs="Times New Roman"/>
          <w:b/>
          <w:bCs/>
          <w:sz w:val="20"/>
          <w:szCs w:val="20"/>
        </w:rPr>
      </w:pPr>
      <w:r w:rsidRPr="00905B1C">
        <w:rPr>
          <w:rFonts w:ascii="Times New Roman" w:eastAsia="Times New Roman" w:hAnsi="Times New Roman" w:cs="Times New Roman"/>
          <w:sz w:val="20"/>
          <w:szCs w:val="20"/>
        </w:rPr>
        <w:t>(...)</w:t>
      </w:r>
      <w:r w:rsidR="0F7CC37D" w:rsidRPr="00905B1C">
        <w:rPr>
          <w:rFonts w:ascii="Times New Roman" w:eastAsia="Times New Roman" w:hAnsi="Times New Roman" w:cs="Times New Roman"/>
          <w:sz w:val="20"/>
          <w:szCs w:val="20"/>
        </w:rPr>
        <w:t xml:space="preserve"> </w:t>
      </w:r>
      <w:r w:rsidRPr="00905B1C">
        <w:rPr>
          <w:rFonts w:ascii="Times New Roman" w:eastAsia="Times New Roman" w:hAnsi="Times New Roman" w:cs="Times New Roman"/>
          <w:sz w:val="20"/>
          <w:szCs w:val="20"/>
        </w:rPr>
        <w:t xml:space="preserve">VIII - nos casos de emergência ou de calamidade pública, quando caracterizada urgência de atendimento de situação que possa ocasionar prejuízo ou comprometer a continuidade dos serviços públicos ou a segurança de pessoas, obras, serviços, equipamentos e outros bens, públicos ou particulares, e somente para aquisição dos bens necessários ao atendimento da situação emergencial ou calamitosa e para as parcelas de obras e serviços que possam ser concluídas </w:t>
      </w:r>
      <w:r w:rsidRPr="00905B1C">
        <w:rPr>
          <w:rFonts w:ascii="Times New Roman" w:eastAsia="Times New Roman" w:hAnsi="Times New Roman" w:cs="Times New Roman"/>
          <w:b/>
          <w:bCs/>
          <w:sz w:val="20"/>
          <w:szCs w:val="20"/>
        </w:rPr>
        <w:t>no prazo máximo de 1 (um) ano</w:t>
      </w:r>
      <w:r w:rsidRPr="00905B1C">
        <w:rPr>
          <w:rFonts w:ascii="Times New Roman" w:eastAsia="Times New Roman" w:hAnsi="Times New Roman" w:cs="Times New Roman"/>
          <w:sz w:val="20"/>
          <w:szCs w:val="20"/>
        </w:rPr>
        <w:t xml:space="preserve">, contado da data de ocorrência da emergência ou da calamidade, </w:t>
      </w:r>
      <w:r w:rsidRPr="00905B1C">
        <w:rPr>
          <w:rFonts w:ascii="Times New Roman" w:eastAsia="Times New Roman" w:hAnsi="Times New Roman" w:cs="Times New Roman"/>
          <w:b/>
          <w:bCs/>
          <w:sz w:val="20"/>
          <w:szCs w:val="20"/>
        </w:rPr>
        <w:t>vedadas a prorrogação dos respectivos contratos e a recontratação de empresa já contratada com base no disposto neste inciso;</w:t>
      </w:r>
    </w:p>
    <w:p w14:paraId="1675CD0E" w14:textId="4CC09BF1" w:rsidR="4FA54AA1" w:rsidRPr="00905B1C" w:rsidRDefault="1A0F896D" w:rsidP="00905B1C">
      <w:pPr>
        <w:spacing w:after="0" w:line="240" w:lineRule="auto"/>
        <w:ind w:left="2268"/>
        <w:jc w:val="both"/>
        <w:rPr>
          <w:rFonts w:ascii="Times New Roman" w:eastAsia="Times New Roman" w:hAnsi="Times New Roman" w:cs="Times New Roman"/>
          <w:b/>
          <w:bCs/>
          <w:color w:val="FF0000"/>
          <w:sz w:val="20"/>
          <w:szCs w:val="20"/>
        </w:rPr>
      </w:pPr>
      <w:r w:rsidRPr="00905B1C">
        <w:rPr>
          <w:rFonts w:ascii="Times New Roman" w:eastAsia="Times New Roman" w:hAnsi="Times New Roman" w:cs="Times New Roman"/>
          <w:color w:val="FF0000"/>
          <w:sz w:val="20"/>
          <w:szCs w:val="20"/>
        </w:rPr>
        <w:t xml:space="preserve">(...) § 6º Para os fins do inciso VIII do caput deste artigo, considera-se emergencial a contratação por dispensa com objetivo de manter a continuidade do serviço público, e deverão ser observados os valores praticados pelo mercado na forma do art. 23 desta Lei e </w:t>
      </w:r>
      <w:r w:rsidRPr="00905B1C">
        <w:rPr>
          <w:rFonts w:ascii="Times New Roman" w:eastAsia="Times New Roman" w:hAnsi="Times New Roman" w:cs="Times New Roman"/>
          <w:b/>
          <w:bCs/>
          <w:color w:val="FF0000"/>
          <w:sz w:val="20"/>
          <w:szCs w:val="20"/>
        </w:rPr>
        <w:t>adotadas as providências necessárias para a conclusão do processo licitatório, sem prejuízo de apuração de responsabilidade dos agentes públicos que deram causa à situação emergencial.</w:t>
      </w:r>
    </w:p>
    <w:p w14:paraId="71D5C79A" w14:textId="2930FF2B" w:rsidR="4FA54AA1" w:rsidRPr="0066121D" w:rsidRDefault="1A0F896D"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76BFD6B7" w14:textId="7C85C736" w:rsidR="4FA54AA1" w:rsidRPr="0066121D" w:rsidRDefault="1A0F896D"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Nesse sentido, em se tratando da contratação que visa a manutenção de serviços públicos no risco de sua interrupção, paralelamente à contratação, a Administração deve promover a apuração de responsabilidade dos agentes públicos que deram causa à situação emergencial.</w:t>
      </w:r>
      <w:r w:rsidR="20B56D16" w:rsidRPr="0066121D">
        <w:rPr>
          <w:rFonts w:ascii="Times New Roman" w:eastAsia="Times New Roman" w:hAnsi="Times New Roman" w:cs="Times New Roman"/>
          <w:color w:val="000000" w:themeColor="text1"/>
          <w:sz w:val="24"/>
          <w:szCs w:val="24"/>
        </w:rPr>
        <w:t xml:space="preserve"> </w:t>
      </w:r>
    </w:p>
    <w:p w14:paraId="2A84BDCA" w14:textId="5ABB33E0" w:rsidR="4FA54AA1" w:rsidRPr="0066121D" w:rsidRDefault="6C12699F"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 xml:space="preserve">Assim, </w:t>
      </w:r>
      <w:r w:rsidR="2FEA6F5A" w:rsidRPr="0066121D">
        <w:rPr>
          <w:rFonts w:ascii="Times New Roman" w:eastAsia="Times New Roman" w:hAnsi="Times New Roman" w:cs="Times New Roman"/>
          <w:color w:val="000000" w:themeColor="text1"/>
          <w:sz w:val="24"/>
          <w:szCs w:val="24"/>
        </w:rPr>
        <w:t xml:space="preserve">é cabível a contratação direta, mediante </w:t>
      </w:r>
      <w:r w:rsidR="67B9A299" w:rsidRPr="0066121D">
        <w:rPr>
          <w:rFonts w:ascii="Times New Roman" w:eastAsia="Times New Roman" w:hAnsi="Times New Roman" w:cs="Times New Roman"/>
          <w:color w:val="000000" w:themeColor="text1"/>
          <w:sz w:val="24"/>
          <w:szCs w:val="24"/>
        </w:rPr>
        <w:t>dispensa</w:t>
      </w:r>
      <w:r w:rsidR="2FEA6F5A" w:rsidRPr="0066121D">
        <w:rPr>
          <w:rFonts w:ascii="Times New Roman" w:eastAsia="Times New Roman" w:hAnsi="Times New Roman" w:cs="Times New Roman"/>
          <w:color w:val="000000" w:themeColor="text1"/>
          <w:sz w:val="24"/>
          <w:szCs w:val="24"/>
        </w:rPr>
        <w:t xml:space="preserve"> de licitação, desde que o setor competente elabore parecer técnico (artigo 72, III, da Lei</w:t>
      </w:r>
      <w:r w:rsidR="00DE08CC">
        <w:rPr>
          <w:rFonts w:ascii="Times New Roman" w:eastAsia="Times New Roman" w:hAnsi="Times New Roman" w:cs="Times New Roman"/>
          <w:color w:val="000000" w:themeColor="text1"/>
          <w:sz w:val="24"/>
          <w:szCs w:val="24"/>
        </w:rPr>
        <w:t xml:space="preserve"> </w:t>
      </w:r>
      <w:r w:rsidR="00DE08CC" w:rsidRPr="001C2100">
        <w:rPr>
          <w:rFonts w:ascii="Times New Roman" w:eastAsia="Times New Roman" w:hAnsi="Times New Roman" w:cs="Times New Roman"/>
          <w:color w:val="000000" w:themeColor="text1"/>
          <w:sz w:val="24"/>
          <w:szCs w:val="24"/>
        </w:rPr>
        <w:t>n.º</w:t>
      </w:r>
      <w:r w:rsidR="2FEA6F5A" w:rsidRPr="001C2100">
        <w:rPr>
          <w:rFonts w:ascii="Times New Roman" w:eastAsia="Times New Roman" w:hAnsi="Times New Roman" w:cs="Times New Roman"/>
          <w:color w:val="000000" w:themeColor="text1"/>
          <w:sz w:val="24"/>
          <w:szCs w:val="24"/>
        </w:rPr>
        <w:t xml:space="preserve"> </w:t>
      </w:r>
      <w:r w:rsidR="001C2100">
        <w:rPr>
          <w:rFonts w:ascii="Times New Roman" w:eastAsia="Times New Roman" w:hAnsi="Times New Roman" w:cs="Times New Roman"/>
          <w:color w:val="000000" w:themeColor="text1"/>
          <w:sz w:val="24"/>
          <w:szCs w:val="24"/>
        </w:rPr>
        <w:t>14.133, de 2021</w:t>
      </w:r>
      <w:r w:rsidR="2FEA6F5A" w:rsidRPr="0066121D">
        <w:rPr>
          <w:rFonts w:ascii="Times New Roman" w:eastAsia="Times New Roman" w:hAnsi="Times New Roman" w:cs="Times New Roman"/>
          <w:color w:val="000000" w:themeColor="text1"/>
          <w:sz w:val="24"/>
          <w:szCs w:val="24"/>
        </w:rPr>
        <w:t>) e demonstre documentalmente nos autos, a existência dos seguintes requisitos, cumulativamente:</w:t>
      </w:r>
      <w:r w:rsidR="20B56D16" w:rsidRPr="0066121D">
        <w:rPr>
          <w:rFonts w:ascii="Times New Roman" w:eastAsia="Times New Roman" w:hAnsi="Times New Roman" w:cs="Times New Roman"/>
          <w:sz w:val="24"/>
          <w:szCs w:val="24"/>
        </w:rPr>
        <w:t xml:space="preserve"> </w:t>
      </w:r>
    </w:p>
    <w:p w14:paraId="6782042A" w14:textId="3B3BAEBA" w:rsidR="64C763B2" w:rsidRPr="0066121D" w:rsidRDefault="64C763B2" w:rsidP="64C763B2">
      <w:pPr>
        <w:spacing w:after="0" w:line="240" w:lineRule="auto"/>
        <w:jc w:val="both"/>
        <w:rPr>
          <w:rFonts w:ascii="Times New Roman" w:eastAsia="Times New Roman" w:hAnsi="Times New Roman" w:cs="Times New Roman"/>
          <w:sz w:val="24"/>
          <w:szCs w:val="24"/>
        </w:rPr>
      </w:pPr>
    </w:p>
    <w:p w14:paraId="042CE26A" w14:textId="34D83E7F"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 xml:space="preserve"> situação emergencial ou calamitosa;</w:t>
      </w:r>
    </w:p>
    <w:p w14:paraId="2C0E9AAD" w14:textId="2A4A3770"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b/>
          <w:bCs/>
          <w:color w:val="000000" w:themeColor="text1"/>
          <w:sz w:val="20"/>
          <w:szCs w:val="20"/>
        </w:rPr>
      </w:pPr>
      <w:r w:rsidRPr="00EB4415">
        <w:rPr>
          <w:rFonts w:ascii="Times New Roman" w:eastAsia="Times New Roman" w:hAnsi="Times New Roman" w:cs="Times New Roman"/>
          <w:color w:val="000000" w:themeColor="text1"/>
          <w:sz w:val="20"/>
          <w:szCs w:val="20"/>
        </w:rPr>
        <w:t xml:space="preserve">urgência de atendimento a situação de risco a </w:t>
      </w:r>
      <w:r w:rsidRPr="00EB4415">
        <w:rPr>
          <w:rFonts w:ascii="Times New Roman" w:eastAsia="Times New Roman" w:hAnsi="Times New Roman" w:cs="Times New Roman"/>
          <w:b/>
          <w:bCs/>
          <w:color w:val="000000" w:themeColor="text1"/>
          <w:sz w:val="20"/>
          <w:szCs w:val="20"/>
        </w:rPr>
        <w:t>prejuízo ou comprometimento da continuidade dos serviços públicos ou da segurança de pessoas, obras, serviços, equipamentos e outros bens, públicos ou particulares</w:t>
      </w:r>
    </w:p>
    <w:p w14:paraId="7B0B7CE5" w14:textId="30E2994A"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contratação direta como meio adequado para afastar o risco</w:t>
      </w:r>
    </w:p>
    <w:p w14:paraId="45CC229F" w14:textId="4BCAFAF7"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contratação somente das parcelas necessárias à eliminação do risco</w:t>
      </w:r>
    </w:p>
    <w:p w14:paraId="0F339BD4" w14:textId="0123506A" w:rsidR="4FA54AA1" w:rsidRPr="00EB4415" w:rsidRDefault="20B56D16" w:rsidP="00040C45">
      <w:pPr>
        <w:pStyle w:val="PargrafodaLista"/>
        <w:numPr>
          <w:ilvl w:val="0"/>
          <w:numId w:val="3"/>
        </w:numPr>
        <w:tabs>
          <w:tab w:val="left" w:pos="2552"/>
        </w:tabs>
        <w:spacing w:after="0" w:line="240" w:lineRule="auto"/>
        <w:ind w:left="2268" w:hanging="11"/>
        <w:jc w:val="both"/>
        <w:rPr>
          <w:rFonts w:ascii="Times New Roman" w:eastAsia="Times New Roman" w:hAnsi="Times New Roman" w:cs="Times New Roman"/>
          <w:color w:val="000000" w:themeColor="text1"/>
          <w:sz w:val="20"/>
          <w:szCs w:val="20"/>
        </w:rPr>
      </w:pPr>
      <w:r w:rsidRPr="00EB4415">
        <w:rPr>
          <w:rFonts w:ascii="Times New Roman" w:eastAsia="Times New Roman" w:hAnsi="Times New Roman" w:cs="Times New Roman"/>
          <w:color w:val="000000" w:themeColor="text1"/>
          <w:sz w:val="20"/>
          <w:szCs w:val="20"/>
        </w:rPr>
        <w:t>contratação com prazo máximo de um ano a contar da data da emergência.</w:t>
      </w:r>
    </w:p>
    <w:p w14:paraId="3FFB9C15" w14:textId="61ED6408" w:rsidR="4FA54AA1" w:rsidRPr="0066121D" w:rsidRDefault="20B56D16"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48571567" w14:textId="794882D1" w:rsidR="4FA54AA1" w:rsidRPr="0066121D" w:rsidRDefault="20B56D16"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 xml:space="preserve">Assim, deve ser evidenciada situação que necessita de atendimento urgente em razão do risco de </w:t>
      </w:r>
      <w:r w:rsidRPr="0066121D">
        <w:rPr>
          <w:rFonts w:ascii="Times New Roman" w:eastAsia="Times New Roman" w:hAnsi="Times New Roman" w:cs="Times New Roman"/>
          <w:b/>
          <w:bCs/>
          <w:sz w:val="24"/>
          <w:szCs w:val="24"/>
        </w:rPr>
        <w:t>prejuízo ou comprometimento da continuidade dos serviços públicos ou da segurança de pessoas, obras, serviços, equipamentos e outros bens, públicos ou particulares</w:t>
      </w:r>
      <w:r w:rsidRPr="0066121D">
        <w:rPr>
          <w:rFonts w:ascii="Times New Roman" w:eastAsia="Times New Roman" w:hAnsi="Times New Roman" w:cs="Times New Roman"/>
          <w:sz w:val="24"/>
          <w:szCs w:val="24"/>
        </w:rPr>
        <w:t>. Por outro lado, é imprescindível que se evidencie</w:t>
      </w:r>
      <w:r w:rsidRPr="0066121D">
        <w:rPr>
          <w:rFonts w:ascii="Times New Roman" w:eastAsia="Times New Roman" w:hAnsi="Times New Roman" w:cs="Times New Roman"/>
          <w:i/>
          <w:iCs/>
          <w:sz w:val="24"/>
          <w:szCs w:val="24"/>
        </w:rPr>
        <w:t xml:space="preserve"> </w:t>
      </w:r>
      <w:r w:rsidRPr="0066121D">
        <w:rPr>
          <w:rFonts w:ascii="Times New Roman" w:eastAsia="Times New Roman" w:hAnsi="Times New Roman" w:cs="Times New Roman"/>
          <w:color w:val="000000" w:themeColor="text1"/>
          <w:sz w:val="24"/>
          <w:szCs w:val="24"/>
        </w:rPr>
        <w:t>o nexo causal entre a contratação direta e a eliminação do risco de dano com a efetiva demonstração da relação entre a necessidade a ser atendida e a solução concreta adequada.</w:t>
      </w:r>
      <w:r w:rsidRPr="0066121D">
        <w:rPr>
          <w:rFonts w:ascii="Times New Roman" w:eastAsia="Times New Roman" w:hAnsi="Times New Roman" w:cs="Times New Roman"/>
          <w:sz w:val="24"/>
          <w:szCs w:val="24"/>
        </w:rPr>
        <w:t xml:space="preserve"> </w:t>
      </w:r>
    </w:p>
    <w:p w14:paraId="1BCE6453" w14:textId="61CEF70D" w:rsidR="64C763B2" w:rsidRPr="0066121D" w:rsidRDefault="64C763B2" w:rsidP="64C763B2">
      <w:pPr>
        <w:spacing w:after="0" w:line="240" w:lineRule="auto"/>
        <w:jc w:val="both"/>
        <w:rPr>
          <w:rFonts w:ascii="Times New Roman" w:eastAsia="Times New Roman" w:hAnsi="Times New Roman" w:cs="Times New Roman"/>
          <w:sz w:val="24"/>
          <w:szCs w:val="24"/>
        </w:rPr>
      </w:pPr>
    </w:p>
    <w:p w14:paraId="65EE2FA1" w14:textId="51E8791F" w:rsidR="4A4C20D8" w:rsidRPr="0066121D" w:rsidRDefault="20B56D16"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Sobre a justificativa da contratação, importante reforçar que, no caso de contratação direta baseada na situação emergencial, os serviços devem ser restritos àqueles estritamente necessários para debelar os riscos de danos e o perigo para a continuidade dos serviços públicos. Isto significa que na formulação dos serviços demandados, a Administração deve </w:t>
      </w:r>
      <w:r w:rsidRPr="0066121D">
        <w:rPr>
          <w:rFonts w:ascii="Times New Roman" w:eastAsia="Times New Roman" w:hAnsi="Times New Roman" w:cs="Times New Roman"/>
          <w:color w:val="000000" w:themeColor="text1"/>
          <w:sz w:val="24"/>
          <w:szCs w:val="24"/>
        </w:rPr>
        <w:lastRenderedPageBreak/>
        <w:t>zelar para incluir apenas aqueles que possam ser contratados minimamente antes de futura e efetiva licitação (</w:t>
      </w:r>
      <w:r w:rsidRPr="0066121D">
        <w:rPr>
          <w:rFonts w:ascii="Times New Roman" w:eastAsia="Times New Roman" w:hAnsi="Times New Roman" w:cs="Times New Roman"/>
          <w:b/>
          <w:bCs/>
          <w:i/>
          <w:iCs/>
          <w:color w:val="000000" w:themeColor="text1"/>
          <w:sz w:val="24"/>
          <w:szCs w:val="24"/>
        </w:rPr>
        <w:t>parcela mínima necessária</w:t>
      </w:r>
      <w:r w:rsidRPr="0066121D">
        <w:rPr>
          <w:rFonts w:ascii="Times New Roman" w:eastAsia="Times New Roman" w:hAnsi="Times New Roman" w:cs="Times New Roman"/>
          <w:color w:val="000000" w:themeColor="text1"/>
          <w:sz w:val="24"/>
          <w:szCs w:val="24"/>
        </w:rPr>
        <w:t>), se houver, o que induz à percepção de que, mesmo não sendo ideal, a contratação emergencial é apenas uma opção para que em um eventual processo licitatório haja estudo mais aprofundado para atendimento total da necessidade administrativa. É possível, por isso, que na licitação haja maior incremento dos serviços, se for o caso.</w:t>
      </w:r>
    </w:p>
    <w:p w14:paraId="4DC8E301" w14:textId="2CA629B9"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224B725" w14:textId="17064645" w:rsidR="4FA54AA1" w:rsidRPr="0066121D" w:rsidRDefault="20B56D16"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Para ilustrar esse entendimento, registra o Acórdão TCU nº 943/2011 – Plenário, plenamente aplicável à nova legislação, no sentido de que a dispensa emergencial deve restringir-se “</w:t>
      </w:r>
      <w:r w:rsidRPr="0066121D">
        <w:rPr>
          <w:rFonts w:ascii="Times New Roman" w:eastAsia="Times New Roman" w:hAnsi="Times New Roman" w:cs="Times New Roman"/>
          <w:i/>
          <w:iCs/>
          <w:color w:val="000000" w:themeColor="text1"/>
          <w:sz w:val="24"/>
          <w:szCs w:val="24"/>
        </w:rPr>
        <w:t>somente à parcela mínima necessária para afastar a concretização do dano ou a perda dos serviços executados, devendo a solução definitiva, conforme o caso, ser objeto de licitação formal</w:t>
      </w:r>
      <w:r w:rsidRPr="0066121D">
        <w:rPr>
          <w:rFonts w:ascii="Times New Roman" w:eastAsia="Times New Roman" w:hAnsi="Times New Roman" w:cs="Times New Roman"/>
          <w:color w:val="000000" w:themeColor="text1"/>
          <w:sz w:val="24"/>
          <w:szCs w:val="24"/>
        </w:rPr>
        <w:t xml:space="preserve">”. </w:t>
      </w:r>
    </w:p>
    <w:p w14:paraId="0404F73D" w14:textId="1DDF1E63"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2040BF8E" w14:textId="7F948DA6" w:rsidR="4FA54AA1" w:rsidRPr="0066121D" w:rsidRDefault="20B56D16"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Por oportuno, é importante destacar o artigo 73 da Lei</w:t>
      </w:r>
      <w:r w:rsidR="00367B45">
        <w:rPr>
          <w:rFonts w:ascii="Times New Roman" w:eastAsia="Times New Roman" w:hAnsi="Times New Roman" w:cs="Times New Roman"/>
          <w:sz w:val="24"/>
          <w:szCs w:val="24"/>
        </w:rPr>
        <w:t xml:space="preserve"> n.º</w:t>
      </w:r>
      <w:r w:rsidRPr="0066121D">
        <w:rPr>
          <w:rFonts w:ascii="Times New Roman" w:eastAsia="Times New Roman" w:hAnsi="Times New Roman" w:cs="Times New Roman"/>
          <w:sz w:val="24"/>
          <w:szCs w:val="24"/>
        </w:rPr>
        <w:t xml:space="preserve"> 14.133</w:t>
      </w:r>
      <w:r w:rsidR="6F97CF56"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 que determina que, na hipótese de contratação direta indevida ocorrida com dolo, fraude ou erro grosseiro, o contratado e o agente público responsável responderão solidariamente pelo dano causado ao erário, sem prejuízo de outras sanções legais cabíveis.</w:t>
      </w:r>
      <w:r w:rsidRPr="0066121D">
        <w:rPr>
          <w:rFonts w:ascii="Times New Roman" w:eastAsia="Times New Roman" w:hAnsi="Times New Roman" w:cs="Times New Roman"/>
          <w:color w:val="000000" w:themeColor="text1"/>
          <w:sz w:val="24"/>
          <w:szCs w:val="24"/>
        </w:rPr>
        <w:t xml:space="preserve">  </w:t>
      </w:r>
    </w:p>
    <w:p w14:paraId="6BF7867F" w14:textId="7AE73785"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5592021" w14:textId="678606F7" w:rsidR="4FA54AA1" w:rsidRPr="0066121D" w:rsidRDefault="20B56D16" w:rsidP="64C763B2">
      <w:pPr>
        <w:spacing w:after="0" w:line="240" w:lineRule="auto"/>
        <w:jc w:val="both"/>
        <w:rPr>
          <w:rFonts w:ascii="Times New Roman" w:eastAsia="Times New Roman" w:hAnsi="Times New Roman" w:cs="Times New Roman"/>
          <w:sz w:val="24"/>
          <w:szCs w:val="24"/>
          <w:highlight w:val="cyan"/>
        </w:rPr>
      </w:pPr>
      <w:r w:rsidRPr="0066121D">
        <w:rPr>
          <w:rFonts w:ascii="Times New Roman" w:eastAsia="Times New Roman" w:hAnsi="Times New Roman" w:cs="Times New Roman"/>
          <w:sz w:val="24"/>
          <w:szCs w:val="24"/>
          <w:highlight w:val="cyan"/>
        </w:rPr>
        <w:t xml:space="preserve">No doc. </w:t>
      </w:r>
      <w:r w:rsidRPr="0066121D">
        <w:rPr>
          <w:rFonts w:ascii="Times New Roman" w:eastAsia="Times New Roman" w:hAnsi="Times New Roman" w:cs="Times New Roman"/>
          <w:color w:val="FF0000"/>
          <w:sz w:val="24"/>
          <w:szCs w:val="24"/>
          <w:highlight w:val="cyan"/>
        </w:rPr>
        <w:t>XX</w:t>
      </w:r>
      <w:r w:rsidRPr="0066121D">
        <w:rPr>
          <w:rFonts w:ascii="Times New Roman" w:eastAsia="Times New Roman" w:hAnsi="Times New Roman" w:cs="Times New Roman"/>
          <w:sz w:val="24"/>
          <w:szCs w:val="24"/>
          <w:highlight w:val="cyan"/>
        </w:rPr>
        <w:t xml:space="preserve">, a Administração apresentou as razões para a contratação pretendida, nos termos acima expostos. Registre-se que a responsabilidade pelas justificativas apresentadas é exclusiva do gestor público, não competindo a este consultivo a análise de mérito do ato, em consonância com o Enunciado nº 07 do BPC/AGU. </w:t>
      </w:r>
    </w:p>
    <w:p w14:paraId="09CCC9DD" w14:textId="5D757465" w:rsidR="4FA54AA1" w:rsidRPr="008913BA" w:rsidRDefault="20B56D16" w:rsidP="008913BA">
      <w:pPr>
        <w:spacing w:after="0" w:line="240" w:lineRule="auto"/>
        <w:ind w:firstLine="708"/>
        <w:jc w:val="both"/>
        <w:rPr>
          <w:rFonts w:ascii="Times New Roman" w:eastAsia="Times New Roman" w:hAnsi="Times New Roman" w:cs="Times New Roman"/>
          <w:b/>
          <w:bCs/>
          <w:sz w:val="24"/>
          <w:szCs w:val="24"/>
          <w:highlight w:val="cyan"/>
          <w:u w:val="single"/>
        </w:rPr>
      </w:pPr>
      <w:r w:rsidRPr="008913BA">
        <w:rPr>
          <w:rFonts w:ascii="Times New Roman" w:eastAsia="Times New Roman" w:hAnsi="Times New Roman" w:cs="Times New Roman"/>
          <w:b/>
          <w:bCs/>
          <w:sz w:val="24"/>
          <w:szCs w:val="24"/>
          <w:highlight w:val="cyan"/>
          <w:u w:val="single"/>
        </w:rPr>
        <w:t>OU</w:t>
      </w:r>
    </w:p>
    <w:p w14:paraId="4AFA6AC2" w14:textId="4FBDF995" w:rsidR="4FA54AA1" w:rsidRPr="0066121D" w:rsidRDefault="20B56D16" w:rsidP="00355299">
      <w:pPr>
        <w:spacing w:after="0" w:line="240" w:lineRule="auto"/>
        <w:ind w:firstLine="708"/>
        <w:jc w:val="both"/>
        <w:rPr>
          <w:rFonts w:ascii="Times New Roman" w:eastAsia="Times New Roman" w:hAnsi="Times New Roman" w:cs="Times New Roman"/>
          <w:sz w:val="24"/>
          <w:szCs w:val="24"/>
          <w:highlight w:val="cyan"/>
        </w:rPr>
      </w:pPr>
      <w:r w:rsidRPr="5D8365CD">
        <w:rPr>
          <w:rFonts w:ascii="Times New Roman" w:eastAsia="Times New Roman" w:hAnsi="Times New Roman" w:cs="Times New Roman"/>
          <w:sz w:val="24"/>
          <w:szCs w:val="24"/>
          <w:highlight w:val="cyan"/>
        </w:rPr>
        <w:t xml:space="preserve">Desta forma, observa-se que, embora a Administração tenha apresentado as razões da contratação no </w:t>
      </w:r>
      <w:r w:rsidRPr="5D8365CD">
        <w:rPr>
          <w:rFonts w:ascii="Times New Roman" w:eastAsia="Times New Roman" w:hAnsi="Times New Roman" w:cs="Times New Roman"/>
          <w:color w:val="FF0000"/>
          <w:sz w:val="24"/>
          <w:szCs w:val="24"/>
          <w:highlight w:val="cyan"/>
        </w:rPr>
        <w:t>Termo de Referência/Nota Técnica doc. XXX</w:t>
      </w:r>
      <w:r w:rsidRPr="5D8365CD">
        <w:rPr>
          <w:rFonts w:ascii="Times New Roman" w:eastAsia="Times New Roman" w:hAnsi="Times New Roman" w:cs="Times New Roman"/>
          <w:sz w:val="24"/>
          <w:szCs w:val="24"/>
          <w:highlight w:val="cyan"/>
        </w:rPr>
        <w:t>, os requisitos do artigo 75, VIII</w:t>
      </w:r>
      <w:r w:rsidR="008913BA" w:rsidRPr="5D8365CD">
        <w:rPr>
          <w:rFonts w:ascii="Times New Roman" w:eastAsia="Times New Roman" w:hAnsi="Times New Roman" w:cs="Times New Roman"/>
          <w:sz w:val="24"/>
          <w:szCs w:val="24"/>
          <w:highlight w:val="cyan"/>
        </w:rPr>
        <w:t>,</w:t>
      </w:r>
      <w:r w:rsidR="00B10337" w:rsidRPr="5D8365CD">
        <w:rPr>
          <w:rFonts w:ascii="Times New Roman" w:eastAsia="Times New Roman" w:hAnsi="Times New Roman" w:cs="Times New Roman"/>
          <w:sz w:val="24"/>
          <w:szCs w:val="24"/>
          <w:highlight w:val="cyan"/>
        </w:rPr>
        <w:t xml:space="preserve"> da Lei n.º 14.133, de 2021,</w:t>
      </w:r>
      <w:r w:rsidRPr="5D8365CD">
        <w:rPr>
          <w:rFonts w:ascii="Times New Roman" w:eastAsia="Times New Roman" w:hAnsi="Times New Roman" w:cs="Times New Roman"/>
          <w:sz w:val="24"/>
          <w:szCs w:val="24"/>
          <w:highlight w:val="cyan"/>
        </w:rPr>
        <w:t xml:space="preserve"> não se encontram bem esclarecidos. Neste ponto, recomenda-se que a Administração melhor fundamente i) a situação emergencial ou de calamidade pública, </w:t>
      </w:r>
      <w:proofErr w:type="spellStart"/>
      <w:r w:rsidRPr="5D8365CD">
        <w:rPr>
          <w:rFonts w:ascii="Times New Roman" w:eastAsia="Times New Roman" w:hAnsi="Times New Roman" w:cs="Times New Roman"/>
          <w:sz w:val="24"/>
          <w:szCs w:val="24"/>
          <w:highlight w:val="cyan"/>
        </w:rPr>
        <w:t>ii</w:t>
      </w:r>
      <w:proofErr w:type="spellEnd"/>
      <w:r w:rsidRPr="5D8365CD">
        <w:rPr>
          <w:rFonts w:ascii="Times New Roman" w:eastAsia="Times New Roman" w:hAnsi="Times New Roman" w:cs="Times New Roman"/>
          <w:sz w:val="24"/>
          <w:szCs w:val="24"/>
          <w:highlight w:val="cyan"/>
        </w:rPr>
        <w:t xml:space="preserve">) o risco de prejuízo a </w:t>
      </w:r>
      <w:r w:rsidRPr="5D8365CD">
        <w:rPr>
          <w:rFonts w:ascii="Times New Roman" w:eastAsia="Times New Roman" w:hAnsi="Times New Roman" w:cs="Times New Roman"/>
          <w:b/>
          <w:bCs/>
          <w:sz w:val="24"/>
          <w:szCs w:val="24"/>
          <w:highlight w:val="cyan"/>
        </w:rPr>
        <w:t xml:space="preserve">serviços públicos ou a segurança de pessoas, obras, serviços, equipamentos e outros bens, públicos ou particulares; </w:t>
      </w:r>
      <w:proofErr w:type="spellStart"/>
      <w:r w:rsidRPr="5D8365CD">
        <w:rPr>
          <w:rFonts w:ascii="Times New Roman" w:eastAsia="Times New Roman" w:hAnsi="Times New Roman" w:cs="Times New Roman"/>
          <w:b/>
          <w:bCs/>
          <w:sz w:val="24"/>
          <w:szCs w:val="24"/>
          <w:highlight w:val="cyan"/>
        </w:rPr>
        <w:t>iii</w:t>
      </w:r>
      <w:proofErr w:type="spellEnd"/>
      <w:r w:rsidRPr="5D8365CD">
        <w:rPr>
          <w:rFonts w:ascii="Times New Roman" w:eastAsia="Times New Roman" w:hAnsi="Times New Roman" w:cs="Times New Roman"/>
          <w:b/>
          <w:bCs/>
          <w:sz w:val="24"/>
          <w:szCs w:val="24"/>
          <w:highlight w:val="cyan"/>
        </w:rPr>
        <w:t>) que a contratação direta é o meio adequado e abrange apenas os serviços suficientes para afastar o risco</w:t>
      </w:r>
      <w:r w:rsidRPr="5D8365CD">
        <w:rPr>
          <w:rFonts w:ascii="Times New Roman" w:eastAsia="Times New Roman" w:hAnsi="Times New Roman" w:cs="Times New Roman"/>
          <w:sz w:val="24"/>
          <w:szCs w:val="24"/>
          <w:highlight w:val="cyan"/>
        </w:rPr>
        <w:t xml:space="preserve"> apontado. </w:t>
      </w:r>
    </w:p>
    <w:p w14:paraId="7B1A160B" w14:textId="7DE9101D" w:rsidR="4FA54AA1" w:rsidRPr="00B10337" w:rsidRDefault="00B10337" w:rsidP="00B10337">
      <w:pPr>
        <w:spacing w:after="0" w:line="240" w:lineRule="auto"/>
        <w:ind w:firstLine="708"/>
        <w:jc w:val="both"/>
        <w:rPr>
          <w:rFonts w:ascii="Times New Roman" w:eastAsia="Times New Roman" w:hAnsi="Times New Roman" w:cs="Times New Roman"/>
          <w:b/>
          <w:bCs/>
          <w:sz w:val="24"/>
          <w:szCs w:val="24"/>
          <w:highlight w:val="cyan"/>
          <w:u w:val="single"/>
        </w:rPr>
      </w:pPr>
      <w:r w:rsidRPr="00B10337">
        <w:rPr>
          <w:rFonts w:ascii="Times New Roman" w:eastAsia="Times New Roman" w:hAnsi="Times New Roman" w:cs="Times New Roman"/>
          <w:b/>
          <w:bCs/>
          <w:sz w:val="24"/>
          <w:szCs w:val="24"/>
          <w:highlight w:val="cyan"/>
          <w:u w:val="single"/>
        </w:rPr>
        <w:t>OU</w:t>
      </w:r>
    </w:p>
    <w:p w14:paraId="0F3851DA" w14:textId="711C2630" w:rsidR="4FA54AA1" w:rsidRPr="0066121D" w:rsidRDefault="20B56D16" w:rsidP="00355299">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sz w:val="24"/>
          <w:szCs w:val="24"/>
          <w:highlight w:val="cyan"/>
        </w:rPr>
        <w:t xml:space="preserve">Diante disso, observa-se que a Administração não caracterizou a situação emergencial ou calamitosa, o que é prejudicial à contratação direta com base no inciso VIII do artigo 75 da </w:t>
      </w:r>
      <w:r w:rsidR="2A0F51FD" w:rsidRPr="5D8365CD">
        <w:rPr>
          <w:rFonts w:ascii="Times New Roman" w:eastAsia="Times New Roman" w:hAnsi="Times New Roman" w:cs="Times New Roman"/>
          <w:sz w:val="24"/>
          <w:szCs w:val="24"/>
          <w:highlight w:val="cyan"/>
        </w:rPr>
        <w:t>L</w:t>
      </w:r>
      <w:r w:rsidRPr="5D8365CD">
        <w:rPr>
          <w:rFonts w:ascii="Times New Roman" w:eastAsia="Times New Roman" w:hAnsi="Times New Roman" w:cs="Times New Roman"/>
          <w:sz w:val="24"/>
          <w:szCs w:val="24"/>
          <w:highlight w:val="cyan"/>
        </w:rPr>
        <w:t>ei n.</w:t>
      </w:r>
      <w:r w:rsidR="00B10337" w:rsidRPr="5D8365CD">
        <w:rPr>
          <w:rFonts w:ascii="Times New Roman" w:eastAsia="Times New Roman" w:hAnsi="Times New Roman" w:cs="Times New Roman"/>
          <w:sz w:val="24"/>
          <w:szCs w:val="24"/>
          <w:highlight w:val="cyan"/>
        </w:rPr>
        <w:t>º</w:t>
      </w:r>
      <w:r w:rsidRPr="5D8365CD">
        <w:rPr>
          <w:rFonts w:ascii="Times New Roman" w:eastAsia="Times New Roman" w:hAnsi="Times New Roman" w:cs="Times New Roman"/>
          <w:sz w:val="24"/>
          <w:szCs w:val="24"/>
          <w:highlight w:val="cyan"/>
        </w:rPr>
        <w:t xml:space="preserve"> 14.133</w:t>
      </w:r>
      <w:r w:rsidR="3AF1064C" w:rsidRPr="5D8365CD">
        <w:rPr>
          <w:rFonts w:ascii="Times New Roman" w:eastAsia="Times New Roman" w:hAnsi="Times New Roman" w:cs="Times New Roman"/>
          <w:sz w:val="24"/>
          <w:szCs w:val="24"/>
          <w:highlight w:val="cyan"/>
        </w:rPr>
        <w:t xml:space="preserve">, de </w:t>
      </w:r>
      <w:r w:rsidRPr="5D8365CD">
        <w:rPr>
          <w:rFonts w:ascii="Times New Roman" w:eastAsia="Times New Roman" w:hAnsi="Times New Roman" w:cs="Times New Roman"/>
          <w:sz w:val="24"/>
          <w:szCs w:val="24"/>
          <w:highlight w:val="cyan"/>
        </w:rPr>
        <w:t>2021, não devendo prosseguir esta contratação.</w:t>
      </w:r>
      <w:r w:rsidRPr="5D8365CD">
        <w:rPr>
          <w:rFonts w:ascii="Times New Roman" w:eastAsia="Times New Roman" w:hAnsi="Times New Roman" w:cs="Times New Roman"/>
          <w:sz w:val="24"/>
          <w:szCs w:val="24"/>
        </w:rPr>
        <w:t xml:space="preserve">  </w:t>
      </w:r>
    </w:p>
    <w:p w14:paraId="1BF40345" w14:textId="2E31E30E" w:rsidR="7EEF7630" w:rsidRPr="0066121D" w:rsidRDefault="7EEF7630" w:rsidP="64C763B2">
      <w:pPr>
        <w:spacing w:after="0" w:line="240" w:lineRule="auto"/>
        <w:rPr>
          <w:rFonts w:ascii="Times New Roman" w:eastAsia="Times New Roman" w:hAnsi="Times New Roman" w:cs="Times New Roman"/>
          <w:sz w:val="24"/>
          <w:szCs w:val="24"/>
        </w:rPr>
      </w:pPr>
    </w:p>
    <w:tbl>
      <w:tblPr>
        <w:tblStyle w:val="Tabelacomgrade"/>
        <w:tblW w:w="9128" w:type="dxa"/>
        <w:tblLayout w:type="fixed"/>
        <w:tblLook w:val="06A0" w:firstRow="1" w:lastRow="0" w:firstColumn="1" w:lastColumn="0" w:noHBand="1" w:noVBand="1"/>
      </w:tblPr>
      <w:tblGrid>
        <w:gridCol w:w="9128"/>
      </w:tblGrid>
      <w:tr w:rsidR="527EE590" w:rsidRPr="0066121D" w14:paraId="446D2554" w14:textId="77777777" w:rsidTr="64C763B2">
        <w:trPr>
          <w:trHeight w:val="300"/>
        </w:trPr>
        <w:tc>
          <w:tcPr>
            <w:tcW w:w="9128" w:type="dxa"/>
          </w:tcPr>
          <w:p w14:paraId="1503FB60" w14:textId="42063023" w:rsidR="527EE590" w:rsidRPr="0066121D" w:rsidRDefault="1E0B8977"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O procurador, numa análise crítica, pode definir qual dos aspectos (situação emergencial, risco ou nexo causal) deve ser melhor esclarecido.</w:t>
            </w:r>
          </w:p>
        </w:tc>
      </w:tr>
    </w:tbl>
    <w:p w14:paraId="034301B5" w14:textId="1009AB4D" w:rsidR="527EE590" w:rsidRPr="0066121D" w:rsidRDefault="527EE590" w:rsidP="64C763B2">
      <w:pPr>
        <w:spacing w:after="0" w:line="240" w:lineRule="auto"/>
        <w:rPr>
          <w:rFonts w:ascii="Times New Roman" w:eastAsia="Times New Roman" w:hAnsi="Times New Roman" w:cs="Times New Roman"/>
          <w:sz w:val="24"/>
          <w:szCs w:val="24"/>
        </w:rPr>
      </w:pPr>
    </w:p>
    <w:p w14:paraId="4A7809F6" w14:textId="1F23E54A" w:rsidR="64C763B2" w:rsidRPr="00105D92" w:rsidRDefault="1AAB5472" w:rsidP="64C763B2">
      <w:pPr>
        <w:spacing w:after="0" w:line="240" w:lineRule="auto"/>
        <w:jc w:val="both"/>
        <w:rPr>
          <w:rFonts w:ascii="Times New Roman" w:eastAsia="Times New Roman" w:hAnsi="Times New Roman" w:cs="Times New Roman"/>
          <w:strike/>
          <w:color w:val="FF0000"/>
          <w:sz w:val="24"/>
          <w:szCs w:val="24"/>
        </w:rPr>
      </w:pPr>
      <w:r w:rsidRPr="0066121D">
        <w:rPr>
          <w:rFonts w:ascii="Times New Roman" w:eastAsia="Times New Roman" w:hAnsi="Times New Roman" w:cs="Times New Roman"/>
          <w:color w:val="000000" w:themeColor="text1"/>
          <w:sz w:val="24"/>
          <w:szCs w:val="24"/>
        </w:rPr>
        <w:t>Ao mais, alerta-se que o contrato emergencial</w:t>
      </w:r>
      <w:r w:rsidRPr="0066121D">
        <w:rPr>
          <w:rFonts w:ascii="Times New Roman" w:eastAsia="Times New Roman" w:hAnsi="Times New Roman" w:cs="Times New Roman"/>
          <w:sz w:val="24"/>
          <w:szCs w:val="24"/>
        </w:rPr>
        <w:t xml:space="preserve"> é</w:t>
      </w:r>
      <w:r w:rsidRPr="0066121D">
        <w:rPr>
          <w:rFonts w:ascii="Times New Roman" w:eastAsia="Times New Roman" w:hAnsi="Times New Roman" w:cs="Times New Roman"/>
          <w:color w:val="000000" w:themeColor="text1"/>
          <w:sz w:val="24"/>
          <w:szCs w:val="24"/>
        </w:rPr>
        <w:t xml:space="preserve"> provisório e improrrogável por força da disposição do artigo 75, VIII</w:t>
      </w:r>
      <w:r w:rsidR="007A0B0B">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da </w:t>
      </w:r>
      <w:r w:rsidR="7CB32019" w:rsidRPr="0066121D">
        <w:rPr>
          <w:rFonts w:ascii="Times New Roman" w:eastAsia="Times New Roman" w:hAnsi="Times New Roman" w:cs="Times New Roman"/>
          <w:color w:val="000000" w:themeColor="text1"/>
          <w:sz w:val="24"/>
          <w:szCs w:val="24"/>
        </w:rPr>
        <w:t>L</w:t>
      </w:r>
      <w:r w:rsidRPr="0066121D">
        <w:rPr>
          <w:rFonts w:ascii="Times New Roman" w:eastAsia="Times New Roman" w:hAnsi="Times New Roman" w:cs="Times New Roman"/>
          <w:color w:val="000000" w:themeColor="text1"/>
          <w:sz w:val="24"/>
          <w:szCs w:val="24"/>
        </w:rPr>
        <w:t>ei</w:t>
      </w:r>
      <w:r w:rsidR="5690BCD4" w:rsidRPr="0066121D">
        <w:rPr>
          <w:rFonts w:ascii="Times New Roman" w:eastAsia="Times New Roman" w:hAnsi="Times New Roman" w:cs="Times New Roman"/>
          <w:color w:val="000000" w:themeColor="text1"/>
          <w:sz w:val="24"/>
          <w:szCs w:val="24"/>
        </w:rPr>
        <w:t xml:space="preserve"> n.</w:t>
      </w:r>
      <w:r w:rsidR="007A0B0B">
        <w:rPr>
          <w:rFonts w:ascii="Times New Roman" w:eastAsia="Times New Roman" w:hAnsi="Times New Roman" w:cs="Times New Roman"/>
          <w:color w:val="000000" w:themeColor="text1"/>
          <w:sz w:val="24"/>
          <w:szCs w:val="24"/>
        </w:rPr>
        <w:t>º</w:t>
      </w:r>
      <w:r w:rsidRPr="0066121D">
        <w:rPr>
          <w:rFonts w:ascii="Times New Roman" w:eastAsia="Times New Roman" w:hAnsi="Times New Roman" w:cs="Times New Roman"/>
          <w:color w:val="000000" w:themeColor="text1"/>
          <w:sz w:val="24"/>
          <w:szCs w:val="24"/>
        </w:rPr>
        <w:t xml:space="preserve"> 14.133</w:t>
      </w:r>
      <w:r w:rsidR="7A38042B"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 xml:space="preserve">2021, devendo ter o prazo máximo de até 1 (um) ano a contar data da emergência, ou seja, deve ser restrito ao prazo mínimo necessário para atendimento da situação de emergência, ou até que se conclua eventual licitação para o mesmo objeto. </w:t>
      </w:r>
      <w:r w:rsidRPr="0066121D">
        <w:rPr>
          <w:rFonts w:ascii="Times New Roman" w:eastAsia="Times New Roman" w:hAnsi="Times New Roman" w:cs="Times New Roman"/>
          <w:sz w:val="24"/>
          <w:szCs w:val="24"/>
        </w:rPr>
        <w:t xml:space="preserve"> Dessa forma, inobstante se possa arguir seja possível contratar em prazo menor e prorrogar até o limite de um ano, recomenda-se, por cautela, face a redação literal, que o contrato seja firmado pelo prazo certo e estimado, considerando a inviabilidade de prorrogação</w:t>
      </w:r>
      <w:r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sz w:val="24"/>
          <w:szCs w:val="24"/>
        </w:rPr>
        <w:t xml:space="preserve"> </w:t>
      </w:r>
    </w:p>
    <w:p w14:paraId="1062E765" w14:textId="1CE9CF44" w:rsidR="7952FAC1" w:rsidRPr="0066121D" w:rsidRDefault="1AAB5472"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No caso concreto, a Administração indicou que a data da ocorrência da emergência, com contratação prevista de </w:t>
      </w:r>
      <w:r w:rsidRPr="00F05035">
        <w:rPr>
          <w:rFonts w:ascii="Times New Roman" w:eastAsia="Times New Roman" w:hAnsi="Times New Roman" w:cs="Times New Roman"/>
          <w:color w:val="FF0000"/>
          <w:sz w:val="24"/>
          <w:szCs w:val="24"/>
          <w:highlight w:val="cyan"/>
        </w:rPr>
        <w:t>XXX</w:t>
      </w:r>
      <w:r w:rsidRPr="0066121D">
        <w:rPr>
          <w:rFonts w:ascii="Times New Roman" w:eastAsia="Times New Roman" w:hAnsi="Times New Roman" w:cs="Times New Roman"/>
          <w:color w:val="000000" w:themeColor="text1"/>
          <w:sz w:val="24"/>
          <w:szCs w:val="24"/>
          <w:highlight w:val="cyan"/>
        </w:rPr>
        <w:t xml:space="preserve"> dias/meses, atendendo o prazo limite da lei. </w:t>
      </w:r>
    </w:p>
    <w:p w14:paraId="4073439B" w14:textId="3AAA1B80" w:rsidR="7952FAC1" w:rsidRPr="00F05035" w:rsidRDefault="00F05035" w:rsidP="00F05035">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F05035">
        <w:rPr>
          <w:rFonts w:ascii="Times New Roman" w:eastAsia="Times New Roman" w:hAnsi="Times New Roman" w:cs="Times New Roman"/>
          <w:b/>
          <w:bCs/>
          <w:color w:val="000000" w:themeColor="text1"/>
          <w:sz w:val="24"/>
          <w:szCs w:val="24"/>
          <w:highlight w:val="cyan"/>
          <w:u w:val="single"/>
        </w:rPr>
        <w:t>OU</w:t>
      </w:r>
    </w:p>
    <w:p w14:paraId="05466199" w14:textId="77F3E226" w:rsidR="7952FAC1" w:rsidRPr="0066121D" w:rsidRDefault="1AAB5472" w:rsidP="00355299">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lastRenderedPageBreak/>
        <w:t xml:space="preserve">Ainda, a Administração não especificou a data da emergência, sendo necessário confirmar que o prazo final da contratação se encontra dentro do limite de um ano da sua ocorrência. </w:t>
      </w:r>
    </w:p>
    <w:p w14:paraId="1D66CB9C" w14:textId="77777777" w:rsidR="00F05035" w:rsidRPr="00F05035" w:rsidRDefault="00F05035" w:rsidP="00F05035">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F05035">
        <w:rPr>
          <w:rFonts w:ascii="Times New Roman" w:eastAsia="Times New Roman" w:hAnsi="Times New Roman" w:cs="Times New Roman"/>
          <w:b/>
          <w:bCs/>
          <w:color w:val="000000" w:themeColor="text1"/>
          <w:sz w:val="24"/>
          <w:szCs w:val="24"/>
          <w:highlight w:val="cyan"/>
          <w:u w:val="single"/>
        </w:rPr>
        <w:t>OU</w:t>
      </w:r>
    </w:p>
    <w:p w14:paraId="2F74DBDA" w14:textId="2D43340C" w:rsidR="7952FAC1" w:rsidRPr="0066121D" w:rsidRDefault="1AAB5472" w:rsidP="00355299">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Ainda, verifica-se que o prazo da contratação ultrapassa ao prazo de um ano da contratação, sendo necessário adequá-lo ao limite previsto na lei.</w:t>
      </w:r>
    </w:p>
    <w:p w14:paraId="363A684D" w14:textId="7CE5F27D" w:rsidR="00934FDC" w:rsidRPr="0066121D" w:rsidRDefault="1AAB5472" w:rsidP="64C763B2">
      <w:pPr>
        <w:spacing w:after="0" w:line="240" w:lineRule="auto"/>
        <w:ind w:firstLine="1418"/>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 xml:space="preserve"> </w:t>
      </w:r>
      <w:r w:rsidR="20B56D16" w:rsidRPr="0066121D">
        <w:rPr>
          <w:rFonts w:ascii="Times New Roman" w:eastAsia="Times New Roman" w:hAnsi="Times New Roman" w:cs="Times New Roman"/>
          <w:sz w:val="24"/>
          <w:szCs w:val="24"/>
        </w:rPr>
        <w:t xml:space="preserve"> </w:t>
      </w:r>
    </w:p>
    <w:p w14:paraId="5C57142F" w14:textId="32FFF46E" w:rsidR="00934FDC" w:rsidRPr="0066121D" w:rsidRDefault="316E28CA"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D</w:t>
      </w:r>
      <w:r w:rsidR="249408DA" w:rsidRPr="0066121D">
        <w:rPr>
          <w:rFonts w:ascii="Times New Roman" w:eastAsia="Times New Roman" w:hAnsi="Times New Roman" w:cs="Times New Roman"/>
          <w:b/>
          <w:bCs/>
          <w:sz w:val="24"/>
          <w:szCs w:val="24"/>
        </w:rPr>
        <w:t>a razão da escolha do contratado</w:t>
      </w:r>
      <w:r w:rsidRPr="0066121D">
        <w:rPr>
          <w:rFonts w:ascii="Times New Roman" w:eastAsia="Times New Roman" w:hAnsi="Times New Roman" w:cs="Times New Roman"/>
          <w:b/>
          <w:bCs/>
          <w:sz w:val="24"/>
          <w:szCs w:val="24"/>
        </w:rPr>
        <w:t xml:space="preserve"> </w:t>
      </w:r>
    </w:p>
    <w:p w14:paraId="09367B85" w14:textId="02B4BBE3" w:rsidR="00934FDC" w:rsidRPr="0066121D" w:rsidRDefault="316E28CA"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C9463D0" w14:textId="21F840A9" w:rsidR="28E573F4" w:rsidRDefault="28E573F4" w:rsidP="64C763B2">
      <w:pPr>
        <w:spacing w:after="0" w:line="240" w:lineRule="auto"/>
        <w:jc w:val="both"/>
        <w:rPr>
          <w:rStyle w:val="Hyperlink"/>
          <w:rFonts w:ascii="Times New Roman" w:eastAsia="Times New Roman" w:hAnsi="Times New Roman" w:cs="Times New Roman"/>
          <w:sz w:val="24"/>
          <w:szCs w:val="24"/>
          <w:u w:val="none"/>
        </w:rPr>
      </w:pPr>
      <w:r w:rsidRPr="0066121D">
        <w:rPr>
          <w:rFonts w:ascii="Times New Roman" w:eastAsia="Times New Roman" w:hAnsi="Times New Roman" w:cs="Times New Roman"/>
          <w:sz w:val="24"/>
          <w:szCs w:val="24"/>
        </w:rPr>
        <w:t xml:space="preserve">Quanto à razão da escolha do contratado,  alerta-se para a utilização do uso do sistema de dispensa eletrônica conforme previsto no artigo 4º, </w:t>
      </w:r>
      <w:r w:rsidR="0021019A">
        <w:rPr>
          <w:rFonts w:ascii="Times New Roman" w:eastAsia="Times New Roman" w:hAnsi="Times New Roman" w:cs="Times New Roman"/>
          <w:sz w:val="24"/>
          <w:szCs w:val="24"/>
        </w:rPr>
        <w:t>III</w:t>
      </w:r>
      <w:r w:rsidRPr="0066121D">
        <w:rPr>
          <w:rFonts w:ascii="Times New Roman" w:eastAsia="Times New Roman" w:hAnsi="Times New Roman" w:cs="Times New Roman"/>
          <w:sz w:val="24"/>
          <w:szCs w:val="24"/>
        </w:rPr>
        <w:t xml:space="preserve">,  da </w:t>
      </w:r>
      <w:hyperlink r:id="rId35">
        <w:r w:rsidRPr="0066121D">
          <w:rPr>
            <w:rStyle w:val="Hyperlink"/>
            <w:rFonts w:ascii="Times New Roman" w:eastAsia="Times New Roman" w:hAnsi="Times New Roman" w:cs="Times New Roman"/>
            <w:sz w:val="24"/>
            <w:szCs w:val="24"/>
            <w:u w:val="none"/>
          </w:rPr>
          <w:t>Instrução Normativa SEGES/ME nº 67, de 8 de julho de 2021.</w:t>
        </w:r>
      </w:hyperlink>
    </w:p>
    <w:p w14:paraId="2DA15A91" w14:textId="77777777" w:rsidR="00C934E6" w:rsidRPr="0066121D" w:rsidRDefault="00C934E6" w:rsidP="64C763B2">
      <w:pPr>
        <w:spacing w:after="0" w:line="240" w:lineRule="auto"/>
        <w:jc w:val="both"/>
        <w:rPr>
          <w:rFonts w:ascii="Times New Roman" w:eastAsia="Times New Roman" w:hAnsi="Times New Roman" w:cs="Times New Roman"/>
          <w:sz w:val="24"/>
          <w:szCs w:val="24"/>
        </w:rPr>
      </w:pPr>
    </w:p>
    <w:p w14:paraId="14419DD8" w14:textId="4BD54C90" w:rsidR="28E573F4" w:rsidRPr="0066121D" w:rsidRDefault="28E573F4"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Desse modo, embora o §3º do artigo 75 da Lei </w:t>
      </w:r>
      <w:r w:rsidR="19BEDA2F" w:rsidRPr="0066121D">
        <w:rPr>
          <w:rFonts w:ascii="Times New Roman" w:eastAsia="Times New Roman" w:hAnsi="Times New Roman" w:cs="Times New Roman"/>
          <w:sz w:val="24"/>
          <w:szCs w:val="24"/>
        </w:rPr>
        <w:t>n.</w:t>
      </w:r>
      <w:r w:rsidR="0021019A">
        <w:rPr>
          <w:rFonts w:ascii="Times New Roman" w:eastAsia="Times New Roman" w:hAnsi="Times New Roman" w:cs="Times New Roman"/>
          <w:sz w:val="24"/>
          <w:szCs w:val="24"/>
        </w:rPr>
        <w:t>º</w:t>
      </w:r>
      <w:r w:rsidR="19BEDA2F"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sz w:val="24"/>
          <w:szCs w:val="24"/>
        </w:rPr>
        <w:t>14.133</w:t>
      </w:r>
      <w:r w:rsidR="3CBEE307"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w:t>
      </w:r>
      <w:r w:rsidR="7D4494CC" w:rsidRPr="0066121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estabeleça a obrigatoriedade de utilização do sistema de dispensa eletrônica apenas para contratações diretas de pequeno valor, em relação às demais hipóteses de dispensa de licitação estabelecidas no inciso III e seguintes do mesmo artigo, determina a IN SEGES/ME n.º 67</w:t>
      </w:r>
      <w:r w:rsidR="4C2E2F0E" w:rsidRPr="0066121D">
        <w:rPr>
          <w:rFonts w:ascii="Times New Roman" w:eastAsia="Times New Roman" w:hAnsi="Times New Roman" w:cs="Times New Roman"/>
          <w:sz w:val="24"/>
          <w:szCs w:val="24"/>
        </w:rPr>
        <w:t xml:space="preserve">, de </w:t>
      </w:r>
      <w:r w:rsidRPr="0066121D">
        <w:rPr>
          <w:rFonts w:ascii="Times New Roman" w:eastAsia="Times New Roman" w:hAnsi="Times New Roman" w:cs="Times New Roman"/>
          <w:sz w:val="24"/>
          <w:szCs w:val="24"/>
        </w:rPr>
        <w:t>2021</w:t>
      </w:r>
      <w:r w:rsidR="36DC7EC5" w:rsidRPr="0066121D">
        <w:rPr>
          <w:rFonts w:ascii="Times New Roman" w:eastAsia="Times New Roman" w:hAnsi="Times New Roman" w:cs="Times New Roman"/>
          <w:sz w:val="24"/>
          <w:szCs w:val="24"/>
        </w:rPr>
        <w:t>,</w:t>
      </w:r>
      <w:r w:rsidRPr="0066121D">
        <w:rPr>
          <w:rFonts w:ascii="Times New Roman" w:eastAsia="Times New Roman" w:hAnsi="Times New Roman" w:cs="Times New Roman"/>
          <w:sz w:val="24"/>
          <w:szCs w:val="24"/>
        </w:rPr>
        <w:t xml:space="preserve"> que o procedimento será adotado “quando cabível”, de forma que a área competente deverá avaliar a pertinência do uso da tal ferramenta considerando a sua demanda.</w:t>
      </w:r>
    </w:p>
    <w:p w14:paraId="2E9742AA" w14:textId="633D0144" w:rsidR="64C763B2" w:rsidRPr="0066121D" w:rsidRDefault="64C763B2" w:rsidP="64C763B2">
      <w:pPr>
        <w:spacing w:after="0" w:line="240" w:lineRule="auto"/>
        <w:jc w:val="both"/>
        <w:rPr>
          <w:rFonts w:ascii="Times New Roman" w:eastAsia="Times New Roman" w:hAnsi="Times New Roman" w:cs="Times New Roman"/>
          <w:sz w:val="24"/>
          <w:szCs w:val="24"/>
        </w:rPr>
      </w:pPr>
    </w:p>
    <w:p w14:paraId="6BC9359E" w14:textId="21C211F4" w:rsidR="00934FDC" w:rsidRPr="0066121D" w:rsidRDefault="316E28CA"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Por este motivo, recomenda-se, dentro do possível, ampliar o número de consulta</w:t>
      </w:r>
      <w:r w:rsidR="228FE20F" w:rsidRPr="0066121D">
        <w:rPr>
          <w:rFonts w:ascii="Times New Roman" w:eastAsia="Times New Roman" w:hAnsi="Times New Roman" w:cs="Times New Roman"/>
          <w:sz w:val="24"/>
          <w:szCs w:val="24"/>
        </w:rPr>
        <w:t>s</w:t>
      </w:r>
      <w:r w:rsidRPr="0066121D">
        <w:rPr>
          <w:rFonts w:ascii="Times New Roman" w:eastAsia="Times New Roman" w:hAnsi="Times New Roman" w:cs="Times New Roman"/>
          <w:sz w:val="24"/>
          <w:szCs w:val="24"/>
        </w:rPr>
        <w:t xml:space="preserve"> </w:t>
      </w:r>
      <w:r w:rsidR="0810C912" w:rsidRPr="0066121D">
        <w:rPr>
          <w:rFonts w:ascii="Times New Roman" w:eastAsia="Times New Roman" w:hAnsi="Times New Roman" w:cs="Times New Roman"/>
          <w:sz w:val="24"/>
          <w:szCs w:val="24"/>
        </w:rPr>
        <w:t xml:space="preserve">para apresentação </w:t>
      </w:r>
      <w:r w:rsidRPr="0066121D">
        <w:rPr>
          <w:rFonts w:ascii="Times New Roman" w:eastAsia="Times New Roman" w:hAnsi="Times New Roman" w:cs="Times New Roman"/>
          <w:sz w:val="24"/>
          <w:szCs w:val="24"/>
        </w:rPr>
        <w:t>de propostas mais vantajosas para a Administração.</w:t>
      </w:r>
    </w:p>
    <w:p w14:paraId="39F4B98E" w14:textId="0357955D" w:rsidR="64C763B2" w:rsidRPr="0066121D" w:rsidRDefault="64C763B2" w:rsidP="64C763B2">
      <w:pPr>
        <w:spacing w:after="0" w:line="240" w:lineRule="auto"/>
        <w:jc w:val="both"/>
        <w:rPr>
          <w:rFonts w:ascii="Times New Roman" w:eastAsia="Times New Roman" w:hAnsi="Times New Roman" w:cs="Times New Roman"/>
          <w:sz w:val="24"/>
          <w:szCs w:val="24"/>
        </w:rPr>
      </w:pPr>
    </w:p>
    <w:p w14:paraId="1A1A43EA" w14:textId="5611B9D5" w:rsidR="652D6779" w:rsidRPr="0066121D" w:rsidRDefault="7A1C0A93"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Destaca que a</w:t>
      </w:r>
      <w:r w:rsidR="13B4E888" w:rsidRPr="0066121D">
        <w:rPr>
          <w:rFonts w:ascii="Times New Roman" w:eastAsia="Times New Roman" w:hAnsi="Times New Roman" w:cs="Times New Roman"/>
          <w:sz w:val="24"/>
          <w:szCs w:val="24"/>
        </w:rPr>
        <w:t xml:space="preserve"> preterição, em dispensa de licitação, da ordem de classificação das empresas que apresentam cotações de produtos viola os princípios da isonomia e da legalidade (Acórdão n.</w:t>
      </w:r>
      <w:r w:rsidR="0021019A">
        <w:rPr>
          <w:rFonts w:ascii="Times New Roman" w:eastAsia="Times New Roman" w:hAnsi="Times New Roman" w:cs="Times New Roman"/>
          <w:sz w:val="24"/>
          <w:szCs w:val="24"/>
        </w:rPr>
        <w:t>º</w:t>
      </w:r>
      <w:r w:rsidR="13B4E888" w:rsidRPr="0066121D">
        <w:rPr>
          <w:rFonts w:ascii="Times New Roman" w:eastAsia="Times New Roman" w:hAnsi="Times New Roman" w:cs="Times New Roman"/>
          <w:sz w:val="24"/>
          <w:szCs w:val="24"/>
        </w:rPr>
        <w:t xml:space="preserve"> 445/2022, Segunda Câmara do TCU, Representação, Relator Ministro Aroldo Cedraz</w:t>
      </w:r>
      <w:r w:rsidR="739E2BEB" w:rsidRPr="0066121D">
        <w:rPr>
          <w:rFonts w:ascii="Times New Roman" w:eastAsia="Times New Roman" w:hAnsi="Times New Roman" w:cs="Times New Roman"/>
          <w:sz w:val="24"/>
          <w:szCs w:val="24"/>
        </w:rPr>
        <w:t>,</w:t>
      </w:r>
      <w:r w:rsidR="13B4E888" w:rsidRPr="0066121D">
        <w:rPr>
          <w:rFonts w:ascii="Times New Roman" w:eastAsia="Times New Roman" w:hAnsi="Times New Roman" w:cs="Times New Roman"/>
          <w:sz w:val="24"/>
          <w:szCs w:val="24"/>
        </w:rPr>
        <w:t xml:space="preserve"> Boletim de Jurisprudência n. 389.)</w:t>
      </w:r>
    </w:p>
    <w:p w14:paraId="0D2B69C0" w14:textId="3798AED5" w:rsidR="64C763B2" w:rsidRPr="0066121D" w:rsidRDefault="64C763B2" w:rsidP="64C763B2">
      <w:pPr>
        <w:spacing w:after="0" w:line="240" w:lineRule="auto"/>
        <w:jc w:val="both"/>
        <w:rPr>
          <w:rFonts w:ascii="Times New Roman" w:eastAsia="Times New Roman" w:hAnsi="Times New Roman" w:cs="Times New Roman"/>
          <w:b/>
          <w:bCs/>
          <w:sz w:val="24"/>
          <w:szCs w:val="24"/>
        </w:rPr>
      </w:pPr>
    </w:p>
    <w:p w14:paraId="058CDD5F" w14:textId="235AEDB6" w:rsidR="00934FDC" w:rsidRPr="0066121D" w:rsidRDefault="316E28CA"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b/>
          <w:bCs/>
          <w:sz w:val="24"/>
          <w:szCs w:val="24"/>
        </w:rPr>
        <w:t>Por fim, ao fazer a opção por um fornecedor ou executante, há que se atentar para a vedação expressa de recontratação de empresa já contratada com base na disposição do inciso VIII do artigo 75 da Lei</w:t>
      </w:r>
      <w:r w:rsidR="52AADA18" w:rsidRPr="0066121D">
        <w:rPr>
          <w:rFonts w:ascii="Times New Roman" w:eastAsia="Times New Roman" w:hAnsi="Times New Roman" w:cs="Times New Roman"/>
          <w:b/>
          <w:bCs/>
          <w:sz w:val="24"/>
          <w:szCs w:val="24"/>
        </w:rPr>
        <w:t xml:space="preserve"> n</w:t>
      </w:r>
      <w:r w:rsidR="00E51D76">
        <w:rPr>
          <w:rFonts w:ascii="Times New Roman" w:eastAsia="Times New Roman" w:hAnsi="Times New Roman" w:cs="Times New Roman"/>
          <w:b/>
          <w:bCs/>
          <w:sz w:val="24"/>
          <w:szCs w:val="24"/>
        </w:rPr>
        <w:t>.º</w:t>
      </w:r>
      <w:r w:rsidRPr="0066121D">
        <w:rPr>
          <w:rFonts w:ascii="Times New Roman" w:eastAsia="Times New Roman" w:hAnsi="Times New Roman" w:cs="Times New Roman"/>
          <w:b/>
          <w:bCs/>
          <w:sz w:val="24"/>
          <w:szCs w:val="24"/>
        </w:rPr>
        <w:t xml:space="preserve"> 14.133</w:t>
      </w:r>
      <w:r w:rsidR="23E98EA1" w:rsidRPr="0066121D">
        <w:rPr>
          <w:rFonts w:ascii="Times New Roman" w:eastAsia="Times New Roman" w:hAnsi="Times New Roman" w:cs="Times New Roman"/>
          <w:b/>
          <w:bCs/>
          <w:sz w:val="24"/>
          <w:szCs w:val="24"/>
        </w:rPr>
        <w:t xml:space="preserve">, de </w:t>
      </w:r>
      <w:r w:rsidRPr="0066121D">
        <w:rPr>
          <w:rFonts w:ascii="Times New Roman" w:eastAsia="Times New Roman" w:hAnsi="Times New Roman" w:cs="Times New Roman"/>
          <w:b/>
          <w:bCs/>
          <w:sz w:val="24"/>
          <w:szCs w:val="24"/>
        </w:rPr>
        <w:t>2021</w:t>
      </w:r>
      <w:r w:rsidRPr="0066121D">
        <w:rPr>
          <w:rFonts w:ascii="Times New Roman" w:eastAsia="Times New Roman" w:hAnsi="Times New Roman" w:cs="Times New Roman"/>
          <w:sz w:val="24"/>
          <w:szCs w:val="24"/>
        </w:rPr>
        <w:t xml:space="preserve">.  </w:t>
      </w:r>
    </w:p>
    <w:p w14:paraId="70C454D7" w14:textId="1CE56F44" w:rsidR="64C763B2" w:rsidRPr="0066121D" w:rsidRDefault="64C763B2" w:rsidP="64C763B2">
      <w:pPr>
        <w:spacing w:after="0" w:line="240" w:lineRule="auto"/>
        <w:jc w:val="both"/>
        <w:rPr>
          <w:rFonts w:ascii="Times New Roman" w:eastAsia="Times New Roman" w:hAnsi="Times New Roman" w:cs="Times New Roman"/>
          <w:sz w:val="24"/>
          <w:szCs w:val="24"/>
        </w:rPr>
      </w:pPr>
    </w:p>
    <w:p w14:paraId="045DAEDB" w14:textId="767A5D32" w:rsidR="00934FDC" w:rsidRPr="0066121D" w:rsidRDefault="316E28CA"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Diante disso, verifica-se que a Administração optou pelo sistema de Dispensa Eletrônica previsto na IN SEGES/ME n.º 67</w:t>
      </w:r>
      <w:r w:rsidR="2EE88E54"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2021.</w:t>
      </w:r>
    </w:p>
    <w:p w14:paraId="1D91F49E" w14:textId="0BB27082" w:rsidR="00934FDC" w:rsidRPr="00E51D76" w:rsidRDefault="316E28CA" w:rsidP="00E51D76">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51D76">
        <w:rPr>
          <w:rFonts w:ascii="Times New Roman" w:eastAsia="Times New Roman" w:hAnsi="Times New Roman" w:cs="Times New Roman"/>
          <w:b/>
          <w:bCs/>
          <w:color w:val="000000" w:themeColor="text1"/>
          <w:sz w:val="24"/>
          <w:szCs w:val="24"/>
          <w:highlight w:val="cyan"/>
          <w:u w:val="single"/>
        </w:rPr>
        <w:t>OU</w:t>
      </w:r>
    </w:p>
    <w:p w14:paraId="37DC0878" w14:textId="53686C06" w:rsidR="00934FDC" w:rsidRPr="0066121D" w:rsidRDefault="316E28CA" w:rsidP="00355299">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Diante disso, verifica-se que a Administração não utilizou o sistema de Dispensa Eletrônica previsto na IN SEGES/ME n.º 67</w:t>
      </w:r>
      <w:r w:rsidR="07CCEF8B"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2021, e esclarece</w:t>
      </w:r>
      <w:r w:rsidR="7D9BA152" w:rsidRPr="5D8365CD">
        <w:rPr>
          <w:rFonts w:ascii="Times New Roman" w:eastAsia="Times New Roman" w:hAnsi="Times New Roman" w:cs="Times New Roman"/>
          <w:color w:val="000000" w:themeColor="text1"/>
          <w:sz w:val="24"/>
          <w:szCs w:val="24"/>
          <w:highlight w:val="cyan"/>
        </w:rPr>
        <w:t>u</w:t>
      </w:r>
      <w:r w:rsidRPr="5D8365CD">
        <w:rPr>
          <w:rFonts w:ascii="Times New Roman" w:eastAsia="Times New Roman" w:hAnsi="Times New Roman" w:cs="Times New Roman"/>
          <w:color w:val="000000" w:themeColor="text1"/>
          <w:sz w:val="24"/>
          <w:szCs w:val="24"/>
          <w:highlight w:val="cyan"/>
        </w:rPr>
        <w:t xml:space="preserve"> as razões da escolha do </w:t>
      </w:r>
      <w:r w:rsidR="69C1D846" w:rsidRPr="5D8365CD">
        <w:rPr>
          <w:rFonts w:ascii="Times New Roman" w:eastAsia="Times New Roman" w:hAnsi="Times New Roman" w:cs="Times New Roman"/>
          <w:color w:val="000000" w:themeColor="text1"/>
          <w:sz w:val="24"/>
          <w:szCs w:val="24"/>
          <w:highlight w:val="cyan"/>
        </w:rPr>
        <w:t>contratado</w:t>
      </w:r>
      <w:r w:rsidRPr="5D8365CD">
        <w:rPr>
          <w:rFonts w:ascii="Times New Roman" w:eastAsia="Times New Roman" w:hAnsi="Times New Roman" w:cs="Times New Roman"/>
          <w:color w:val="000000" w:themeColor="text1"/>
          <w:sz w:val="24"/>
          <w:szCs w:val="24"/>
          <w:highlight w:val="cyan"/>
        </w:rPr>
        <w:t xml:space="preserve"> conforme </w:t>
      </w:r>
      <w:r w:rsidRPr="5D8365CD">
        <w:rPr>
          <w:rFonts w:ascii="Times New Roman" w:eastAsia="Times New Roman" w:hAnsi="Times New Roman" w:cs="Times New Roman"/>
          <w:color w:val="FF0000"/>
          <w:sz w:val="24"/>
          <w:szCs w:val="24"/>
          <w:highlight w:val="cyan"/>
        </w:rPr>
        <w:t>doc. XXX/</w:t>
      </w:r>
      <w:r w:rsidR="2D3B80A2" w:rsidRPr="5D8365CD">
        <w:rPr>
          <w:rFonts w:ascii="Times New Roman" w:eastAsia="Times New Roman" w:hAnsi="Times New Roman" w:cs="Times New Roman"/>
          <w:color w:val="FF0000"/>
          <w:sz w:val="24"/>
          <w:szCs w:val="24"/>
          <w:highlight w:val="cyan"/>
        </w:rPr>
        <w:t>f</w:t>
      </w:r>
      <w:r w:rsidRPr="5D8365CD">
        <w:rPr>
          <w:rFonts w:ascii="Times New Roman" w:eastAsia="Times New Roman" w:hAnsi="Times New Roman" w:cs="Times New Roman"/>
          <w:color w:val="FF0000"/>
          <w:sz w:val="24"/>
          <w:szCs w:val="24"/>
          <w:highlight w:val="cyan"/>
        </w:rPr>
        <w:t>ls. XXX</w:t>
      </w:r>
      <w:r w:rsidRPr="5D8365CD">
        <w:rPr>
          <w:rFonts w:ascii="Times New Roman" w:eastAsia="Times New Roman" w:hAnsi="Times New Roman" w:cs="Times New Roman"/>
          <w:color w:val="000000" w:themeColor="text1"/>
          <w:sz w:val="24"/>
          <w:szCs w:val="24"/>
          <w:highlight w:val="cyan"/>
        </w:rPr>
        <w:t>.</w:t>
      </w:r>
    </w:p>
    <w:p w14:paraId="2B15696B" w14:textId="77777777" w:rsidR="00E51D76" w:rsidRPr="00E51D76" w:rsidRDefault="00E51D76" w:rsidP="00E51D76">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E51D76">
        <w:rPr>
          <w:rFonts w:ascii="Times New Roman" w:eastAsia="Times New Roman" w:hAnsi="Times New Roman" w:cs="Times New Roman"/>
          <w:b/>
          <w:bCs/>
          <w:color w:val="000000" w:themeColor="text1"/>
          <w:sz w:val="24"/>
          <w:szCs w:val="24"/>
          <w:highlight w:val="cyan"/>
          <w:u w:val="single"/>
        </w:rPr>
        <w:t>OU</w:t>
      </w:r>
    </w:p>
    <w:p w14:paraId="1194B5AE" w14:textId="662DFFBA" w:rsidR="00934FDC" w:rsidRPr="0066121D" w:rsidRDefault="316E28CA" w:rsidP="00355299">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Diante disso, verifica-se que a Administração não utilizou o sistema de Dispensa Eletrônica previsto na IN SEGES/ME n.º 67</w:t>
      </w:r>
      <w:r w:rsidR="31585EB2"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2021, bem como não esclareceu as razões da escolha do fornecedor. Recomenda-se melhor justificar os critérios de escolha da empresa a ser contratada</w:t>
      </w:r>
      <w:r w:rsidRPr="5D8365CD">
        <w:rPr>
          <w:rFonts w:ascii="Times New Roman" w:eastAsia="Times New Roman" w:hAnsi="Times New Roman" w:cs="Times New Roman"/>
          <w:color w:val="000000" w:themeColor="text1"/>
          <w:sz w:val="24"/>
          <w:szCs w:val="24"/>
        </w:rPr>
        <w:t xml:space="preserve">. </w:t>
      </w:r>
    </w:p>
    <w:p w14:paraId="7AA99130" w14:textId="4ED9D63E" w:rsidR="00105D92" w:rsidRDefault="316E28CA" w:rsidP="64C763B2">
      <w:pPr>
        <w:spacing w:after="0" w:line="240" w:lineRule="auto"/>
        <w:rPr>
          <w:rFonts w:ascii="Times New Roman" w:eastAsia="Times New Roman" w:hAnsi="Times New Roman" w:cs="Times New Roman"/>
          <w:b/>
          <w:bCs/>
          <w:color w:val="000000" w:themeColor="text1"/>
          <w:sz w:val="24"/>
          <w:szCs w:val="24"/>
        </w:rPr>
      </w:pPr>
      <w:r w:rsidRPr="0066121D">
        <w:rPr>
          <w:rFonts w:ascii="Times New Roman" w:eastAsia="Times New Roman" w:hAnsi="Times New Roman" w:cs="Times New Roman"/>
          <w:sz w:val="24"/>
          <w:szCs w:val="24"/>
        </w:rPr>
        <w:t xml:space="preserve"> </w:t>
      </w:r>
      <w:r w:rsidR="51650439" w:rsidRPr="0066121D">
        <w:rPr>
          <w:rFonts w:ascii="Times New Roman" w:eastAsia="Times New Roman" w:hAnsi="Times New Roman" w:cs="Times New Roman"/>
          <w:b/>
          <w:bCs/>
          <w:color w:val="000000" w:themeColor="text1"/>
          <w:sz w:val="24"/>
          <w:szCs w:val="24"/>
        </w:rPr>
        <w:t xml:space="preserve">  </w:t>
      </w:r>
    </w:p>
    <w:p w14:paraId="47D6FEEE" w14:textId="08DBFDF0" w:rsidR="00934FDC" w:rsidRPr="0066121D" w:rsidRDefault="317291C0"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b/>
          <w:bCs/>
          <w:color w:val="000000" w:themeColor="text1"/>
          <w:sz w:val="24"/>
          <w:szCs w:val="24"/>
        </w:rPr>
        <w:t xml:space="preserve">DOS REQUISITOS DE HABILITAÇÃO </w:t>
      </w:r>
      <w:r w:rsidRPr="0066121D">
        <w:rPr>
          <w:rFonts w:ascii="Times New Roman" w:eastAsia="Times New Roman" w:hAnsi="Times New Roman" w:cs="Times New Roman"/>
          <w:color w:val="000000" w:themeColor="text1"/>
          <w:sz w:val="24"/>
          <w:szCs w:val="24"/>
        </w:rPr>
        <w:t xml:space="preserve"> </w:t>
      </w:r>
      <w:r w:rsidRPr="0066121D">
        <w:rPr>
          <w:rFonts w:ascii="Times New Roman" w:eastAsia="Times New Roman" w:hAnsi="Times New Roman" w:cs="Times New Roman"/>
          <w:sz w:val="24"/>
          <w:szCs w:val="24"/>
        </w:rPr>
        <w:t xml:space="preserve"> </w:t>
      </w:r>
    </w:p>
    <w:p w14:paraId="75AD1D9D" w14:textId="3051817D"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7A34B699" w14:textId="0CFCCEAF"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De início, alerta que, mesmo nas dispensas ou inexigibilidades de licitação, a comprovação da habilitação do contratado deve ser exigida com relação aos aspectos essenciais à regularidade da contratação </w:t>
      </w:r>
      <w:r w:rsidR="51CB7B73" w:rsidRPr="0066121D">
        <w:rPr>
          <w:rFonts w:ascii="Times New Roman" w:eastAsia="Times New Roman" w:hAnsi="Times New Roman" w:cs="Times New Roman"/>
          <w:color w:val="000000" w:themeColor="text1"/>
          <w:sz w:val="24"/>
          <w:szCs w:val="24"/>
        </w:rPr>
        <w:t xml:space="preserve">(art. 72, V, c/c art. 91, </w:t>
      </w:r>
      <w:r w:rsidR="51CB7B73" w:rsidRPr="0066121D">
        <w:rPr>
          <w:rFonts w:ascii="Times New Roman" w:eastAsia="Times New Roman" w:hAnsi="Times New Roman" w:cs="Times New Roman"/>
          <w:color w:val="333333"/>
          <w:sz w:val="24"/>
          <w:szCs w:val="24"/>
        </w:rPr>
        <w:t>§ 4º</w:t>
      </w:r>
      <w:r w:rsidR="51CB7B73" w:rsidRPr="0066121D">
        <w:rPr>
          <w:rFonts w:ascii="Times New Roman" w:eastAsia="Times New Roman" w:hAnsi="Times New Roman" w:cs="Times New Roman"/>
          <w:color w:val="000000" w:themeColor="text1"/>
          <w:sz w:val="24"/>
          <w:szCs w:val="24"/>
        </w:rPr>
        <w:t xml:space="preserve">, art. 92, XVI, e art. 161 da Lei nº 14.133, de 2021).   </w:t>
      </w:r>
      <w:r w:rsidR="51CB7B73" w:rsidRPr="0066121D">
        <w:rPr>
          <w:rFonts w:ascii="Times New Roman" w:eastAsia="Times New Roman" w:hAnsi="Times New Roman" w:cs="Times New Roman"/>
          <w:sz w:val="24"/>
          <w:szCs w:val="24"/>
        </w:rPr>
        <w:t xml:space="preserve"> </w:t>
      </w:r>
    </w:p>
    <w:p w14:paraId="51A40DE2" w14:textId="2845272D" w:rsidR="64C763B2" w:rsidRPr="0066121D" w:rsidRDefault="64C763B2" w:rsidP="64C763B2">
      <w:pPr>
        <w:spacing w:after="0" w:line="240" w:lineRule="auto"/>
        <w:jc w:val="both"/>
        <w:rPr>
          <w:rFonts w:ascii="Times New Roman" w:eastAsia="Times New Roman" w:hAnsi="Times New Roman" w:cs="Times New Roman"/>
          <w:sz w:val="24"/>
          <w:szCs w:val="24"/>
        </w:rPr>
      </w:pPr>
    </w:p>
    <w:p w14:paraId="1C8894C4" w14:textId="5DC46870"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Compete ao gestor verificar a situação da futura contratada junto aos seguintes cadastros/sistemas: </w:t>
      </w:r>
    </w:p>
    <w:p w14:paraId="78B2E80F" w14:textId="4D5BB8CD" w:rsidR="64C763B2" w:rsidRPr="0066121D" w:rsidRDefault="64C763B2" w:rsidP="64C763B2">
      <w:pPr>
        <w:spacing w:after="0" w:line="240" w:lineRule="auto"/>
        <w:jc w:val="both"/>
        <w:rPr>
          <w:rFonts w:ascii="Times New Roman" w:eastAsia="Times New Roman" w:hAnsi="Times New Roman" w:cs="Times New Roman"/>
          <w:sz w:val="24"/>
          <w:szCs w:val="24"/>
        </w:rPr>
      </w:pPr>
    </w:p>
    <w:p w14:paraId="388E6C4D" w14:textId="09EFF009" w:rsidR="00934FDC" w:rsidRPr="00E2589F" w:rsidRDefault="51650439" w:rsidP="00040C45">
      <w:pPr>
        <w:pStyle w:val="PargrafodaLista"/>
        <w:numPr>
          <w:ilvl w:val="0"/>
          <w:numId w:val="6"/>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Sistema de Cadastramento Unificado de Fornecedores – SICAF;  </w:t>
      </w:r>
    </w:p>
    <w:p w14:paraId="2555A4F3" w14:textId="67C15474" w:rsidR="00934FDC" w:rsidRPr="00E2589F" w:rsidRDefault="51650439" w:rsidP="00040C45">
      <w:pPr>
        <w:pStyle w:val="PargrafodaLista"/>
        <w:numPr>
          <w:ilvl w:val="0"/>
          <w:numId w:val="6"/>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Cadastro Informativo de créditos não quitados do setor público federal - CADIN   </w:t>
      </w:r>
    </w:p>
    <w:p w14:paraId="670A7073" w14:textId="455C8965" w:rsidR="00934FDC" w:rsidRPr="00E2589F" w:rsidRDefault="51650439" w:rsidP="00040C45">
      <w:pPr>
        <w:pStyle w:val="PargrafodaLista"/>
        <w:numPr>
          <w:ilvl w:val="0"/>
          <w:numId w:val="6"/>
        </w:numPr>
        <w:tabs>
          <w:tab w:val="left" w:pos="2552"/>
        </w:tabs>
        <w:spacing w:after="0" w:line="240" w:lineRule="auto"/>
        <w:ind w:left="2552" w:hanging="284"/>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Cadastro Nacional de Empresas Inidôneas e Suspensas - CEIS, mantido pela Controladoria-Geral da União;  </w:t>
      </w:r>
    </w:p>
    <w:p w14:paraId="63E615F1" w14:textId="4FEB57A8" w:rsidR="00934FDC" w:rsidRPr="00E2589F" w:rsidRDefault="51650439" w:rsidP="00040C45">
      <w:pPr>
        <w:pStyle w:val="PargrafodaLista"/>
        <w:numPr>
          <w:ilvl w:val="0"/>
          <w:numId w:val="4"/>
        </w:numPr>
        <w:tabs>
          <w:tab w:val="left" w:pos="2552"/>
        </w:tabs>
        <w:spacing w:after="0" w:line="240" w:lineRule="auto"/>
        <w:ind w:left="2552" w:hanging="284"/>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Cadastro Nacional de Condenações Cíveis por Atos de Improbidade Administrativa, mantido pelo Conselho Nacional de Justiça - CNJ  </w:t>
      </w:r>
    </w:p>
    <w:p w14:paraId="2B07CC5A" w14:textId="476AE685" w:rsidR="00934FDC" w:rsidRPr="00E2589F" w:rsidRDefault="51650439" w:rsidP="00040C4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Lista de Inidôneos, mantida pelo Tribunal de Contas da União – TCU;  </w:t>
      </w:r>
    </w:p>
    <w:p w14:paraId="000C4D11" w14:textId="6993BA83" w:rsidR="00934FDC" w:rsidRPr="00E2589F" w:rsidRDefault="51650439" w:rsidP="00040C45">
      <w:pPr>
        <w:pStyle w:val="PargrafodaLista"/>
        <w:numPr>
          <w:ilvl w:val="0"/>
          <w:numId w:val="4"/>
        </w:numPr>
        <w:tabs>
          <w:tab w:val="left" w:pos="2552"/>
        </w:tabs>
        <w:spacing w:after="0" w:line="240" w:lineRule="auto"/>
        <w:ind w:left="2268" w:firstLine="0"/>
        <w:jc w:val="both"/>
        <w:rPr>
          <w:rFonts w:ascii="Times New Roman" w:eastAsia="Times New Roman" w:hAnsi="Times New Roman" w:cs="Times New Roman"/>
          <w:sz w:val="20"/>
          <w:szCs w:val="20"/>
        </w:rPr>
      </w:pPr>
      <w:r w:rsidRPr="00E2589F">
        <w:rPr>
          <w:rFonts w:ascii="Times New Roman" w:eastAsia="Times New Roman" w:hAnsi="Times New Roman" w:cs="Times New Roman"/>
          <w:sz w:val="20"/>
          <w:szCs w:val="20"/>
        </w:rPr>
        <w:t xml:space="preserve">Banco Nacional de Devedores Trabalhistas – CNDT.  </w:t>
      </w:r>
    </w:p>
    <w:p w14:paraId="4422A0D5" w14:textId="42441B76"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377A4CC9" w14:textId="5DB654CE"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sz w:val="24"/>
          <w:szCs w:val="24"/>
        </w:rPr>
        <w:t xml:space="preserve">Ressalte-se que é essencial, também, a declaração relativa ao cumprimento do disposto no art. 7º, XXXIII, da Constituição Federal, nos termos do </w:t>
      </w:r>
      <w:r w:rsidRPr="0066121D">
        <w:rPr>
          <w:rFonts w:ascii="Times New Roman" w:eastAsia="Times New Roman" w:hAnsi="Times New Roman" w:cs="Times New Roman"/>
          <w:color w:val="000000" w:themeColor="text1"/>
          <w:sz w:val="24"/>
          <w:szCs w:val="24"/>
        </w:rPr>
        <w:t xml:space="preserve">artigo 68, VI da Lei nº 14.133, de 2021. </w:t>
      </w:r>
    </w:p>
    <w:p w14:paraId="6D35999E" w14:textId="7BE882A6"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0E476299" w14:textId="6DB3A989" w:rsidR="3A3FD648" w:rsidRPr="0066121D" w:rsidRDefault="3A3FD648"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rPr>
        <w:t>Atente-se que o cadastro do CADIN é meramente informativo, de modo que a existência de pendências não impede a contratação (art. 6º, III, da Lei nº 10.522, de 2002).</w:t>
      </w:r>
      <w:r w:rsidRPr="0066121D">
        <w:rPr>
          <w:rFonts w:ascii="Times New Roman" w:eastAsia="Times New Roman" w:hAnsi="Times New Roman" w:cs="Times New Roman"/>
          <w:sz w:val="24"/>
          <w:szCs w:val="24"/>
        </w:rPr>
        <w:t xml:space="preserve">  </w:t>
      </w:r>
    </w:p>
    <w:p w14:paraId="60F56F17" w14:textId="105EDD2C" w:rsidR="64C763B2" w:rsidRPr="0066121D" w:rsidRDefault="64C763B2" w:rsidP="64C763B2">
      <w:pPr>
        <w:spacing w:after="0" w:line="240" w:lineRule="auto"/>
        <w:jc w:val="both"/>
        <w:rPr>
          <w:rFonts w:ascii="Times New Roman" w:eastAsia="Times New Roman" w:hAnsi="Times New Roman" w:cs="Times New Roman"/>
          <w:sz w:val="24"/>
          <w:szCs w:val="24"/>
        </w:rPr>
      </w:pPr>
    </w:p>
    <w:p w14:paraId="5A12CB2E" w14:textId="404BD4AA" w:rsidR="00934FDC" w:rsidRPr="0066121D" w:rsidRDefault="51650439" w:rsidP="64C763B2">
      <w:pPr>
        <w:spacing w:after="0" w:line="240" w:lineRule="auto"/>
        <w:jc w:val="both"/>
        <w:rPr>
          <w:rFonts w:ascii="Times New Roman" w:eastAsia="Times New Roman" w:hAnsi="Times New Roman" w:cs="Times New Roman"/>
          <w:sz w:val="24"/>
          <w:szCs w:val="24"/>
        </w:rPr>
      </w:pPr>
      <w:r w:rsidRPr="0066121D">
        <w:rPr>
          <w:rFonts w:ascii="Times New Roman" w:eastAsia="Times New Roman" w:hAnsi="Times New Roman" w:cs="Times New Roman"/>
          <w:color w:val="000000" w:themeColor="text1"/>
          <w:sz w:val="24"/>
          <w:szCs w:val="24"/>
          <w:highlight w:val="cyan"/>
        </w:rPr>
        <w:t xml:space="preserve">Verifica-se que </w:t>
      </w:r>
      <w:r w:rsidRPr="0066121D">
        <w:rPr>
          <w:rFonts w:ascii="Times New Roman" w:eastAsia="Times New Roman" w:hAnsi="Times New Roman" w:cs="Times New Roman"/>
          <w:color w:val="FF0000"/>
          <w:sz w:val="24"/>
          <w:szCs w:val="24"/>
          <w:highlight w:val="cyan"/>
        </w:rPr>
        <w:t xml:space="preserve">às fls. XXX/ao doc. SEI n. XXX </w:t>
      </w:r>
      <w:r w:rsidRPr="0066121D">
        <w:rPr>
          <w:rFonts w:ascii="Times New Roman" w:eastAsia="Times New Roman" w:hAnsi="Times New Roman" w:cs="Times New Roman"/>
          <w:color w:val="000000" w:themeColor="text1"/>
          <w:sz w:val="24"/>
          <w:szCs w:val="24"/>
          <w:highlight w:val="cyan"/>
        </w:rPr>
        <w:t xml:space="preserve">foram juntados os documentos que comprovam a regularidade fiscal e trabalhista da futura contratada, bem como a inexistência de óbices para a sua contratação.  </w:t>
      </w:r>
      <w:r w:rsidRPr="0066121D">
        <w:rPr>
          <w:rFonts w:ascii="Times New Roman" w:eastAsia="Times New Roman" w:hAnsi="Times New Roman" w:cs="Times New Roman"/>
          <w:sz w:val="24"/>
          <w:szCs w:val="24"/>
        </w:rPr>
        <w:t xml:space="preserve"> </w:t>
      </w:r>
    </w:p>
    <w:p w14:paraId="47485A4C" w14:textId="4BE2CF8D" w:rsidR="00934FDC" w:rsidRPr="002E2F32" w:rsidRDefault="51650439" w:rsidP="002E2F32">
      <w:pPr>
        <w:spacing w:after="0" w:line="240" w:lineRule="auto"/>
        <w:ind w:firstLine="708"/>
        <w:rPr>
          <w:rFonts w:ascii="Times New Roman" w:eastAsia="Times New Roman" w:hAnsi="Times New Roman" w:cs="Times New Roman"/>
          <w:sz w:val="24"/>
          <w:szCs w:val="24"/>
          <w:u w:val="single"/>
        </w:rPr>
      </w:pPr>
      <w:r w:rsidRPr="002E2F32">
        <w:rPr>
          <w:rFonts w:ascii="Times New Roman" w:eastAsia="Times New Roman" w:hAnsi="Times New Roman" w:cs="Times New Roman"/>
          <w:b/>
          <w:bCs/>
          <w:color w:val="000000" w:themeColor="text1"/>
          <w:sz w:val="24"/>
          <w:szCs w:val="24"/>
          <w:highlight w:val="cyan"/>
          <w:u w:val="single"/>
        </w:rPr>
        <w:t>OU</w:t>
      </w:r>
      <w:r w:rsidRPr="002E2F32">
        <w:rPr>
          <w:rFonts w:ascii="Times New Roman" w:eastAsia="Times New Roman" w:hAnsi="Times New Roman" w:cs="Times New Roman"/>
          <w:sz w:val="24"/>
          <w:szCs w:val="24"/>
          <w:u w:val="single"/>
        </w:rPr>
        <w:t xml:space="preserve"> </w:t>
      </w:r>
    </w:p>
    <w:p w14:paraId="7238DB50" w14:textId="15FCDAE0" w:rsidR="00934FDC" w:rsidRPr="0066121D" w:rsidRDefault="51650439" w:rsidP="00355299">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color w:val="000000" w:themeColor="text1"/>
          <w:sz w:val="24"/>
          <w:szCs w:val="24"/>
          <w:highlight w:val="cyan"/>
        </w:rPr>
        <w:t xml:space="preserve">Verifica-se que </w:t>
      </w:r>
      <w:r w:rsidRPr="5D8365CD">
        <w:rPr>
          <w:rFonts w:ascii="Times New Roman" w:eastAsia="Times New Roman" w:hAnsi="Times New Roman" w:cs="Times New Roman"/>
          <w:color w:val="FF0000"/>
          <w:sz w:val="24"/>
          <w:szCs w:val="24"/>
          <w:highlight w:val="cyan"/>
        </w:rPr>
        <w:t xml:space="preserve">às fls. XXX/ao doc. SEI n. XXX </w:t>
      </w:r>
      <w:r w:rsidRPr="5D8365CD">
        <w:rPr>
          <w:rFonts w:ascii="Times New Roman" w:eastAsia="Times New Roman" w:hAnsi="Times New Roman" w:cs="Times New Roman"/>
          <w:color w:val="000000" w:themeColor="text1"/>
          <w:sz w:val="24"/>
          <w:szCs w:val="24"/>
          <w:highlight w:val="cyan"/>
        </w:rPr>
        <w:t xml:space="preserve">foram juntados os documentos relativos à regularidade fiscal e trabalhista da futura contratada. Não obstante, verifica-se que conforme documento expedido pelo órgão </w:t>
      </w:r>
      <w:proofErr w:type="spellStart"/>
      <w:r w:rsidRPr="5D8365CD">
        <w:rPr>
          <w:rFonts w:ascii="Times New Roman" w:eastAsia="Times New Roman" w:hAnsi="Times New Roman" w:cs="Times New Roman"/>
          <w:color w:val="FF0000"/>
          <w:sz w:val="24"/>
          <w:szCs w:val="24"/>
          <w:highlight w:val="cyan"/>
        </w:rPr>
        <w:t>xxxxxxx</w:t>
      </w:r>
      <w:proofErr w:type="spellEnd"/>
      <w:r w:rsidRPr="5D8365CD">
        <w:rPr>
          <w:rFonts w:ascii="Times New Roman" w:eastAsia="Times New Roman" w:hAnsi="Times New Roman" w:cs="Times New Roman"/>
          <w:color w:val="000000" w:themeColor="text1"/>
          <w:sz w:val="24"/>
          <w:szCs w:val="24"/>
          <w:highlight w:val="cyan"/>
        </w:rPr>
        <w:t xml:space="preserve">, </w:t>
      </w:r>
      <w:r w:rsidRPr="5D8365CD">
        <w:rPr>
          <w:rFonts w:ascii="Times New Roman" w:eastAsia="Times New Roman" w:hAnsi="Times New Roman" w:cs="Times New Roman"/>
          <w:color w:val="FF0000"/>
          <w:sz w:val="24"/>
          <w:szCs w:val="24"/>
          <w:highlight w:val="cyan"/>
        </w:rPr>
        <w:t xml:space="preserve">há o registro de pendência(s)/irregularidade(s) em nome da Contratada/sua validade está expirada, </w:t>
      </w:r>
      <w:r w:rsidRPr="5D8365CD">
        <w:rPr>
          <w:rFonts w:ascii="Times New Roman" w:eastAsia="Times New Roman" w:hAnsi="Times New Roman" w:cs="Times New Roman"/>
          <w:color w:val="000000" w:themeColor="text1"/>
          <w:sz w:val="24"/>
          <w:szCs w:val="24"/>
          <w:highlight w:val="cyan"/>
        </w:rPr>
        <w:t>devendo ser adotadas medidas cabíveis para sua devida regularização.</w:t>
      </w:r>
      <w:r w:rsidRPr="5D8365CD">
        <w:rPr>
          <w:rFonts w:ascii="Times New Roman" w:eastAsia="Times New Roman" w:hAnsi="Times New Roman" w:cs="Times New Roman"/>
          <w:sz w:val="24"/>
          <w:szCs w:val="24"/>
        </w:rPr>
        <w:t xml:space="preserve"> </w:t>
      </w:r>
    </w:p>
    <w:p w14:paraId="2F0FA1BD" w14:textId="30827093" w:rsidR="00934FDC" w:rsidRPr="002E2F32" w:rsidRDefault="51650439" w:rsidP="002E2F32">
      <w:pPr>
        <w:spacing w:after="0" w:line="240" w:lineRule="auto"/>
        <w:ind w:firstLine="708"/>
        <w:rPr>
          <w:rFonts w:ascii="Times New Roman" w:eastAsia="Times New Roman" w:hAnsi="Times New Roman" w:cs="Times New Roman"/>
          <w:sz w:val="24"/>
          <w:szCs w:val="24"/>
          <w:u w:val="single"/>
        </w:rPr>
      </w:pPr>
      <w:r w:rsidRPr="002E2F32">
        <w:rPr>
          <w:rFonts w:ascii="Times New Roman" w:eastAsia="Times New Roman" w:hAnsi="Times New Roman" w:cs="Times New Roman"/>
          <w:b/>
          <w:bCs/>
          <w:color w:val="000000" w:themeColor="text1"/>
          <w:sz w:val="24"/>
          <w:szCs w:val="24"/>
          <w:highlight w:val="cyan"/>
          <w:u w:val="single"/>
        </w:rPr>
        <w:t>OU</w:t>
      </w:r>
      <w:r w:rsidRPr="002E2F32">
        <w:rPr>
          <w:rFonts w:ascii="Times New Roman" w:eastAsia="Times New Roman" w:hAnsi="Times New Roman" w:cs="Times New Roman"/>
          <w:sz w:val="24"/>
          <w:szCs w:val="24"/>
          <w:u w:val="single"/>
        </w:rPr>
        <w:t xml:space="preserve"> </w:t>
      </w:r>
    </w:p>
    <w:p w14:paraId="15CD1282" w14:textId="21A38F0A" w:rsidR="00934FDC" w:rsidRPr="0066121D" w:rsidRDefault="51650439" w:rsidP="00355299">
      <w:pPr>
        <w:spacing w:after="0" w:line="240" w:lineRule="auto"/>
        <w:ind w:firstLine="708"/>
        <w:jc w:val="both"/>
        <w:rPr>
          <w:rFonts w:ascii="Times New Roman" w:eastAsia="Times New Roman" w:hAnsi="Times New Roman" w:cs="Times New Roman"/>
          <w:sz w:val="24"/>
          <w:szCs w:val="24"/>
        </w:rPr>
      </w:pPr>
      <w:r w:rsidRPr="5D8365CD">
        <w:rPr>
          <w:rFonts w:ascii="Times New Roman" w:eastAsia="Times New Roman" w:hAnsi="Times New Roman" w:cs="Times New Roman"/>
          <w:color w:val="000000" w:themeColor="text1"/>
          <w:sz w:val="24"/>
          <w:szCs w:val="24"/>
          <w:highlight w:val="cyan"/>
        </w:rPr>
        <w:t xml:space="preserve">Verifica-se que </w:t>
      </w:r>
      <w:r w:rsidRPr="5D8365CD">
        <w:rPr>
          <w:rFonts w:ascii="Times New Roman" w:eastAsia="Times New Roman" w:hAnsi="Times New Roman" w:cs="Times New Roman"/>
          <w:color w:val="FF0000"/>
          <w:sz w:val="24"/>
          <w:szCs w:val="24"/>
          <w:highlight w:val="cyan"/>
        </w:rPr>
        <w:t xml:space="preserve">não foi/foram juntado(s) o(s) seguinte(s) documento(s) que comprovem a regularidade fiscal e/ou trabalhista: XXX </w:t>
      </w:r>
      <w:r w:rsidRPr="5D8365CD">
        <w:rPr>
          <w:rFonts w:ascii="Times New Roman" w:eastAsia="Times New Roman" w:hAnsi="Times New Roman" w:cs="Times New Roman"/>
          <w:b/>
          <w:bCs/>
          <w:color w:val="FF0000"/>
          <w:sz w:val="24"/>
          <w:szCs w:val="24"/>
          <w:highlight w:val="cyan"/>
        </w:rPr>
        <w:t>OU</w:t>
      </w:r>
      <w:r w:rsidRPr="5D8365CD">
        <w:rPr>
          <w:rFonts w:ascii="Times New Roman" w:eastAsia="Times New Roman" w:hAnsi="Times New Roman" w:cs="Times New Roman"/>
          <w:color w:val="FF0000"/>
          <w:sz w:val="24"/>
          <w:szCs w:val="24"/>
          <w:highlight w:val="cyan"/>
        </w:rPr>
        <w:t xml:space="preserve"> Não foi/foram juntado(s) o(s) seguinte(s) documento(s) que comprovem a ausência de impedimento para contratar com o Poder Público: CEIS, CNJ, CADIN. </w:t>
      </w:r>
      <w:r w:rsidRPr="5D8365CD">
        <w:rPr>
          <w:rFonts w:ascii="Times New Roman" w:eastAsia="Times New Roman" w:hAnsi="Times New Roman" w:cs="Times New Roman"/>
          <w:sz w:val="24"/>
          <w:szCs w:val="24"/>
          <w:highlight w:val="cyan"/>
        </w:rPr>
        <w:t xml:space="preserve">Desta maneira, recomenda-se a regularização como condição para a contratação pretendida. </w:t>
      </w:r>
      <w:r w:rsidRPr="5D8365CD">
        <w:rPr>
          <w:rFonts w:ascii="Times New Roman" w:eastAsia="Times New Roman" w:hAnsi="Times New Roman" w:cs="Times New Roman"/>
          <w:sz w:val="24"/>
          <w:szCs w:val="24"/>
        </w:rPr>
        <w:t xml:space="preserve"> </w:t>
      </w:r>
    </w:p>
    <w:p w14:paraId="629BEB31" w14:textId="6F1A600A" w:rsidR="00105D92" w:rsidRPr="00327A26" w:rsidRDefault="51650439" w:rsidP="00327A26">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p w14:paraId="0B0F57B2" w14:textId="7707001A" w:rsidR="18B8FA09" w:rsidRPr="0066121D" w:rsidRDefault="2EF11308" w:rsidP="64C763B2">
      <w:pPr>
        <w:spacing w:after="0" w:line="240" w:lineRule="auto"/>
        <w:jc w:val="both"/>
        <w:rPr>
          <w:rFonts w:ascii="Times New Roman" w:eastAsia="Times New Roman" w:hAnsi="Times New Roman" w:cs="Times New Roman"/>
          <w:b/>
          <w:bCs/>
          <w:color w:val="FF0000"/>
          <w:sz w:val="24"/>
          <w:szCs w:val="24"/>
        </w:rPr>
      </w:pPr>
      <w:r w:rsidRPr="0066121D">
        <w:rPr>
          <w:rFonts w:ascii="Times New Roman" w:eastAsia="Times New Roman" w:hAnsi="Times New Roman" w:cs="Times New Roman"/>
          <w:b/>
          <w:bCs/>
          <w:color w:val="FF0000"/>
          <w:sz w:val="24"/>
          <w:szCs w:val="24"/>
        </w:rPr>
        <w:t xml:space="preserve">DA ANTECIPAÇÃO DE PAGAMENTO </w:t>
      </w:r>
    </w:p>
    <w:p w14:paraId="5C17D18B" w14:textId="53B410FC" w:rsidR="257865AE" w:rsidRPr="0066121D" w:rsidRDefault="257865AE" w:rsidP="64C763B2">
      <w:pPr>
        <w:spacing w:after="0" w:line="240" w:lineRule="auto"/>
        <w:jc w:val="both"/>
        <w:rPr>
          <w:rFonts w:ascii="Times New Roman" w:eastAsia="Times New Roman" w:hAnsi="Times New Roman" w:cs="Times New Roman"/>
          <w:color w:val="FF0000"/>
          <w:sz w:val="24"/>
          <w:szCs w:val="24"/>
        </w:rPr>
      </w:pPr>
    </w:p>
    <w:p w14:paraId="5C4C92AF" w14:textId="09B70D3D" w:rsidR="18B8FA09" w:rsidRPr="0066121D" w:rsidRDefault="2EF11308" w:rsidP="00C856E6">
      <w:pPr>
        <w:spacing w:after="0" w:line="240" w:lineRule="auto"/>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Observa-se que a Administração pretende efetuar o pagamento do objeto a ser contratado.  </w:t>
      </w:r>
    </w:p>
    <w:p w14:paraId="4765066E" w14:textId="165ECCE8"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Sobre o ponto, registre-se que o pagamento antecipado é admitido no ordenamento jurídico de forma excepcional, nos termos dos arts. 62 e 63, § 2º, III da Lei n.</w:t>
      </w:r>
      <w:r w:rsidR="00C856E6">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4.320, </w:t>
      </w:r>
      <w:r w:rsidR="00DA2B65">
        <w:rPr>
          <w:rFonts w:ascii="Times New Roman" w:eastAsia="Times New Roman" w:hAnsi="Times New Roman" w:cs="Times New Roman"/>
          <w:color w:val="FF0000"/>
          <w:sz w:val="24"/>
          <w:szCs w:val="24"/>
        </w:rPr>
        <w:t xml:space="preserve">de 17 de março </w:t>
      </w:r>
      <w:r w:rsidRPr="0066121D">
        <w:rPr>
          <w:rFonts w:ascii="Times New Roman" w:eastAsia="Times New Roman" w:hAnsi="Times New Roman" w:cs="Times New Roman"/>
          <w:color w:val="FF0000"/>
          <w:sz w:val="24"/>
          <w:szCs w:val="24"/>
        </w:rPr>
        <w:t xml:space="preserve">de 1964 c/c art. 38 do </w:t>
      </w:r>
      <w:hyperlink r:id="rId36">
        <w:r w:rsidRPr="0066121D">
          <w:rPr>
            <w:rStyle w:val="Hyperlink"/>
            <w:rFonts w:ascii="Times New Roman" w:eastAsia="Times New Roman" w:hAnsi="Times New Roman" w:cs="Times New Roman"/>
            <w:color w:val="FF0000"/>
            <w:sz w:val="24"/>
            <w:szCs w:val="24"/>
            <w:u w:val="none"/>
          </w:rPr>
          <w:t>Decreto n.</w:t>
        </w:r>
        <w:r w:rsidR="00DA2B65">
          <w:rPr>
            <w:rStyle w:val="Hyperlink"/>
            <w:rFonts w:ascii="Times New Roman" w:eastAsia="Times New Roman" w:hAnsi="Times New Roman" w:cs="Times New Roman"/>
            <w:color w:val="FF0000"/>
            <w:sz w:val="24"/>
            <w:szCs w:val="24"/>
            <w:u w:val="none"/>
          </w:rPr>
          <w:t>º</w:t>
        </w:r>
        <w:r w:rsidRPr="0066121D">
          <w:rPr>
            <w:rStyle w:val="Hyperlink"/>
            <w:rFonts w:ascii="Times New Roman" w:eastAsia="Times New Roman" w:hAnsi="Times New Roman" w:cs="Times New Roman"/>
            <w:color w:val="FF0000"/>
            <w:sz w:val="24"/>
            <w:szCs w:val="24"/>
            <w:u w:val="none"/>
          </w:rPr>
          <w:t xml:space="preserve"> 93.872, de 23 de dezembro de 1986</w:t>
        </w:r>
      </w:hyperlink>
      <w:r w:rsidRPr="0066121D">
        <w:rPr>
          <w:rFonts w:ascii="Times New Roman" w:eastAsia="Times New Roman" w:hAnsi="Times New Roman" w:cs="Times New Roman"/>
          <w:color w:val="FF0000"/>
          <w:sz w:val="24"/>
          <w:szCs w:val="24"/>
        </w:rPr>
        <w:t xml:space="preserve">: </w:t>
      </w:r>
    </w:p>
    <w:p w14:paraId="29229644" w14:textId="2BD7FA48"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47DB721D" w14:textId="50ED9F41" w:rsidR="18B8FA09" w:rsidRPr="00341D74" w:rsidRDefault="2EF11308" w:rsidP="00DA2B65">
      <w:pPr>
        <w:spacing w:after="0" w:line="240" w:lineRule="auto"/>
        <w:ind w:left="2268"/>
        <w:jc w:val="both"/>
        <w:rPr>
          <w:rFonts w:ascii="Times New Roman" w:eastAsia="Times New Roman" w:hAnsi="Times New Roman" w:cs="Times New Roman"/>
          <w:b/>
          <w:bCs/>
          <w:color w:val="FF0000"/>
          <w:sz w:val="20"/>
          <w:szCs w:val="20"/>
        </w:rPr>
      </w:pPr>
      <w:r w:rsidRPr="00341D74">
        <w:rPr>
          <w:rFonts w:ascii="Times New Roman" w:eastAsia="Times New Roman" w:hAnsi="Times New Roman" w:cs="Times New Roman"/>
          <w:b/>
          <w:bCs/>
          <w:color w:val="FF0000"/>
          <w:sz w:val="20"/>
          <w:szCs w:val="20"/>
        </w:rPr>
        <w:t xml:space="preserve">Lei n. 4.320, de 1964 </w:t>
      </w:r>
    </w:p>
    <w:p w14:paraId="406CFF66" w14:textId="5ED365F2"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Art. 62. O pagamento da despesa só será efetuado quando ordenado após sua regular liquidação. </w:t>
      </w:r>
    </w:p>
    <w:p w14:paraId="44ABAE7A" w14:textId="719F963E"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Art. 63. A liquidação da despesa consiste na verificação do direito adquirido pelo credor tendo por base os títulos e documentos comprobatórios do respectivo crédito. </w:t>
      </w:r>
    </w:p>
    <w:p w14:paraId="6090470B" w14:textId="0AE74B44"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 1° Essa verificação tem por fim apurar: </w:t>
      </w:r>
    </w:p>
    <w:p w14:paraId="38DFE8AD" w14:textId="10BC293A"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 - a origem e o objeto do que se deve pagar; </w:t>
      </w:r>
    </w:p>
    <w:p w14:paraId="503EE899" w14:textId="081521FF"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 - </w:t>
      </w:r>
      <w:proofErr w:type="gramStart"/>
      <w:r w:rsidRPr="00DA2B65">
        <w:rPr>
          <w:rFonts w:ascii="Times New Roman" w:eastAsia="Times New Roman" w:hAnsi="Times New Roman" w:cs="Times New Roman"/>
          <w:color w:val="FF0000"/>
          <w:sz w:val="20"/>
          <w:szCs w:val="20"/>
        </w:rPr>
        <w:t>a</w:t>
      </w:r>
      <w:proofErr w:type="gramEnd"/>
      <w:r w:rsidRPr="00DA2B65">
        <w:rPr>
          <w:rFonts w:ascii="Times New Roman" w:eastAsia="Times New Roman" w:hAnsi="Times New Roman" w:cs="Times New Roman"/>
          <w:color w:val="FF0000"/>
          <w:sz w:val="20"/>
          <w:szCs w:val="20"/>
        </w:rPr>
        <w:t xml:space="preserve"> importância exata a pagar;(Vide Medida Provisória nº 581, de 2012) I </w:t>
      </w:r>
    </w:p>
    <w:p w14:paraId="3DAF8206" w14:textId="0A6B481B"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 - </w:t>
      </w:r>
      <w:proofErr w:type="gramStart"/>
      <w:r w:rsidRPr="00DA2B65">
        <w:rPr>
          <w:rFonts w:ascii="Times New Roman" w:eastAsia="Times New Roman" w:hAnsi="Times New Roman" w:cs="Times New Roman"/>
          <w:color w:val="FF0000"/>
          <w:sz w:val="20"/>
          <w:szCs w:val="20"/>
        </w:rPr>
        <w:t>a</w:t>
      </w:r>
      <w:proofErr w:type="gramEnd"/>
      <w:r w:rsidRPr="00DA2B65">
        <w:rPr>
          <w:rFonts w:ascii="Times New Roman" w:eastAsia="Times New Roman" w:hAnsi="Times New Roman" w:cs="Times New Roman"/>
          <w:color w:val="FF0000"/>
          <w:sz w:val="20"/>
          <w:szCs w:val="20"/>
        </w:rPr>
        <w:t xml:space="preserve"> quem se deve pagar a importância, para extinguir a obrigação. </w:t>
      </w:r>
    </w:p>
    <w:p w14:paraId="1F0DCC98" w14:textId="7E7F72EE"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lastRenderedPageBreak/>
        <w:t xml:space="preserve">§ 2º A liquidação da despesa por fornecimentos feitos ou serviços prestados terá por base: </w:t>
      </w:r>
    </w:p>
    <w:p w14:paraId="213EBB8F" w14:textId="4B4105AE"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 - </w:t>
      </w:r>
      <w:proofErr w:type="gramStart"/>
      <w:r w:rsidRPr="00DA2B65">
        <w:rPr>
          <w:rFonts w:ascii="Times New Roman" w:eastAsia="Times New Roman" w:hAnsi="Times New Roman" w:cs="Times New Roman"/>
          <w:color w:val="FF0000"/>
          <w:sz w:val="20"/>
          <w:szCs w:val="20"/>
        </w:rPr>
        <w:t>o</w:t>
      </w:r>
      <w:proofErr w:type="gramEnd"/>
      <w:r w:rsidRPr="00DA2B65">
        <w:rPr>
          <w:rFonts w:ascii="Times New Roman" w:eastAsia="Times New Roman" w:hAnsi="Times New Roman" w:cs="Times New Roman"/>
          <w:color w:val="FF0000"/>
          <w:sz w:val="20"/>
          <w:szCs w:val="20"/>
        </w:rPr>
        <w:t xml:space="preserve"> contrato, ajuste ou ac</w:t>
      </w:r>
      <w:r w:rsidR="51D79470" w:rsidRPr="00DA2B65">
        <w:rPr>
          <w:rFonts w:ascii="Times New Roman" w:eastAsia="Times New Roman" w:hAnsi="Times New Roman" w:cs="Times New Roman"/>
          <w:color w:val="FF0000"/>
          <w:sz w:val="20"/>
          <w:szCs w:val="20"/>
        </w:rPr>
        <w:t>o</w:t>
      </w:r>
      <w:r w:rsidRPr="00DA2B65">
        <w:rPr>
          <w:rFonts w:ascii="Times New Roman" w:eastAsia="Times New Roman" w:hAnsi="Times New Roman" w:cs="Times New Roman"/>
          <w:color w:val="FF0000"/>
          <w:sz w:val="20"/>
          <w:szCs w:val="20"/>
        </w:rPr>
        <w:t xml:space="preserve">rdo respectivo; </w:t>
      </w:r>
    </w:p>
    <w:p w14:paraId="5B1D52D9" w14:textId="134226BC"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 - </w:t>
      </w:r>
      <w:proofErr w:type="gramStart"/>
      <w:r w:rsidRPr="00DA2B65">
        <w:rPr>
          <w:rFonts w:ascii="Times New Roman" w:eastAsia="Times New Roman" w:hAnsi="Times New Roman" w:cs="Times New Roman"/>
          <w:color w:val="FF0000"/>
          <w:sz w:val="20"/>
          <w:szCs w:val="20"/>
        </w:rPr>
        <w:t>a</w:t>
      </w:r>
      <w:proofErr w:type="gramEnd"/>
      <w:r w:rsidRPr="00DA2B65">
        <w:rPr>
          <w:rFonts w:ascii="Times New Roman" w:eastAsia="Times New Roman" w:hAnsi="Times New Roman" w:cs="Times New Roman"/>
          <w:color w:val="FF0000"/>
          <w:sz w:val="20"/>
          <w:szCs w:val="20"/>
        </w:rPr>
        <w:t xml:space="preserve"> nota de empenho; </w:t>
      </w:r>
    </w:p>
    <w:p w14:paraId="1F21F7D9" w14:textId="40359B70"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DA2B65">
        <w:rPr>
          <w:rFonts w:ascii="Times New Roman" w:eastAsia="Times New Roman" w:hAnsi="Times New Roman" w:cs="Times New Roman"/>
          <w:color w:val="FF0000"/>
          <w:sz w:val="20"/>
          <w:szCs w:val="20"/>
        </w:rPr>
        <w:t xml:space="preserve">III - os comprovantes da entrega de material ou da prestação efetiva do serviço.  </w:t>
      </w:r>
    </w:p>
    <w:p w14:paraId="59898F6C" w14:textId="530D502F" w:rsidR="257865AE" w:rsidRPr="00DA2B65" w:rsidRDefault="257865AE" w:rsidP="00DA2B65">
      <w:pPr>
        <w:spacing w:after="0" w:line="240" w:lineRule="auto"/>
        <w:ind w:left="2268"/>
        <w:jc w:val="both"/>
        <w:rPr>
          <w:rFonts w:ascii="Times New Roman" w:eastAsia="Times New Roman" w:hAnsi="Times New Roman" w:cs="Times New Roman"/>
          <w:color w:val="FF0000"/>
          <w:sz w:val="20"/>
          <w:szCs w:val="20"/>
        </w:rPr>
      </w:pPr>
    </w:p>
    <w:p w14:paraId="18EBF6C0" w14:textId="00B80D9B"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r w:rsidRPr="00341D74">
        <w:rPr>
          <w:rFonts w:ascii="Times New Roman" w:eastAsia="Times New Roman" w:hAnsi="Times New Roman" w:cs="Times New Roman"/>
          <w:b/>
          <w:bCs/>
          <w:color w:val="FF0000"/>
          <w:sz w:val="20"/>
          <w:szCs w:val="20"/>
        </w:rPr>
        <w:t>Decreto n.</w:t>
      </w:r>
      <w:r w:rsidR="00341D74" w:rsidRPr="00341D74">
        <w:rPr>
          <w:rFonts w:ascii="Times New Roman" w:eastAsia="Times New Roman" w:hAnsi="Times New Roman" w:cs="Times New Roman"/>
          <w:b/>
          <w:bCs/>
          <w:color w:val="FF0000"/>
          <w:sz w:val="20"/>
          <w:szCs w:val="20"/>
        </w:rPr>
        <w:t>º</w:t>
      </w:r>
      <w:r w:rsidRPr="00341D74">
        <w:rPr>
          <w:rFonts w:ascii="Times New Roman" w:eastAsia="Times New Roman" w:hAnsi="Times New Roman" w:cs="Times New Roman"/>
          <w:b/>
          <w:bCs/>
          <w:color w:val="FF0000"/>
          <w:sz w:val="20"/>
          <w:szCs w:val="20"/>
        </w:rPr>
        <w:t xml:space="preserve"> 93.872, de 1986</w:t>
      </w:r>
    </w:p>
    <w:p w14:paraId="3835B887" w14:textId="6F7BD5F8" w:rsidR="18B8FA09" w:rsidRPr="00DA2B65" w:rsidRDefault="2EF11308" w:rsidP="00DA2B65">
      <w:pPr>
        <w:spacing w:after="0" w:line="240" w:lineRule="auto"/>
        <w:ind w:left="2268"/>
        <w:jc w:val="both"/>
        <w:rPr>
          <w:rFonts w:ascii="Times New Roman" w:eastAsia="Times New Roman" w:hAnsi="Times New Roman" w:cs="Times New Roman"/>
          <w:color w:val="FF0000"/>
          <w:sz w:val="20"/>
          <w:szCs w:val="20"/>
        </w:rPr>
      </w:pPr>
      <w:proofErr w:type="spellStart"/>
      <w:r w:rsidRPr="00DA2B65">
        <w:rPr>
          <w:rFonts w:ascii="Times New Roman" w:eastAsia="Times New Roman" w:hAnsi="Times New Roman" w:cs="Times New Roman"/>
          <w:color w:val="FF0000"/>
          <w:sz w:val="20"/>
          <w:szCs w:val="20"/>
        </w:rPr>
        <w:t>Art</w:t>
      </w:r>
      <w:proofErr w:type="spellEnd"/>
      <w:r w:rsidRPr="00DA2B65">
        <w:rPr>
          <w:rFonts w:ascii="Times New Roman" w:eastAsia="Times New Roman" w:hAnsi="Times New Roman" w:cs="Times New Roman"/>
          <w:color w:val="FF0000"/>
          <w:sz w:val="20"/>
          <w:szCs w:val="20"/>
        </w:rPr>
        <w:t xml:space="preserve"> 38. Não será permitido o pagamento antecipado de fornecimento de materiais, execução de obra, ou prestação de serviço, inclusive de utilidade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 </w:t>
      </w:r>
    </w:p>
    <w:p w14:paraId="406B4BD7" w14:textId="5EB0CEA2" w:rsidR="257865AE" w:rsidRPr="0066121D" w:rsidRDefault="257865AE" w:rsidP="64C763B2">
      <w:pPr>
        <w:spacing w:after="0" w:line="240" w:lineRule="auto"/>
        <w:ind w:left="1440"/>
        <w:jc w:val="both"/>
        <w:rPr>
          <w:rFonts w:ascii="Times New Roman" w:eastAsia="Times New Roman" w:hAnsi="Times New Roman" w:cs="Times New Roman"/>
          <w:color w:val="FF0000"/>
          <w:sz w:val="24"/>
          <w:szCs w:val="24"/>
        </w:rPr>
      </w:pPr>
    </w:p>
    <w:p w14:paraId="0BE19A87" w14:textId="409AAE3B"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A Orientação Normativa AGU nº 37/2011 nos seguintes termos: </w:t>
      </w:r>
    </w:p>
    <w:p w14:paraId="43526A5E" w14:textId="18D1CB12"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39775DD3" w14:textId="4BDF5D4A" w:rsidR="18B8FA09" w:rsidRPr="00341D74" w:rsidRDefault="2EF11308" w:rsidP="00341D74">
      <w:pPr>
        <w:spacing w:after="0" w:line="240" w:lineRule="auto"/>
        <w:ind w:left="2268"/>
        <w:jc w:val="both"/>
        <w:rPr>
          <w:rFonts w:ascii="Times New Roman" w:eastAsia="Times New Roman" w:hAnsi="Times New Roman" w:cs="Times New Roman"/>
          <w:color w:val="FF0000"/>
          <w:sz w:val="20"/>
          <w:szCs w:val="20"/>
        </w:rPr>
      </w:pPr>
      <w:r w:rsidRPr="00341D74">
        <w:rPr>
          <w:rFonts w:ascii="Times New Roman" w:eastAsia="Times New Roman" w:hAnsi="Times New Roman" w:cs="Times New Roman"/>
          <w:color w:val="FF0000"/>
          <w:sz w:val="20"/>
          <w:szCs w:val="20"/>
        </w:rPr>
        <w:t xml:space="preserve">A antecipação de pagamento somente deve ser admitida em situações excepcionais, devidamente justificada pela Administração, demonstrando-se a existência de interesse público, observados os seguintes critérios: 1) represente condição sem a qual não seja possível obter o bem ou assegurar a prestação do serviço, ou propicie sensível economia de recursos; 2) existência de previsão no edital de licitação ou nos instrumentos formais de contratação direta; e 3) adoção de indispensáveis garantias, como as do art. 56 da lei nº 8.666/93, ou cautelas, como por exemplo a previsão de devolução do valor antecipado caso não executado o objeto, a comprovação de execução de parte ou etapa do objeto e a emissão de título de crédito pelo contratado, entre outras. </w:t>
      </w:r>
    </w:p>
    <w:p w14:paraId="15F264F5" w14:textId="77777777" w:rsidR="00355299" w:rsidRDefault="00355299" w:rsidP="64C763B2">
      <w:pPr>
        <w:spacing w:after="0" w:line="240" w:lineRule="auto"/>
        <w:jc w:val="both"/>
        <w:rPr>
          <w:rFonts w:ascii="Times New Roman" w:eastAsia="Times New Roman" w:hAnsi="Times New Roman" w:cs="Times New Roman"/>
          <w:color w:val="FF0000"/>
          <w:sz w:val="24"/>
          <w:szCs w:val="24"/>
        </w:rPr>
      </w:pPr>
    </w:p>
    <w:p w14:paraId="4344D599" w14:textId="7938DFE6"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Considerando as premissas fixadas pela citada Orientação Normativa, admite-se a antecipação de pagamento em situações excepcionais, desde que devidamente justificadas pela Administração, demonstrando-se a existência de interesse público, observados os seguintes critérios: </w:t>
      </w:r>
    </w:p>
    <w:p w14:paraId="0DD1A30A" w14:textId="582491A1"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09FEEC3" w14:textId="53B25FBC"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a) demonstração de existência de interesse público para a antecipação; </w:t>
      </w:r>
    </w:p>
    <w:p w14:paraId="6A9ED358" w14:textId="4CCC878C"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b) represente condição sem a qual não seja possível obter o bem ou assegurar a prestação do serviço, ou propicie sensível economia de recursos; </w:t>
      </w:r>
    </w:p>
    <w:p w14:paraId="40FED0ED" w14:textId="0CD5A121"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c) existência de previsão no edital de licitação ou nos instrumentos formais de contratação direta; e </w:t>
      </w:r>
    </w:p>
    <w:p w14:paraId="3FD3D71D" w14:textId="0504F332" w:rsidR="18B8FA09" w:rsidRPr="00760653" w:rsidRDefault="2EF11308" w:rsidP="00760653">
      <w:pPr>
        <w:spacing w:after="0" w:line="240" w:lineRule="auto"/>
        <w:ind w:left="2268"/>
        <w:jc w:val="both"/>
        <w:rPr>
          <w:rFonts w:ascii="Times New Roman" w:eastAsia="Times New Roman" w:hAnsi="Times New Roman" w:cs="Times New Roman"/>
          <w:color w:val="FF0000"/>
          <w:sz w:val="20"/>
          <w:szCs w:val="20"/>
        </w:rPr>
      </w:pPr>
      <w:r w:rsidRPr="00760653">
        <w:rPr>
          <w:rFonts w:ascii="Times New Roman" w:eastAsia="Times New Roman" w:hAnsi="Times New Roman" w:cs="Times New Roman"/>
          <w:color w:val="FF0000"/>
          <w:sz w:val="20"/>
          <w:szCs w:val="20"/>
        </w:rPr>
        <w:t xml:space="preserve">d) adoção de indispensáveis garantias, como as do art. 56 da Lei n. 8.666, de 1993, ou cautelas, como por exemplo a previsão de devolução do valor antecipado caso não executado o objeto, a comprovação de execução de parte ou etapa do objeto e a emissão de título de crédito pelo contratado, entre outras. </w:t>
      </w:r>
    </w:p>
    <w:p w14:paraId="4E87D695" w14:textId="25B1E86F" w:rsidR="257865AE" w:rsidRPr="00760653" w:rsidRDefault="257865AE" w:rsidP="00760653">
      <w:pPr>
        <w:spacing w:after="0" w:line="240" w:lineRule="auto"/>
        <w:ind w:left="2268"/>
        <w:jc w:val="both"/>
        <w:rPr>
          <w:rFonts w:ascii="Times New Roman" w:eastAsia="Times New Roman" w:hAnsi="Times New Roman" w:cs="Times New Roman"/>
          <w:color w:val="FF0000"/>
          <w:sz w:val="20"/>
          <w:szCs w:val="20"/>
        </w:rPr>
      </w:pPr>
    </w:p>
    <w:p w14:paraId="146EF872" w14:textId="5A1D86A0"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 matéria é tratada na Lei nº 14.133</w:t>
      </w:r>
      <w:r w:rsidR="488ADBE9"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2021, nos moldes a seguir:  </w:t>
      </w:r>
    </w:p>
    <w:p w14:paraId="4FD2B05F" w14:textId="5034963C"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5AF0DCF" w14:textId="39600D4F"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Art. 145. Não será permitido pagamento antecipado, parcial ou total, relativo a parcelas contratuais vinculadas ao fornecimento de bens, à execução de obras ou à prestação de serviços. </w:t>
      </w:r>
    </w:p>
    <w:p w14:paraId="632749C5" w14:textId="16C307E3"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 1º A antecipação de pagamento somente será permitida se propiciar sensível economia de recursos ou se representar condição indispensável para a obtenção do bem ou para a prestação do serviço, hipótese que deverá ser previamente justificada no processo licitatório e expressamente prevista no edital de licitação ou instrumento formal de contratação direta. </w:t>
      </w:r>
    </w:p>
    <w:p w14:paraId="2DAEBE0A" w14:textId="401BFDB5"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 2º A Administração poderá exigir a prestação de garantia adicional como condição para o pagamento antecipado. </w:t>
      </w:r>
    </w:p>
    <w:p w14:paraId="1A76BEBE" w14:textId="1ECE07BE" w:rsidR="18B8FA09" w:rsidRPr="00292D11" w:rsidRDefault="2EF11308" w:rsidP="00292D11">
      <w:pPr>
        <w:spacing w:after="0" w:line="240" w:lineRule="auto"/>
        <w:ind w:left="2268"/>
        <w:jc w:val="both"/>
        <w:rPr>
          <w:rFonts w:ascii="Times New Roman" w:eastAsia="Times New Roman" w:hAnsi="Times New Roman" w:cs="Times New Roman"/>
          <w:color w:val="FF0000"/>
          <w:sz w:val="20"/>
          <w:szCs w:val="20"/>
        </w:rPr>
      </w:pPr>
      <w:r w:rsidRPr="00292D11">
        <w:rPr>
          <w:rFonts w:ascii="Times New Roman" w:eastAsia="Times New Roman" w:hAnsi="Times New Roman" w:cs="Times New Roman"/>
          <w:color w:val="FF0000"/>
          <w:sz w:val="20"/>
          <w:szCs w:val="20"/>
        </w:rPr>
        <w:t xml:space="preserve">§ 3º Caso o objeto não seja executado no prazo contratual, o valor antecipado deverá ser devolvido. </w:t>
      </w:r>
    </w:p>
    <w:p w14:paraId="24419875" w14:textId="24EA943D" w:rsidR="257865AE" w:rsidRPr="00292D11" w:rsidRDefault="257865AE" w:rsidP="00292D11">
      <w:pPr>
        <w:spacing w:after="0" w:line="240" w:lineRule="auto"/>
        <w:ind w:left="2268"/>
        <w:jc w:val="both"/>
        <w:rPr>
          <w:rFonts w:ascii="Times New Roman" w:eastAsia="Times New Roman" w:hAnsi="Times New Roman" w:cs="Times New Roman"/>
          <w:color w:val="FF0000"/>
          <w:sz w:val="20"/>
          <w:szCs w:val="20"/>
        </w:rPr>
      </w:pPr>
    </w:p>
    <w:p w14:paraId="21513B40" w14:textId="03BBF9F0"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lastRenderedPageBreak/>
        <w:t>Recomenda-se, nesses termos, que a Administração instrua os autos com justificativa da excepcionalidade da situação, observando o teor do art. 145 da Lei n.</w:t>
      </w:r>
      <w:r w:rsidR="002A7A09">
        <w:rPr>
          <w:rFonts w:ascii="Times New Roman" w:eastAsia="Times New Roman" w:hAnsi="Times New Roman" w:cs="Times New Roman"/>
          <w:color w:val="FF0000"/>
          <w:sz w:val="24"/>
          <w:szCs w:val="24"/>
        </w:rPr>
        <w:t>º</w:t>
      </w:r>
      <w:r w:rsidRPr="0066121D">
        <w:rPr>
          <w:rFonts w:ascii="Times New Roman" w:eastAsia="Times New Roman" w:hAnsi="Times New Roman" w:cs="Times New Roman"/>
          <w:color w:val="FF0000"/>
          <w:sz w:val="24"/>
          <w:szCs w:val="24"/>
        </w:rPr>
        <w:t xml:space="preserve"> 14.133</w:t>
      </w:r>
      <w:r w:rsidR="449DE542"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2021, esclarecendo se estão presentes as condições necessárias à antecipação de pagamento, em especial quanto às cautelas e garantias para fiel execução do objeto ajustado. </w:t>
      </w:r>
    </w:p>
    <w:p w14:paraId="4B3E4525" w14:textId="70292B69"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6ED5ABE" w14:textId="76BE214D" w:rsidR="18B8FA09" w:rsidRPr="0066121D" w:rsidRDefault="2EF11308"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Caso o objeto não seja executado no prazo contratual, o valor antecipado deverá ser devolvido (art. 145, §3º). Nessa senda, havendo pagamento antecipado, deve ser prevista em concreto no instrumento do contrato a respectiva devolução. </w:t>
      </w:r>
    </w:p>
    <w:p w14:paraId="771ACD8D" w14:textId="2936E5B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0786216D" w14:textId="3BFA72E2" w:rsidR="18B8FA09" w:rsidRPr="0066121D" w:rsidRDefault="2EF11308"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 xml:space="preserve">No caso, a Administração demonstrou no doc. SEI n. XXX/à fl. a presença dos requisitos que autorizam o pagamento antecipado.   </w:t>
      </w:r>
    </w:p>
    <w:p w14:paraId="0E8F6902" w14:textId="002D2BC0" w:rsidR="18B8FA09" w:rsidRPr="002A7A09" w:rsidRDefault="2EF11308" w:rsidP="002A7A09">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002A7A09">
        <w:rPr>
          <w:rFonts w:ascii="Times New Roman" w:eastAsia="Times New Roman" w:hAnsi="Times New Roman" w:cs="Times New Roman"/>
          <w:b/>
          <w:bCs/>
          <w:color w:val="FF0000"/>
          <w:sz w:val="24"/>
          <w:szCs w:val="24"/>
          <w:highlight w:val="cyan"/>
          <w:u w:val="single"/>
        </w:rPr>
        <w:t xml:space="preserve">OU </w:t>
      </w:r>
    </w:p>
    <w:p w14:paraId="0EB4AC02" w14:textId="5A3D60F1" w:rsidR="00105D92" w:rsidRPr="00105D92" w:rsidRDefault="2EF11308" w:rsidP="008F5ADC">
      <w:pPr>
        <w:spacing w:after="0" w:line="240" w:lineRule="auto"/>
        <w:ind w:firstLine="708"/>
        <w:jc w:val="both"/>
        <w:rPr>
          <w:rFonts w:ascii="Times New Roman" w:eastAsia="Times New Roman" w:hAnsi="Times New Roman" w:cs="Times New Roman"/>
          <w:color w:val="FF0000"/>
          <w:sz w:val="24"/>
          <w:szCs w:val="24"/>
          <w:highlight w:val="cyan"/>
        </w:rPr>
      </w:pPr>
      <w:r w:rsidRPr="5D8365CD">
        <w:rPr>
          <w:rFonts w:ascii="Times New Roman" w:eastAsia="Times New Roman" w:hAnsi="Times New Roman" w:cs="Times New Roman"/>
          <w:color w:val="FF0000"/>
          <w:sz w:val="24"/>
          <w:szCs w:val="24"/>
          <w:highlight w:val="cyan"/>
        </w:rPr>
        <w:t>No caso, os requisitos que autorizam o pagamento antecipado não foram observados, cabendo providência nesse sentido, especialmente quanto (indicar os requisitos que não foram cumpridos).</w:t>
      </w:r>
    </w:p>
    <w:p w14:paraId="213156B8" w14:textId="77777777" w:rsidR="00105D92" w:rsidRDefault="00105D92" w:rsidP="64C763B2">
      <w:pPr>
        <w:spacing w:after="0" w:line="240" w:lineRule="auto"/>
        <w:rPr>
          <w:rFonts w:ascii="Times New Roman" w:eastAsia="Times New Roman" w:hAnsi="Times New Roman" w:cs="Times New Roman"/>
          <w:sz w:val="24"/>
          <w:szCs w:val="24"/>
        </w:rPr>
      </w:pPr>
    </w:p>
    <w:p w14:paraId="60613E94" w14:textId="61E34469" w:rsidR="00934FDC" w:rsidRPr="0066121D" w:rsidRDefault="738490E2" w:rsidP="64C763B2">
      <w:pPr>
        <w:spacing w:after="0" w:line="240" w:lineRule="auto"/>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 xml:space="preserve">DA MINUTA PADRONIZADA </w:t>
      </w:r>
      <w:r w:rsidR="023DBC99" w:rsidRPr="0066121D">
        <w:rPr>
          <w:rFonts w:ascii="Times New Roman" w:eastAsia="Times New Roman" w:hAnsi="Times New Roman" w:cs="Times New Roman"/>
          <w:b/>
          <w:bCs/>
          <w:sz w:val="24"/>
          <w:szCs w:val="24"/>
        </w:rPr>
        <w:t>DE</w:t>
      </w:r>
      <w:r w:rsidRPr="0066121D">
        <w:rPr>
          <w:rFonts w:ascii="Times New Roman" w:eastAsia="Times New Roman" w:hAnsi="Times New Roman" w:cs="Times New Roman"/>
          <w:b/>
          <w:bCs/>
          <w:sz w:val="24"/>
          <w:szCs w:val="24"/>
        </w:rPr>
        <w:t xml:space="preserve"> CONTRATO </w:t>
      </w:r>
    </w:p>
    <w:p w14:paraId="6999D562" w14:textId="463ED877" w:rsidR="00934FDC" w:rsidRPr="0066121D" w:rsidRDefault="51650439"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239AF732" w14:textId="5D702E59"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Recomenda-se a utilização das minutas disponibilizadas pela AGU, conforme art. 19, IV, § 2º, c/c art. 25, § 1º, da Lei nº 14.133</w:t>
      </w:r>
      <w:r w:rsidR="6862739A"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2021, bem como que as alterações realizadas nos modelos sejam destacadas visualmente e justificadas por escrito no processo (art. 19, § 2º, da Lei nº 14.133</w:t>
      </w:r>
      <w:r w:rsidR="546034AB"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 xml:space="preserve">2021).    </w:t>
      </w:r>
    </w:p>
    <w:p w14:paraId="7B306976" w14:textId="16CE0111"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728D772C" w14:textId="6515A4B1" w:rsidR="00934FDC" w:rsidRPr="0066121D" w:rsidRDefault="738490E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66121D">
        <w:rPr>
          <w:rFonts w:ascii="Times New Roman" w:eastAsia="Times New Roman" w:hAnsi="Times New Roman" w:cs="Times New Roman"/>
          <w:color w:val="FF0000"/>
          <w:sz w:val="24"/>
          <w:szCs w:val="24"/>
        </w:rPr>
        <w:t xml:space="preserve">: </w:t>
      </w:r>
    </w:p>
    <w:p w14:paraId="20871EBA" w14:textId="693213DC"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65D6538A" w14:textId="7FBCD909" w:rsidR="001C0AE8" w:rsidRPr="00313D8C" w:rsidRDefault="738490E2" w:rsidP="00105D92">
      <w:pPr>
        <w:spacing w:after="0" w:line="240" w:lineRule="auto"/>
        <w:ind w:left="2268"/>
        <w:jc w:val="both"/>
        <w:rPr>
          <w:rFonts w:ascii="Times New Roman" w:eastAsia="Times New Roman" w:hAnsi="Times New Roman" w:cs="Times New Roman"/>
          <w:color w:val="FF0000"/>
          <w:sz w:val="20"/>
          <w:szCs w:val="20"/>
        </w:rPr>
      </w:pPr>
      <w:r w:rsidRPr="00313D8C">
        <w:rPr>
          <w:rFonts w:ascii="Times New Roman" w:eastAsia="Times New Roman" w:hAnsi="Times New Roman" w:cs="Times New Roman"/>
          <w:color w:val="FF0000"/>
          <w:sz w:val="20"/>
          <w:szCs w:val="20"/>
        </w:rPr>
        <w:t>A atuação consultiva na análise de processos de contratação pública deve fomentar a utilização das listas de verificação documental (</w:t>
      </w:r>
      <w:proofErr w:type="spellStart"/>
      <w:r w:rsidRPr="00313D8C">
        <w:rPr>
          <w:rFonts w:ascii="Times New Roman" w:eastAsia="Times New Roman" w:hAnsi="Times New Roman" w:cs="Times New Roman"/>
          <w:color w:val="FF0000"/>
          <w:sz w:val="20"/>
          <w:szCs w:val="20"/>
        </w:rPr>
        <w:t>check</w:t>
      </w:r>
      <w:proofErr w:type="spellEnd"/>
      <w:r w:rsidRPr="00313D8C">
        <w:rPr>
          <w:rFonts w:ascii="Times New Roman" w:eastAsia="Times New Roman" w:hAnsi="Times New Roman" w:cs="Times New Roman"/>
          <w:color w:val="FF0000"/>
          <w:sz w:val="20"/>
          <w:szCs w:val="20"/>
        </w:rPr>
        <w:t xml:space="preserve"> </w:t>
      </w:r>
      <w:proofErr w:type="spellStart"/>
      <w:r w:rsidRPr="00313D8C">
        <w:rPr>
          <w:rFonts w:ascii="Times New Roman" w:eastAsia="Times New Roman" w:hAnsi="Times New Roman" w:cs="Times New Roman"/>
          <w:color w:val="FF0000"/>
          <w:sz w:val="20"/>
          <w:szCs w:val="20"/>
        </w:rPr>
        <w:t>lists</w:t>
      </w:r>
      <w:proofErr w:type="spellEnd"/>
      <w:r w:rsidRPr="00313D8C">
        <w:rPr>
          <w:rFonts w:ascii="Times New Roman" w:eastAsia="Times New Roman" w:hAnsi="Times New Roman" w:cs="Times New Roman"/>
          <w:color w:val="FF0000"/>
          <w:sz w:val="20"/>
          <w:szCs w:val="20"/>
        </w:rPr>
        <w:t>), do Guia Nacional de Licitações Sustentáveis e das minutas de editais, contratos, convênios e congêneres, disponibilizadas nos sítios eletrônicos da Advocacia-Geral da União e da Procuradoria-Geral da Fazenda Nacional.</w:t>
      </w:r>
    </w:p>
    <w:p w14:paraId="4FF22AAF" w14:textId="7D467249" w:rsidR="00934FDC" w:rsidRDefault="51650439" w:rsidP="00313D8C">
      <w:pPr>
        <w:spacing w:after="0" w:line="240" w:lineRule="auto"/>
        <w:ind w:left="2268"/>
        <w:jc w:val="both"/>
        <w:rPr>
          <w:rFonts w:ascii="Times New Roman" w:eastAsia="Times New Roman" w:hAnsi="Times New Roman" w:cs="Times New Roman"/>
          <w:color w:val="FF0000"/>
          <w:sz w:val="20"/>
          <w:szCs w:val="20"/>
        </w:rPr>
      </w:pPr>
      <w:r w:rsidRPr="00313D8C">
        <w:rPr>
          <w:rFonts w:ascii="Times New Roman" w:eastAsia="Times New Roman" w:hAnsi="Times New Roman" w:cs="Times New Roman"/>
          <w:color w:val="FF0000"/>
          <w:sz w:val="20"/>
          <w:szCs w:val="20"/>
        </w:rPr>
        <w:t>No intuito de padronização nacional, incumbe aos Órgãos Consultivos recomendar a utilização das minutas disponibilizadas pelos Órgãos de Direção Superior da AGU, cujas atualizações devem ser informadas aos assessorados.</w:t>
      </w:r>
    </w:p>
    <w:p w14:paraId="116AD06E" w14:textId="77777777" w:rsidR="001C0AE8" w:rsidRPr="00313D8C" w:rsidRDefault="001C0AE8" w:rsidP="00313D8C">
      <w:pPr>
        <w:spacing w:after="0" w:line="240" w:lineRule="auto"/>
        <w:ind w:left="2268"/>
        <w:jc w:val="both"/>
        <w:rPr>
          <w:rFonts w:ascii="Times New Roman" w:eastAsia="Times New Roman" w:hAnsi="Times New Roman" w:cs="Times New Roman"/>
          <w:color w:val="FF0000"/>
          <w:sz w:val="20"/>
          <w:szCs w:val="20"/>
        </w:rPr>
      </w:pPr>
    </w:p>
    <w:p w14:paraId="0C66DCB2" w14:textId="6B6FB0C0" w:rsidR="00934FDC" w:rsidRPr="00313D8C" w:rsidRDefault="51650439" w:rsidP="00313D8C">
      <w:pPr>
        <w:spacing w:after="0" w:line="240" w:lineRule="auto"/>
        <w:ind w:left="2268"/>
        <w:jc w:val="both"/>
        <w:rPr>
          <w:rFonts w:ascii="Times New Roman" w:eastAsia="Times New Roman" w:hAnsi="Times New Roman" w:cs="Times New Roman"/>
          <w:color w:val="FF0000"/>
          <w:sz w:val="20"/>
          <w:szCs w:val="20"/>
        </w:rPr>
      </w:pPr>
      <w:r w:rsidRPr="00313D8C">
        <w:rPr>
          <w:rFonts w:ascii="Times New Roman" w:eastAsia="Times New Roman" w:hAnsi="Times New Roman" w:cs="Times New Roman"/>
          <w:color w:val="FF0000"/>
          <w:sz w:val="20"/>
          <w:szCs w:val="20"/>
        </w:rPr>
        <w:t xml:space="preserve">Convém ainda que os Órgãos Consultivos </w:t>
      </w:r>
      <w:proofErr w:type="gramStart"/>
      <w:r w:rsidRPr="00313D8C">
        <w:rPr>
          <w:rFonts w:ascii="Times New Roman" w:eastAsia="Times New Roman" w:hAnsi="Times New Roman" w:cs="Times New Roman"/>
          <w:color w:val="FF0000"/>
          <w:sz w:val="20"/>
          <w:szCs w:val="20"/>
        </w:rPr>
        <w:t>articulem-se</w:t>
      </w:r>
      <w:proofErr w:type="gramEnd"/>
      <w:r w:rsidRPr="00313D8C">
        <w:rPr>
          <w:rFonts w:ascii="Times New Roman" w:eastAsia="Times New Roman" w:hAnsi="Times New Roman" w:cs="Times New Roman"/>
          <w:color w:val="FF0000"/>
          <w:sz w:val="20"/>
          <w:szCs w:val="20"/>
        </w:rPr>
        <w:t xml:space="preserve"> com os assessorados, de modo a que edições de texto por estes produzidas em concreto a partir das minutas-padrão sejam destacadas, visando a agilizar o exame jurídico posterior pela instância consultiva da AGU (grifos nossos).</w:t>
      </w:r>
    </w:p>
    <w:p w14:paraId="70D351DC" w14:textId="4B24EE76" w:rsidR="64C763B2" w:rsidRPr="0066121D" w:rsidRDefault="64C763B2" w:rsidP="64C763B2">
      <w:pPr>
        <w:spacing w:after="0" w:line="240" w:lineRule="auto"/>
        <w:ind w:left="1980"/>
        <w:jc w:val="both"/>
        <w:rPr>
          <w:rFonts w:ascii="Times New Roman" w:eastAsia="Times New Roman" w:hAnsi="Times New Roman" w:cs="Times New Roman"/>
          <w:color w:val="FF0000"/>
          <w:sz w:val="24"/>
          <w:szCs w:val="24"/>
        </w:rPr>
      </w:pPr>
    </w:p>
    <w:p w14:paraId="6C8FF4CC" w14:textId="43D28AA8" w:rsidR="00934FDC" w:rsidRPr="0066121D" w:rsidRDefault="738490E2"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610C6AE1" w14:textId="304BFEE4" w:rsidR="64C763B2" w:rsidRPr="0066121D" w:rsidRDefault="64C763B2" w:rsidP="64C763B2">
      <w:pPr>
        <w:spacing w:after="0" w:line="240" w:lineRule="auto"/>
        <w:rPr>
          <w:rFonts w:ascii="Times New Roman" w:eastAsia="Times New Roman" w:hAnsi="Times New Roman" w:cs="Times New Roman"/>
          <w:color w:val="000000" w:themeColor="text1"/>
          <w:sz w:val="24"/>
          <w:szCs w:val="24"/>
        </w:rPr>
      </w:pPr>
    </w:p>
    <w:p w14:paraId="1D0F5FC9" w14:textId="661472C5" w:rsidR="30204ABA" w:rsidRPr="0066121D" w:rsidRDefault="4D48D163"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Os requisitos e elementos a serem contemplados na minuta de contrato são aqueles previstos no art. 92,</w:t>
      </w:r>
      <w:r w:rsidRPr="0066121D">
        <w:rPr>
          <w:rFonts w:ascii="Times New Roman" w:eastAsia="Times New Roman" w:hAnsi="Times New Roman" w:cs="Times New Roman"/>
          <w:i/>
          <w:iCs/>
          <w:color w:val="000000" w:themeColor="text1"/>
          <w:sz w:val="24"/>
          <w:szCs w:val="24"/>
        </w:rPr>
        <w:t xml:space="preserve"> </w:t>
      </w:r>
      <w:r w:rsidRPr="0066121D">
        <w:rPr>
          <w:rFonts w:ascii="Times New Roman" w:eastAsia="Times New Roman" w:hAnsi="Times New Roman" w:cs="Times New Roman"/>
          <w:color w:val="000000" w:themeColor="text1"/>
          <w:sz w:val="24"/>
          <w:szCs w:val="24"/>
        </w:rPr>
        <w:t>da Lei nº 14.133</w:t>
      </w:r>
      <w:r w:rsidR="7246FC37"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2021, com as devidas adaptações às especificidades de cada contratação.</w:t>
      </w:r>
    </w:p>
    <w:p w14:paraId="7B8BF8A7" w14:textId="0DC3861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D5AD17A" w14:textId="417F41E0" w:rsidR="7500CD78" w:rsidRPr="0066121D" w:rsidRDefault="4DE62AAE"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000000" w:themeColor="text1"/>
          <w:sz w:val="24"/>
          <w:szCs w:val="24"/>
        </w:rPr>
        <w:lastRenderedPageBreak/>
        <w:t>No caso, verifica-se que a Administração utilizou o modelo da minuta disponibilizado pela Advocacia-Geral da União</w:t>
      </w:r>
      <w:r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color w:val="FF0000"/>
          <w:sz w:val="24"/>
          <w:szCs w:val="24"/>
        </w:rPr>
        <w:t>[INDICAR OS MODELOS DA AGU]</w:t>
      </w:r>
      <w:r w:rsidRPr="0066121D">
        <w:rPr>
          <w:rFonts w:ascii="Times New Roman" w:eastAsia="Times New Roman" w:hAnsi="Times New Roman" w:cs="Times New Roman"/>
          <w:color w:val="000000" w:themeColor="text1"/>
          <w:sz w:val="24"/>
          <w:szCs w:val="24"/>
        </w:rPr>
        <w:t xml:space="preserve">, conforme certificação processual </w:t>
      </w:r>
      <w:r w:rsidRPr="0066121D">
        <w:rPr>
          <w:rFonts w:ascii="Times New Roman" w:eastAsia="Times New Roman" w:hAnsi="Times New Roman" w:cs="Times New Roman"/>
          <w:color w:val="FF0000"/>
          <w:sz w:val="24"/>
          <w:szCs w:val="24"/>
        </w:rPr>
        <w:t>às fls. XXX/ doc. SEI n. XXX.</w:t>
      </w:r>
    </w:p>
    <w:p w14:paraId="7CDD4176" w14:textId="77777777" w:rsidR="00105D92" w:rsidRPr="0066121D" w:rsidRDefault="00105D92" w:rsidP="64C763B2">
      <w:pPr>
        <w:spacing w:after="0" w:line="240" w:lineRule="auto"/>
        <w:rPr>
          <w:rFonts w:ascii="Times New Roman" w:eastAsia="Times New Roman" w:hAnsi="Times New Roman" w:cs="Times New Roman"/>
          <w:sz w:val="24"/>
          <w:szCs w:val="24"/>
        </w:rPr>
      </w:pPr>
    </w:p>
    <w:tbl>
      <w:tblPr>
        <w:tblW w:w="9112" w:type="dxa"/>
        <w:tblLayout w:type="fixed"/>
        <w:tblLook w:val="04A0" w:firstRow="1" w:lastRow="0" w:firstColumn="1" w:lastColumn="0" w:noHBand="0" w:noVBand="1"/>
      </w:tblPr>
      <w:tblGrid>
        <w:gridCol w:w="9112"/>
      </w:tblGrid>
      <w:tr w:rsidR="554FFC2B" w:rsidRPr="0066121D" w14:paraId="1E9C692B" w14:textId="77777777" w:rsidTr="64C763B2">
        <w:trPr>
          <w:trHeight w:val="2730"/>
        </w:trPr>
        <w:tc>
          <w:tcPr>
            <w:tcW w:w="9112" w:type="dxa"/>
            <w:tcBorders>
              <w:top w:val="inset" w:sz="8" w:space="0" w:color="auto"/>
              <w:left w:val="inset" w:sz="8" w:space="0" w:color="auto"/>
              <w:bottom w:val="inset" w:sz="8" w:space="0" w:color="auto"/>
              <w:right w:val="inset" w:sz="8" w:space="0" w:color="auto"/>
            </w:tcBorders>
            <w:vAlign w:val="center"/>
          </w:tcPr>
          <w:p w14:paraId="2836B62B" w14:textId="0C9F63AE" w:rsidR="554FFC2B" w:rsidRPr="0066121D" w:rsidRDefault="43FB6B1F"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i/>
                <w:iCs/>
                <w:color w:val="000000" w:themeColor="text1"/>
                <w:sz w:val="24"/>
                <w:szCs w:val="24"/>
                <w:highlight w:val="yellow"/>
              </w:rPr>
              <w:t xml:space="preserve">Nota Explicativa: </w:t>
            </w:r>
            <w:r w:rsidRPr="0066121D">
              <w:rPr>
                <w:rFonts w:ascii="Times New Roman" w:eastAsia="Times New Roman" w:hAnsi="Times New Roman" w:cs="Times New Roman"/>
                <w:color w:val="000000" w:themeColor="text1"/>
                <w:sz w:val="24"/>
                <w:szCs w:val="24"/>
                <w:highlight w:val="yellow"/>
              </w:rPr>
              <w:t xml:space="preserve">O apontamento de eventuais falhas, retificações e esclarecimentos relativos ao conteúdo da minuta de </w:t>
            </w:r>
            <w:r w:rsidR="676A65B7" w:rsidRPr="0066121D">
              <w:rPr>
                <w:rFonts w:ascii="Times New Roman" w:eastAsia="Times New Roman" w:hAnsi="Times New Roman" w:cs="Times New Roman"/>
                <w:color w:val="000000" w:themeColor="text1"/>
                <w:sz w:val="24"/>
                <w:szCs w:val="24"/>
                <w:highlight w:val="yellow"/>
              </w:rPr>
              <w:t>contrato</w:t>
            </w:r>
            <w:r w:rsidRPr="0066121D">
              <w:rPr>
                <w:rFonts w:ascii="Times New Roman" w:eastAsia="Times New Roman" w:hAnsi="Times New Roman" w:cs="Times New Roman"/>
                <w:color w:val="000000" w:themeColor="text1"/>
                <w:sz w:val="24"/>
                <w:szCs w:val="24"/>
                <w:highlight w:val="yellow"/>
              </w:rPr>
              <w:t xml:space="preserve">, se for o caso, deverá ser feito de acordo com a situação concreta a ser analisada, tomando-se por base, inclusive, as orientações constantes no modelo de minuta de </w:t>
            </w:r>
            <w:r w:rsidR="36C345F1" w:rsidRPr="0066121D">
              <w:rPr>
                <w:rFonts w:ascii="Times New Roman" w:eastAsia="Times New Roman" w:hAnsi="Times New Roman" w:cs="Times New Roman"/>
                <w:color w:val="000000" w:themeColor="text1"/>
                <w:sz w:val="24"/>
                <w:szCs w:val="24"/>
                <w:highlight w:val="yellow"/>
              </w:rPr>
              <w:t>contrato</w:t>
            </w:r>
            <w:r w:rsidRPr="0066121D">
              <w:rPr>
                <w:rFonts w:ascii="Times New Roman" w:eastAsia="Times New Roman" w:hAnsi="Times New Roman" w:cs="Times New Roman"/>
                <w:color w:val="000000" w:themeColor="text1"/>
                <w:sz w:val="24"/>
                <w:szCs w:val="24"/>
                <w:highlight w:val="yellow"/>
              </w:rPr>
              <w:t xml:space="preserve"> elaborado pela Câmara Nacional de Modelos de Licitações e Contratos da AGU.</w:t>
            </w:r>
          </w:p>
          <w:p w14:paraId="6786B915" w14:textId="43517D5E" w:rsidR="554FFC2B" w:rsidRPr="0066121D" w:rsidRDefault="43FB6B1F"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632A66E6" w14:textId="120B0C9A" w:rsidR="554FFC2B" w:rsidRPr="0066121D" w:rsidRDefault="43FB6B1F"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color w:val="000000" w:themeColor="text1"/>
                <w:sz w:val="24"/>
                <w:szCs w:val="24"/>
                <w:highlight w:val="yellow"/>
              </w:rPr>
              <w:t>Nas hipóteses sob comento, deverá ser utilizado o texto abaixo colacionado, com indicação das recomendações consideradas necessárias pelo órgão consultivo.</w:t>
            </w:r>
          </w:p>
        </w:tc>
      </w:tr>
    </w:tbl>
    <w:p w14:paraId="6333C227" w14:textId="77777777" w:rsidR="008F5ADC" w:rsidRDefault="008F5ADC" w:rsidP="00AC082E">
      <w:pPr>
        <w:spacing w:after="0" w:line="240" w:lineRule="auto"/>
        <w:rPr>
          <w:rFonts w:ascii="Times New Roman" w:eastAsia="Times New Roman" w:hAnsi="Times New Roman" w:cs="Times New Roman"/>
          <w:color w:val="000000" w:themeColor="text1"/>
          <w:sz w:val="24"/>
          <w:szCs w:val="24"/>
          <w:highlight w:val="cyan"/>
        </w:rPr>
      </w:pPr>
    </w:p>
    <w:p w14:paraId="0CB4B65D" w14:textId="3DC25496" w:rsidR="09905911" w:rsidRPr="0066121D" w:rsidRDefault="0149409A" w:rsidP="00AC082E">
      <w:pPr>
        <w:spacing w:after="0" w:line="240" w:lineRule="auto"/>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A minuta de contrato está presente às</w:t>
      </w:r>
      <w:r w:rsidRPr="5D8365CD">
        <w:rPr>
          <w:rFonts w:ascii="Times New Roman" w:eastAsia="Times New Roman" w:hAnsi="Times New Roman" w:cs="Times New Roman"/>
          <w:color w:val="FF0000"/>
          <w:sz w:val="24"/>
          <w:szCs w:val="24"/>
          <w:highlight w:val="cyan"/>
        </w:rPr>
        <w:t xml:space="preserve"> fls. XXX/ao doc. SEI n. XXX</w:t>
      </w:r>
      <w:r w:rsidRPr="5D8365CD">
        <w:rPr>
          <w:rFonts w:ascii="Times New Roman" w:eastAsia="Times New Roman" w:hAnsi="Times New Roman" w:cs="Times New Roman"/>
          <w:color w:val="000000" w:themeColor="text1"/>
          <w:sz w:val="24"/>
          <w:szCs w:val="24"/>
          <w:highlight w:val="cyan"/>
        </w:rPr>
        <w:t xml:space="preserve"> e encontra-se formalmente em ordem.</w:t>
      </w:r>
    </w:p>
    <w:p w14:paraId="74CFBFB0" w14:textId="7833C991" w:rsidR="09905911" w:rsidRPr="00AC082E" w:rsidRDefault="0149409A" w:rsidP="00AC082E">
      <w:pPr>
        <w:spacing w:after="0" w:line="240" w:lineRule="auto"/>
        <w:ind w:firstLine="708"/>
        <w:jc w:val="both"/>
        <w:rPr>
          <w:rFonts w:ascii="Times New Roman" w:eastAsia="Times New Roman" w:hAnsi="Times New Roman" w:cs="Times New Roman"/>
          <w:color w:val="000000" w:themeColor="text1"/>
          <w:sz w:val="24"/>
          <w:szCs w:val="24"/>
          <w:u w:val="single"/>
        </w:rPr>
      </w:pPr>
      <w:r w:rsidRPr="00AC082E">
        <w:rPr>
          <w:rFonts w:ascii="Times New Roman" w:eastAsia="Times New Roman" w:hAnsi="Times New Roman" w:cs="Times New Roman"/>
          <w:b/>
          <w:bCs/>
          <w:color w:val="000000" w:themeColor="text1"/>
          <w:sz w:val="24"/>
          <w:szCs w:val="24"/>
          <w:highlight w:val="cyan"/>
          <w:u w:val="single"/>
        </w:rPr>
        <w:t>OU</w:t>
      </w:r>
      <w:r w:rsidRPr="00AC082E">
        <w:rPr>
          <w:rFonts w:ascii="Times New Roman" w:eastAsia="Times New Roman" w:hAnsi="Times New Roman" w:cs="Times New Roman"/>
          <w:color w:val="000000" w:themeColor="text1"/>
          <w:sz w:val="24"/>
          <w:szCs w:val="24"/>
          <w:u w:val="single"/>
        </w:rPr>
        <w:t xml:space="preserve"> </w:t>
      </w:r>
    </w:p>
    <w:p w14:paraId="241B92A2" w14:textId="2982E48C" w:rsidR="09905911" w:rsidRPr="0066121D" w:rsidRDefault="0149409A" w:rsidP="008F5ADC">
      <w:pPr>
        <w:spacing w:after="0" w:line="240" w:lineRule="auto"/>
        <w:ind w:firstLine="708"/>
        <w:jc w:val="both"/>
        <w:rPr>
          <w:rFonts w:ascii="Times New Roman" w:eastAsia="Times New Roman" w:hAnsi="Times New Roman" w:cs="Times New Roman"/>
          <w:sz w:val="24"/>
          <w:szCs w:val="24"/>
          <w:highlight w:val="cyan"/>
        </w:rPr>
      </w:pPr>
      <w:r w:rsidRPr="5D8365CD">
        <w:rPr>
          <w:rFonts w:ascii="Times New Roman" w:eastAsia="Times New Roman" w:hAnsi="Times New Roman" w:cs="Times New Roman"/>
          <w:sz w:val="24"/>
          <w:szCs w:val="24"/>
          <w:highlight w:val="cyan"/>
        </w:rPr>
        <w:t xml:space="preserve">Sem embargo disso, quanto ao conteúdo das alterações destacadas ou das partes editáveis das minutas, </w:t>
      </w:r>
      <w:r w:rsidRPr="5D8365CD">
        <w:rPr>
          <w:rFonts w:ascii="Times New Roman" w:eastAsia="Times New Roman" w:hAnsi="Times New Roman" w:cs="Times New Roman"/>
          <w:color w:val="FF0000"/>
          <w:sz w:val="24"/>
          <w:szCs w:val="24"/>
          <w:highlight w:val="cyan"/>
        </w:rPr>
        <w:t>constata-se a necessidade de atendimento adicional às recomendações abaixo, a saber:</w:t>
      </w:r>
    </w:p>
    <w:p w14:paraId="1D169888" w14:textId="725BC076" w:rsidR="64C763B2" w:rsidRPr="0066121D" w:rsidRDefault="64C763B2" w:rsidP="64C763B2">
      <w:pPr>
        <w:spacing w:after="0" w:line="240" w:lineRule="auto"/>
        <w:jc w:val="both"/>
        <w:rPr>
          <w:rFonts w:ascii="Times New Roman" w:eastAsia="Times New Roman" w:hAnsi="Times New Roman" w:cs="Times New Roman"/>
          <w:sz w:val="24"/>
          <w:szCs w:val="24"/>
          <w:highlight w:val="cyan"/>
        </w:rPr>
      </w:pPr>
    </w:p>
    <w:p w14:paraId="79D07143" w14:textId="460C1C9F" w:rsidR="2256E116" w:rsidRPr="002B2EF1" w:rsidRDefault="6AD637FC" w:rsidP="00040C45">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indicar o índice adequado para o reajustamento dos custos decorrentes do mercado, preenchendo o subitem XXX. Para tanto, devem ser adotadas as orientações abaixo:</w:t>
      </w:r>
    </w:p>
    <w:p w14:paraId="2C2D1963" w14:textId="5616EE09"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1) adotar o índice específico ou setorial que guarde a maior correlação possível com o segmento econômico em que estejam inseridos tais insumos diversos;</w:t>
      </w:r>
    </w:p>
    <w:p w14:paraId="4A405B90" w14:textId="4DB13870"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7218760B" w14:textId="4192BE19"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FF0000"/>
          <w:sz w:val="20"/>
          <w:szCs w:val="20"/>
        </w:rPr>
      </w:pPr>
      <w:r w:rsidRPr="002B2EF1">
        <w:rPr>
          <w:rFonts w:ascii="Times New Roman" w:eastAsia="Times New Roman" w:hAnsi="Times New Roman" w:cs="Times New Roman"/>
          <w:color w:val="FF0000"/>
          <w:sz w:val="20"/>
          <w:szCs w:val="20"/>
        </w:rPr>
        <w:t>3) na falta de qualquer índice geral com a característica do item anterior, adotar o Índice Nacional de Preços ao Consumidor Amplo - IPCA/IBGE.</w:t>
      </w:r>
    </w:p>
    <w:p w14:paraId="2563C0EF" w14:textId="02423CD8" w:rsidR="2256E116" w:rsidRPr="002B2EF1" w:rsidRDefault="6AD637FC" w:rsidP="002B2EF1">
      <w:pPr>
        <w:tabs>
          <w:tab w:val="left" w:pos="2552"/>
        </w:tabs>
        <w:spacing w:after="0" w:line="240" w:lineRule="auto"/>
        <w:ind w:left="2268"/>
        <w:jc w:val="both"/>
        <w:rPr>
          <w:rFonts w:ascii="Times New Roman" w:eastAsia="Times New Roman" w:hAnsi="Times New Roman" w:cs="Times New Roman"/>
          <w:color w:val="000000" w:themeColor="text1"/>
          <w:sz w:val="20"/>
          <w:szCs w:val="20"/>
        </w:rPr>
      </w:pPr>
      <w:r w:rsidRPr="002B2EF1">
        <w:rPr>
          <w:rFonts w:ascii="Times New Roman" w:eastAsia="Times New Roman" w:hAnsi="Times New Roman" w:cs="Times New Roman"/>
          <w:b/>
          <w:bCs/>
          <w:color w:val="FF0000"/>
          <w:sz w:val="20"/>
          <w:szCs w:val="20"/>
        </w:rPr>
        <w:t>Qualquer que seja o índice utilizado, deverá haver a justificativa técnica de sua escolha</w:t>
      </w:r>
      <w:r w:rsidRPr="002B2EF1">
        <w:rPr>
          <w:rFonts w:ascii="Times New Roman" w:eastAsia="Times New Roman" w:hAnsi="Times New Roman" w:cs="Times New Roman"/>
          <w:color w:val="FF0000"/>
          <w:sz w:val="20"/>
          <w:szCs w:val="20"/>
        </w:rPr>
        <w:t xml:space="preserve"> (item 7, b, do anexo IX da IN SEGES/MP nº 05</w:t>
      </w:r>
      <w:r w:rsidR="49131022" w:rsidRPr="002B2EF1">
        <w:rPr>
          <w:rFonts w:ascii="Times New Roman" w:eastAsia="Times New Roman" w:hAnsi="Times New Roman" w:cs="Times New Roman"/>
          <w:color w:val="FF0000"/>
          <w:sz w:val="20"/>
          <w:szCs w:val="20"/>
        </w:rPr>
        <w:t>,</w:t>
      </w:r>
      <w:r w:rsidR="6C6497F5" w:rsidRPr="002B2EF1">
        <w:rPr>
          <w:rFonts w:ascii="Times New Roman" w:eastAsia="Times New Roman" w:hAnsi="Times New Roman" w:cs="Times New Roman"/>
          <w:color w:val="FF0000"/>
          <w:sz w:val="20"/>
          <w:szCs w:val="20"/>
        </w:rPr>
        <w:t xml:space="preserve"> de </w:t>
      </w:r>
      <w:r w:rsidRPr="002B2EF1">
        <w:rPr>
          <w:rFonts w:ascii="Times New Roman" w:eastAsia="Times New Roman" w:hAnsi="Times New Roman" w:cs="Times New Roman"/>
          <w:color w:val="FF0000"/>
          <w:sz w:val="20"/>
          <w:szCs w:val="20"/>
        </w:rPr>
        <w:t>2017</w:t>
      </w:r>
      <w:r w:rsidR="4134F32F" w:rsidRPr="002B2EF1">
        <w:rPr>
          <w:rFonts w:ascii="Times New Roman" w:eastAsia="Times New Roman" w:hAnsi="Times New Roman" w:cs="Times New Roman"/>
          <w:color w:val="FF0000"/>
          <w:sz w:val="20"/>
          <w:szCs w:val="20"/>
        </w:rPr>
        <w:t>,</w:t>
      </w:r>
      <w:r w:rsidRPr="002B2EF1">
        <w:rPr>
          <w:rFonts w:ascii="Times New Roman" w:eastAsia="Times New Roman" w:hAnsi="Times New Roman" w:cs="Times New Roman"/>
          <w:color w:val="FF0000"/>
          <w:sz w:val="20"/>
          <w:szCs w:val="20"/>
        </w:rPr>
        <w:t xml:space="preserve"> c/c item III da Conclusão DEPCONSU/PGF/AGU Nº 38/2013);</w:t>
      </w:r>
    </w:p>
    <w:p w14:paraId="68986DC6" w14:textId="5D70A097" w:rsidR="257865AE" w:rsidRPr="0066121D" w:rsidRDefault="257865AE" w:rsidP="64C763B2">
      <w:pPr>
        <w:spacing w:after="0" w:line="240" w:lineRule="auto"/>
        <w:ind w:left="1440"/>
        <w:jc w:val="both"/>
        <w:rPr>
          <w:rFonts w:ascii="Times New Roman" w:eastAsia="Times New Roman" w:hAnsi="Times New Roman" w:cs="Times New Roman"/>
          <w:color w:val="FF0000"/>
          <w:sz w:val="24"/>
          <w:szCs w:val="24"/>
        </w:rPr>
      </w:pPr>
    </w:p>
    <w:p w14:paraId="02C16541" w14:textId="506047D6" w:rsidR="00934FDC" w:rsidRPr="00327A26" w:rsidRDefault="0BA2686C" w:rsidP="64C763B2">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2B2EF1">
        <w:rPr>
          <w:rFonts w:ascii="Times New Roman" w:eastAsia="Times New Roman" w:hAnsi="Times New Roman" w:cs="Times New Roman"/>
          <w:color w:val="FF0000"/>
          <w:sz w:val="20"/>
          <w:szCs w:val="20"/>
        </w:rPr>
        <w:t xml:space="preserve">o </w:t>
      </w:r>
      <w:r w:rsidRPr="002B2EF1">
        <w:rPr>
          <w:rFonts w:ascii="Times New Roman" w:eastAsia="Times New Roman" w:hAnsi="Times New Roman" w:cs="Times New Roman"/>
          <w:b/>
          <w:bCs/>
          <w:color w:val="FF0000"/>
          <w:sz w:val="20"/>
          <w:szCs w:val="20"/>
        </w:rPr>
        <w:t xml:space="preserve">item </w:t>
      </w:r>
      <w:proofErr w:type="spellStart"/>
      <w:r w:rsidRPr="002B2EF1">
        <w:rPr>
          <w:rFonts w:ascii="Times New Roman" w:eastAsia="Times New Roman" w:hAnsi="Times New Roman" w:cs="Times New Roman"/>
          <w:b/>
          <w:bCs/>
          <w:color w:val="FF0000"/>
          <w:sz w:val="20"/>
          <w:szCs w:val="20"/>
        </w:rPr>
        <w:t>x.x</w:t>
      </w:r>
      <w:proofErr w:type="spellEnd"/>
      <w:r w:rsidRPr="002B2EF1">
        <w:rPr>
          <w:rFonts w:ascii="Times New Roman" w:eastAsia="Times New Roman" w:hAnsi="Times New Roman" w:cs="Times New Roman"/>
          <w:b/>
          <w:bCs/>
          <w:color w:val="FF0000"/>
          <w:sz w:val="20"/>
          <w:szCs w:val="20"/>
        </w:rPr>
        <w:t xml:space="preserve"> </w:t>
      </w:r>
      <w:r w:rsidRPr="002B2EF1">
        <w:rPr>
          <w:rFonts w:ascii="Times New Roman" w:eastAsia="Times New Roman" w:hAnsi="Times New Roman" w:cs="Times New Roman"/>
          <w:color w:val="FF0000"/>
          <w:sz w:val="20"/>
          <w:szCs w:val="20"/>
        </w:rPr>
        <w:t xml:space="preserve">prevê o </w:t>
      </w:r>
      <w:r w:rsidRPr="002B2EF1">
        <w:rPr>
          <w:rFonts w:ascii="Times New Roman" w:eastAsia="Times New Roman" w:hAnsi="Times New Roman" w:cs="Times New Roman"/>
          <w:b/>
          <w:bCs/>
          <w:color w:val="FF0000"/>
          <w:sz w:val="20"/>
          <w:szCs w:val="20"/>
        </w:rPr>
        <w:t>pagamento antecipado</w:t>
      </w:r>
      <w:r w:rsidRPr="002B2EF1">
        <w:rPr>
          <w:rFonts w:ascii="Times New Roman" w:eastAsia="Times New Roman" w:hAnsi="Times New Roman" w:cs="Times New Roman"/>
          <w:color w:val="FF0000"/>
          <w:sz w:val="20"/>
          <w:szCs w:val="20"/>
        </w:rPr>
        <w:t>. Nessa senda, deve ser observado o disposto no art. 145 da Lei n</w:t>
      </w:r>
      <w:r w:rsidR="74FAB817" w:rsidRPr="002B2EF1">
        <w:rPr>
          <w:rFonts w:ascii="Times New Roman" w:eastAsia="Times New Roman" w:hAnsi="Times New Roman" w:cs="Times New Roman"/>
          <w:color w:val="FF0000"/>
          <w:sz w:val="20"/>
          <w:szCs w:val="20"/>
        </w:rPr>
        <w:t>.</w:t>
      </w:r>
      <w:r w:rsidR="006B4855">
        <w:rPr>
          <w:rFonts w:ascii="Times New Roman" w:eastAsia="Times New Roman" w:hAnsi="Times New Roman" w:cs="Times New Roman"/>
          <w:color w:val="FF0000"/>
          <w:sz w:val="20"/>
          <w:szCs w:val="20"/>
        </w:rPr>
        <w:t>º</w:t>
      </w:r>
      <w:r w:rsidRPr="002B2EF1">
        <w:rPr>
          <w:rFonts w:ascii="Times New Roman" w:eastAsia="Times New Roman" w:hAnsi="Times New Roman" w:cs="Times New Roman"/>
          <w:color w:val="FF0000"/>
          <w:sz w:val="20"/>
          <w:szCs w:val="20"/>
        </w:rPr>
        <w:t xml:space="preserve"> 14.133</w:t>
      </w:r>
      <w:r w:rsidR="36C042E3" w:rsidRPr="002B2EF1">
        <w:rPr>
          <w:rFonts w:ascii="Times New Roman" w:eastAsia="Times New Roman" w:hAnsi="Times New Roman" w:cs="Times New Roman"/>
          <w:color w:val="FF0000"/>
          <w:sz w:val="20"/>
          <w:szCs w:val="20"/>
        </w:rPr>
        <w:t xml:space="preserve">, de </w:t>
      </w:r>
      <w:r w:rsidRPr="002B2EF1">
        <w:rPr>
          <w:rFonts w:ascii="Times New Roman" w:eastAsia="Times New Roman" w:hAnsi="Times New Roman" w:cs="Times New Roman"/>
          <w:color w:val="FF0000"/>
          <w:sz w:val="20"/>
          <w:szCs w:val="20"/>
        </w:rPr>
        <w:t xml:space="preserve">2021. A antecipação de pagamento somente será permitida se propiciar sensível economia de recursos </w:t>
      </w:r>
      <w:r w:rsidRPr="002B2EF1">
        <w:rPr>
          <w:rFonts w:ascii="Times New Roman" w:eastAsia="Times New Roman" w:hAnsi="Times New Roman" w:cs="Times New Roman"/>
          <w:b/>
          <w:bCs/>
          <w:color w:val="FF0000"/>
          <w:sz w:val="20"/>
          <w:szCs w:val="20"/>
        </w:rPr>
        <w:t>ou</w:t>
      </w:r>
      <w:r w:rsidRPr="002B2EF1">
        <w:rPr>
          <w:rFonts w:ascii="Times New Roman" w:eastAsia="Times New Roman" w:hAnsi="Times New Roman" w:cs="Times New Roman"/>
          <w:color w:val="FF0000"/>
          <w:sz w:val="20"/>
          <w:szCs w:val="20"/>
        </w:rPr>
        <w:t xml:space="preserve"> se representar condição indispensável para a obtenção do bem ou para a prestação do serviço, hipótese que deverá ser previamente prevista e justificada no instrumento formal de contratação direta (art. 145, §1º). A Administração poderá exigir a prestação de garantia adicional como condição para o pagamento antecipado (art. 145, §2º). Caso o objeto não seja executado no prazo contratual, o valor antecipado deverá ser devolvido (art. 145, §3º). Nessa senda, </w:t>
      </w:r>
      <w:r w:rsidRPr="002B2EF1">
        <w:rPr>
          <w:rFonts w:ascii="Times New Roman" w:eastAsia="Times New Roman" w:hAnsi="Times New Roman" w:cs="Times New Roman"/>
          <w:b/>
          <w:bCs/>
          <w:color w:val="FF0000"/>
          <w:sz w:val="20"/>
          <w:szCs w:val="20"/>
        </w:rPr>
        <w:t>havendo pagamento antecipado, deve ser prevista em concreto a respectiva devolução no instrumento do contrato</w:t>
      </w:r>
      <w:r w:rsidRPr="002B2EF1">
        <w:rPr>
          <w:rFonts w:ascii="Times New Roman" w:eastAsia="Times New Roman" w:hAnsi="Times New Roman" w:cs="Times New Roman"/>
          <w:color w:val="FF0000"/>
          <w:sz w:val="20"/>
          <w:szCs w:val="20"/>
        </w:rPr>
        <w:t xml:space="preserve"> padronizado disponibilizado pela AGU a ser previamente examinado pela Procuradoria (art. 95, da Lei nº 14.133</w:t>
      </w:r>
      <w:r w:rsidR="62F05A3B" w:rsidRPr="002B2EF1">
        <w:rPr>
          <w:rFonts w:ascii="Times New Roman" w:eastAsia="Times New Roman" w:hAnsi="Times New Roman" w:cs="Times New Roman"/>
          <w:color w:val="FF0000"/>
          <w:sz w:val="20"/>
          <w:szCs w:val="20"/>
        </w:rPr>
        <w:t xml:space="preserve">, de </w:t>
      </w:r>
      <w:r w:rsidRPr="002B2EF1">
        <w:rPr>
          <w:rFonts w:ascii="Times New Roman" w:eastAsia="Times New Roman" w:hAnsi="Times New Roman" w:cs="Times New Roman"/>
          <w:color w:val="FF0000"/>
          <w:sz w:val="20"/>
          <w:szCs w:val="20"/>
        </w:rPr>
        <w:t>2021), o que demanda o saneamento da instrução processual.</w:t>
      </w:r>
      <w:r w:rsidRPr="002B2EF1">
        <w:rPr>
          <w:rFonts w:ascii="Times New Roman" w:eastAsia="Times New Roman" w:hAnsi="Times New Roman" w:cs="Times New Roman"/>
          <w:sz w:val="20"/>
          <w:szCs w:val="20"/>
        </w:rPr>
        <w:t xml:space="preserve">    </w:t>
      </w:r>
    </w:p>
    <w:p w14:paraId="748D0365" w14:textId="0A26174A"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64C763B2" w:rsidRPr="0066121D" w14:paraId="0BC363D2" w14:textId="77777777" w:rsidTr="64C763B2">
        <w:trPr>
          <w:trHeight w:val="300"/>
        </w:trPr>
        <w:tc>
          <w:tcPr>
            <w:tcW w:w="9015" w:type="dxa"/>
          </w:tcPr>
          <w:p w14:paraId="3B0A32E5" w14:textId="7AF5B49D" w:rsidR="5E8A664A" w:rsidRPr="0066121D" w:rsidRDefault="5E8A664A"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No caso de serviço de engenharia, deverá ser adotada a redação a infra:</w:t>
            </w:r>
          </w:p>
        </w:tc>
      </w:tr>
    </w:tbl>
    <w:p w14:paraId="49053B12" w14:textId="130286E0" w:rsidR="64C763B2" w:rsidRPr="0066121D" w:rsidRDefault="64C763B2" w:rsidP="64C763B2">
      <w:pPr>
        <w:spacing w:after="0" w:line="240" w:lineRule="auto"/>
        <w:ind w:left="2551"/>
        <w:jc w:val="both"/>
        <w:rPr>
          <w:rFonts w:ascii="Times New Roman" w:eastAsia="Times New Roman" w:hAnsi="Times New Roman" w:cs="Times New Roman"/>
          <w:color w:val="FF0000"/>
          <w:sz w:val="24"/>
          <w:szCs w:val="24"/>
        </w:rPr>
      </w:pPr>
    </w:p>
    <w:p w14:paraId="5BD88C01" w14:textId="29161803" w:rsidR="1B5E70B5" w:rsidRPr="006B4855" w:rsidRDefault="7F7D8F08" w:rsidP="00040C45">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6B4855">
        <w:rPr>
          <w:rFonts w:ascii="Times New Roman" w:eastAsia="Times New Roman" w:hAnsi="Times New Roman" w:cs="Times New Roman"/>
          <w:color w:val="FF0000"/>
          <w:sz w:val="20"/>
          <w:szCs w:val="20"/>
        </w:rPr>
        <w:t>a minuta de contrato deverá prever, entre as obrigações da contratada, a juntada ulterior do RRT (arts. 45 e 46 da Lei</w:t>
      </w:r>
      <w:r w:rsidR="006B4855">
        <w:rPr>
          <w:rFonts w:ascii="Times New Roman" w:eastAsia="Times New Roman" w:hAnsi="Times New Roman" w:cs="Times New Roman"/>
          <w:color w:val="FF0000"/>
          <w:sz w:val="20"/>
          <w:szCs w:val="20"/>
        </w:rPr>
        <w:t xml:space="preserve"> n.º</w:t>
      </w:r>
      <w:r w:rsidRPr="006B4855">
        <w:rPr>
          <w:rFonts w:ascii="Times New Roman" w:eastAsia="Times New Roman" w:hAnsi="Times New Roman" w:cs="Times New Roman"/>
          <w:color w:val="FF0000"/>
          <w:sz w:val="20"/>
          <w:szCs w:val="20"/>
        </w:rPr>
        <w:t xml:space="preserve"> 12.378, de 2010) e/ou da ART (arts. 1º e 2º da Lei</w:t>
      </w:r>
      <w:r w:rsidR="006B4855">
        <w:rPr>
          <w:rFonts w:ascii="Times New Roman" w:eastAsia="Times New Roman" w:hAnsi="Times New Roman" w:cs="Times New Roman"/>
          <w:color w:val="FF0000"/>
          <w:sz w:val="20"/>
          <w:szCs w:val="20"/>
        </w:rPr>
        <w:t xml:space="preserve"> n.º</w:t>
      </w:r>
      <w:r w:rsidRPr="006B4855">
        <w:rPr>
          <w:rFonts w:ascii="Times New Roman" w:eastAsia="Times New Roman" w:hAnsi="Times New Roman" w:cs="Times New Roman"/>
          <w:color w:val="FF0000"/>
          <w:sz w:val="20"/>
          <w:szCs w:val="20"/>
        </w:rPr>
        <w:t xml:space="preserve"> 6.496, de 1977) e/ou do TRT (arts. 16 e 19 da Lei nº 13.639, de 2018), relativos aos serviços de arquitetura, engenharia ou técnica industrial, respectivamente, para fins de identificação da responsabilidade técnica pela execução contratual (Súmula TCU nº 260).</w:t>
      </w:r>
      <w:r w:rsidRPr="006B4855">
        <w:rPr>
          <w:rFonts w:ascii="Times New Roman" w:eastAsia="Times New Roman" w:hAnsi="Times New Roman" w:cs="Times New Roman"/>
          <w:sz w:val="20"/>
          <w:szCs w:val="20"/>
        </w:rPr>
        <w:t xml:space="preserve">  </w:t>
      </w:r>
    </w:p>
    <w:p w14:paraId="3412CDAE" w14:textId="4FA402FB" w:rsidR="1B5E70B5" w:rsidRPr="006B4855" w:rsidRDefault="7F7D8F08" w:rsidP="00040C45">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6B4855">
        <w:rPr>
          <w:rFonts w:ascii="Times New Roman" w:eastAsia="Times New Roman" w:hAnsi="Times New Roman" w:cs="Times New Roman"/>
          <w:color w:val="FF0000"/>
          <w:sz w:val="20"/>
          <w:szCs w:val="20"/>
        </w:rPr>
        <w:t>incluir, no contrato ou em anexo, cronograma físico-financeiro com a especificação completa das etapas necessária à medição, ao monitoramento e ao controle dos serviços (art. 12 do Decreto n</w:t>
      </w:r>
      <w:r w:rsidR="19E3543C" w:rsidRPr="006B4855">
        <w:rPr>
          <w:rFonts w:ascii="Times New Roman" w:eastAsia="Times New Roman" w:hAnsi="Times New Roman" w:cs="Times New Roman"/>
          <w:color w:val="FF0000"/>
          <w:sz w:val="20"/>
          <w:szCs w:val="20"/>
        </w:rPr>
        <w:t>.</w:t>
      </w:r>
      <w:r w:rsidR="006B4855">
        <w:rPr>
          <w:rFonts w:ascii="Times New Roman" w:eastAsia="Times New Roman" w:hAnsi="Times New Roman" w:cs="Times New Roman"/>
          <w:color w:val="FF0000"/>
          <w:sz w:val="20"/>
          <w:szCs w:val="20"/>
        </w:rPr>
        <w:t>º</w:t>
      </w:r>
      <w:r w:rsidRPr="006B4855">
        <w:rPr>
          <w:rFonts w:ascii="Times New Roman" w:eastAsia="Times New Roman" w:hAnsi="Times New Roman" w:cs="Times New Roman"/>
          <w:color w:val="FF0000"/>
          <w:sz w:val="20"/>
          <w:szCs w:val="20"/>
        </w:rPr>
        <w:t xml:space="preserve"> 7.983, de 2013).</w:t>
      </w:r>
      <w:r w:rsidRPr="006B4855">
        <w:rPr>
          <w:rFonts w:ascii="Times New Roman" w:eastAsia="Times New Roman" w:hAnsi="Times New Roman" w:cs="Times New Roman"/>
          <w:sz w:val="20"/>
          <w:szCs w:val="20"/>
        </w:rPr>
        <w:t xml:space="preserve">  </w:t>
      </w:r>
    </w:p>
    <w:p w14:paraId="1F0B0A76" w14:textId="0D03A2A3" w:rsidR="00327A26" w:rsidRDefault="7F7D8F08" w:rsidP="00327A26">
      <w:pPr>
        <w:pStyle w:val="PargrafodaLista"/>
        <w:numPr>
          <w:ilvl w:val="0"/>
          <w:numId w:val="11"/>
        </w:numPr>
        <w:tabs>
          <w:tab w:val="left" w:pos="2552"/>
        </w:tabs>
        <w:spacing w:after="0" w:line="240" w:lineRule="auto"/>
        <w:ind w:left="2268" w:firstLine="0"/>
        <w:jc w:val="both"/>
        <w:rPr>
          <w:rFonts w:ascii="Times New Roman" w:eastAsia="Times New Roman" w:hAnsi="Times New Roman" w:cs="Times New Roman"/>
          <w:sz w:val="20"/>
          <w:szCs w:val="20"/>
        </w:rPr>
      </w:pPr>
      <w:r w:rsidRPr="006B4855">
        <w:rPr>
          <w:rFonts w:ascii="Times New Roman" w:eastAsia="Times New Roman" w:hAnsi="Times New Roman" w:cs="Times New Roman"/>
          <w:color w:val="FF0000"/>
          <w:sz w:val="20"/>
          <w:szCs w:val="20"/>
        </w:rPr>
        <w:t>da análise da vigência contratual que consta da minuta de contrato, percebemos que haverá extrapolação do exercício financeiro. Desse modo, somente será possível essa contratação se o presente objeto contiver produto previsto nas metas do Plano Plurianual (art. 105 da Lei nº 14.133, de 2021) - devendo haver a comprovação nos autos desse fato -, ou, se todo o empenho necessário à execução contratual for realizado até o dia 31 de dezembro do ano da conclusão da licitação.</w:t>
      </w:r>
      <w:r w:rsidRPr="006B4855">
        <w:rPr>
          <w:rFonts w:ascii="Times New Roman" w:eastAsia="Times New Roman" w:hAnsi="Times New Roman" w:cs="Times New Roman"/>
          <w:sz w:val="20"/>
          <w:szCs w:val="20"/>
        </w:rPr>
        <w:t xml:space="preserve">  </w:t>
      </w:r>
    </w:p>
    <w:p w14:paraId="7F9DEE39" w14:textId="7F761DAC" w:rsidR="00327A26" w:rsidRDefault="00327A26">
      <w:pPr>
        <w:rPr>
          <w:rFonts w:ascii="Times New Roman" w:eastAsia="Times New Roman" w:hAnsi="Times New Roman" w:cs="Times New Roman"/>
          <w:color w:val="000000" w:themeColor="text1"/>
          <w:sz w:val="24"/>
          <w:szCs w:val="24"/>
        </w:rPr>
      </w:pPr>
    </w:p>
    <w:p w14:paraId="7DCEEB2C" w14:textId="408D1651"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O PARECER n.00004/2022/CNMLC/CGU/AGU (NUP: 00688.000716/2019-43), ao tratar sobre a aplicação da Lei Geral de Proteção de Dados nos modelos de licitação e contratos, fixou o entendimento de que, nos contratos administrativos, “[...] </w:t>
      </w:r>
      <w:r w:rsidRPr="0066121D">
        <w:rPr>
          <w:rFonts w:ascii="Times New Roman" w:eastAsia="Times New Roman" w:hAnsi="Times New Roman" w:cs="Times New Roman"/>
          <w:b/>
          <w:bCs/>
          <w:i/>
          <w:iCs/>
          <w:sz w:val="24"/>
          <w:szCs w:val="24"/>
        </w:rPr>
        <w:t>não constem os números de documentos pessoais das pessoas naturais que irão assiná-los, como ocorre normalmente com os representantes da Administração e da empresa contratada.</w:t>
      </w:r>
      <w:r w:rsidRPr="0066121D">
        <w:rPr>
          <w:rFonts w:ascii="Times New Roman" w:eastAsia="Times New Roman" w:hAnsi="Times New Roman" w:cs="Times New Roman"/>
          <w:i/>
          <w:iCs/>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66121D">
        <w:rPr>
          <w:rFonts w:ascii="Times New Roman" w:eastAsia="Times New Roman" w:hAnsi="Times New Roman" w:cs="Times New Roman"/>
          <w:sz w:val="24"/>
          <w:szCs w:val="24"/>
        </w:rPr>
        <w:t xml:space="preserve">", </w:t>
      </w:r>
      <w:r w:rsidRPr="0066121D">
        <w:rPr>
          <w:rFonts w:ascii="Times New Roman" w:eastAsia="Times New Roman" w:hAnsi="Times New Roman" w:cs="Times New Roman"/>
          <w:b/>
          <w:bCs/>
          <w:sz w:val="24"/>
          <w:szCs w:val="24"/>
        </w:rPr>
        <w:t>o que deve ser observado pela Administração</w:t>
      </w:r>
      <w:r w:rsidRPr="0066121D">
        <w:rPr>
          <w:rFonts w:ascii="Times New Roman" w:eastAsia="Times New Roman" w:hAnsi="Times New Roman" w:cs="Times New Roman"/>
          <w:color w:val="000000" w:themeColor="text1"/>
          <w:sz w:val="24"/>
          <w:szCs w:val="24"/>
        </w:rPr>
        <w:t xml:space="preserve">.  </w:t>
      </w:r>
    </w:p>
    <w:p w14:paraId="760CE829" w14:textId="12E73553" w:rsidR="00934FDC" w:rsidRPr="0066121D" w:rsidRDefault="738490E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Layout w:type="fixed"/>
        <w:tblLook w:val="06A0" w:firstRow="1" w:lastRow="0" w:firstColumn="1" w:lastColumn="0" w:noHBand="1" w:noVBand="1"/>
      </w:tblPr>
      <w:tblGrid>
        <w:gridCol w:w="9015"/>
      </w:tblGrid>
      <w:tr w:rsidR="590F6F7A" w:rsidRPr="0066121D" w14:paraId="648DC627" w14:textId="77777777" w:rsidTr="64C763B2">
        <w:trPr>
          <w:trHeight w:val="300"/>
        </w:trPr>
        <w:tc>
          <w:tcPr>
            <w:tcW w:w="9015" w:type="dxa"/>
          </w:tcPr>
          <w:p w14:paraId="7C4F399D" w14:textId="6AA5AE39" w:rsidR="6F14E546" w:rsidRPr="0066121D" w:rsidRDefault="15F3CC58" w:rsidP="64C763B2">
            <w:pPr>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não conste termo de contrato nos autos, deverá ser adotada a redação a infra, bem como uma das redações alternativas seguintes</w:t>
            </w:r>
          </w:p>
        </w:tc>
      </w:tr>
    </w:tbl>
    <w:p w14:paraId="3F01D469" w14:textId="68C907E0" w:rsidR="00105D92"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 </w:t>
      </w:r>
    </w:p>
    <w:p w14:paraId="14D46328" w14:textId="501E8C86" w:rsidR="00934FDC" w:rsidRPr="0066121D" w:rsidRDefault="7AEA6232"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Acerca da</w:t>
      </w:r>
      <w:r w:rsidR="738490E2" w:rsidRPr="0066121D">
        <w:rPr>
          <w:rFonts w:ascii="Times New Roman" w:eastAsia="Times New Roman" w:hAnsi="Times New Roman" w:cs="Times New Roman"/>
          <w:color w:val="FF0000"/>
          <w:sz w:val="24"/>
          <w:szCs w:val="24"/>
        </w:rPr>
        <w:t xml:space="preserve"> formalização da relação jurídica a ser firmada entre a Administração e o particular, tem-se que o art. 95, II, da Lei n</w:t>
      </w:r>
      <w:r w:rsidR="45D8A863" w:rsidRPr="0066121D">
        <w:rPr>
          <w:rFonts w:ascii="Times New Roman" w:eastAsia="Times New Roman" w:hAnsi="Times New Roman" w:cs="Times New Roman"/>
          <w:color w:val="FF0000"/>
          <w:sz w:val="24"/>
          <w:szCs w:val="24"/>
        </w:rPr>
        <w:t>.</w:t>
      </w:r>
      <w:r w:rsidR="006B4855">
        <w:rPr>
          <w:rFonts w:ascii="Times New Roman" w:eastAsia="Times New Roman" w:hAnsi="Times New Roman" w:cs="Times New Roman"/>
          <w:color w:val="FF0000"/>
          <w:sz w:val="24"/>
          <w:szCs w:val="24"/>
        </w:rPr>
        <w:t>º</w:t>
      </w:r>
      <w:r w:rsidR="738490E2" w:rsidRPr="0066121D">
        <w:rPr>
          <w:rFonts w:ascii="Times New Roman" w:eastAsia="Times New Roman" w:hAnsi="Times New Roman" w:cs="Times New Roman"/>
          <w:color w:val="FF0000"/>
          <w:sz w:val="24"/>
          <w:szCs w:val="24"/>
        </w:rPr>
        <w:t xml:space="preserve"> 14.133</w:t>
      </w:r>
      <w:r w:rsidR="4ADE54CB" w:rsidRPr="0066121D">
        <w:rPr>
          <w:rFonts w:ascii="Times New Roman" w:eastAsia="Times New Roman" w:hAnsi="Times New Roman" w:cs="Times New Roman"/>
          <w:color w:val="FF0000"/>
          <w:sz w:val="24"/>
          <w:szCs w:val="24"/>
        </w:rPr>
        <w:t xml:space="preserve">, de </w:t>
      </w:r>
      <w:r w:rsidR="738490E2" w:rsidRPr="0066121D">
        <w:rPr>
          <w:rFonts w:ascii="Times New Roman" w:eastAsia="Times New Roman" w:hAnsi="Times New Roman" w:cs="Times New Roman"/>
          <w:color w:val="FF0000"/>
          <w:sz w:val="24"/>
          <w:szCs w:val="24"/>
        </w:rPr>
        <w:t>2021</w:t>
      </w:r>
      <w:r w:rsidR="65CAD805" w:rsidRPr="0066121D">
        <w:rPr>
          <w:rFonts w:ascii="Times New Roman" w:eastAsia="Times New Roman" w:hAnsi="Times New Roman" w:cs="Times New Roman"/>
          <w:color w:val="FF0000"/>
          <w:sz w:val="24"/>
          <w:szCs w:val="24"/>
        </w:rPr>
        <w:t>,</w:t>
      </w:r>
      <w:r w:rsidR="738490E2" w:rsidRPr="0066121D">
        <w:rPr>
          <w:rFonts w:ascii="Times New Roman" w:eastAsia="Times New Roman" w:hAnsi="Times New Roman" w:cs="Times New Roman"/>
          <w:color w:val="FF0000"/>
          <w:sz w:val="24"/>
          <w:szCs w:val="24"/>
        </w:rPr>
        <w:t xml:space="preserve"> autoriza a dispensa do termo de contrato e faculta a sua substituição por instrumentos equivalentes, tais como carta-contrato, nota de empenho de despesa, autorização de compra ou ordem de execução de serviço, nos casos de compras com entrega imediata e integral dos bens adquiridos e dos quais não resultem obrigações futuras, inclusive quanto a assistência técnica, independentemente de seu valor.</w:t>
      </w:r>
    </w:p>
    <w:p w14:paraId="55EC5B8C" w14:textId="40438B7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29F4C1C5" w14:textId="5AA55DFC" w:rsidR="00934FDC" w:rsidRPr="0066121D"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Vale frisar, no entanto, que o mesmo dispositivo, em seu § 1º, determina que o instrumento substitutivo, quando adotado, deverá conter as cláusulas elencadas no art. 92 da Lei nº 14.133</w:t>
      </w:r>
      <w:r w:rsidR="09B1F0CC" w:rsidRPr="0066121D">
        <w:rPr>
          <w:rFonts w:ascii="Times New Roman" w:eastAsia="Times New Roman" w:hAnsi="Times New Roman" w:cs="Times New Roman"/>
          <w:color w:val="FF0000"/>
          <w:sz w:val="24"/>
          <w:szCs w:val="24"/>
        </w:rPr>
        <w:t xml:space="preserve">, de </w:t>
      </w:r>
      <w:r w:rsidRPr="0066121D">
        <w:rPr>
          <w:rFonts w:ascii="Times New Roman" w:eastAsia="Times New Roman" w:hAnsi="Times New Roman" w:cs="Times New Roman"/>
          <w:color w:val="FF0000"/>
          <w:sz w:val="24"/>
          <w:szCs w:val="24"/>
        </w:rPr>
        <w:t xml:space="preserve">2021, naquilo que couber, de forma que consigne as condições essenciais que regerão a execução do ajuste, como, por exemplo, a descrição precisa do objeto, as obrigações e responsabilidades das partes, a vinculação ao edital e à proposta ofertada, os prazos de execução, forma e prazo de pagamento, sanções, etc. </w:t>
      </w:r>
    </w:p>
    <w:p w14:paraId="1C9984CD" w14:textId="1A018B40" w:rsidR="64C763B2" w:rsidRPr="0066121D" w:rsidRDefault="64C763B2" w:rsidP="64C763B2">
      <w:pPr>
        <w:spacing w:after="0" w:line="240" w:lineRule="auto"/>
        <w:jc w:val="both"/>
        <w:rPr>
          <w:rFonts w:ascii="Times New Roman" w:eastAsia="Times New Roman" w:hAnsi="Times New Roman" w:cs="Times New Roman"/>
          <w:color w:val="FF0000"/>
          <w:sz w:val="24"/>
          <w:szCs w:val="24"/>
        </w:rPr>
      </w:pPr>
    </w:p>
    <w:p w14:paraId="17B17E9F" w14:textId="1BEDC487" w:rsidR="00934FDC" w:rsidRPr="0066121D" w:rsidRDefault="51650439" w:rsidP="64C763B2">
      <w:pPr>
        <w:spacing w:after="0" w:line="240" w:lineRule="auto"/>
        <w:jc w:val="both"/>
        <w:rPr>
          <w:rFonts w:ascii="Times New Roman" w:eastAsia="Times New Roman" w:hAnsi="Times New Roman" w:cs="Times New Roman"/>
          <w:color w:val="FF0000"/>
          <w:sz w:val="24"/>
          <w:szCs w:val="24"/>
        </w:rPr>
      </w:pPr>
      <w:r w:rsidRPr="0066121D">
        <w:rPr>
          <w:rFonts w:ascii="Times New Roman" w:eastAsia="Times New Roman" w:hAnsi="Times New Roman" w:cs="Times New Roman"/>
          <w:color w:val="FF0000"/>
          <w:sz w:val="24"/>
          <w:szCs w:val="24"/>
        </w:rPr>
        <w:t xml:space="preserve">Em hipóteses tais, deverão ser observadas, também, as disposições inseridas no Termo de Referência, a fim de que haja compatibilidade entre os documentos que disciplinam a contratação. </w:t>
      </w:r>
    </w:p>
    <w:p w14:paraId="35DC2D5C" w14:textId="47DF1801" w:rsidR="00934FDC" w:rsidRPr="0066121D" w:rsidRDefault="738490E2"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Layout w:type="fixed"/>
        <w:tblLook w:val="06A0" w:firstRow="1" w:lastRow="0" w:firstColumn="1" w:lastColumn="0" w:noHBand="1" w:noVBand="1"/>
      </w:tblPr>
      <w:tblGrid>
        <w:gridCol w:w="9015"/>
      </w:tblGrid>
      <w:tr w:rsidR="590F6F7A" w:rsidRPr="0066121D" w14:paraId="62A84596" w14:textId="77777777" w:rsidTr="64C763B2">
        <w:trPr>
          <w:trHeight w:val="300"/>
        </w:trPr>
        <w:tc>
          <w:tcPr>
            <w:tcW w:w="9015" w:type="dxa"/>
          </w:tcPr>
          <w:p w14:paraId="46D0E9A1" w14:textId="48DE8272" w:rsidR="5A87E088" w:rsidRPr="0066121D" w:rsidRDefault="4AE3B350"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tenha sido utilizado o instrumento substitutivo ao termo contratual, deverá ser adotada a redação a seguir:</w:t>
            </w:r>
            <w:r w:rsidRPr="0066121D">
              <w:rPr>
                <w:rFonts w:ascii="Times New Roman" w:eastAsia="Times New Roman" w:hAnsi="Times New Roman" w:cs="Times New Roman"/>
                <w:color w:val="000000" w:themeColor="text1"/>
                <w:sz w:val="24"/>
                <w:szCs w:val="24"/>
              </w:rPr>
              <w:t xml:space="preserve"> </w:t>
            </w:r>
          </w:p>
        </w:tc>
      </w:tr>
    </w:tbl>
    <w:p w14:paraId="3F154FFC" w14:textId="5657AC57" w:rsidR="590F6F7A" w:rsidRPr="0066121D" w:rsidRDefault="590F6F7A" w:rsidP="64C763B2">
      <w:pPr>
        <w:spacing w:after="0" w:line="240" w:lineRule="auto"/>
        <w:jc w:val="both"/>
        <w:rPr>
          <w:rFonts w:ascii="Times New Roman" w:eastAsia="Times New Roman" w:hAnsi="Times New Roman" w:cs="Times New Roman"/>
          <w:color w:val="000000" w:themeColor="text1"/>
          <w:sz w:val="24"/>
          <w:szCs w:val="24"/>
        </w:rPr>
      </w:pPr>
    </w:p>
    <w:p w14:paraId="5F9112CD" w14:textId="749BE31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cyan"/>
        </w:rPr>
        <w:t xml:space="preserve">No presente caso, constata-se a opção do gestor em dispensar o termo de contrato, substituindo-o por </w:t>
      </w:r>
      <w:r w:rsidRPr="0066121D">
        <w:rPr>
          <w:rFonts w:ascii="Times New Roman" w:eastAsia="Times New Roman" w:hAnsi="Times New Roman" w:cs="Times New Roman"/>
          <w:color w:val="FF0000"/>
          <w:sz w:val="24"/>
          <w:szCs w:val="24"/>
          <w:highlight w:val="cyan"/>
        </w:rPr>
        <w:t xml:space="preserve">XXX (carta-contrato/autorização de compra/nota de empenho de despesa etc.). </w:t>
      </w:r>
      <w:r w:rsidRPr="0066121D">
        <w:rPr>
          <w:rFonts w:ascii="Times New Roman" w:eastAsia="Times New Roman" w:hAnsi="Times New Roman" w:cs="Times New Roman"/>
          <w:color w:val="000000" w:themeColor="text1"/>
          <w:sz w:val="24"/>
          <w:szCs w:val="24"/>
          <w:highlight w:val="cyan"/>
        </w:rPr>
        <w:t>Tendo em vista que</w:t>
      </w:r>
      <w:r w:rsidRPr="00C83EFF">
        <w:rPr>
          <w:rFonts w:ascii="Times New Roman" w:eastAsia="Times New Roman" w:hAnsi="Times New Roman" w:cs="Times New Roman"/>
          <w:color w:val="000000" w:themeColor="text1"/>
          <w:sz w:val="24"/>
          <w:szCs w:val="24"/>
          <w:highlight w:val="cyan"/>
        </w:rPr>
        <w:t xml:space="preserve"> </w:t>
      </w:r>
      <w:r w:rsidRPr="0066121D">
        <w:rPr>
          <w:rFonts w:ascii="Times New Roman" w:eastAsia="Times New Roman" w:hAnsi="Times New Roman" w:cs="Times New Roman"/>
          <w:color w:val="000000" w:themeColor="text1"/>
          <w:sz w:val="24"/>
          <w:szCs w:val="24"/>
          <w:highlight w:val="cyan"/>
        </w:rPr>
        <w:t>haverá compra com entrega imediata e integral dos bens adquiridos e a contratada não estará vinculada à prestação de obrigações futuras, e a inclusão, no Termo de Referência,</w:t>
      </w:r>
      <w:r w:rsidRPr="0066121D">
        <w:rPr>
          <w:rFonts w:ascii="Times New Roman" w:eastAsia="Times New Roman" w:hAnsi="Times New Roman" w:cs="Times New Roman"/>
          <w:color w:val="FF0000"/>
          <w:sz w:val="24"/>
          <w:szCs w:val="24"/>
          <w:highlight w:val="cyan"/>
        </w:rPr>
        <w:t xml:space="preserve"> </w:t>
      </w:r>
      <w:r w:rsidRPr="0066121D">
        <w:rPr>
          <w:rFonts w:ascii="Times New Roman" w:eastAsia="Times New Roman" w:hAnsi="Times New Roman" w:cs="Times New Roman"/>
          <w:color w:val="000000" w:themeColor="text1"/>
          <w:sz w:val="24"/>
          <w:szCs w:val="24"/>
          <w:highlight w:val="cyan"/>
        </w:rPr>
        <w:t>de subitens que tratam dos conteúdos previstos no art. 92 da Lei nº 14.133</w:t>
      </w:r>
      <w:r w:rsidR="536CFB4F"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2021, conclui-se pela viabilidade jurídica de adoção do instrumento substitutivo ao termo de contrato.</w:t>
      </w:r>
      <w:r w:rsidRPr="0066121D">
        <w:rPr>
          <w:rFonts w:ascii="Times New Roman" w:eastAsia="Times New Roman" w:hAnsi="Times New Roman" w:cs="Times New Roman"/>
          <w:color w:val="000000" w:themeColor="text1"/>
          <w:sz w:val="24"/>
          <w:szCs w:val="24"/>
        </w:rPr>
        <w:t xml:space="preserve">  </w:t>
      </w:r>
    </w:p>
    <w:p w14:paraId="3F5DF0AA" w14:textId="52C4078C" w:rsidR="00934FDC" w:rsidRPr="00C83EFF" w:rsidRDefault="51650439" w:rsidP="00C83EFF">
      <w:pPr>
        <w:spacing w:after="0" w:line="240" w:lineRule="auto"/>
        <w:ind w:firstLine="708"/>
        <w:jc w:val="both"/>
        <w:rPr>
          <w:rFonts w:ascii="Times New Roman" w:eastAsia="Times New Roman" w:hAnsi="Times New Roman" w:cs="Times New Roman"/>
          <w:color w:val="000000" w:themeColor="text1"/>
          <w:sz w:val="24"/>
          <w:szCs w:val="24"/>
          <w:u w:val="single"/>
        </w:rPr>
      </w:pPr>
      <w:r w:rsidRPr="00C83EFF">
        <w:rPr>
          <w:rFonts w:ascii="Times New Roman" w:eastAsia="Times New Roman" w:hAnsi="Times New Roman" w:cs="Times New Roman"/>
          <w:b/>
          <w:bCs/>
          <w:sz w:val="24"/>
          <w:szCs w:val="24"/>
          <w:highlight w:val="cyan"/>
          <w:u w:val="single"/>
        </w:rPr>
        <w:t>OU</w:t>
      </w:r>
      <w:r w:rsidRPr="00C83EFF">
        <w:rPr>
          <w:rFonts w:ascii="Times New Roman" w:eastAsia="Times New Roman" w:hAnsi="Times New Roman" w:cs="Times New Roman"/>
          <w:color w:val="000000" w:themeColor="text1"/>
          <w:sz w:val="24"/>
          <w:szCs w:val="24"/>
          <w:u w:val="single"/>
        </w:rPr>
        <w:t xml:space="preserve"> </w:t>
      </w:r>
    </w:p>
    <w:p w14:paraId="2B70BE6F" w14:textId="34223DCF" w:rsidR="00934FDC" w:rsidRPr="0066121D" w:rsidRDefault="51650439" w:rsidP="00B13D21">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 xml:space="preserve">No presente caso, constata-se a opção do gestor em dispensar o termo de contrato, substituindo-o por </w:t>
      </w:r>
      <w:r w:rsidRPr="5D8365CD">
        <w:rPr>
          <w:rFonts w:ascii="Times New Roman" w:eastAsia="Times New Roman" w:hAnsi="Times New Roman" w:cs="Times New Roman"/>
          <w:color w:val="FF0000"/>
          <w:sz w:val="24"/>
          <w:szCs w:val="24"/>
          <w:highlight w:val="cyan"/>
        </w:rPr>
        <w:t>XXX (carta-contrato/autorização de compra/nota de empenho de despesa etc.).</w:t>
      </w:r>
      <w:r w:rsidRPr="5D8365CD">
        <w:rPr>
          <w:rFonts w:ascii="Times New Roman" w:eastAsia="Times New Roman" w:hAnsi="Times New Roman" w:cs="Times New Roman"/>
          <w:color w:val="000000" w:themeColor="text1"/>
          <w:sz w:val="24"/>
          <w:szCs w:val="24"/>
          <w:highlight w:val="cyan"/>
        </w:rPr>
        <w:t xml:space="preserve"> Tendo em vista que haverá compra com entrega imediata e integral dos bens adquiridos e a contratada não estará vinculada à prestação de obrigações futuras, conclui-se pela viabilidade jurídica de adoção do instrumento substitutivo, havendo, porém, a necessidade de incluir, no Termo de Referência, subitens que regulem </w:t>
      </w:r>
      <w:r w:rsidRPr="5D8365CD">
        <w:rPr>
          <w:rFonts w:ascii="Times New Roman" w:eastAsia="Times New Roman" w:hAnsi="Times New Roman" w:cs="Times New Roman"/>
          <w:color w:val="FF0000"/>
          <w:sz w:val="24"/>
          <w:szCs w:val="24"/>
          <w:highlight w:val="cyan"/>
        </w:rPr>
        <w:t>.............(indicar os conteúdos do art. 92 da Lei nº 14.133</w:t>
      </w:r>
      <w:r w:rsidR="5888396D" w:rsidRPr="5D8365CD">
        <w:rPr>
          <w:rFonts w:ascii="Times New Roman" w:eastAsia="Times New Roman" w:hAnsi="Times New Roman" w:cs="Times New Roman"/>
          <w:color w:val="FF0000"/>
          <w:sz w:val="24"/>
          <w:szCs w:val="24"/>
          <w:highlight w:val="cyan"/>
        </w:rPr>
        <w:t xml:space="preserve">, de </w:t>
      </w:r>
      <w:r w:rsidRPr="5D8365CD">
        <w:rPr>
          <w:rFonts w:ascii="Times New Roman" w:eastAsia="Times New Roman" w:hAnsi="Times New Roman" w:cs="Times New Roman"/>
          <w:color w:val="FF0000"/>
          <w:sz w:val="24"/>
          <w:szCs w:val="24"/>
          <w:highlight w:val="cyan"/>
        </w:rPr>
        <w:t>2021</w:t>
      </w:r>
      <w:r w:rsidR="4B6FC97E" w:rsidRPr="5D8365CD">
        <w:rPr>
          <w:rFonts w:ascii="Times New Roman" w:eastAsia="Times New Roman" w:hAnsi="Times New Roman" w:cs="Times New Roman"/>
          <w:color w:val="FF0000"/>
          <w:sz w:val="24"/>
          <w:szCs w:val="24"/>
          <w:highlight w:val="cyan"/>
        </w:rPr>
        <w:t>,</w:t>
      </w:r>
      <w:r w:rsidRPr="5D8365CD">
        <w:rPr>
          <w:rFonts w:ascii="Times New Roman" w:eastAsia="Times New Roman" w:hAnsi="Times New Roman" w:cs="Times New Roman"/>
          <w:color w:val="FF0000"/>
          <w:sz w:val="24"/>
          <w:szCs w:val="24"/>
          <w:highlight w:val="cyan"/>
        </w:rPr>
        <w:t xml:space="preserve"> que devem ser incluídos).</w:t>
      </w:r>
      <w:r w:rsidRPr="5D8365CD">
        <w:rPr>
          <w:rFonts w:ascii="Times New Roman" w:eastAsia="Times New Roman" w:hAnsi="Times New Roman" w:cs="Times New Roman"/>
          <w:color w:val="000000" w:themeColor="text1"/>
          <w:sz w:val="24"/>
          <w:szCs w:val="24"/>
        </w:rPr>
        <w:t xml:space="preserve"> </w:t>
      </w:r>
    </w:p>
    <w:p w14:paraId="045D40F7" w14:textId="14E3A57C"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FF0000"/>
          <w:sz w:val="24"/>
          <w:szCs w:val="24"/>
          <w:highlight w:val="cyan"/>
        </w:rPr>
        <w:t>Em relação ao instrumento que substitui o contrato, serão feitas, ainda, as seguintes considerações, a serem devidamente avaliadas pela Administração, como condição para sua aprovação:</w:t>
      </w:r>
      <w:r w:rsidRPr="0066121D">
        <w:rPr>
          <w:rFonts w:ascii="Times New Roman" w:eastAsia="Times New Roman" w:hAnsi="Times New Roman" w:cs="Times New Roman"/>
          <w:color w:val="000000" w:themeColor="text1"/>
          <w:sz w:val="24"/>
          <w:szCs w:val="24"/>
        </w:rPr>
        <w:t xml:space="preserve"> </w:t>
      </w:r>
    </w:p>
    <w:p w14:paraId="5C17B695" w14:textId="28B50597" w:rsidR="00934FDC" w:rsidRDefault="51650439" w:rsidP="00C83EFF">
      <w:pPr>
        <w:spacing w:after="0" w:line="240" w:lineRule="auto"/>
        <w:ind w:firstLine="708"/>
        <w:jc w:val="both"/>
        <w:rPr>
          <w:rFonts w:ascii="Times New Roman" w:eastAsia="Times New Roman" w:hAnsi="Times New Roman" w:cs="Times New Roman"/>
          <w:color w:val="000000" w:themeColor="text1"/>
          <w:sz w:val="24"/>
          <w:szCs w:val="24"/>
          <w:u w:val="single"/>
        </w:rPr>
      </w:pPr>
      <w:r w:rsidRPr="00C83EFF">
        <w:rPr>
          <w:rFonts w:ascii="Times New Roman" w:eastAsia="Times New Roman" w:hAnsi="Times New Roman" w:cs="Times New Roman"/>
          <w:b/>
          <w:bCs/>
          <w:sz w:val="24"/>
          <w:szCs w:val="24"/>
          <w:highlight w:val="cyan"/>
          <w:u w:val="single"/>
        </w:rPr>
        <w:t>OU</w:t>
      </w:r>
      <w:r w:rsidRPr="00C83EFF">
        <w:rPr>
          <w:rFonts w:ascii="Times New Roman" w:eastAsia="Times New Roman" w:hAnsi="Times New Roman" w:cs="Times New Roman"/>
          <w:color w:val="000000" w:themeColor="text1"/>
          <w:sz w:val="24"/>
          <w:szCs w:val="24"/>
          <w:u w:val="single"/>
        </w:rPr>
        <w:t xml:space="preserve">  </w:t>
      </w:r>
    </w:p>
    <w:p w14:paraId="086D49D3" w14:textId="77777777" w:rsidR="00CA1F02" w:rsidRPr="00C83EFF" w:rsidRDefault="00CA1F02" w:rsidP="00C83EFF">
      <w:pPr>
        <w:spacing w:after="0" w:line="240" w:lineRule="auto"/>
        <w:ind w:firstLine="708"/>
        <w:jc w:val="both"/>
        <w:rPr>
          <w:rFonts w:ascii="Times New Roman" w:eastAsia="Times New Roman" w:hAnsi="Times New Roman" w:cs="Times New Roman"/>
          <w:color w:val="000000" w:themeColor="text1"/>
          <w:sz w:val="24"/>
          <w:szCs w:val="24"/>
          <w:u w:val="single"/>
        </w:rPr>
      </w:pPr>
    </w:p>
    <w:tbl>
      <w:tblPr>
        <w:tblW w:w="0" w:type="auto"/>
        <w:tblLayout w:type="fixed"/>
        <w:tblLook w:val="04A0" w:firstRow="1" w:lastRow="0" w:firstColumn="1" w:lastColumn="0" w:noHBand="0" w:noVBand="1"/>
      </w:tblPr>
      <w:tblGrid>
        <w:gridCol w:w="9015"/>
      </w:tblGrid>
      <w:tr w:rsidR="554FFC2B" w:rsidRPr="0066121D" w14:paraId="110B5DE0" w14:textId="77777777" w:rsidTr="64C763B2">
        <w:trPr>
          <w:trHeight w:val="300"/>
        </w:trPr>
        <w:tc>
          <w:tcPr>
            <w:tcW w:w="9015" w:type="dxa"/>
            <w:tcBorders>
              <w:top w:val="inset" w:sz="8" w:space="0" w:color="auto"/>
              <w:left w:val="inset" w:sz="8" w:space="0" w:color="auto"/>
              <w:bottom w:val="inset" w:sz="8" w:space="0" w:color="auto"/>
              <w:right w:val="inset" w:sz="8" w:space="0" w:color="auto"/>
            </w:tcBorders>
            <w:vAlign w:val="center"/>
          </w:tcPr>
          <w:p w14:paraId="0FA13B32" w14:textId="3D8FF21E" w:rsidR="554FFC2B" w:rsidRPr="0066121D" w:rsidRDefault="73BF05FE" w:rsidP="64C763B2">
            <w:pPr>
              <w:spacing w:after="0" w:line="240" w:lineRule="auto"/>
              <w:jc w:val="both"/>
              <w:rPr>
                <w:rFonts w:ascii="Times New Roman" w:eastAsia="Times New Roman" w:hAnsi="Times New Roman" w:cs="Times New Roman"/>
                <w:color w:val="000000" w:themeColor="text1"/>
                <w:sz w:val="24"/>
                <w:szCs w:val="24"/>
                <w:highlight w:val="yellow"/>
              </w:rPr>
            </w:pPr>
            <w:r w:rsidRPr="0066121D">
              <w:rPr>
                <w:rFonts w:ascii="Times New Roman" w:eastAsia="Times New Roman" w:hAnsi="Times New Roman" w:cs="Times New Roman"/>
                <w:b/>
                <w:bCs/>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Caso não tenha sido juntado termo de contrato, nem indicado instrumento substitutivo, deverá ser utilizada a redação abaixo:</w:t>
            </w:r>
            <w:r w:rsidRPr="0066121D">
              <w:rPr>
                <w:rFonts w:ascii="Times New Roman" w:eastAsia="Times New Roman" w:hAnsi="Times New Roman" w:cs="Times New Roman"/>
                <w:color w:val="000000" w:themeColor="text1"/>
                <w:sz w:val="24"/>
                <w:szCs w:val="24"/>
              </w:rPr>
              <w:t xml:space="preserve"> </w:t>
            </w:r>
          </w:p>
        </w:tc>
      </w:tr>
    </w:tbl>
    <w:p w14:paraId="5635F47E" w14:textId="77777777" w:rsidR="00672285" w:rsidRDefault="00672285" w:rsidP="00672285">
      <w:pPr>
        <w:spacing w:after="0" w:line="240" w:lineRule="auto"/>
        <w:ind w:firstLine="708"/>
        <w:jc w:val="both"/>
        <w:rPr>
          <w:rFonts w:ascii="Times New Roman" w:eastAsia="Times New Roman" w:hAnsi="Times New Roman" w:cs="Times New Roman"/>
          <w:color w:val="000000" w:themeColor="text1"/>
          <w:sz w:val="24"/>
          <w:szCs w:val="24"/>
          <w:highlight w:val="cyan"/>
        </w:rPr>
      </w:pPr>
    </w:p>
    <w:p w14:paraId="67753E1B" w14:textId="42DE9DC9" w:rsidR="00934FDC" w:rsidRPr="0066121D" w:rsidRDefault="51650439" w:rsidP="5D8365CD">
      <w:pPr>
        <w:spacing w:after="0" w:line="240" w:lineRule="auto"/>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No caso, verifica-se que não foi anexada aos autos minuta de contrato, tampouco manifestação da área técnica acerca da sua eventual substituição por instrumentos hábeis diversos.  Todavia, tendo em vista que</w:t>
      </w:r>
      <w:r w:rsidRPr="5D8365CD">
        <w:rPr>
          <w:rFonts w:ascii="Times New Roman" w:eastAsia="Times New Roman" w:hAnsi="Times New Roman" w:cs="Times New Roman"/>
          <w:color w:val="FF0000"/>
          <w:sz w:val="24"/>
          <w:szCs w:val="24"/>
          <w:highlight w:val="cyan"/>
        </w:rPr>
        <w:t>,</w:t>
      </w:r>
      <w:r w:rsidRPr="5D8365CD">
        <w:rPr>
          <w:rFonts w:ascii="Times New Roman" w:eastAsia="Times New Roman" w:hAnsi="Times New Roman" w:cs="Times New Roman"/>
          <w:color w:val="000000" w:themeColor="text1"/>
          <w:sz w:val="24"/>
          <w:szCs w:val="24"/>
          <w:highlight w:val="cyan"/>
        </w:rPr>
        <w:t xml:space="preserve"> haverá compra com entrega imediata e integral dos bens adquiridos e a contratada não estará vinculada à prestação de obrigações futuras, e a inclusão, no Termo de Referência</w:t>
      </w:r>
      <w:r w:rsidRPr="5D8365CD">
        <w:rPr>
          <w:rFonts w:ascii="Times New Roman" w:eastAsia="Times New Roman" w:hAnsi="Times New Roman" w:cs="Times New Roman"/>
          <w:color w:val="FF0000"/>
          <w:sz w:val="24"/>
          <w:szCs w:val="24"/>
          <w:highlight w:val="cyan"/>
        </w:rPr>
        <w:t xml:space="preserve">, </w:t>
      </w:r>
      <w:r w:rsidRPr="5D8365CD">
        <w:rPr>
          <w:rFonts w:ascii="Times New Roman" w:eastAsia="Times New Roman" w:hAnsi="Times New Roman" w:cs="Times New Roman"/>
          <w:color w:val="000000" w:themeColor="text1"/>
          <w:sz w:val="24"/>
          <w:szCs w:val="24"/>
          <w:highlight w:val="cyan"/>
        </w:rPr>
        <w:t>de subitens que tratam dos conteúdos previstos no art. 92 da Lei nº 14.133</w:t>
      </w:r>
      <w:r w:rsidR="5B684A3F"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 xml:space="preserve">2021, conclui-se pela viabilidade jurídica de adoção do instrumento substitutivo ao termo de contrato, o qual deverá ser providenciado pela Administração. </w:t>
      </w:r>
      <w:r w:rsidRPr="5D8365CD">
        <w:rPr>
          <w:rFonts w:ascii="Times New Roman" w:eastAsia="Times New Roman" w:hAnsi="Times New Roman" w:cs="Times New Roman"/>
          <w:color w:val="000000" w:themeColor="text1"/>
          <w:sz w:val="24"/>
          <w:szCs w:val="24"/>
        </w:rPr>
        <w:t xml:space="preserve"> </w:t>
      </w:r>
    </w:p>
    <w:p w14:paraId="4A3F3442" w14:textId="45DDFF08" w:rsidR="00934FDC" w:rsidRPr="00796948" w:rsidRDefault="51650439" w:rsidP="00796948">
      <w:pPr>
        <w:spacing w:after="0" w:line="240" w:lineRule="auto"/>
        <w:ind w:firstLine="708"/>
        <w:jc w:val="both"/>
        <w:rPr>
          <w:rFonts w:ascii="Times New Roman" w:eastAsia="Times New Roman" w:hAnsi="Times New Roman" w:cs="Times New Roman"/>
          <w:color w:val="000000" w:themeColor="text1"/>
          <w:sz w:val="24"/>
          <w:szCs w:val="24"/>
          <w:u w:val="single"/>
        </w:rPr>
      </w:pPr>
      <w:r w:rsidRPr="00796948">
        <w:rPr>
          <w:rFonts w:ascii="Times New Roman" w:eastAsia="Times New Roman" w:hAnsi="Times New Roman" w:cs="Times New Roman"/>
          <w:b/>
          <w:bCs/>
          <w:sz w:val="24"/>
          <w:szCs w:val="24"/>
          <w:highlight w:val="cyan"/>
          <w:u w:val="single"/>
        </w:rPr>
        <w:t>OU</w:t>
      </w:r>
      <w:r w:rsidRPr="00796948">
        <w:rPr>
          <w:rFonts w:ascii="Times New Roman" w:eastAsia="Times New Roman" w:hAnsi="Times New Roman" w:cs="Times New Roman"/>
          <w:color w:val="000000" w:themeColor="text1"/>
          <w:sz w:val="24"/>
          <w:szCs w:val="24"/>
          <w:u w:val="single"/>
        </w:rPr>
        <w:t xml:space="preserve"> </w:t>
      </w:r>
    </w:p>
    <w:p w14:paraId="7449038F" w14:textId="53905681" w:rsidR="00934FDC" w:rsidRPr="0066121D" w:rsidRDefault="51650439" w:rsidP="00B13D21">
      <w:pPr>
        <w:spacing w:after="0" w:line="240" w:lineRule="auto"/>
        <w:ind w:firstLine="708"/>
        <w:jc w:val="both"/>
        <w:rPr>
          <w:rFonts w:ascii="Times New Roman" w:eastAsia="Times New Roman" w:hAnsi="Times New Roman" w:cs="Times New Roman"/>
          <w:color w:val="000000" w:themeColor="text1"/>
          <w:sz w:val="24"/>
          <w:szCs w:val="24"/>
        </w:rPr>
      </w:pPr>
      <w:r w:rsidRPr="5D8365CD">
        <w:rPr>
          <w:rFonts w:ascii="Times New Roman" w:eastAsia="Times New Roman" w:hAnsi="Times New Roman" w:cs="Times New Roman"/>
          <w:color w:val="000000" w:themeColor="text1"/>
          <w:sz w:val="24"/>
          <w:szCs w:val="24"/>
          <w:highlight w:val="cyan"/>
        </w:rPr>
        <w:t>No caso, verifica-se que não foi anexada aos autos minuta de contrato, tampouco manifestação da área técnica acerca da sua eventual substituição por instrumentos hábeis diversos. Todavia, tendo em vista que haverá compra com entrega imediata e integral dos bens adquiridos e a contratada não estará vinculada à prestação de obrigações futuras, conclui-se pela viabilidade jurídica de adoção do instrumento substitutivo ao termo de contrato, o qual deverá ser providenciado pela Administração, desde que sejam inseridos no Termo de Referência</w:t>
      </w:r>
      <w:r w:rsidRPr="5D8365CD">
        <w:rPr>
          <w:rFonts w:ascii="Times New Roman" w:eastAsia="Times New Roman" w:hAnsi="Times New Roman" w:cs="Times New Roman"/>
          <w:color w:val="FF0000"/>
          <w:sz w:val="24"/>
          <w:szCs w:val="24"/>
          <w:highlight w:val="cyan"/>
        </w:rPr>
        <w:t xml:space="preserve">, </w:t>
      </w:r>
      <w:r w:rsidRPr="5D8365CD">
        <w:rPr>
          <w:rFonts w:ascii="Times New Roman" w:eastAsia="Times New Roman" w:hAnsi="Times New Roman" w:cs="Times New Roman"/>
          <w:color w:val="000000" w:themeColor="text1"/>
          <w:sz w:val="24"/>
          <w:szCs w:val="24"/>
          <w:highlight w:val="cyan"/>
        </w:rPr>
        <w:t xml:space="preserve">subitens que regulem </w:t>
      </w:r>
      <w:r w:rsidRPr="5D8365CD">
        <w:rPr>
          <w:rFonts w:ascii="Times New Roman" w:eastAsia="Times New Roman" w:hAnsi="Times New Roman" w:cs="Times New Roman"/>
          <w:color w:val="FF0000"/>
          <w:sz w:val="24"/>
          <w:szCs w:val="24"/>
          <w:highlight w:val="cyan"/>
        </w:rPr>
        <w:t>.............(indicar os conteúdos do art. 92 da Lei nº 14.133</w:t>
      </w:r>
      <w:r w:rsidR="2389096B" w:rsidRPr="5D8365CD">
        <w:rPr>
          <w:rFonts w:ascii="Times New Roman" w:eastAsia="Times New Roman" w:hAnsi="Times New Roman" w:cs="Times New Roman"/>
          <w:color w:val="FF0000"/>
          <w:sz w:val="24"/>
          <w:szCs w:val="24"/>
          <w:highlight w:val="cyan"/>
        </w:rPr>
        <w:t xml:space="preserve">, de </w:t>
      </w:r>
      <w:r w:rsidRPr="5D8365CD">
        <w:rPr>
          <w:rFonts w:ascii="Times New Roman" w:eastAsia="Times New Roman" w:hAnsi="Times New Roman" w:cs="Times New Roman"/>
          <w:color w:val="FF0000"/>
          <w:sz w:val="24"/>
          <w:szCs w:val="24"/>
          <w:highlight w:val="cyan"/>
        </w:rPr>
        <w:t>2021 que devem ser incluídos).</w:t>
      </w:r>
      <w:r w:rsidRPr="5D8365CD">
        <w:rPr>
          <w:rFonts w:ascii="Times New Roman" w:eastAsia="Times New Roman" w:hAnsi="Times New Roman" w:cs="Times New Roman"/>
          <w:color w:val="000000" w:themeColor="text1"/>
          <w:sz w:val="24"/>
          <w:szCs w:val="24"/>
        </w:rPr>
        <w:t xml:space="preserve"> </w:t>
      </w:r>
    </w:p>
    <w:p w14:paraId="28A1E8CB" w14:textId="1E3BA8E1" w:rsidR="00934FDC" w:rsidRDefault="51650439" w:rsidP="005F2BC3">
      <w:pPr>
        <w:spacing w:after="0" w:line="240" w:lineRule="auto"/>
        <w:ind w:firstLine="708"/>
        <w:jc w:val="both"/>
        <w:rPr>
          <w:rFonts w:ascii="Times New Roman" w:eastAsia="Times New Roman" w:hAnsi="Times New Roman" w:cs="Times New Roman"/>
          <w:color w:val="000000" w:themeColor="text1"/>
          <w:sz w:val="24"/>
          <w:szCs w:val="24"/>
          <w:u w:val="single"/>
        </w:rPr>
      </w:pPr>
      <w:r w:rsidRPr="5D8365CD">
        <w:rPr>
          <w:rFonts w:ascii="Times New Roman" w:eastAsia="Times New Roman" w:hAnsi="Times New Roman" w:cs="Times New Roman"/>
          <w:b/>
          <w:bCs/>
          <w:sz w:val="24"/>
          <w:szCs w:val="24"/>
          <w:highlight w:val="cyan"/>
          <w:u w:val="single"/>
        </w:rPr>
        <w:t>OU</w:t>
      </w:r>
    </w:p>
    <w:p w14:paraId="4FD77802" w14:textId="77777777" w:rsidR="00CA1F02" w:rsidRPr="005F2BC3" w:rsidRDefault="00CA1F02" w:rsidP="005F2BC3">
      <w:pPr>
        <w:spacing w:after="0" w:line="240" w:lineRule="auto"/>
        <w:ind w:firstLine="708"/>
        <w:jc w:val="both"/>
        <w:rPr>
          <w:rFonts w:ascii="Times New Roman" w:eastAsia="Times New Roman" w:hAnsi="Times New Roman" w:cs="Times New Roman"/>
          <w:color w:val="000000" w:themeColor="text1"/>
          <w:sz w:val="24"/>
          <w:szCs w:val="24"/>
          <w:u w:val="single"/>
        </w:rPr>
      </w:pPr>
    </w:p>
    <w:tbl>
      <w:tblPr>
        <w:tblW w:w="0" w:type="auto"/>
        <w:tblLayout w:type="fixed"/>
        <w:tblLook w:val="04A0" w:firstRow="1" w:lastRow="0" w:firstColumn="1" w:lastColumn="0" w:noHBand="0" w:noVBand="1"/>
      </w:tblPr>
      <w:tblGrid>
        <w:gridCol w:w="9015"/>
      </w:tblGrid>
      <w:tr w:rsidR="554FFC2B" w:rsidRPr="0066121D" w14:paraId="6549E340" w14:textId="77777777" w:rsidTr="64C763B2">
        <w:trPr>
          <w:trHeight w:val="300"/>
        </w:trPr>
        <w:tc>
          <w:tcPr>
            <w:tcW w:w="9015" w:type="dxa"/>
            <w:tcBorders>
              <w:top w:val="inset" w:sz="8" w:space="0" w:color="auto"/>
              <w:left w:val="inset" w:sz="8" w:space="0" w:color="auto"/>
              <w:bottom w:val="inset" w:sz="8" w:space="0" w:color="auto"/>
              <w:right w:val="inset" w:sz="8" w:space="0" w:color="auto"/>
            </w:tcBorders>
            <w:vAlign w:val="center"/>
          </w:tcPr>
          <w:p w14:paraId="701AD246" w14:textId="03CA6E6E" w:rsidR="554FFC2B" w:rsidRPr="0066121D" w:rsidRDefault="348EA57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sz w:val="24"/>
                <w:szCs w:val="24"/>
                <w:highlight w:val="yellow"/>
              </w:rPr>
              <w:t>Nota Explicativa:</w:t>
            </w:r>
            <w:r w:rsidRPr="0066121D">
              <w:rPr>
                <w:rFonts w:ascii="Times New Roman" w:eastAsia="Times New Roman" w:hAnsi="Times New Roman" w:cs="Times New Roman"/>
                <w:color w:val="000000" w:themeColor="text1"/>
                <w:sz w:val="24"/>
                <w:szCs w:val="24"/>
                <w:highlight w:val="yellow"/>
              </w:rPr>
              <w:t xml:space="preserve"> </w:t>
            </w:r>
            <w:r w:rsidR="119D635B" w:rsidRPr="0066121D">
              <w:rPr>
                <w:rFonts w:ascii="Times New Roman" w:eastAsia="Times New Roman" w:hAnsi="Times New Roman" w:cs="Times New Roman"/>
                <w:b/>
                <w:bCs/>
                <w:sz w:val="24"/>
                <w:szCs w:val="24"/>
                <w:highlight w:val="yellow"/>
              </w:rPr>
              <w:t xml:space="preserve">No caso de compra e </w:t>
            </w:r>
            <w:r w:rsidRPr="0066121D">
              <w:rPr>
                <w:rFonts w:ascii="Times New Roman" w:eastAsia="Times New Roman" w:hAnsi="Times New Roman" w:cs="Times New Roman"/>
                <w:b/>
                <w:bCs/>
                <w:sz w:val="24"/>
                <w:szCs w:val="24"/>
                <w:highlight w:val="yellow"/>
              </w:rPr>
              <w:t>não tenha sido juntado termo de contrato,</w:t>
            </w:r>
            <w:r w:rsidRPr="0066121D">
              <w:rPr>
                <w:rFonts w:ascii="Times New Roman" w:eastAsia="Times New Roman" w:hAnsi="Times New Roman" w:cs="Times New Roman"/>
                <w:color w:val="000000" w:themeColor="text1"/>
                <w:sz w:val="24"/>
                <w:szCs w:val="24"/>
                <w:highlight w:val="yellow"/>
              </w:rPr>
              <w:t xml:space="preserve"> </w:t>
            </w:r>
            <w:r w:rsidRPr="0066121D">
              <w:rPr>
                <w:rFonts w:ascii="Times New Roman" w:eastAsia="Times New Roman" w:hAnsi="Times New Roman" w:cs="Times New Roman"/>
                <w:b/>
                <w:bCs/>
                <w:sz w:val="24"/>
                <w:szCs w:val="24"/>
                <w:highlight w:val="yellow"/>
              </w:rPr>
              <w:t>mas ele seja necessário</w:t>
            </w:r>
            <w:r w:rsidRPr="0066121D">
              <w:rPr>
                <w:rFonts w:ascii="Times New Roman" w:eastAsia="Times New Roman" w:hAnsi="Times New Roman" w:cs="Times New Roman"/>
                <w:color w:val="000000" w:themeColor="text1"/>
                <w:sz w:val="24"/>
                <w:szCs w:val="24"/>
                <w:highlight w:val="yellow"/>
              </w:rPr>
              <w:t>, deverá ser utilizada a redação abaixo:</w:t>
            </w:r>
            <w:r w:rsidRPr="0066121D">
              <w:rPr>
                <w:rFonts w:ascii="Times New Roman" w:eastAsia="Times New Roman" w:hAnsi="Times New Roman" w:cs="Times New Roman"/>
                <w:color w:val="000000" w:themeColor="text1"/>
                <w:sz w:val="24"/>
                <w:szCs w:val="24"/>
              </w:rPr>
              <w:t xml:space="preserve"> </w:t>
            </w:r>
          </w:p>
        </w:tc>
      </w:tr>
    </w:tbl>
    <w:p w14:paraId="6B8F6B90" w14:textId="77777777" w:rsidR="005F2BC3" w:rsidRDefault="005F2BC3" w:rsidP="64C763B2">
      <w:pPr>
        <w:spacing w:after="0" w:line="240" w:lineRule="auto"/>
        <w:jc w:val="both"/>
        <w:rPr>
          <w:rFonts w:ascii="Times New Roman" w:eastAsia="Times New Roman" w:hAnsi="Times New Roman" w:cs="Times New Roman"/>
          <w:color w:val="000000" w:themeColor="text1"/>
          <w:sz w:val="24"/>
          <w:szCs w:val="24"/>
          <w:highlight w:val="cyan"/>
        </w:rPr>
      </w:pPr>
    </w:p>
    <w:p w14:paraId="7611DADF" w14:textId="0C3BFD60" w:rsidR="00934FDC" w:rsidRPr="0066121D" w:rsidRDefault="51650439" w:rsidP="5D8365CD">
      <w:pPr>
        <w:spacing w:after="0" w:line="240" w:lineRule="auto"/>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caso, verifica-se que não foi anexado o termo de contrato e, por outro lado, a hipótese não encontra amparo no art. 95, II</w:t>
      </w:r>
      <w:r w:rsidR="00664A7E" w:rsidRPr="5D8365CD">
        <w:rPr>
          <w:rFonts w:ascii="Times New Roman" w:eastAsia="Times New Roman" w:hAnsi="Times New Roman" w:cs="Times New Roman"/>
          <w:color w:val="000000" w:themeColor="text1"/>
          <w:sz w:val="24"/>
          <w:szCs w:val="24"/>
          <w:highlight w:val="cyan"/>
        </w:rPr>
        <w:t>,</w:t>
      </w:r>
      <w:r w:rsidRPr="5D8365CD">
        <w:rPr>
          <w:rFonts w:ascii="Times New Roman" w:eastAsia="Times New Roman" w:hAnsi="Times New Roman" w:cs="Times New Roman"/>
          <w:color w:val="000000" w:themeColor="text1"/>
          <w:sz w:val="24"/>
          <w:szCs w:val="24"/>
          <w:highlight w:val="cyan"/>
        </w:rPr>
        <w:t xml:space="preserve"> da Lei nº 14.133</w:t>
      </w:r>
      <w:r w:rsidR="56146817"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 xml:space="preserve">2021, que admite a sua dispensa apenas para compras com entrega imediata e integral dos bens adquiridos e dos quais não resultem obrigações futuras, inclusive quanto a assistência técnica, independentemente de seu valor. </w:t>
      </w:r>
    </w:p>
    <w:p w14:paraId="04AA2F96" w14:textId="719B8418"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58B63A9A" w14:textId="1F179926"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cyan"/>
        </w:rPr>
        <w:lastRenderedPageBreak/>
        <w:t xml:space="preserve">Com efeito, conforme indica o </w:t>
      </w:r>
      <w:r w:rsidRPr="0066121D">
        <w:rPr>
          <w:rFonts w:ascii="Times New Roman" w:eastAsia="Times New Roman" w:hAnsi="Times New Roman" w:cs="Times New Roman"/>
          <w:color w:val="FF0000"/>
          <w:sz w:val="24"/>
          <w:szCs w:val="24"/>
          <w:highlight w:val="cyan"/>
        </w:rPr>
        <w:t xml:space="preserve">Termo de Referência, item </w:t>
      </w:r>
      <w:proofErr w:type="spellStart"/>
      <w:r w:rsidRPr="0066121D">
        <w:rPr>
          <w:rFonts w:ascii="Times New Roman" w:eastAsia="Times New Roman" w:hAnsi="Times New Roman" w:cs="Times New Roman"/>
          <w:color w:val="FF0000"/>
          <w:sz w:val="24"/>
          <w:szCs w:val="24"/>
          <w:highlight w:val="cyan"/>
        </w:rPr>
        <w:t>x.x</w:t>
      </w:r>
      <w:proofErr w:type="spellEnd"/>
      <w:r w:rsidRPr="0066121D">
        <w:rPr>
          <w:rFonts w:ascii="Times New Roman" w:eastAsia="Times New Roman" w:hAnsi="Times New Roman" w:cs="Times New Roman"/>
          <w:color w:val="FF0000"/>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não haverá entrega imediata e integral dos bens adquiridos </w:t>
      </w:r>
      <w:r w:rsidRPr="0066121D">
        <w:rPr>
          <w:rFonts w:ascii="Times New Roman" w:eastAsia="Times New Roman" w:hAnsi="Times New Roman" w:cs="Times New Roman"/>
          <w:b/>
          <w:bCs/>
          <w:sz w:val="24"/>
          <w:szCs w:val="24"/>
          <w:highlight w:val="cyan"/>
        </w:rPr>
        <w:t>E/OU</w:t>
      </w:r>
      <w:r w:rsidRPr="0066121D">
        <w:rPr>
          <w:rFonts w:ascii="Times New Roman" w:eastAsia="Times New Roman" w:hAnsi="Times New Roman" w:cs="Times New Roman"/>
          <w:color w:val="000000" w:themeColor="text1"/>
          <w:sz w:val="24"/>
          <w:szCs w:val="24"/>
          <w:highlight w:val="cyan"/>
        </w:rPr>
        <w:t xml:space="preserve"> a contratada estará vinculada à prestação de obrigações futuras</w:t>
      </w:r>
      <w:r w:rsidRPr="0066121D">
        <w:rPr>
          <w:rFonts w:ascii="Times New Roman" w:eastAsia="Times New Roman" w:hAnsi="Times New Roman" w:cs="Times New Roman"/>
          <w:color w:val="FF0000"/>
          <w:sz w:val="24"/>
          <w:szCs w:val="24"/>
          <w:highlight w:val="cyan"/>
        </w:rPr>
        <w:t>, tais como</w:t>
      </w:r>
      <w:r w:rsidRPr="00A951F3">
        <w:rPr>
          <w:rFonts w:ascii="Times New Roman" w:eastAsia="Times New Roman" w:hAnsi="Times New Roman" w:cs="Times New Roman"/>
          <w:color w:val="000000" w:themeColor="text1"/>
          <w:sz w:val="24"/>
          <w:szCs w:val="24"/>
          <w:highlight w:val="cyan"/>
        </w:rPr>
        <w:t xml:space="preserve"> </w:t>
      </w:r>
      <w:r w:rsidRPr="0066121D">
        <w:rPr>
          <w:rFonts w:ascii="Times New Roman" w:eastAsia="Times New Roman" w:hAnsi="Times New Roman" w:cs="Times New Roman"/>
          <w:color w:val="FF0000"/>
          <w:sz w:val="24"/>
          <w:szCs w:val="24"/>
          <w:highlight w:val="cyan"/>
        </w:rPr>
        <w:t>XXX].</w:t>
      </w:r>
      <w:r w:rsidRPr="0066121D">
        <w:rPr>
          <w:rFonts w:ascii="Times New Roman" w:eastAsia="Times New Roman" w:hAnsi="Times New Roman" w:cs="Times New Roman"/>
          <w:color w:val="000000" w:themeColor="text1"/>
          <w:sz w:val="24"/>
          <w:szCs w:val="24"/>
        </w:rPr>
        <w:t xml:space="preserve"> </w:t>
      </w:r>
    </w:p>
    <w:p w14:paraId="0A078D55" w14:textId="143CE224"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32D79F7B" w14:textId="5CB3A1B5"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Necessário, pois, que a Administração providencie a juntada da minuta contratual, elaborada em conformidade com o correspondente modelo padronizado pela AGU, reencaminhando os autos a este órgão consultivo para exame prévio da regularidade jurídica da minuta a ser anexada aos autos. </w:t>
      </w:r>
    </w:p>
    <w:p w14:paraId="48DD47D6" w14:textId="4788EDE3"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tbl>
      <w:tblPr>
        <w:tblStyle w:val="Tabelacomgrade"/>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6A0" w:firstRow="1" w:lastRow="0" w:firstColumn="1" w:lastColumn="0" w:noHBand="1" w:noVBand="1"/>
      </w:tblPr>
      <w:tblGrid>
        <w:gridCol w:w="9015"/>
      </w:tblGrid>
      <w:tr w:rsidR="257865AE" w:rsidRPr="0066121D" w14:paraId="53721BE7" w14:textId="77777777" w:rsidTr="00664A7E">
        <w:trPr>
          <w:trHeight w:val="300"/>
        </w:trPr>
        <w:tc>
          <w:tcPr>
            <w:tcW w:w="9015" w:type="dxa"/>
            <w:tcMar>
              <w:top w:w="30" w:type="dxa"/>
              <w:left w:w="30" w:type="dxa"/>
              <w:bottom w:w="30" w:type="dxa"/>
              <w:right w:w="30" w:type="dxa"/>
            </w:tcMar>
            <w:vAlign w:val="center"/>
          </w:tcPr>
          <w:p w14:paraId="65C94F09" w14:textId="0DA1B049" w:rsidR="257865AE" w:rsidRPr="0066121D" w:rsidRDefault="3037C238" w:rsidP="64C763B2">
            <w:pPr>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yellow"/>
              </w:rPr>
              <w:t>Nota Explicativa: </w:t>
            </w:r>
            <w:r w:rsidRPr="0066121D">
              <w:rPr>
                <w:rFonts w:ascii="Times New Roman" w:eastAsia="Times New Roman" w:hAnsi="Times New Roman" w:cs="Times New Roman"/>
                <w:b/>
                <w:bCs/>
                <w:color w:val="000000" w:themeColor="text1"/>
                <w:sz w:val="24"/>
                <w:szCs w:val="24"/>
                <w:highlight w:val="yellow"/>
              </w:rPr>
              <w:t>Caso seja contratação de serviços e não tenha sido juntado termo de contrato</w:t>
            </w:r>
            <w:r w:rsidRPr="0066121D">
              <w:rPr>
                <w:rFonts w:ascii="Times New Roman" w:eastAsia="Times New Roman" w:hAnsi="Times New Roman" w:cs="Times New Roman"/>
                <w:color w:val="000000" w:themeColor="text1"/>
                <w:sz w:val="24"/>
                <w:szCs w:val="24"/>
                <w:highlight w:val="yellow"/>
              </w:rPr>
              <w:t>, deverá ser utilizada a redação abaixo:</w:t>
            </w:r>
            <w:r w:rsidRPr="0066121D">
              <w:rPr>
                <w:rFonts w:ascii="Times New Roman" w:eastAsia="Times New Roman" w:hAnsi="Times New Roman" w:cs="Times New Roman"/>
                <w:color w:val="000000" w:themeColor="text1"/>
                <w:sz w:val="24"/>
                <w:szCs w:val="24"/>
              </w:rPr>
              <w:t xml:space="preserve">  </w:t>
            </w:r>
          </w:p>
        </w:tc>
      </w:tr>
    </w:tbl>
    <w:p w14:paraId="3BF56F3F" w14:textId="2D471C02" w:rsidR="64C763B2" w:rsidRPr="0066121D" w:rsidRDefault="64C763B2" w:rsidP="64C763B2">
      <w:pPr>
        <w:spacing w:after="0" w:line="240" w:lineRule="auto"/>
        <w:rPr>
          <w:rFonts w:ascii="Times New Roman" w:eastAsia="Times New Roman" w:hAnsi="Times New Roman" w:cs="Times New Roman"/>
          <w:sz w:val="24"/>
          <w:szCs w:val="24"/>
        </w:rPr>
      </w:pPr>
    </w:p>
    <w:p w14:paraId="25C0C62B" w14:textId="5F5AA98D" w:rsidR="6A8C09A5" w:rsidRPr="0066121D" w:rsidRDefault="3A2ABA80"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 xml:space="preserve">No caso, verifica-se que não foi anexado o termo de contrato e, por outro lado, </w:t>
      </w:r>
      <w:r w:rsidRPr="0066121D">
        <w:rPr>
          <w:rFonts w:ascii="Times New Roman" w:eastAsia="Times New Roman" w:hAnsi="Times New Roman" w:cs="Times New Roman"/>
          <w:b/>
          <w:bCs/>
          <w:color w:val="FF0000"/>
          <w:sz w:val="24"/>
          <w:szCs w:val="24"/>
          <w:highlight w:val="cyan"/>
        </w:rPr>
        <w:t>tratando-se de contratação de serviços</w:t>
      </w:r>
      <w:r w:rsidRPr="0066121D">
        <w:rPr>
          <w:rFonts w:ascii="Times New Roman" w:eastAsia="Times New Roman" w:hAnsi="Times New Roman" w:cs="Times New Roman"/>
          <w:color w:val="FF0000"/>
          <w:sz w:val="24"/>
          <w:szCs w:val="24"/>
          <w:highlight w:val="cyan"/>
        </w:rPr>
        <w:t>, tal situação não encontra amparo no art. 95 da Lei nº 14.133</w:t>
      </w:r>
      <w:r w:rsidR="0E8D5462" w:rsidRPr="0066121D">
        <w:rPr>
          <w:rFonts w:ascii="Times New Roman" w:eastAsia="Times New Roman" w:hAnsi="Times New Roman" w:cs="Times New Roman"/>
          <w:color w:val="FF0000"/>
          <w:sz w:val="24"/>
          <w:szCs w:val="24"/>
          <w:highlight w:val="cyan"/>
        </w:rPr>
        <w:t xml:space="preserve">, de </w:t>
      </w:r>
      <w:r w:rsidRPr="0066121D">
        <w:rPr>
          <w:rFonts w:ascii="Times New Roman" w:eastAsia="Times New Roman" w:hAnsi="Times New Roman" w:cs="Times New Roman"/>
          <w:color w:val="FF0000"/>
          <w:sz w:val="24"/>
          <w:szCs w:val="24"/>
          <w:highlight w:val="cyan"/>
        </w:rPr>
        <w:t>2021.</w:t>
      </w:r>
    </w:p>
    <w:p w14:paraId="2E94DDA1" w14:textId="7E4F0415" w:rsidR="64C763B2" w:rsidRPr="0066121D" w:rsidRDefault="64C763B2" w:rsidP="64C763B2">
      <w:pPr>
        <w:spacing w:after="0" w:line="240" w:lineRule="auto"/>
        <w:jc w:val="both"/>
        <w:rPr>
          <w:rFonts w:ascii="Times New Roman" w:eastAsia="Times New Roman" w:hAnsi="Times New Roman" w:cs="Times New Roman"/>
          <w:color w:val="FF0000"/>
          <w:sz w:val="24"/>
          <w:szCs w:val="24"/>
          <w:highlight w:val="cyan"/>
        </w:rPr>
      </w:pPr>
    </w:p>
    <w:p w14:paraId="762E1FF9" w14:textId="29D98D65" w:rsidR="6A8C09A5" w:rsidRPr="0066121D" w:rsidRDefault="3A2ABA80" w:rsidP="64C763B2">
      <w:pPr>
        <w:spacing w:after="0" w:line="240" w:lineRule="auto"/>
        <w:jc w:val="both"/>
        <w:rPr>
          <w:rFonts w:ascii="Times New Roman" w:eastAsia="Times New Roman" w:hAnsi="Times New Roman" w:cs="Times New Roman"/>
          <w:color w:val="FF0000"/>
          <w:sz w:val="24"/>
          <w:szCs w:val="24"/>
          <w:highlight w:val="cyan"/>
        </w:rPr>
      </w:pPr>
      <w:r w:rsidRPr="0066121D">
        <w:rPr>
          <w:rFonts w:ascii="Times New Roman" w:eastAsia="Times New Roman" w:hAnsi="Times New Roman" w:cs="Times New Roman"/>
          <w:color w:val="FF0000"/>
          <w:sz w:val="24"/>
          <w:szCs w:val="24"/>
          <w:highlight w:val="cyan"/>
        </w:rPr>
        <w:t>Necessário, pois, que a Administração providencie a juntada da minuta contratual, elaborada em conformidade com o correspondente modelo padronizado pela AGU, reencaminhando os autos a este órgão consultivo para exame prévio da regularidade jurídica da minuta a ser anexada aos autos.</w:t>
      </w:r>
    </w:p>
    <w:p w14:paraId="2CD35962" w14:textId="77777777" w:rsidR="00105D92" w:rsidRDefault="00105D92" w:rsidP="64C763B2">
      <w:pPr>
        <w:spacing w:after="0" w:line="240" w:lineRule="auto"/>
        <w:jc w:val="both"/>
        <w:rPr>
          <w:rFonts w:ascii="Times New Roman" w:eastAsia="Times New Roman" w:hAnsi="Times New Roman" w:cs="Times New Roman"/>
          <w:b/>
          <w:bCs/>
          <w:color w:val="000000" w:themeColor="text1"/>
          <w:sz w:val="24"/>
          <w:szCs w:val="24"/>
        </w:rPr>
      </w:pPr>
    </w:p>
    <w:p w14:paraId="66DC68CF" w14:textId="50D59574"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b/>
          <w:bCs/>
          <w:color w:val="000000" w:themeColor="text1"/>
          <w:sz w:val="24"/>
          <w:szCs w:val="24"/>
        </w:rPr>
        <w:t xml:space="preserve">DA DISPONIBILIDADE </w:t>
      </w:r>
      <w:r w:rsidR="003D309B" w:rsidRPr="0066121D">
        <w:rPr>
          <w:rFonts w:ascii="Times New Roman" w:eastAsia="Times New Roman" w:hAnsi="Times New Roman" w:cs="Times New Roman"/>
          <w:b/>
          <w:bCs/>
          <w:color w:val="000000" w:themeColor="text1"/>
          <w:sz w:val="24"/>
          <w:szCs w:val="24"/>
        </w:rPr>
        <w:t>ORÇAMENTÁRIA</w:t>
      </w:r>
    </w:p>
    <w:p w14:paraId="5839FD90" w14:textId="408316B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1C75E98D" w14:textId="5343D77E"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highlight w:val="cyan"/>
        </w:rPr>
        <w:t>No presente caso, em atenção ao artigo 72, IV</w:t>
      </w:r>
      <w:r w:rsidR="000E7D6D">
        <w:rPr>
          <w:rFonts w:ascii="Times New Roman" w:eastAsia="Times New Roman" w:hAnsi="Times New Roman" w:cs="Times New Roman"/>
          <w:color w:val="000000" w:themeColor="text1"/>
          <w:sz w:val="24"/>
          <w:szCs w:val="24"/>
          <w:highlight w:val="cyan"/>
        </w:rPr>
        <w:t>,</w:t>
      </w:r>
      <w:r w:rsidRPr="0066121D">
        <w:rPr>
          <w:rFonts w:ascii="Times New Roman" w:eastAsia="Times New Roman" w:hAnsi="Times New Roman" w:cs="Times New Roman"/>
          <w:color w:val="000000" w:themeColor="text1"/>
          <w:sz w:val="24"/>
          <w:szCs w:val="24"/>
          <w:highlight w:val="cyan"/>
        </w:rPr>
        <w:t xml:space="preserve"> da Lei nº 14.133, de 2021, consta </w:t>
      </w:r>
      <w:r w:rsidRPr="0066121D">
        <w:rPr>
          <w:rFonts w:ascii="Times New Roman" w:eastAsia="Times New Roman" w:hAnsi="Times New Roman" w:cs="Times New Roman"/>
          <w:color w:val="FF0000"/>
          <w:sz w:val="24"/>
          <w:szCs w:val="24"/>
          <w:highlight w:val="cyan"/>
        </w:rPr>
        <w:t>às</w:t>
      </w:r>
      <w:r w:rsidRPr="000E7D6D">
        <w:rPr>
          <w:rFonts w:ascii="Times New Roman" w:eastAsia="Times New Roman" w:hAnsi="Times New Roman" w:cs="Times New Roman"/>
          <w:color w:val="000000" w:themeColor="text1"/>
          <w:sz w:val="24"/>
          <w:szCs w:val="24"/>
          <w:highlight w:val="cyan"/>
        </w:rPr>
        <w:t xml:space="preserve"> </w:t>
      </w:r>
      <w:r w:rsidRPr="0066121D">
        <w:rPr>
          <w:rFonts w:ascii="Times New Roman" w:eastAsia="Times New Roman" w:hAnsi="Times New Roman" w:cs="Times New Roman"/>
          <w:color w:val="FF0000"/>
          <w:sz w:val="24"/>
          <w:szCs w:val="24"/>
          <w:highlight w:val="cyan"/>
        </w:rPr>
        <w:t>fls. XXXX/do doc. SEI n. XXXX</w:t>
      </w:r>
      <w:r w:rsidRPr="0066121D">
        <w:rPr>
          <w:rFonts w:ascii="Times New Roman" w:eastAsia="Times New Roman"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r w:rsidRPr="0066121D">
        <w:rPr>
          <w:rFonts w:ascii="Times New Roman" w:eastAsia="Times New Roman" w:hAnsi="Times New Roman" w:cs="Times New Roman"/>
          <w:color w:val="000000" w:themeColor="text1"/>
          <w:sz w:val="24"/>
          <w:szCs w:val="24"/>
        </w:rPr>
        <w:t xml:space="preserve">  </w:t>
      </w:r>
    </w:p>
    <w:p w14:paraId="5B04756C" w14:textId="14EDA7C2" w:rsidR="6A8C09A5" w:rsidRPr="001D2B2F" w:rsidRDefault="3A2ABA80" w:rsidP="001D2B2F">
      <w:pPr>
        <w:spacing w:after="0" w:line="240" w:lineRule="auto"/>
        <w:ind w:firstLine="708"/>
        <w:jc w:val="both"/>
        <w:rPr>
          <w:rFonts w:ascii="Times New Roman" w:eastAsia="Times New Roman" w:hAnsi="Times New Roman" w:cs="Times New Roman"/>
          <w:b/>
          <w:bCs/>
          <w:color w:val="000000" w:themeColor="text1"/>
          <w:sz w:val="24"/>
          <w:szCs w:val="24"/>
          <w:u w:val="single"/>
        </w:rPr>
      </w:pPr>
      <w:r w:rsidRPr="001D2B2F">
        <w:rPr>
          <w:rFonts w:ascii="Times New Roman" w:eastAsia="Times New Roman" w:hAnsi="Times New Roman" w:cs="Times New Roman"/>
          <w:b/>
          <w:bCs/>
          <w:color w:val="000000" w:themeColor="text1"/>
          <w:sz w:val="24"/>
          <w:szCs w:val="24"/>
          <w:highlight w:val="cyan"/>
          <w:u w:val="single"/>
        </w:rPr>
        <w:t>OU</w:t>
      </w:r>
    </w:p>
    <w:p w14:paraId="4D2C4DF7" w14:textId="6C403FED" w:rsidR="6A8C09A5" w:rsidRPr="0066121D" w:rsidRDefault="3A2ABA80" w:rsidP="00B13D21">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presente caso, não foi trazida aos autos a indispensável declaração do setor competente acerca da previsão dos recursos orçamentários necessários para arcar com as despesas decorrentes da futura contratação, indicando a respectiva rubrica, em descumprimento ao artigo 72, IV, da Lei nº 14.133, de 2021. Sendo assim, deverá ser providenciada a juntada da declaração de disponibilidade orçamentária.</w:t>
      </w:r>
    </w:p>
    <w:p w14:paraId="3F6D4A74" w14:textId="76B3A3B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4194A9EA" w14:textId="43100267"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Alerta-se, ainda, para a necessidade de juntar ao feito, antes da celebração do contrato administrativo, a nota de empenho suficiente para o suporte financeiro da respectiva despesa, em atenção ao disposto no art. 60 da Lei nº 4.320</w:t>
      </w:r>
      <w:r w:rsidR="3DC17990" w:rsidRPr="0066121D">
        <w:rPr>
          <w:rFonts w:ascii="Times New Roman" w:eastAsia="Times New Roman" w:hAnsi="Times New Roman" w:cs="Times New Roman"/>
          <w:color w:val="000000" w:themeColor="text1"/>
          <w:sz w:val="24"/>
          <w:szCs w:val="24"/>
        </w:rPr>
        <w:t>, de 19</w:t>
      </w:r>
      <w:r w:rsidRPr="0066121D">
        <w:rPr>
          <w:rFonts w:ascii="Times New Roman" w:eastAsia="Times New Roman" w:hAnsi="Times New Roman" w:cs="Times New Roman"/>
          <w:color w:val="000000" w:themeColor="text1"/>
          <w:sz w:val="24"/>
          <w:szCs w:val="24"/>
        </w:rPr>
        <w:t>64.</w:t>
      </w:r>
    </w:p>
    <w:p w14:paraId="24BAE053" w14:textId="2FC3D3AF"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644D9DC7" w14:textId="5C4494EC"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Necessário destacar, outrossim, que o atendimento ao art. 16, I e II, da Lei Complementar nº 101, de 4 de maio de 2000, somente será necessário se as despesas que amparam a ação orçamentária em apreço não forem qualificáveis como atividades, mas, sim, como projetos, isto é, se não constituírem despesas rotineiras, como estabelece a Orientação Normativa AGU nº 52</w:t>
      </w:r>
      <w:r w:rsidR="0E4C82BB" w:rsidRPr="0066121D">
        <w:rPr>
          <w:rFonts w:ascii="Times New Roman" w:eastAsia="Times New Roman" w:hAnsi="Times New Roman" w:cs="Times New Roman"/>
          <w:color w:val="000000" w:themeColor="text1"/>
          <w:sz w:val="24"/>
          <w:szCs w:val="24"/>
        </w:rPr>
        <w:t xml:space="preserve">, de </w:t>
      </w:r>
      <w:r w:rsidRPr="0066121D">
        <w:rPr>
          <w:rFonts w:ascii="Times New Roman" w:eastAsia="Times New Roman" w:hAnsi="Times New Roman" w:cs="Times New Roman"/>
          <w:color w:val="000000" w:themeColor="text1"/>
          <w:sz w:val="24"/>
          <w:szCs w:val="24"/>
        </w:rPr>
        <w:t xml:space="preserve">2014 ("As despesas ordinárias e rotineiras da administração, já previstas no orçamento e destinadas à manutenção das ações governamentais preexistentes, dispensam as exigências previstas nos incisos I e II do art. 16 da Lei Complementar nº 101, de 2000"). </w:t>
      </w:r>
    </w:p>
    <w:p w14:paraId="7AE9BA9C" w14:textId="2B557B4C"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highlight w:val="cyan"/>
        </w:rPr>
      </w:pPr>
    </w:p>
    <w:p w14:paraId="6CF2F828" w14:textId="70F0383C" w:rsidR="6A8C09A5" w:rsidRPr="0066121D" w:rsidRDefault="3A2ABA80" w:rsidP="64C763B2">
      <w:pPr>
        <w:spacing w:after="0" w:line="240" w:lineRule="auto"/>
        <w:jc w:val="both"/>
        <w:rPr>
          <w:rFonts w:ascii="Times New Roman" w:eastAsia="Times New Roman" w:hAnsi="Times New Roman" w:cs="Times New Roman"/>
          <w:color w:val="000000" w:themeColor="text1"/>
          <w:sz w:val="24"/>
          <w:szCs w:val="24"/>
          <w:highlight w:val="cyan"/>
        </w:rPr>
      </w:pPr>
      <w:r w:rsidRPr="0066121D">
        <w:rPr>
          <w:rFonts w:ascii="Times New Roman" w:eastAsia="Times New Roman" w:hAnsi="Times New Roman" w:cs="Times New Roman"/>
          <w:color w:val="000000" w:themeColor="text1"/>
          <w:sz w:val="24"/>
          <w:szCs w:val="24"/>
          <w:highlight w:val="cyan"/>
        </w:rPr>
        <w:t xml:space="preserve">Recomenda-se, pois, que a Administração informe nos autos a natureza da ação que suporta a despesa decorrente da futura contratação, adotando, a depender do caso, as providências previstas no art. 16, I e II, da Lei de Responsabilidade Fiscal, com as premissas da estimativa </w:t>
      </w:r>
      <w:r w:rsidRPr="0066121D">
        <w:rPr>
          <w:rFonts w:ascii="Times New Roman" w:eastAsia="Times New Roman" w:hAnsi="Times New Roman" w:cs="Times New Roman"/>
          <w:color w:val="000000" w:themeColor="text1"/>
          <w:sz w:val="24"/>
          <w:szCs w:val="24"/>
          <w:highlight w:val="cyan"/>
        </w:rPr>
        <w:lastRenderedPageBreak/>
        <w:t xml:space="preserve">de impacto orçamentário-financeiro e a metodologia de cálculo utilizadas (art. 16, §2º, da </w:t>
      </w:r>
      <w:r w:rsidRPr="001B57A1">
        <w:rPr>
          <w:rFonts w:ascii="Times New Roman" w:eastAsia="Times New Roman" w:hAnsi="Times New Roman" w:cs="Times New Roman"/>
          <w:color w:val="000000" w:themeColor="text1"/>
          <w:sz w:val="24"/>
          <w:szCs w:val="24"/>
          <w:highlight w:val="cyan"/>
        </w:rPr>
        <w:t>Lei Complementar</w:t>
      </w:r>
      <w:r w:rsidRPr="0066121D">
        <w:rPr>
          <w:rFonts w:ascii="Times New Roman" w:eastAsia="Times New Roman" w:hAnsi="Times New Roman" w:cs="Times New Roman"/>
          <w:color w:val="000000" w:themeColor="text1"/>
          <w:sz w:val="24"/>
          <w:szCs w:val="24"/>
          <w:highlight w:val="cyan"/>
        </w:rPr>
        <w:t xml:space="preserve"> n.º 101</w:t>
      </w:r>
      <w:r w:rsidR="31F847C4" w:rsidRPr="0066121D">
        <w:rPr>
          <w:rFonts w:ascii="Times New Roman" w:eastAsia="Times New Roman" w:hAnsi="Times New Roman" w:cs="Times New Roman"/>
          <w:color w:val="000000" w:themeColor="text1"/>
          <w:sz w:val="24"/>
          <w:szCs w:val="24"/>
          <w:highlight w:val="cyan"/>
        </w:rPr>
        <w:t xml:space="preserve">, de </w:t>
      </w:r>
      <w:r w:rsidRPr="0066121D">
        <w:rPr>
          <w:rFonts w:ascii="Times New Roman" w:eastAsia="Times New Roman" w:hAnsi="Times New Roman" w:cs="Times New Roman"/>
          <w:color w:val="000000" w:themeColor="text1"/>
          <w:sz w:val="24"/>
          <w:szCs w:val="24"/>
          <w:highlight w:val="cyan"/>
        </w:rPr>
        <w:t>2000).</w:t>
      </w:r>
    </w:p>
    <w:p w14:paraId="17E86275" w14:textId="58CF16B0" w:rsidR="6A8C09A5" w:rsidRPr="001B57A1" w:rsidRDefault="3A2ABA80" w:rsidP="001B57A1">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001B57A1">
        <w:rPr>
          <w:rFonts w:ascii="Times New Roman" w:eastAsia="Times New Roman" w:hAnsi="Times New Roman" w:cs="Times New Roman"/>
          <w:b/>
          <w:bCs/>
          <w:color w:val="000000" w:themeColor="text1"/>
          <w:sz w:val="24"/>
          <w:szCs w:val="24"/>
          <w:highlight w:val="cyan"/>
          <w:u w:val="single"/>
        </w:rPr>
        <w:t>OU</w:t>
      </w:r>
    </w:p>
    <w:p w14:paraId="46C867D3" w14:textId="0DC2AF4D" w:rsidR="6A8C09A5" w:rsidRPr="0066121D" w:rsidRDefault="3A2ABA80" w:rsidP="00B13D21">
      <w:pPr>
        <w:spacing w:after="0" w:line="240" w:lineRule="auto"/>
        <w:ind w:firstLine="708"/>
        <w:jc w:val="both"/>
        <w:rPr>
          <w:rFonts w:ascii="Times New Roman" w:eastAsia="Times New Roman" w:hAnsi="Times New Roman" w:cs="Times New Roman"/>
          <w:color w:val="000000" w:themeColor="text1"/>
          <w:sz w:val="24"/>
          <w:szCs w:val="24"/>
          <w:highlight w:val="cyan"/>
        </w:rPr>
      </w:pPr>
      <w:r w:rsidRPr="5D8365CD">
        <w:rPr>
          <w:rFonts w:ascii="Times New Roman" w:eastAsia="Times New Roman" w:hAnsi="Times New Roman" w:cs="Times New Roman"/>
          <w:color w:val="000000" w:themeColor="text1"/>
          <w:sz w:val="24"/>
          <w:szCs w:val="24"/>
          <w:highlight w:val="cyan"/>
        </w:rPr>
        <w:t>No caso, consta nos autos declaração do setor competente no sentido de que se trata de despesa administrativa considerada ordinária, já prevista no orçamento e destinada à manutenção de ação preexistente, pelo que resta dispensada, com base na autorização constante da Orientação Normativa AGU nº 52</w:t>
      </w:r>
      <w:r w:rsidR="6358EFB5" w:rsidRPr="5D8365CD">
        <w:rPr>
          <w:rFonts w:ascii="Times New Roman" w:eastAsia="Times New Roman" w:hAnsi="Times New Roman" w:cs="Times New Roman"/>
          <w:color w:val="000000" w:themeColor="text1"/>
          <w:sz w:val="24"/>
          <w:szCs w:val="24"/>
          <w:highlight w:val="cyan"/>
        </w:rPr>
        <w:t xml:space="preserve">, de </w:t>
      </w:r>
      <w:r w:rsidRPr="5D8365CD">
        <w:rPr>
          <w:rFonts w:ascii="Times New Roman" w:eastAsia="Times New Roman" w:hAnsi="Times New Roman" w:cs="Times New Roman"/>
          <w:color w:val="000000" w:themeColor="text1"/>
          <w:sz w:val="24"/>
          <w:szCs w:val="24"/>
          <w:highlight w:val="cyan"/>
        </w:rPr>
        <w:t>2014, a juntada aos autos dos documentos indicados no art. 16, I e II, da Lei de Responsabilidade Fiscal.</w:t>
      </w:r>
    </w:p>
    <w:p w14:paraId="48A2B546" w14:textId="20D247E0" w:rsidR="00934FDC" w:rsidRPr="0066121D" w:rsidRDefault="51650439" w:rsidP="64C763B2">
      <w:pPr>
        <w:spacing w:after="0" w:line="240" w:lineRule="auto"/>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19C90C49" w14:textId="08385DD5" w:rsidR="00934FDC" w:rsidRPr="0066121D" w:rsidRDefault="5CC62781"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  </w:t>
      </w:r>
    </w:p>
    <w:p w14:paraId="3C5EBDAA" w14:textId="77777777" w:rsidR="0027668C" w:rsidRPr="0027668C" w:rsidRDefault="0027668C" w:rsidP="0027668C">
      <w:pPr>
        <w:spacing w:after="0" w:line="240" w:lineRule="auto"/>
        <w:jc w:val="both"/>
        <w:rPr>
          <w:rFonts w:ascii="Times New Roman" w:eastAsia="Times New Roman" w:hAnsi="Times New Roman" w:cs="Times New Roman"/>
          <w:b/>
          <w:color w:val="162937"/>
          <w:sz w:val="24"/>
          <w:szCs w:val="24"/>
        </w:rPr>
      </w:pPr>
      <w:r w:rsidRPr="0027668C">
        <w:rPr>
          <w:rFonts w:ascii="Times New Roman" w:eastAsia="Times New Roman" w:hAnsi="Times New Roman" w:cs="Times New Roman"/>
          <w:b/>
          <w:color w:val="162937"/>
          <w:sz w:val="24"/>
          <w:szCs w:val="24"/>
        </w:rPr>
        <w:t>DA PUBLICIDADE DA CONTRATAÇÃO DIRETA E DA LEI DE ACESSO À INFORMAÇÃO</w:t>
      </w:r>
    </w:p>
    <w:p w14:paraId="3E1C2159" w14:textId="77777777" w:rsidR="0027668C" w:rsidRDefault="0027668C" w:rsidP="0027668C">
      <w:pPr>
        <w:spacing w:after="0" w:line="240" w:lineRule="auto"/>
        <w:jc w:val="both"/>
        <w:rPr>
          <w:rFonts w:ascii="Times New Roman" w:eastAsia="Times New Roman" w:hAnsi="Times New Roman" w:cs="Times New Roman"/>
          <w:color w:val="162937"/>
          <w:sz w:val="24"/>
          <w:szCs w:val="24"/>
        </w:rPr>
      </w:pPr>
    </w:p>
    <w:p w14:paraId="1AA06B84" w14:textId="77777777" w:rsidR="0052327F" w:rsidRPr="0052327F" w:rsidRDefault="0052327F" w:rsidP="0052327F">
      <w:pPr>
        <w:spacing w:after="0" w:line="240" w:lineRule="auto"/>
        <w:jc w:val="both"/>
        <w:rPr>
          <w:rFonts w:ascii="Times New Roman" w:eastAsia="Times New Roman" w:hAnsi="Times New Roman" w:cs="Times New Roman"/>
          <w:bCs/>
          <w:sz w:val="24"/>
          <w:szCs w:val="24"/>
        </w:rPr>
      </w:pPr>
      <w:r w:rsidRPr="0052327F">
        <w:rPr>
          <w:rFonts w:ascii="Times New Roman" w:eastAsia="Times New Roman" w:hAnsi="Times New Roman" w:cs="Times New Roman"/>
          <w:bCs/>
          <w:sz w:val="24"/>
          <w:szCs w:val="24"/>
        </w:rPr>
        <w:t>O ato que autoriza a contratação direta ou o extrato decorrente do contrato deverá ser divulgado e mantido à disposição do público em sítio eletrônico oficial (art. 72, parágrafo único, da Lei nº 14.133, de 2021).</w:t>
      </w:r>
    </w:p>
    <w:p w14:paraId="36DFC2CA" w14:textId="77777777" w:rsidR="0052327F" w:rsidRDefault="0052327F" w:rsidP="0052327F">
      <w:pPr>
        <w:spacing w:after="0" w:line="240" w:lineRule="auto"/>
        <w:jc w:val="both"/>
        <w:rPr>
          <w:rFonts w:ascii="Times New Roman" w:eastAsia="Times New Roman" w:hAnsi="Times New Roman" w:cs="Times New Roman"/>
          <w:bCs/>
          <w:sz w:val="24"/>
          <w:szCs w:val="24"/>
        </w:rPr>
      </w:pPr>
    </w:p>
    <w:p w14:paraId="17497392" w14:textId="2B27F49C" w:rsidR="0052327F" w:rsidRPr="0052327F" w:rsidRDefault="0052327F" w:rsidP="0052327F">
      <w:pPr>
        <w:spacing w:after="0" w:line="240" w:lineRule="auto"/>
        <w:jc w:val="both"/>
        <w:rPr>
          <w:rFonts w:ascii="Times New Roman" w:eastAsia="Times New Roman" w:hAnsi="Times New Roman" w:cs="Times New Roman"/>
          <w:bCs/>
          <w:sz w:val="24"/>
          <w:szCs w:val="24"/>
        </w:rPr>
      </w:pPr>
      <w:r w:rsidRPr="0052327F">
        <w:rPr>
          <w:rFonts w:ascii="Times New Roman" w:eastAsia="Times New Roman" w:hAnsi="Times New Roman" w:cs="Times New Roman"/>
          <w:bCs/>
          <w:sz w:val="24"/>
          <w:szCs w:val="24"/>
        </w:rPr>
        <w:t xml:space="preserve">A divulgação no Portal Nacional de Contratações </w:t>
      </w:r>
      <w:bookmarkStart w:id="4" w:name="_GoBack"/>
      <w:bookmarkEnd w:id="4"/>
      <w:r w:rsidRPr="0052327F">
        <w:rPr>
          <w:rFonts w:ascii="Times New Roman" w:eastAsia="Times New Roman" w:hAnsi="Times New Roman" w:cs="Times New Roman"/>
          <w:bCs/>
          <w:sz w:val="24"/>
          <w:szCs w:val="24"/>
        </w:rPr>
        <w:t>Públicas (PNCP) é condição indispensável para a eficácia do contrato e de seus aditamentos, conforme determina o art. 94 da Lei nº 14.133, de 2021.</w:t>
      </w:r>
    </w:p>
    <w:p w14:paraId="63D8ED2F" w14:textId="77777777" w:rsidR="0052327F" w:rsidRDefault="0052327F" w:rsidP="0052327F">
      <w:pPr>
        <w:spacing w:after="0" w:line="240" w:lineRule="auto"/>
        <w:jc w:val="both"/>
        <w:rPr>
          <w:rFonts w:ascii="Times New Roman" w:eastAsia="Times New Roman" w:hAnsi="Times New Roman" w:cs="Times New Roman"/>
          <w:bCs/>
          <w:sz w:val="24"/>
          <w:szCs w:val="24"/>
        </w:rPr>
      </w:pPr>
    </w:p>
    <w:p w14:paraId="77E3643E" w14:textId="4140891D" w:rsidR="0052327F" w:rsidRPr="0052327F" w:rsidRDefault="0052327F" w:rsidP="0052327F">
      <w:pPr>
        <w:spacing w:after="0" w:line="240" w:lineRule="auto"/>
        <w:jc w:val="both"/>
        <w:rPr>
          <w:rFonts w:ascii="Times New Roman" w:eastAsia="Times New Roman" w:hAnsi="Times New Roman" w:cs="Times New Roman"/>
          <w:bCs/>
          <w:sz w:val="24"/>
          <w:szCs w:val="24"/>
        </w:rPr>
      </w:pPr>
      <w:r w:rsidRPr="0052327F">
        <w:rPr>
          <w:rFonts w:ascii="Times New Roman" w:eastAsia="Times New Roman" w:hAnsi="Times New Roman" w:cs="Times New Roman"/>
          <w:bCs/>
          <w:sz w:val="24"/>
          <w:szCs w:val="24"/>
        </w:rPr>
        <w:t>De acordo com o art. 8º, §2º, da Lei n° 12.527, de 18 de novembro de 2011 c/</w:t>
      </w:r>
      <w:proofErr w:type="gramStart"/>
      <w:r w:rsidRPr="0052327F">
        <w:rPr>
          <w:rFonts w:ascii="Times New Roman" w:eastAsia="Times New Roman" w:hAnsi="Times New Roman" w:cs="Times New Roman"/>
          <w:bCs/>
          <w:sz w:val="24"/>
          <w:szCs w:val="24"/>
        </w:rPr>
        <w:t>c</w:t>
      </w:r>
      <w:proofErr w:type="gramEnd"/>
      <w:r w:rsidRPr="0052327F">
        <w:rPr>
          <w:rFonts w:ascii="Times New Roman" w:eastAsia="Times New Roman" w:hAnsi="Times New Roman" w:cs="Times New Roman"/>
          <w:bCs/>
          <w:sz w:val="24"/>
          <w:szCs w:val="24"/>
        </w:rPr>
        <w:t xml:space="preserve"> art. 7º, §3º, V, do Decreto nº 7.724, de 16 de maio de 2012, deverá haver disponibilização dos seguintes documentos e informações no sítio oficial do ente na internet:</w:t>
      </w:r>
    </w:p>
    <w:p w14:paraId="4508661E" w14:textId="77777777" w:rsidR="0052327F" w:rsidRDefault="0052327F" w:rsidP="0052327F">
      <w:pPr>
        <w:spacing w:after="0" w:line="240" w:lineRule="auto"/>
        <w:jc w:val="both"/>
        <w:rPr>
          <w:rFonts w:ascii="Times New Roman" w:eastAsia="Times New Roman" w:hAnsi="Times New Roman" w:cs="Times New Roman"/>
          <w:bCs/>
          <w:sz w:val="24"/>
          <w:szCs w:val="24"/>
        </w:rPr>
      </w:pPr>
    </w:p>
    <w:p w14:paraId="6989898E" w14:textId="14100123" w:rsidR="0052327F" w:rsidRPr="0052327F" w:rsidRDefault="0052327F" w:rsidP="0052327F">
      <w:pPr>
        <w:spacing w:after="0" w:line="240" w:lineRule="auto"/>
        <w:jc w:val="both"/>
        <w:rPr>
          <w:rFonts w:ascii="Times New Roman" w:eastAsia="Times New Roman" w:hAnsi="Times New Roman" w:cs="Times New Roman"/>
          <w:bCs/>
          <w:sz w:val="24"/>
          <w:szCs w:val="24"/>
        </w:rPr>
      </w:pPr>
      <w:r w:rsidRPr="0052327F">
        <w:rPr>
          <w:rFonts w:ascii="Times New Roman" w:eastAsia="Times New Roman" w:hAnsi="Times New Roman" w:cs="Times New Roman"/>
          <w:bCs/>
          <w:sz w:val="24"/>
          <w:szCs w:val="24"/>
        </w:rPr>
        <w:t>a) cópia integral do termo de referência;</w:t>
      </w:r>
    </w:p>
    <w:p w14:paraId="068B79E5" w14:textId="77777777" w:rsidR="0052327F" w:rsidRDefault="0052327F" w:rsidP="0052327F">
      <w:pPr>
        <w:spacing w:after="0" w:line="240" w:lineRule="auto"/>
        <w:jc w:val="both"/>
        <w:rPr>
          <w:rFonts w:ascii="Times New Roman" w:eastAsia="Times New Roman" w:hAnsi="Times New Roman" w:cs="Times New Roman"/>
          <w:bCs/>
          <w:sz w:val="24"/>
          <w:szCs w:val="24"/>
        </w:rPr>
      </w:pPr>
    </w:p>
    <w:p w14:paraId="16D39FD7" w14:textId="6E4274E5" w:rsidR="0027668C" w:rsidRPr="0052327F" w:rsidRDefault="0052327F" w:rsidP="0052327F">
      <w:pPr>
        <w:spacing w:after="0" w:line="240" w:lineRule="auto"/>
        <w:jc w:val="both"/>
        <w:rPr>
          <w:rFonts w:ascii="Times New Roman" w:eastAsia="Times New Roman" w:hAnsi="Times New Roman" w:cs="Times New Roman"/>
          <w:bCs/>
          <w:sz w:val="24"/>
          <w:szCs w:val="24"/>
        </w:rPr>
      </w:pPr>
      <w:r w:rsidRPr="0052327F">
        <w:rPr>
          <w:rFonts w:ascii="Times New Roman" w:eastAsia="Times New Roman" w:hAnsi="Times New Roman" w:cs="Times New Roman"/>
          <w:bCs/>
          <w:sz w:val="24"/>
          <w:szCs w:val="24"/>
        </w:rPr>
        <w:t>b) contratos firmados e notas de empenho emitidas.</w:t>
      </w:r>
    </w:p>
    <w:p w14:paraId="72F4CCDA" w14:textId="77777777" w:rsidR="0027668C" w:rsidRDefault="0027668C" w:rsidP="64C763B2">
      <w:pPr>
        <w:spacing w:after="0" w:line="240" w:lineRule="auto"/>
        <w:jc w:val="both"/>
        <w:rPr>
          <w:rFonts w:ascii="Times New Roman" w:eastAsia="Times New Roman" w:hAnsi="Times New Roman" w:cs="Times New Roman"/>
          <w:b/>
          <w:bCs/>
          <w:sz w:val="24"/>
          <w:szCs w:val="24"/>
        </w:rPr>
      </w:pPr>
    </w:p>
    <w:p w14:paraId="44285C00" w14:textId="4FA7C9C8" w:rsidR="00934FDC" w:rsidRPr="0066121D" w:rsidRDefault="51650439" w:rsidP="64C763B2">
      <w:pPr>
        <w:spacing w:after="0" w:line="240" w:lineRule="auto"/>
        <w:jc w:val="both"/>
        <w:rPr>
          <w:rFonts w:ascii="Times New Roman" w:eastAsia="Times New Roman" w:hAnsi="Times New Roman" w:cs="Times New Roman"/>
          <w:b/>
          <w:bCs/>
          <w:sz w:val="24"/>
          <w:szCs w:val="24"/>
        </w:rPr>
      </w:pPr>
      <w:r w:rsidRPr="0066121D">
        <w:rPr>
          <w:rFonts w:ascii="Times New Roman" w:eastAsia="Times New Roman" w:hAnsi="Times New Roman" w:cs="Times New Roman"/>
          <w:b/>
          <w:bCs/>
          <w:sz w:val="24"/>
          <w:szCs w:val="24"/>
        </w:rPr>
        <w:t>CONCLUSÃO</w:t>
      </w:r>
    </w:p>
    <w:p w14:paraId="093CC7CF" w14:textId="6980A7DB"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1A0C5A56" w14:textId="6F85925A"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 xml:space="preserve">Em face do exposto, manifesta-se esta Procuradoria pela </w:t>
      </w:r>
      <w:r w:rsidRPr="00273F3D">
        <w:rPr>
          <w:rFonts w:ascii="Times New Roman" w:eastAsia="Times New Roman" w:hAnsi="Times New Roman" w:cs="Times New Roman"/>
          <w:b/>
          <w:bCs/>
          <w:color w:val="000000" w:themeColor="text1"/>
          <w:sz w:val="24"/>
          <w:szCs w:val="24"/>
        </w:rPr>
        <w:t>REGULARIDADE JURÍDICA</w:t>
      </w:r>
      <w:r w:rsidRPr="00273F3D">
        <w:rPr>
          <w:rFonts w:ascii="Times New Roman" w:eastAsia="Times New Roman" w:hAnsi="Times New Roman" w:cs="Times New Roman"/>
          <w:b/>
          <w:bCs/>
          <w:color w:val="FF0000"/>
          <w:sz w:val="24"/>
          <w:szCs w:val="24"/>
        </w:rPr>
        <w:t>, COM RESSALVAS</w:t>
      </w:r>
      <w:r w:rsidRPr="0066121D">
        <w:rPr>
          <w:rFonts w:ascii="Times New Roman" w:eastAsia="Times New Roman" w:hAnsi="Times New Roman" w:cs="Times New Roman"/>
          <w:color w:val="FF0000"/>
          <w:sz w:val="24"/>
          <w:szCs w:val="24"/>
        </w:rPr>
        <w:t>,</w:t>
      </w:r>
      <w:r w:rsidRPr="0066121D">
        <w:rPr>
          <w:rFonts w:ascii="Times New Roman" w:eastAsia="Times New Roman" w:hAnsi="Times New Roman" w:cs="Times New Roman"/>
          <w:color w:val="000000" w:themeColor="text1"/>
          <w:sz w:val="24"/>
          <w:szCs w:val="24"/>
        </w:rPr>
        <w:t xml:space="preserve"> do procedimento submetido ao exame desta unidade consultiva, condicionada ao atendimento das recomendações formuladas nos itens </w:t>
      </w:r>
      <w:r w:rsidRPr="0066121D">
        <w:rPr>
          <w:rFonts w:ascii="Times New Roman" w:eastAsia="Times New Roman" w:hAnsi="Times New Roman" w:cs="Times New Roman"/>
          <w:color w:val="FF0000"/>
          <w:sz w:val="24"/>
          <w:szCs w:val="24"/>
        </w:rPr>
        <w:t xml:space="preserve">XXX </w:t>
      </w:r>
      <w:r w:rsidRPr="0066121D">
        <w:rPr>
          <w:rFonts w:ascii="Times New Roman" w:eastAsia="Times New Roman" w:hAnsi="Times New Roman" w:cs="Times New Roman"/>
          <w:color w:val="000000" w:themeColor="text1"/>
          <w:sz w:val="24"/>
          <w:szCs w:val="24"/>
        </w:rPr>
        <w:t>deste parecer, ressalvado o juízo de mérito da Administração e os aspectos técnicos, econômicos e financeiros, que escapam à análise deste órgão.</w:t>
      </w:r>
    </w:p>
    <w:p w14:paraId="5129DE1C" w14:textId="62F1DC5F"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17EAEE01" w14:textId="06AE55E4"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É o parecer</w:t>
      </w:r>
      <w:r w:rsidR="00680996">
        <w:rPr>
          <w:rFonts w:ascii="Times New Roman" w:eastAsia="Times New Roman" w:hAnsi="Times New Roman" w:cs="Times New Roman"/>
          <w:color w:val="000000" w:themeColor="text1"/>
          <w:sz w:val="24"/>
          <w:szCs w:val="24"/>
        </w:rPr>
        <w:t>.</w:t>
      </w:r>
      <w:r w:rsidRPr="0066121D">
        <w:rPr>
          <w:rFonts w:ascii="Times New Roman" w:eastAsia="Times New Roman" w:hAnsi="Times New Roman" w:cs="Times New Roman"/>
          <w:color w:val="000000" w:themeColor="text1"/>
          <w:sz w:val="24"/>
          <w:szCs w:val="24"/>
        </w:rPr>
        <w:t xml:space="preserve">  </w:t>
      </w:r>
    </w:p>
    <w:p w14:paraId="41C6AF41" w14:textId="58E5C941" w:rsidR="64C763B2" w:rsidRPr="0066121D" w:rsidRDefault="64C763B2" w:rsidP="64C763B2">
      <w:pPr>
        <w:spacing w:after="0" w:line="240" w:lineRule="auto"/>
        <w:jc w:val="both"/>
        <w:rPr>
          <w:rFonts w:ascii="Times New Roman" w:eastAsia="Times New Roman" w:hAnsi="Times New Roman" w:cs="Times New Roman"/>
          <w:color w:val="000000" w:themeColor="text1"/>
          <w:sz w:val="24"/>
          <w:szCs w:val="24"/>
        </w:rPr>
      </w:pPr>
    </w:p>
    <w:p w14:paraId="524786A4" w14:textId="5AA737CC" w:rsidR="00934FDC" w:rsidRPr="0066121D" w:rsidRDefault="51650439" w:rsidP="64C763B2">
      <w:pPr>
        <w:spacing w:after="0" w:line="240" w:lineRule="auto"/>
        <w:jc w:val="both"/>
        <w:rPr>
          <w:rFonts w:ascii="Times New Roman" w:eastAsia="Times New Roman" w:hAnsi="Times New Roman" w:cs="Times New Roman"/>
          <w:color w:val="000000" w:themeColor="text1"/>
          <w:sz w:val="24"/>
          <w:szCs w:val="24"/>
        </w:rPr>
      </w:pPr>
      <w:r w:rsidRPr="0066121D">
        <w:rPr>
          <w:rFonts w:ascii="Times New Roman" w:eastAsia="Times New Roman" w:hAnsi="Times New Roman" w:cs="Times New Roman"/>
          <w:color w:val="000000" w:themeColor="text1"/>
          <w:sz w:val="24"/>
          <w:szCs w:val="24"/>
        </w:rPr>
        <w:t>À consideração superior.</w:t>
      </w:r>
    </w:p>
    <w:p w14:paraId="6E27B1FF" w14:textId="26226C89" w:rsidR="00934FDC" w:rsidRPr="0066121D" w:rsidRDefault="51650439" w:rsidP="64C763B2">
      <w:pPr>
        <w:spacing w:after="0" w:line="240" w:lineRule="auto"/>
        <w:rPr>
          <w:rFonts w:ascii="Times New Roman" w:eastAsia="Times New Roman" w:hAnsi="Times New Roman" w:cs="Times New Roman"/>
          <w:sz w:val="24"/>
          <w:szCs w:val="24"/>
        </w:rPr>
      </w:pPr>
      <w:r w:rsidRPr="0066121D">
        <w:rPr>
          <w:rFonts w:ascii="Times New Roman" w:eastAsia="Times New Roman" w:hAnsi="Times New Roman" w:cs="Times New Roman"/>
          <w:sz w:val="24"/>
          <w:szCs w:val="24"/>
        </w:rPr>
        <w:t xml:space="preserve"> </w:t>
      </w:r>
    </w:p>
    <w:sectPr w:rsidR="00934FDC" w:rsidRPr="0066121D" w:rsidSect="002C47D5">
      <w:pgSz w:w="11906" w:h="16838"/>
      <w:pgMar w:top="169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4A4E6" w14:textId="77777777" w:rsidR="00EB398F" w:rsidRDefault="00EB398F" w:rsidP="00690EE9">
      <w:pPr>
        <w:spacing w:after="0" w:line="240" w:lineRule="auto"/>
      </w:pPr>
      <w:r>
        <w:separator/>
      </w:r>
    </w:p>
  </w:endnote>
  <w:endnote w:type="continuationSeparator" w:id="0">
    <w:p w14:paraId="2FB47D6B" w14:textId="77777777" w:rsidR="00EB398F" w:rsidRDefault="00EB398F" w:rsidP="0069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Ubuntu">
    <w:altName w:val="Arial"/>
    <w:charset w:val="00"/>
    <w:family w:val="swiss"/>
    <w:pitch w:val="variable"/>
    <w:sig w:usb0="E00002FF" w:usb1="5000205B" w:usb2="00000000" w:usb3="00000000" w:csb0="0000009F" w:csb1="00000000"/>
  </w:font>
  <w:font w:name="Calibri, 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B458" w14:textId="77777777" w:rsidR="0015045D" w:rsidRDefault="0015045D">
    <w:pPr>
      <w:pStyle w:val="Rodap"/>
    </w:pPr>
    <w:r>
      <w:rPr>
        <w:noProof/>
        <w:lang w:eastAsia="pt-BR"/>
      </w:rPr>
      <w:drawing>
        <wp:anchor distT="0" distB="0" distL="114300" distR="114300" simplePos="0" relativeHeight="251662336" behindDoc="1" locked="0" layoutInCell="1" allowOverlap="1" wp14:anchorId="3FC42371" wp14:editId="6290722D">
          <wp:simplePos x="0" y="0"/>
          <wp:positionH relativeFrom="column">
            <wp:posOffset>5608320</wp:posOffset>
          </wp:positionH>
          <wp:positionV relativeFrom="paragraph">
            <wp:posOffset>13335</wp:posOffset>
          </wp:positionV>
          <wp:extent cx="847090" cy="476250"/>
          <wp:effectExtent l="0" t="0" r="0" b="0"/>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5A79172A" wp14:editId="727A98E5">
          <wp:simplePos x="0" y="0"/>
          <wp:positionH relativeFrom="page">
            <wp:posOffset>3175</wp:posOffset>
          </wp:positionH>
          <wp:positionV relativeFrom="paragraph">
            <wp:posOffset>-118110</wp:posOffset>
          </wp:positionV>
          <wp:extent cx="7976681" cy="954282"/>
          <wp:effectExtent l="0" t="0" r="0" b="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976681" cy="9542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F211A" w14:textId="77777777" w:rsidR="00EB398F" w:rsidRDefault="00EB398F" w:rsidP="00690EE9">
      <w:pPr>
        <w:spacing w:after="0" w:line="240" w:lineRule="auto"/>
      </w:pPr>
      <w:r>
        <w:separator/>
      </w:r>
    </w:p>
  </w:footnote>
  <w:footnote w:type="continuationSeparator" w:id="0">
    <w:p w14:paraId="452EC184" w14:textId="77777777" w:rsidR="00EB398F" w:rsidRDefault="00EB398F" w:rsidP="00690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E76D4" w14:textId="36955BDD" w:rsidR="0015045D" w:rsidRDefault="0015045D">
    <w:pPr>
      <w:pStyle w:val="Cabealho"/>
    </w:pPr>
    <w:r>
      <w:rPr>
        <w:noProof/>
        <w:lang w:eastAsia="pt-BR"/>
      </w:rPr>
      <w:drawing>
        <wp:anchor distT="0" distB="0" distL="114300" distR="114300" simplePos="0" relativeHeight="251660288" behindDoc="1" locked="0" layoutInCell="1" allowOverlap="1" wp14:anchorId="7BF2D9AE" wp14:editId="1AF1EFD3">
          <wp:simplePos x="0" y="0"/>
          <wp:positionH relativeFrom="column">
            <wp:posOffset>-9525</wp:posOffset>
          </wp:positionH>
          <wp:positionV relativeFrom="paragraph">
            <wp:posOffset>-237490</wp:posOffset>
          </wp:positionV>
          <wp:extent cx="1962150" cy="704850"/>
          <wp:effectExtent l="0" t="0" r="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
                    <a:extLst>
                      <a:ext uri="{28A0092B-C50C-407E-A947-70E740481C1C}">
                        <a14:useLocalDpi xmlns:a14="http://schemas.microsoft.com/office/drawing/2010/main" val="0"/>
                      </a:ext>
                    </a:extLst>
                  </a:blip>
                  <a:srcRect l="7753" t="23102" r="8189" b="23215"/>
                  <a:stretch/>
                </pic:blipFill>
                <pic:spPr bwMode="auto">
                  <a:xfrm>
                    <a:off x="0" y="0"/>
                    <a:ext cx="196215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47E25D9A" wp14:editId="7DFE68D5">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521520F7" w14:textId="4DA18AEE" w:rsidR="0015045D" w:rsidRPr="00E83792" w:rsidRDefault="0015045D" w:rsidP="00E83792">
                          <w:pPr>
                            <w:jc w:val="right"/>
                            <w:rPr>
                              <w:rFonts w:ascii="Arial" w:hAnsi="Arial" w:cs="Arial"/>
                              <w:sz w:val="20"/>
                              <w:szCs w:val="20"/>
                            </w:rPr>
                          </w:pPr>
                          <w:r w:rsidRPr="00E83792">
                            <w:rPr>
                              <w:rFonts w:ascii="Arial" w:hAnsi="Arial" w:cs="Arial"/>
                              <w:sz w:val="20"/>
                              <w:szCs w:val="20"/>
                            </w:rPr>
                            <w:t xml:space="preserve">Contratação </w:t>
                          </w:r>
                          <w:r w:rsidR="006E1991">
                            <w:rPr>
                              <w:rFonts w:ascii="Arial" w:hAnsi="Arial" w:cs="Arial"/>
                              <w:sz w:val="20"/>
                              <w:szCs w:val="20"/>
                            </w:rPr>
                            <w:t>Emergencial</w:t>
                          </w:r>
                          <w:r w:rsidRPr="00E83792">
                            <w:rPr>
                              <w:rFonts w:ascii="Arial" w:hAnsi="Arial" w:cs="Arial"/>
                              <w:sz w:val="20"/>
                              <w:szCs w:val="20"/>
                            </w:rPr>
                            <w:t xml:space="preserve"> - SEM SRP</w:t>
                          </w:r>
                          <w:r w:rsidRPr="00E83792">
                            <w:rPr>
                              <w:rFonts w:ascii="Arial" w:hAnsi="Arial" w:cs="Arial"/>
                              <w:sz w:val="20"/>
                              <w:szCs w:val="20"/>
                            </w:rPr>
                            <w:br/>
                            <w:t>Versão maio/2023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25D9A" id="_x0000_t202" coordsize="21600,21600" o:spt="202" path="m,l,21600r21600,l21600,xe">
              <v:stroke joinstyle="miter"/>
              <v:path gradientshapeok="t" o:connecttype="rect"/>
            </v:shapetype>
            <v:shape id="Caixa de Texto 7" o:spid="_x0000_s1055"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521520F7" w14:textId="4DA18AEE" w:rsidR="0015045D" w:rsidRPr="00E83792" w:rsidRDefault="0015045D" w:rsidP="00E83792">
                    <w:pPr>
                      <w:jc w:val="right"/>
                      <w:rPr>
                        <w:rFonts w:ascii="Arial" w:hAnsi="Arial" w:cs="Arial"/>
                        <w:sz w:val="20"/>
                        <w:szCs w:val="20"/>
                      </w:rPr>
                    </w:pPr>
                    <w:r w:rsidRPr="00E83792">
                      <w:rPr>
                        <w:rFonts w:ascii="Arial" w:hAnsi="Arial" w:cs="Arial"/>
                        <w:sz w:val="20"/>
                        <w:szCs w:val="20"/>
                      </w:rPr>
                      <w:t xml:space="preserve">Contratação </w:t>
                    </w:r>
                    <w:r w:rsidR="006E1991">
                      <w:rPr>
                        <w:rFonts w:ascii="Arial" w:hAnsi="Arial" w:cs="Arial"/>
                        <w:sz w:val="20"/>
                        <w:szCs w:val="20"/>
                      </w:rPr>
                      <w:t>Emergencial</w:t>
                    </w:r>
                    <w:r w:rsidRPr="00E83792">
                      <w:rPr>
                        <w:rFonts w:ascii="Arial" w:hAnsi="Arial" w:cs="Arial"/>
                        <w:sz w:val="20"/>
                        <w:szCs w:val="20"/>
                      </w:rPr>
                      <w:t xml:space="preserve"> - SEM SRP</w:t>
                    </w:r>
                    <w:r w:rsidRPr="00E83792">
                      <w:rPr>
                        <w:rFonts w:ascii="Arial" w:hAnsi="Arial" w:cs="Arial"/>
                        <w:sz w:val="20"/>
                        <w:szCs w:val="20"/>
                      </w:rPr>
                      <w:br/>
                      <w:t>Versão maio/2023</w:t>
                    </w:r>
                  </w:p>
                </w:txbxContent>
              </v:textbox>
              <w10:wrap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ekPrLmgk" int2:invalidationBookmarkName="" int2:hashCode="YLQf10G2cgbgrN" int2:id="aOhe55Jp">
      <int2:state int2:value="Rejected" int2:type="WordDesignerDefaultAnnotation"/>
    </int2:bookmark>
    <int2:bookmark int2:bookmarkName="_Int_QXUfJIqM" int2:invalidationBookmarkName="" int2:hashCode="7Zzmp3aMT4zFq9" int2:id="k4JG7g3G">
      <int2:state int2:value="Rejected" int2:type="WordDesignerDefaultAnnotation"/>
    </int2:bookmark>
    <int2:bookmark int2:bookmarkName="_Int_dPFQyKeP" int2:invalidationBookmarkName="" int2:hashCode="BLkWXezqJ7hAxK" int2:id="4CY2rCLb">
      <int2:state int2:value="Rejected" int2:type="WordDesignerDefaultAnnotation"/>
    </int2:bookmark>
    <int2:bookmark int2:bookmarkName="_Int_0t0rI6Bo" int2:invalidationBookmarkName="" int2:hashCode="PveWEuHjywnxYD" int2:id="a0O2z1ZC">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664D"/>
    <w:multiLevelType w:val="hybridMultilevel"/>
    <w:tmpl w:val="CC5212A6"/>
    <w:lvl w:ilvl="0" w:tplc="EF4E21A0">
      <w:start w:val="1"/>
      <w:numFmt w:val="lowerLetter"/>
      <w:lvlText w:val="%1."/>
      <w:lvlJc w:val="left"/>
      <w:pPr>
        <w:ind w:left="720" w:hanging="360"/>
      </w:pPr>
    </w:lvl>
    <w:lvl w:ilvl="1" w:tplc="7584DE12">
      <w:start w:val="1"/>
      <w:numFmt w:val="lowerLetter"/>
      <w:lvlText w:val="%2."/>
      <w:lvlJc w:val="left"/>
      <w:pPr>
        <w:ind w:left="1440" w:hanging="360"/>
      </w:pPr>
    </w:lvl>
    <w:lvl w:ilvl="2" w:tplc="1BDAD720">
      <w:start w:val="1"/>
      <w:numFmt w:val="lowerRoman"/>
      <w:lvlText w:val="%3."/>
      <w:lvlJc w:val="right"/>
      <w:pPr>
        <w:ind w:left="2160" w:hanging="180"/>
      </w:pPr>
    </w:lvl>
    <w:lvl w:ilvl="3" w:tplc="72FA4E9A">
      <w:start w:val="1"/>
      <w:numFmt w:val="decimal"/>
      <w:lvlText w:val="%4."/>
      <w:lvlJc w:val="left"/>
      <w:pPr>
        <w:ind w:left="2880" w:hanging="360"/>
      </w:pPr>
    </w:lvl>
    <w:lvl w:ilvl="4" w:tplc="FFB435A2">
      <w:start w:val="1"/>
      <w:numFmt w:val="lowerLetter"/>
      <w:lvlText w:val="%5."/>
      <w:lvlJc w:val="left"/>
      <w:pPr>
        <w:ind w:left="3600" w:hanging="360"/>
      </w:pPr>
    </w:lvl>
    <w:lvl w:ilvl="5" w:tplc="049A0294">
      <w:start w:val="1"/>
      <w:numFmt w:val="lowerRoman"/>
      <w:lvlText w:val="%6."/>
      <w:lvlJc w:val="right"/>
      <w:pPr>
        <w:ind w:left="4320" w:hanging="180"/>
      </w:pPr>
    </w:lvl>
    <w:lvl w:ilvl="6" w:tplc="29088BD2">
      <w:start w:val="1"/>
      <w:numFmt w:val="decimal"/>
      <w:lvlText w:val="%7."/>
      <w:lvlJc w:val="left"/>
      <w:pPr>
        <w:ind w:left="5040" w:hanging="360"/>
      </w:pPr>
    </w:lvl>
    <w:lvl w:ilvl="7" w:tplc="6FBC078C">
      <w:start w:val="1"/>
      <w:numFmt w:val="lowerLetter"/>
      <w:lvlText w:val="%8."/>
      <w:lvlJc w:val="left"/>
      <w:pPr>
        <w:ind w:left="5760" w:hanging="360"/>
      </w:pPr>
    </w:lvl>
    <w:lvl w:ilvl="8" w:tplc="ED5A5E66">
      <w:start w:val="1"/>
      <w:numFmt w:val="lowerRoman"/>
      <w:lvlText w:val="%9."/>
      <w:lvlJc w:val="right"/>
      <w:pPr>
        <w:ind w:left="6480" w:hanging="180"/>
      </w:pPr>
    </w:lvl>
  </w:abstractNum>
  <w:abstractNum w:abstractNumId="1" w15:restartNumberingAfterBreak="0">
    <w:nsid w:val="07CB2C33"/>
    <w:multiLevelType w:val="hybridMultilevel"/>
    <w:tmpl w:val="AA0C1FB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 w15:restartNumberingAfterBreak="0">
    <w:nsid w:val="0E755A0C"/>
    <w:multiLevelType w:val="hybridMultilevel"/>
    <w:tmpl w:val="79485386"/>
    <w:lvl w:ilvl="0" w:tplc="8D30D38C">
      <w:start w:val="1"/>
      <w:numFmt w:val="bullet"/>
      <w:lvlText w:val=""/>
      <w:lvlJc w:val="left"/>
      <w:pPr>
        <w:ind w:left="2223" w:hanging="360"/>
      </w:pPr>
      <w:rPr>
        <w:rFonts w:ascii="Symbol" w:hAnsi="Symbol" w:hint="default"/>
        <w:color w:val="FF0000"/>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3" w15:restartNumberingAfterBreak="0">
    <w:nsid w:val="15145132"/>
    <w:multiLevelType w:val="hybridMultilevel"/>
    <w:tmpl w:val="55C8725E"/>
    <w:lvl w:ilvl="0" w:tplc="0D26DDF2">
      <w:start w:val="1"/>
      <w:numFmt w:val="bullet"/>
      <w:lvlText w:val=""/>
      <w:lvlJc w:val="left"/>
      <w:pPr>
        <w:ind w:left="2223" w:hanging="360"/>
      </w:pPr>
      <w:rPr>
        <w:rFonts w:ascii="Symbol" w:hAnsi="Symbol" w:hint="default"/>
        <w:color w:val="FF0000"/>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4" w15:restartNumberingAfterBreak="0">
    <w:nsid w:val="297041EC"/>
    <w:multiLevelType w:val="hybridMultilevel"/>
    <w:tmpl w:val="258E3C84"/>
    <w:lvl w:ilvl="0" w:tplc="E3200378">
      <w:start w:val="1"/>
      <w:numFmt w:val="bullet"/>
      <w:lvlText w:val="·"/>
      <w:lvlJc w:val="left"/>
      <w:pPr>
        <w:ind w:left="720" w:hanging="360"/>
      </w:pPr>
      <w:rPr>
        <w:rFonts w:ascii="Symbol" w:hAnsi="Symbol" w:hint="default"/>
      </w:rPr>
    </w:lvl>
    <w:lvl w:ilvl="1" w:tplc="4A7253B0">
      <w:start w:val="1"/>
      <w:numFmt w:val="bullet"/>
      <w:lvlText w:val="o"/>
      <w:lvlJc w:val="left"/>
      <w:pPr>
        <w:ind w:left="1440" w:hanging="360"/>
      </w:pPr>
      <w:rPr>
        <w:rFonts w:ascii="Courier New" w:hAnsi="Courier New" w:hint="default"/>
      </w:rPr>
    </w:lvl>
    <w:lvl w:ilvl="2" w:tplc="13D2A1D8">
      <w:start w:val="1"/>
      <w:numFmt w:val="bullet"/>
      <w:lvlText w:val=""/>
      <w:lvlJc w:val="left"/>
      <w:pPr>
        <w:ind w:left="2160" w:hanging="360"/>
      </w:pPr>
      <w:rPr>
        <w:rFonts w:ascii="Wingdings" w:hAnsi="Wingdings" w:hint="default"/>
      </w:rPr>
    </w:lvl>
    <w:lvl w:ilvl="3" w:tplc="79448582">
      <w:start w:val="1"/>
      <w:numFmt w:val="bullet"/>
      <w:lvlText w:val=""/>
      <w:lvlJc w:val="left"/>
      <w:pPr>
        <w:ind w:left="2880" w:hanging="360"/>
      </w:pPr>
      <w:rPr>
        <w:rFonts w:ascii="Symbol" w:hAnsi="Symbol" w:hint="default"/>
      </w:rPr>
    </w:lvl>
    <w:lvl w:ilvl="4" w:tplc="3542763E">
      <w:start w:val="1"/>
      <w:numFmt w:val="bullet"/>
      <w:lvlText w:val="o"/>
      <w:lvlJc w:val="left"/>
      <w:pPr>
        <w:ind w:left="3600" w:hanging="360"/>
      </w:pPr>
      <w:rPr>
        <w:rFonts w:ascii="Courier New" w:hAnsi="Courier New" w:hint="default"/>
      </w:rPr>
    </w:lvl>
    <w:lvl w:ilvl="5" w:tplc="B406EC24">
      <w:start w:val="1"/>
      <w:numFmt w:val="bullet"/>
      <w:lvlText w:val=""/>
      <w:lvlJc w:val="left"/>
      <w:pPr>
        <w:ind w:left="4320" w:hanging="360"/>
      </w:pPr>
      <w:rPr>
        <w:rFonts w:ascii="Wingdings" w:hAnsi="Wingdings" w:hint="default"/>
      </w:rPr>
    </w:lvl>
    <w:lvl w:ilvl="6" w:tplc="A09066BE">
      <w:start w:val="1"/>
      <w:numFmt w:val="bullet"/>
      <w:lvlText w:val=""/>
      <w:lvlJc w:val="left"/>
      <w:pPr>
        <w:ind w:left="5040" w:hanging="360"/>
      </w:pPr>
      <w:rPr>
        <w:rFonts w:ascii="Symbol" w:hAnsi="Symbol" w:hint="default"/>
      </w:rPr>
    </w:lvl>
    <w:lvl w:ilvl="7" w:tplc="037A988C">
      <w:start w:val="1"/>
      <w:numFmt w:val="bullet"/>
      <w:lvlText w:val="o"/>
      <w:lvlJc w:val="left"/>
      <w:pPr>
        <w:ind w:left="5760" w:hanging="360"/>
      </w:pPr>
      <w:rPr>
        <w:rFonts w:ascii="Courier New" w:hAnsi="Courier New" w:hint="default"/>
      </w:rPr>
    </w:lvl>
    <w:lvl w:ilvl="8" w:tplc="BBC8989E">
      <w:start w:val="1"/>
      <w:numFmt w:val="bullet"/>
      <w:lvlText w:val=""/>
      <w:lvlJc w:val="left"/>
      <w:pPr>
        <w:ind w:left="6480" w:hanging="360"/>
      </w:pPr>
      <w:rPr>
        <w:rFonts w:ascii="Wingdings" w:hAnsi="Wingdings" w:hint="default"/>
      </w:rPr>
    </w:lvl>
  </w:abstractNum>
  <w:abstractNum w:abstractNumId="5" w15:restartNumberingAfterBreak="0">
    <w:nsid w:val="30FD1273"/>
    <w:multiLevelType w:val="hybridMultilevel"/>
    <w:tmpl w:val="19344462"/>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6" w15:restartNumberingAfterBreak="0">
    <w:nsid w:val="488A1BB7"/>
    <w:multiLevelType w:val="hybridMultilevel"/>
    <w:tmpl w:val="D334EAC2"/>
    <w:lvl w:ilvl="0" w:tplc="04160001">
      <w:start w:val="1"/>
      <w:numFmt w:val="bullet"/>
      <w:lvlText w:val=""/>
      <w:lvlJc w:val="left"/>
      <w:pPr>
        <w:ind w:left="2136" w:hanging="360"/>
      </w:pPr>
      <w:rPr>
        <w:rFonts w:ascii="Symbol" w:hAnsi="Symbol" w:hint="default"/>
      </w:rPr>
    </w:lvl>
    <w:lvl w:ilvl="1" w:tplc="04160003">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7" w15:restartNumberingAfterBreak="0">
    <w:nsid w:val="5237ACA1"/>
    <w:multiLevelType w:val="hybridMultilevel"/>
    <w:tmpl w:val="F7B22BFA"/>
    <w:lvl w:ilvl="0" w:tplc="5B44B700">
      <w:start w:val="1"/>
      <w:numFmt w:val="bullet"/>
      <w:lvlText w:val="·"/>
      <w:lvlJc w:val="left"/>
      <w:pPr>
        <w:ind w:left="720" w:hanging="360"/>
      </w:pPr>
      <w:rPr>
        <w:rFonts w:ascii="Symbol" w:hAnsi="Symbol" w:hint="default"/>
      </w:rPr>
    </w:lvl>
    <w:lvl w:ilvl="1" w:tplc="142C3E72">
      <w:start w:val="1"/>
      <w:numFmt w:val="bullet"/>
      <w:lvlText w:val="o"/>
      <w:lvlJc w:val="left"/>
      <w:pPr>
        <w:ind w:left="1440" w:hanging="360"/>
      </w:pPr>
      <w:rPr>
        <w:rFonts w:ascii="Courier New" w:hAnsi="Courier New" w:hint="default"/>
      </w:rPr>
    </w:lvl>
    <w:lvl w:ilvl="2" w:tplc="1FA20EE8">
      <w:start w:val="1"/>
      <w:numFmt w:val="bullet"/>
      <w:lvlText w:val=""/>
      <w:lvlJc w:val="left"/>
      <w:pPr>
        <w:ind w:left="2160" w:hanging="360"/>
      </w:pPr>
      <w:rPr>
        <w:rFonts w:ascii="Wingdings" w:hAnsi="Wingdings" w:hint="default"/>
      </w:rPr>
    </w:lvl>
    <w:lvl w:ilvl="3" w:tplc="18CA6496">
      <w:start w:val="1"/>
      <w:numFmt w:val="bullet"/>
      <w:lvlText w:val=""/>
      <w:lvlJc w:val="left"/>
      <w:pPr>
        <w:ind w:left="2880" w:hanging="360"/>
      </w:pPr>
      <w:rPr>
        <w:rFonts w:ascii="Symbol" w:hAnsi="Symbol" w:hint="default"/>
      </w:rPr>
    </w:lvl>
    <w:lvl w:ilvl="4" w:tplc="31A610F4">
      <w:start w:val="1"/>
      <w:numFmt w:val="bullet"/>
      <w:lvlText w:val="o"/>
      <w:lvlJc w:val="left"/>
      <w:pPr>
        <w:ind w:left="3600" w:hanging="360"/>
      </w:pPr>
      <w:rPr>
        <w:rFonts w:ascii="Courier New" w:hAnsi="Courier New" w:hint="default"/>
      </w:rPr>
    </w:lvl>
    <w:lvl w:ilvl="5" w:tplc="D20E00D2">
      <w:start w:val="1"/>
      <w:numFmt w:val="bullet"/>
      <w:lvlText w:val=""/>
      <w:lvlJc w:val="left"/>
      <w:pPr>
        <w:ind w:left="4320" w:hanging="360"/>
      </w:pPr>
      <w:rPr>
        <w:rFonts w:ascii="Wingdings" w:hAnsi="Wingdings" w:hint="default"/>
      </w:rPr>
    </w:lvl>
    <w:lvl w:ilvl="6" w:tplc="C37E49CC">
      <w:start w:val="1"/>
      <w:numFmt w:val="bullet"/>
      <w:lvlText w:val=""/>
      <w:lvlJc w:val="left"/>
      <w:pPr>
        <w:ind w:left="5040" w:hanging="360"/>
      </w:pPr>
      <w:rPr>
        <w:rFonts w:ascii="Symbol" w:hAnsi="Symbol" w:hint="default"/>
      </w:rPr>
    </w:lvl>
    <w:lvl w:ilvl="7" w:tplc="A5C02028">
      <w:start w:val="1"/>
      <w:numFmt w:val="bullet"/>
      <w:lvlText w:val="o"/>
      <w:lvlJc w:val="left"/>
      <w:pPr>
        <w:ind w:left="5760" w:hanging="360"/>
      </w:pPr>
      <w:rPr>
        <w:rFonts w:ascii="Courier New" w:hAnsi="Courier New" w:hint="default"/>
      </w:rPr>
    </w:lvl>
    <w:lvl w:ilvl="8" w:tplc="21A4D1BE">
      <w:start w:val="1"/>
      <w:numFmt w:val="bullet"/>
      <w:lvlText w:val=""/>
      <w:lvlJc w:val="left"/>
      <w:pPr>
        <w:ind w:left="6480" w:hanging="360"/>
      </w:pPr>
      <w:rPr>
        <w:rFonts w:ascii="Wingdings" w:hAnsi="Wingdings" w:hint="default"/>
      </w:rPr>
    </w:lvl>
  </w:abstractNum>
  <w:abstractNum w:abstractNumId="8" w15:restartNumberingAfterBreak="0">
    <w:nsid w:val="580AFB89"/>
    <w:multiLevelType w:val="hybridMultilevel"/>
    <w:tmpl w:val="0C8492B0"/>
    <w:lvl w:ilvl="0" w:tplc="4AB45382">
      <w:start w:val="1"/>
      <w:numFmt w:val="bullet"/>
      <w:lvlText w:val=""/>
      <w:lvlJc w:val="left"/>
      <w:pPr>
        <w:ind w:left="720" w:hanging="360"/>
      </w:pPr>
      <w:rPr>
        <w:rFonts w:ascii="Symbol" w:hAnsi="Symbol" w:hint="default"/>
      </w:rPr>
    </w:lvl>
    <w:lvl w:ilvl="1" w:tplc="F44A7CDC">
      <w:start w:val="1"/>
      <w:numFmt w:val="bullet"/>
      <w:lvlText w:val="o"/>
      <w:lvlJc w:val="left"/>
      <w:pPr>
        <w:ind w:left="1440" w:hanging="360"/>
      </w:pPr>
      <w:rPr>
        <w:rFonts w:ascii="Courier New" w:hAnsi="Courier New" w:hint="default"/>
      </w:rPr>
    </w:lvl>
    <w:lvl w:ilvl="2" w:tplc="EDA20932">
      <w:start w:val="1"/>
      <w:numFmt w:val="bullet"/>
      <w:lvlText w:val=""/>
      <w:lvlJc w:val="left"/>
      <w:pPr>
        <w:ind w:left="2160" w:hanging="360"/>
      </w:pPr>
      <w:rPr>
        <w:rFonts w:ascii="Symbol" w:hAnsi="Symbol" w:hint="default"/>
        <w:color w:val="FF0000"/>
      </w:rPr>
    </w:lvl>
    <w:lvl w:ilvl="3" w:tplc="13BA116A">
      <w:start w:val="1"/>
      <w:numFmt w:val="bullet"/>
      <w:lvlText w:val=""/>
      <w:lvlJc w:val="left"/>
      <w:pPr>
        <w:ind w:left="2880" w:hanging="360"/>
      </w:pPr>
      <w:rPr>
        <w:rFonts w:ascii="Symbol" w:hAnsi="Symbol" w:hint="default"/>
      </w:rPr>
    </w:lvl>
    <w:lvl w:ilvl="4" w:tplc="53FEA892">
      <w:start w:val="1"/>
      <w:numFmt w:val="bullet"/>
      <w:lvlText w:val="o"/>
      <w:lvlJc w:val="left"/>
      <w:pPr>
        <w:ind w:left="3600" w:hanging="360"/>
      </w:pPr>
      <w:rPr>
        <w:rFonts w:ascii="Courier New" w:hAnsi="Courier New" w:hint="default"/>
      </w:rPr>
    </w:lvl>
    <w:lvl w:ilvl="5" w:tplc="869C9E6E">
      <w:start w:val="1"/>
      <w:numFmt w:val="bullet"/>
      <w:lvlText w:val=""/>
      <w:lvlJc w:val="left"/>
      <w:pPr>
        <w:ind w:left="4320" w:hanging="360"/>
      </w:pPr>
      <w:rPr>
        <w:rFonts w:ascii="Wingdings" w:hAnsi="Wingdings" w:hint="default"/>
      </w:rPr>
    </w:lvl>
    <w:lvl w:ilvl="6" w:tplc="5C42D71E">
      <w:start w:val="1"/>
      <w:numFmt w:val="bullet"/>
      <w:lvlText w:val=""/>
      <w:lvlJc w:val="left"/>
      <w:pPr>
        <w:ind w:left="5040" w:hanging="360"/>
      </w:pPr>
      <w:rPr>
        <w:rFonts w:ascii="Symbol" w:hAnsi="Symbol" w:hint="default"/>
      </w:rPr>
    </w:lvl>
    <w:lvl w:ilvl="7" w:tplc="528A0884">
      <w:start w:val="1"/>
      <w:numFmt w:val="bullet"/>
      <w:lvlText w:val="o"/>
      <w:lvlJc w:val="left"/>
      <w:pPr>
        <w:ind w:left="5760" w:hanging="360"/>
      </w:pPr>
      <w:rPr>
        <w:rFonts w:ascii="Courier New" w:hAnsi="Courier New" w:hint="default"/>
      </w:rPr>
    </w:lvl>
    <w:lvl w:ilvl="8" w:tplc="2384E540">
      <w:start w:val="1"/>
      <w:numFmt w:val="bullet"/>
      <w:lvlText w:val=""/>
      <w:lvlJc w:val="left"/>
      <w:pPr>
        <w:ind w:left="6480" w:hanging="360"/>
      </w:pPr>
      <w:rPr>
        <w:rFonts w:ascii="Wingdings" w:hAnsi="Wingdings" w:hint="default"/>
      </w:rPr>
    </w:lvl>
  </w:abstractNum>
  <w:abstractNum w:abstractNumId="9" w15:restartNumberingAfterBreak="0">
    <w:nsid w:val="58D920C6"/>
    <w:multiLevelType w:val="hybridMultilevel"/>
    <w:tmpl w:val="A334A0D6"/>
    <w:lvl w:ilvl="0" w:tplc="DBE45AF4">
      <w:start w:val="1"/>
      <w:numFmt w:val="bullet"/>
      <w:lvlText w:val="·"/>
      <w:lvlJc w:val="left"/>
      <w:pPr>
        <w:ind w:left="720" w:hanging="360"/>
      </w:pPr>
      <w:rPr>
        <w:rFonts w:ascii="Symbol" w:hAnsi="Symbol" w:hint="default"/>
      </w:rPr>
    </w:lvl>
    <w:lvl w:ilvl="1" w:tplc="D0A4B7BA">
      <w:start w:val="1"/>
      <w:numFmt w:val="bullet"/>
      <w:lvlText w:val="o"/>
      <w:lvlJc w:val="left"/>
      <w:pPr>
        <w:ind w:left="1440" w:hanging="360"/>
      </w:pPr>
      <w:rPr>
        <w:rFonts w:ascii="Courier New" w:hAnsi="Courier New" w:hint="default"/>
      </w:rPr>
    </w:lvl>
    <w:lvl w:ilvl="2" w:tplc="CFDE36A6">
      <w:start w:val="1"/>
      <w:numFmt w:val="bullet"/>
      <w:lvlText w:val=""/>
      <w:lvlJc w:val="left"/>
      <w:pPr>
        <w:ind w:left="2160" w:hanging="360"/>
      </w:pPr>
      <w:rPr>
        <w:rFonts w:ascii="Wingdings" w:hAnsi="Wingdings" w:hint="default"/>
      </w:rPr>
    </w:lvl>
    <w:lvl w:ilvl="3" w:tplc="1102EC56">
      <w:start w:val="1"/>
      <w:numFmt w:val="bullet"/>
      <w:lvlText w:val=""/>
      <w:lvlJc w:val="left"/>
      <w:pPr>
        <w:ind w:left="2880" w:hanging="360"/>
      </w:pPr>
      <w:rPr>
        <w:rFonts w:ascii="Symbol" w:hAnsi="Symbol" w:hint="default"/>
      </w:rPr>
    </w:lvl>
    <w:lvl w:ilvl="4" w:tplc="244CDDE2">
      <w:start w:val="1"/>
      <w:numFmt w:val="bullet"/>
      <w:lvlText w:val="o"/>
      <w:lvlJc w:val="left"/>
      <w:pPr>
        <w:ind w:left="3600" w:hanging="360"/>
      </w:pPr>
      <w:rPr>
        <w:rFonts w:ascii="Courier New" w:hAnsi="Courier New" w:hint="default"/>
      </w:rPr>
    </w:lvl>
    <w:lvl w:ilvl="5" w:tplc="C65C3B04">
      <w:start w:val="1"/>
      <w:numFmt w:val="bullet"/>
      <w:lvlText w:val=""/>
      <w:lvlJc w:val="left"/>
      <w:pPr>
        <w:ind w:left="4320" w:hanging="360"/>
      </w:pPr>
      <w:rPr>
        <w:rFonts w:ascii="Wingdings" w:hAnsi="Wingdings" w:hint="default"/>
      </w:rPr>
    </w:lvl>
    <w:lvl w:ilvl="6" w:tplc="7F94D3C6">
      <w:start w:val="1"/>
      <w:numFmt w:val="bullet"/>
      <w:lvlText w:val=""/>
      <w:lvlJc w:val="left"/>
      <w:pPr>
        <w:ind w:left="5040" w:hanging="360"/>
      </w:pPr>
      <w:rPr>
        <w:rFonts w:ascii="Symbol" w:hAnsi="Symbol" w:hint="default"/>
      </w:rPr>
    </w:lvl>
    <w:lvl w:ilvl="7" w:tplc="D97CE1BE">
      <w:start w:val="1"/>
      <w:numFmt w:val="bullet"/>
      <w:lvlText w:val="o"/>
      <w:lvlJc w:val="left"/>
      <w:pPr>
        <w:ind w:left="5760" w:hanging="360"/>
      </w:pPr>
      <w:rPr>
        <w:rFonts w:ascii="Courier New" w:hAnsi="Courier New" w:hint="default"/>
      </w:rPr>
    </w:lvl>
    <w:lvl w:ilvl="8" w:tplc="C922CB72">
      <w:start w:val="1"/>
      <w:numFmt w:val="bullet"/>
      <w:lvlText w:val=""/>
      <w:lvlJc w:val="left"/>
      <w:pPr>
        <w:ind w:left="6480" w:hanging="360"/>
      </w:pPr>
      <w:rPr>
        <w:rFonts w:ascii="Wingdings" w:hAnsi="Wingdings" w:hint="default"/>
      </w:rPr>
    </w:lvl>
  </w:abstractNum>
  <w:abstractNum w:abstractNumId="10" w15:restartNumberingAfterBreak="0">
    <w:nsid w:val="5D96044E"/>
    <w:multiLevelType w:val="hybridMultilevel"/>
    <w:tmpl w:val="CA94474A"/>
    <w:lvl w:ilvl="0" w:tplc="04160001">
      <w:start w:val="1"/>
      <w:numFmt w:val="bullet"/>
      <w:lvlText w:val=""/>
      <w:lvlJc w:val="left"/>
      <w:pPr>
        <w:ind w:left="2223" w:hanging="360"/>
      </w:pPr>
      <w:rPr>
        <w:rFonts w:ascii="Symbol" w:hAnsi="Symbol" w:hint="default"/>
      </w:rPr>
    </w:lvl>
    <w:lvl w:ilvl="1" w:tplc="04160003" w:tentative="1">
      <w:start w:val="1"/>
      <w:numFmt w:val="bullet"/>
      <w:lvlText w:val="o"/>
      <w:lvlJc w:val="left"/>
      <w:pPr>
        <w:ind w:left="2943" w:hanging="360"/>
      </w:pPr>
      <w:rPr>
        <w:rFonts w:ascii="Courier New" w:hAnsi="Courier New" w:cs="Courier New" w:hint="default"/>
      </w:rPr>
    </w:lvl>
    <w:lvl w:ilvl="2" w:tplc="04160005" w:tentative="1">
      <w:start w:val="1"/>
      <w:numFmt w:val="bullet"/>
      <w:lvlText w:val=""/>
      <w:lvlJc w:val="left"/>
      <w:pPr>
        <w:ind w:left="3663" w:hanging="360"/>
      </w:pPr>
      <w:rPr>
        <w:rFonts w:ascii="Wingdings" w:hAnsi="Wingdings" w:hint="default"/>
      </w:rPr>
    </w:lvl>
    <w:lvl w:ilvl="3" w:tplc="04160001" w:tentative="1">
      <w:start w:val="1"/>
      <w:numFmt w:val="bullet"/>
      <w:lvlText w:val=""/>
      <w:lvlJc w:val="left"/>
      <w:pPr>
        <w:ind w:left="4383" w:hanging="360"/>
      </w:pPr>
      <w:rPr>
        <w:rFonts w:ascii="Symbol" w:hAnsi="Symbol" w:hint="default"/>
      </w:rPr>
    </w:lvl>
    <w:lvl w:ilvl="4" w:tplc="04160003" w:tentative="1">
      <w:start w:val="1"/>
      <w:numFmt w:val="bullet"/>
      <w:lvlText w:val="o"/>
      <w:lvlJc w:val="left"/>
      <w:pPr>
        <w:ind w:left="5103" w:hanging="360"/>
      </w:pPr>
      <w:rPr>
        <w:rFonts w:ascii="Courier New" w:hAnsi="Courier New" w:cs="Courier New" w:hint="default"/>
      </w:rPr>
    </w:lvl>
    <w:lvl w:ilvl="5" w:tplc="04160005" w:tentative="1">
      <w:start w:val="1"/>
      <w:numFmt w:val="bullet"/>
      <w:lvlText w:val=""/>
      <w:lvlJc w:val="left"/>
      <w:pPr>
        <w:ind w:left="5823" w:hanging="360"/>
      </w:pPr>
      <w:rPr>
        <w:rFonts w:ascii="Wingdings" w:hAnsi="Wingdings" w:hint="default"/>
      </w:rPr>
    </w:lvl>
    <w:lvl w:ilvl="6" w:tplc="04160001" w:tentative="1">
      <w:start w:val="1"/>
      <w:numFmt w:val="bullet"/>
      <w:lvlText w:val=""/>
      <w:lvlJc w:val="left"/>
      <w:pPr>
        <w:ind w:left="6543" w:hanging="360"/>
      </w:pPr>
      <w:rPr>
        <w:rFonts w:ascii="Symbol" w:hAnsi="Symbol" w:hint="default"/>
      </w:rPr>
    </w:lvl>
    <w:lvl w:ilvl="7" w:tplc="04160003" w:tentative="1">
      <w:start w:val="1"/>
      <w:numFmt w:val="bullet"/>
      <w:lvlText w:val="o"/>
      <w:lvlJc w:val="left"/>
      <w:pPr>
        <w:ind w:left="7263" w:hanging="360"/>
      </w:pPr>
      <w:rPr>
        <w:rFonts w:ascii="Courier New" w:hAnsi="Courier New" w:cs="Courier New" w:hint="default"/>
      </w:rPr>
    </w:lvl>
    <w:lvl w:ilvl="8" w:tplc="04160005" w:tentative="1">
      <w:start w:val="1"/>
      <w:numFmt w:val="bullet"/>
      <w:lvlText w:val=""/>
      <w:lvlJc w:val="left"/>
      <w:pPr>
        <w:ind w:left="7983" w:hanging="360"/>
      </w:pPr>
      <w:rPr>
        <w:rFonts w:ascii="Wingdings" w:hAnsi="Wingdings" w:hint="default"/>
      </w:rPr>
    </w:lvl>
  </w:abstractNum>
  <w:abstractNum w:abstractNumId="11" w15:restartNumberingAfterBreak="0">
    <w:nsid w:val="6473DB07"/>
    <w:multiLevelType w:val="hybridMultilevel"/>
    <w:tmpl w:val="4516F0A4"/>
    <w:lvl w:ilvl="0" w:tplc="8C344662">
      <w:start w:val="1"/>
      <w:numFmt w:val="bullet"/>
      <w:lvlText w:val="·"/>
      <w:lvlJc w:val="left"/>
      <w:pPr>
        <w:ind w:left="720" w:hanging="360"/>
      </w:pPr>
      <w:rPr>
        <w:rFonts w:ascii="Symbol" w:hAnsi="Symbol" w:hint="default"/>
        <w:color w:val="FF0000"/>
      </w:rPr>
    </w:lvl>
    <w:lvl w:ilvl="1" w:tplc="E3AE3A22">
      <w:start w:val="1"/>
      <w:numFmt w:val="bullet"/>
      <w:lvlText w:val="o"/>
      <w:lvlJc w:val="left"/>
      <w:pPr>
        <w:ind w:left="1440" w:hanging="360"/>
      </w:pPr>
      <w:rPr>
        <w:rFonts w:ascii="Courier New" w:hAnsi="Courier New" w:hint="default"/>
      </w:rPr>
    </w:lvl>
    <w:lvl w:ilvl="2" w:tplc="B5DC3B80">
      <w:start w:val="1"/>
      <w:numFmt w:val="bullet"/>
      <w:lvlText w:val=""/>
      <w:lvlJc w:val="left"/>
      <w:pPr>
        <w:ind w:left="2160" w:hanging="360"/>
      </w:pPr>
      <w:rPr>
        <w:rFonts w:ascii="Wingdings" w:hAnsi="Wingdings" w:hint="default"/>
      </w:rPr>
    </w:lvl>
    <w:lvl w:ilvl="3" w:tplc="FEAE159C">
      <w:start w:val="1"/>
      <w:numFmt w:val="bullet"/>
      <w:lvlText w:val=""/>
      <w:lvlJc w:val="left"/>
      <w:pPr>
        <w:ind w:left="2880" w:hanging="360"/>
      </w:pPr>
      <w:rPr>
        <w:rFonts w:ascii="Symbol" w:hAnsi="Symbol" w:hint="default"/>
      </w:rPr>
    </w:lvl>
    <w:lvl w:ilvl="4" w:tplc="5A92F6DE">
      <w:start w:val="1"/>
      <w:numFmt w:val="bullet"/>
      <w:lvlText w:val="o"/>
      <w:lvlJc w:val="left"/>
      <w:pPr>
        <w:ind w:left="3600" w:hanging="360"/>
      </w:pPr>
      <w:rPr>
        <w:rFonts w:ascii="Courier New" w:hAnsi="Courier New" w:hint="default"/>
      </w:rPr>
    </w:lvl>
    <w:lvl w:ilvl="5" w:tplc="4BE63176">
      <w:start w:val="1"/>
      <w:numFmt w:val="bullet"/>
      <w:lvlText w:val=""/>
      <w:lvlJc w:val="left"/>
      <w:pPr>
        <w:ind w:left="4320" w:hanging="360"/>
      </w:pPr>
      <w:rPr>
        <w:rFonts w:ascii="Wingdings" w:hAnsi="Wingdings" w:hint="default"/>
      </w:rPr>
    </w:lvl>
    <w:lvl w:ilvl="6" w:tplc="F4BC54A8">
      <w:start w:val="1"/>
      <w:numFmt w:val="bullet"/>
      <w:lvlText w:val=""/>
      <w:lvlJc w:val="left"/>
      <w:pPr>
        <w:ind w:left="5040" w:hanging="360"/>
      </w:pPr>
      <w:rPr>
        <w:rFonts w:ascii="Symbol" w:hAnsi="Symbol" w:hint="default"/>
      </w:rPr>
    </w:lvl>
    <w:lvl w:ilvl="7" w:tplc="29FCF6BE">
      <w:start w:val="1"/>
      <w:numFmt w:val="bullet"/>
      <w:lvlText w:val="o"/>
      <w:lvlJc w:val="left"/>
      <w:pPr>
        <w:ind w:left="5760" w:hanging="360"/>
      </w:pPr>
      <w:rPr>
        <w:rFonts w:ascii="Courier New" w:hAnsi="Courier New" w:hint="default"/>
      </w:rPr>
    </w:lvl>
    <w:lvl w:ilvl="8" w:tplc="91C00B6A">
      <w:start w:val="1"/>
      <w:numFmt w:val="bullet"/>
      <w:lvlText w:val=""/>
      <w:lvlJc w:val="left"/>
      <w:pPr>
        <w:ind w:left="6480" w:hanging="360"/>
      </w:pPr>
      <w:rPr>
        <w:rFonts w:ascii="Wingdings" w:hAnsi="Wingdings" w:hint="default"/>
      </w:rPr>
    </w:lvl>
  </w:abstractNum>
  <w:abstractNum w:abstractNumId="12" w15:restartNumberingAfterBreak="0">
    <w:nsid w:val="72B54CAC"/>
    <w:multiLevelType w:val="hybridMultilevel"/>
    <w:tmpl w:val="BC6ACF76"/>
    <w:lvl w:ilvl="0" w:tplc="8980593C">
      <w:start w:val="1"/>
      <w:numFmt w:val="bullet"/>
      <w:lvlText w:val=""/>
      <w:lvlJc w:val="left"/>
      <w:pPr>
        <w:ind w:left="720" w:hanging="360"/>
      </w:pPr>
      <w:rPr>
        <w:rFonts w:ascii="Symbol" w:hAnsi="Symbol" w:hint="default"/>
      </w:rPr>
    </w:lvl>
    <w:lvl w:ilvl="1" w:tplc="D5CA3B96">
      <w:start w:val="1"/>
      <w:numFmt w:val="bullet"/>
      <w:lvlText w:val="o"/>
      <w:lvlJc w:val="left"/>
      <w:pPr>
        <w:ind w:left="1440" w:hanging="360"/>
      </w:pPr>
      <w:rPr>
        <w:rFonts w:ascii="Courier New" w:hAnsi="Courier New" w:hint="default"/>
      </w:rPr>
    </w:lvl>
    <w:lvl w:ilvl="2" w:tplc="4DD2D038">
      <w:start w:val="1"/>
      <w:numFmt w:val="bullet"/>
      <w:lvlText w:val=""/>
      <w:lvlJc w:val="left"/>
      <w:pPr>
        <w:ind w:left="2160" w:hanging="360"/>
      </w:pPr>
      <w:rPr>
        <w:rFonts w:ascii="Wingdings" w:hAnsi="Wingdings" w:hint="default"/>
      </w:rPr>
    </w:lvl>
    <w:lvl w:ilvl="3" w:tplc="75A223EC">
      <w:start w:val="1"/>
      <w:numFmt w:val="bullet"/>
      <w:lvlText w:val=""/>
      <w:lvlJc w:val="left"/>
      <w:pPr>
        <w:ind w:left="2880" w:hanging="360"/>
      </w:pPr>
      <w:rPr>
        <w:rFonts w:ascii="Symbol" w:hAnsi="Symbol" w:hint="default"/>
      </w:rPr>
    </w:lvl>
    <w:lvl w:ilvl="4" w:tplc="737A7DE8">
      <w:start w:val="1"/>
      <w:numFmt w:val="bullet"/>
      <w:lvlText w:val="o"/>
      <w:lvlJc w:val="left"/>
      <w:pPr>
        <w:ind w:left="3600" w:hanging="360"/>
      </w:pPr>
      <w:rPr>
        <w:rFonts w:ascii="Courier New" w:hAnsi="Courier New" w:hint="default"/>
      </w:rPr>
    </w:lvl>
    <w:lvl w:ilvl="5" w:tplc="C08C730E">
      <w:start w:val="1"/>
      <w:numFmt w:val="bullet"/>
      <w:lvlText w:val=""/>
      <w:lvlJc w:val="left"/>
      <w:pPr>
        <w:ind w:left="4320" w:hanging="360"/>
      </w:pPr>
      <w:rPr>
        <w:rFonts w:ascii="Wingdings" w:hAnsi="Wingdings" w:hint="default"/>
      </w:rPr>
    </w:lvl>
    <w:lvl w:ilvl="6" w:tplc="84D2DA02">
      <w:start w:val="1"/>
      <w:numFmt w:val="bullet"/>
      <w:lvlText w:val=""/>
      <w:lvlJc w:val="left"/>
      <w:pPr>
        <w:ind w:left="5040" w:hanging="360"/>
      </w:pPr>
      <w:rPr>
        <w:rFonts w:ascii="Symbol" w:hAnsi="Symbol" w:hint="default"/>
      </w:rPr>
    </w:lvl>
    <w:lvl w:ilvl="7" w:tplc="2B20B14C">
      <w:start w:val="1"/>
      <w:numFmt w:val="bullet"/>
      <w:lvlText w:val="o"/>
      <w:lvlJc w:val="left"/>
      <w:pPr>
        <w:ind w:left="5760" w:hanging="360"/>
      </w:pPr>
      <w:rPr>
        <w:rFonts w:ascii="Courier New" w:hAnsi="Courier New" w:hint="default"/>
      </w:rPr>
    </w:lvl>
    <w:lvl w:ilvl="8" w:tplc="3112D0CC">
      <w:start w:val="1"/>
      <w:numFmt w:val="bullet"/>
      <w:lvlText w:val=""/>
      <w:lvlJc w:val="left"/>
      <w:pPr>
        <w:ind w:left="6480" w:hanging="360"/>
      </w:pPr>
      <w:rPr>
        <w:rFonts w:ascii="Wingdings" w:hAnsi="Wingdings" w:hint="default"/>
      </w:rPr>
    </w:lvl>
  </w:abstractNum>
  <w:abstractNum w:abstractNumId="13" w15:restartNumberingAfterBreak="0">
    <w:nsid w:val="7E281649"/>
    <w:multiLevelType w:val="hybridMultilevel"/>
    <w:tmpl w:val="EF7AC4F0"/>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num w:numId="1">
    <w:abstractNumId w:val="8"/>
  </w:num>
  <w:num w:numId="2">
    <w:abstractNumId w:val="12"/>
  </w:num>
  <w:num w:numId="3">
    <w:abstractNumId w:val="0"/>
  </w:num>
  <w:num w:numId="4">
    <w:abstractNumId w:val="7"/>
  </w:num>
  <w:num w:numId="5">
    <w:abstractNumId w:val="4"/>
  </w:num>
  <w:num w:numId="6">
    <w:abstractNumId w:val="9"/>
  </w:num>
  <w:num w:numId="7">
    <w:abstractNumId w:val="11"/>
  </w:num>
  <w:num w:numId="8">
    <w:abstractNumId w:val="1"/>
  </w:num>
  <w:num w:numId="9">
    <w:abstractNumId w:val="10"/>
  </w:num>
  <w:num w:numId="10">
    <w:abstractNumId w:val="3"/>
  </w:num>
  <w:num w:numId="11">
    <w:abstractNumId w:val="2"/>
  </w:num>
  <w:num w:numId="12">
    <w:abstractNumId w:val="13"/>
  </w:num>
  <w:num w:numId="13">
    <w:abstractNumId w:val="6"/>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883B8D3"/>
    <w:rsid w:val="000263EB"/>
    <w:rsid w:val="0003536E"/>
    <w:rsid w:val="00037194"/>
    <w:rsid w:val="00040C45"/>
    <w:rsid w:val="0006216D"/>
    <w:rsid w:val="00062F53"/>
    <w:rsid w:val="0006344D"/>
    <w:rsid w:val="00087A8F"/>
    <w:rsid w:val="000B6A84"/>
    <w:rsid w:val="000C453D"/>
    <w:rsid w:val="000D1D0D"/>
    <w:rsid w:val="000E4ECE"/>
    <w:rsid w:val="000E7D6D"/>
    <w:rsid w:val="00105D92"/>
    <w:rsid w:val="001218FB"/>
    <w:rsid w:val="00124BC7"/>
    <w:rsid w:val="0014704B"/>
    <w:rsid w:val="0015045D"/>
    <w:rsid w:val="001714EB"/>
    <w:rsid w:val="0018144B"/>
    <w:rsid w:val="00181B56"/>
    <w:rsid w:val="00183FB7"/>
    <w:rsid w:val="00190D4E"/>
    <w:rsid w:val="001A0CE3"/>
    <w:rsid w:val="001B57A1"/>
    <w:rsid w:val="001C0AE8"/>
    <w:rsid w:val="001C151C"/>
    <w:rsid w:val="001C2100"/>
    <w:rsid w:val="001D2B2F"/>
    <w:rsid w:val="0021019A"/>
    <w:rsid w:val="00226639"/>
    <w:rsid w:val="00236A2E"/>
    <w:rsid w:val="00264CAD"/>
    <w:rsid w:val="00273F3D"/>
    <w:rsid w:val="0027668C"/>
    <w:rsid w:val="00292D11"/>
    <w:rsid w:val="002A2494"/>
    <w:rsid w:val="002A7A09"/>
    <w:rsid w:val="002B2EF1"/>
    <w:rsid w:val="002C47D5"/>
    <w:rsid w:val="002E2F32"/>
    <w:rsid w:val="00313D8C"/>
    <w:rsid w:val="00317125"/>
    <w:rsid w:val="00327A26"/>
    <w:rsid w:val="003305FC"/>
    <w:rsid w:val="00341D74"/>
    <w:rsid w:val="00355299"/>
    <w:rsid w:val="00360D44"/>
    <w:rsid w:val="00367B45"/>
    <w:rsid w:val="00395A3E"/>
    <w:rsid w:val="003A61C8"/>
    <w:rsid w:val="003C12CF"/>
    <w:rsid w:val="003D309B"/>
    <w:rsid w:val="003E52AC"/>
    <w:rsid w:val="00403344"/>
    <w:rsid w:val="00434D35"/>
    <w:rsid w:val="0045654D"/>
    <w:rsid w:val="00465692"/>
    <w:rsid w:val="0048DFB2"/>
    <w:rsid w:val="00492359"/>
    <w:rsid w:val="004C193D"/>
    <w:rsid w:val="004E6852"/>
    <w:rsid w:val="004F73A4"/>
    <w:rsid w:val="004F83D1"/>
    <w:rsid w:val="005032EA"/>
    <w:rsid w:val="00504AF8"/>
    <w:rsid w:val="00512600"/>
    <w:rsid w:val="00520060"/>
    <w:rsid w:val="00521921"/>
    <w:rsid w:val="0052327F"/>
    <w:rsid w:val="005641DF"/>
    <w:rsid w:val="00571638"/>
    <w:rsid w:val="00581A06"/>
    <w:rsid w:val="0058769D"/>
    <w:rsid w:val="005B0019"/>
    <w:rsid w:val="005B162B"/>
    <w:rsid w:val="005B5D81"/>
    <w:rsid w:val="005B7615"/>
    <w:rsid w:val="005F0F38"/>
    <w:rsid w:val="005F2BC3"/>
    <w:rsid w:val="00614089"/>
    <w:rsid w:val="0063DF04"/>
    <w:rsid w:val="006419FF"/>
    <w:rsid w:val="00647C13"/>
    <w:rsid w:val="00653D36"/>
    <w:rsid w:val="00655438"/>
    <w:rsid w:val="0066121D"/>
    <w:rsid w:val="00663E9F"/>
    <w:rsid w:val="00664A7E"/>
    <w:rsid w:val="00672285"/>
    <w:rsid w:val="0067783B"/>
    <w:rsid w:val="00680996"/>
    <w:rsid w:val="00690EE9"/>
    <w:rsid w:val="006B4855"/>
    <w:rsid w:val="006E1991"/>
    <w:rsid w:val="006E6172"/>
    <w:rsid w:val="0072303E"/>
    <w:rsid w:val="0073418B"/>
    <w:rsid w:val="0074322F"/>
    <w:rsid w:val="00747957"/>
    <w:rsid w:val="00755D68"/>
    <w:rsid w:val="00760653"/>
    <w:rsid w:val="00765EED"/>
    <w:rsid w:val="00776E14"/>
    <w:rsid w:val="00796948"/>
    <w:rsid w:val="007A0B0B"/>
    <w:rsid w:val="007F7091"/>
    <w:rsid w:val="00804654"/>
    <w:rsid w:val="008079A2"/>
    <w:rsid w:val="00830EBD"/>
    <w:rsid w:val="00887044"/>
    <w:rsid w:val="00887A3C"/>
    <w:rsid w:val="008913BA"/>
    <w:rsid w:val="0089863B"/>
    <w:rsid w:val="008A69BB"/>
    <w:rsid w:val="008AEAD8"/>
    <w:rsid w:val="008D481F"/>
    <w:rsid w:val="008DCEEB"/>
    <w:rsid w:val="008E61EA"/>
    <w:rsid w:val="008F5ADC"/>
    <w:rsid w:val="00905B1C"/>
    <w:rsid w:val="009115B6"/>
    <w:rsid w:val="00926EC0"/>
    <w:rsid w:val="00934FDC"/>
    <w:rsid w:val="00937D01"/>
    <w:rsid w:val="009566A2"/>
    <w:rsid w:val="0099676C"/>
    <w:rsid w:val="009C0A04"/>
    <w:rsid w:val="009C194A"/>
    <w:rsid w:val="00A165E3"/>
    <w:rsid w:val="00A19A86"/>
    <w:rsid w:val="00A264D5"/>
    <w:rsid w:val="00A305EE"/>
    <w:rsid w:val="00A36290"/>
    <w:rsid w:val="00A455DD"/>
    <w:rsid w:val="00A70C52"/>
    <w:rsid w:val="00A80F53"/>
    <w:rsid w:val="00A8493E"/>
    <w:rsid w:val="00A850AD"/>
    <w:rsid w:val="00A951F3"/>
    <w:rsid w:val="00A9715F"/>
    <w:rsid w:val="00AA3EED"/>
    <w:rsid w:val="00AB1479"/>
    <w:rsid w:val="00AC082E"/>
    <w:rsid w:val="00AD7D91"/>
    <w:rsid w:val="00AE59A3"/>
    <w:rsid w:val="00AF2F3D"/>
    <w:rsid w:val="00B10337"/>
    <w:rsid w:val="00B13D21"/>
    <w:rsid w:val="00B1E661"/>
    <w:rsid w:val="00B2027E"/>
    <w:rsid w:val="00B263CC"/>
    <w:rsid w:val="00B4B717"/>
    <w:rsid w:val="00B77CB8"/>
    <w:rsid w:val="00B8064D"/>
    <w:rsid w:val="00B955BD"/>
    <w:rsid w:val="00BC26F8"/>
    <w:rsid w:val="00C14303"/>
    <w:rsid w:val="00C67ACC"/>
    <w:rsid w:val="00C67CBF"/>
    <w:rsid w:val="00C71FCC"/>
    <w:rsid w:val="00C720C1"/>
    <w:rsid w:val="00C7428A"/>
    <w:rsid w:val="00C83EFF"/>
    <w:rsid w:val="00C856E6"/>
    <w:rsid w:val="00C934E6"/>
    <w:rsid w:val="00C96F62"/>
    <w:rsid w:val="00CA1F02"/>
    <w:rsid w:val="00CB79B6"/>
    <w:rsid w:val="00CD3DC4"/>
    <w:rsid w:val="00CD3E60"/>
    <w:rsid w:val="00CD3FCE"/>
    <w:rsid w:val="00CD63F2"/>
    <w:rsid w:val="00CE058E"/>
    <w:rsid w:val="00CE1024"/>
    <w:rsid w:val="00D00635"/>
    <w:rsid w:val="00D02474"/>
    <w:rsid w:val="00D03373"/>
    <w:rsid w:val="00D23CA6"/>
    <w:rsid w:val="00D43B9E"/>
    <w:rsid w:val="00D6369C"/>
    <w:rsid w:val="00D76F81"/>
    <w:rsid w:val="00D9719C"/>
    <w:rsid w:val="00DA2B65"/>
    <w:rsid w:val="00DB19FC"/>
    <w:rsid w:val="00DB65BA"/>
    <w:rsid w:val="00DD57BE"/>
    <w:rsid w:val="00DE08CC"/>
    <w:rsid w:val="00DE0B5F"/>
    <w:rsid w:val="00DE4E70"/>
    <w:rsid w:val="00DE57A6"/>
    <w:rsid w:val="00DF2CBF"/>
    <w:rsid w:val="00E22F69"/>
    <w:rsid w:val="00E2589F"/>
    <w:rsid w:val="00E46036"/>
    <w:rsid w:val="00E51D76"/>
    <w:rsid w:val="00E614B2"/>
    <w:rsid w:val="00E63FC1"/>
    <w:rsid w:val="00E714D8"/>
    <w:rsid w:val="00E73633"/>
    <w:rsid w:val="00E75B56"/>
    <w:rsid w:val="00E80D33"/>
    <w:rsid w:val="00EB116B"/>
    <w:rsid w:val="00EB398F"/>
    <w:rsid w:val="00EB4415"/>
    <w:rsid w:val="00ED285A"/>
    <w:rsid w:val="00ED5152"/>
    <w:rsid w:val="00F05035"/>
    <w:rsid w:val="00F053EC"/>
    <w:rsid w:val="00F0573E"/>
    <w:rsid w:val="00F135BB"/>
    <w:rsid w:val="00F17358"/>
    <w:rsid w:val="00F6522D"/>
    <w:rsid w:val="00F74EB0"/>
    <w:rsid w:val="00F826C3"/>
    <w:rsid w:val="00F95FEF"/>
    <w:rsid w:val="00FC6506"/>
    <w:rsid w:val="00FD721F"/>
    <w:rsid w:val="00FE3CD9"/>
    <w:rsid w:val="00FE6DEF"/>
    <w:rsid w:val="00FE7610"/>
    <w:rsid w:val="0108BA37"/>
    <w:rsid w:val="012D3FFF"/>
    <w:rsid w:val="0149409A"/>
    <w:rsid w:val="0167D658"/>
    <w:rsid w:val="01B17684"/>
    <w:rsid w:val="01B5F863"/>
    <w:rsid w:val="01C2F4E2"/>
    <w:rsid w:val="01D1D657"/>
    <w:rsid w:val="01EB5432"/>
    <w:rsid w:val="020C65F0"/>
    <w:rsid w:val="0226BB39"/>
    <w:rsid w:val="022B1A8C"/>
    <w:rsid w:val="0237DA65"/>
    <w:rsid w:val="023DBC99"/>
    <w:rsid w:val="0255A326"/>
    <w:rsid w:val="0269B9EA"/>
    <w:rsid w:val="026A1CAC"/>
    <w:rsid w:val="029FBFE8"/>
    <w:rsid w:val="02A0752C"/>
    <w:rsid w:val="02EF6C1A"/>
    <w:rsid w:val="02FDC79C"/>
    <w:rsid w:val="0316EFF9"/>
    <w:rsid w:val="031DF0C2"/>
    <w:rsid w:val="03610340"/>
    <w:rsid w:val="03E911C0"/>
    <w:rsid w:val="0413067C"/>
    <w:rsid w:val="04259FD1"/>
    <w:rsid w:val="042D118E"/>
    <w:rsid w:val="04473513"/>
    <w:rsid w:val="04476F0F"/>
    <w:rsid w:val="044877F7"/>
    <w:rsid w:val="0449787F"/>
    <w:rsid w:val="04961841"/>
    <w:rsid w:val="04B42B1E"/>
    <w:rsid w:val="04B447E7"/>
    <w:rsid w:val="04BFFF49"/>
    <w:rsid w:val="04C24383"/>
    <w:rsid w:val="0500773B"/>
    <w:rsid w:val="05089110"/>
    <w:rsid w:val="0539890C"/>
    <w:rsid w:val="05440BA1"/>
    <w:rsid w:val="05BA04A9"/>
    <w:rsid w:val="05C0690B"/>
    <w:rsid w:val="05D3C126"/>
    <w:rsid w:val="05DF3DB6"/>
    <w:rsid w:val="05EEFDE5"/>
    <w:rsid w:val="05FD80BF"/>
    <w:rsid w:val="0611EE57"/>
    <w:rsid w:val="0616D866"/>
    <w:rsid w:val="061CD88E"/>
    <w:rsid w:val="06587270"/>
    <w:rsid w:val="066FC50F"/>
    <w:rsid w:val="06ADE163"/>
    <w:rsid w:val="06BE87B8"/>
    <w:rsid w:val="06E83703"/>
    <w:rsid w:val="07162FD7"/>
    <w:rsid w:val="071C2346"/>
    <w:rsid w:val="07368C87"/>
    <w:rsid w:val="07388439"/>
    <w:rsid w:val="07538BCD"/>
    <w:rsid w:val="07B3F511"/>
    <w:rsid w:val="07CCEF8B"/>
    <w:rsid w:val="07D5AB1F"/>
    <w:rsid w:val="07F524C2"/>
    <w:rsid w:val="080B27DC"/>
    <w:rsid w:val="0810C912"/>
    <w:rsid w:val="0827694C"/>
    <w:rsid w:val="084A5632"/>
    <w:rsid w:val="08645C09"/>
    <w:rsid w:val="0893BAD0"/>
    <w:rsid w:val="08BCF846"/>
    <w:rsid w:val="08D1CD0A"/>
    <w:rsid w:val="08D8CA95"/>
    <w:rsid w:val="08DD3F2B"/>
    <w:rsid w:val="08F5F5E2"/>
    <w:rsid w:val="08FDED57"/>
    <w:rsid w:val="090EB8DD"/>
    <w:rsid w:val="093E57CA"/>
    <w:rsid w:val="094E3EEA"/>
    <w:rsid w:val="0953D765"/>
    <w:rsid w:val="0956ECE5"/>
    <w:rsid w:val="096D5E92"/>
    <w:rsid w:val="09905911"/>
    <w:rsid w:val="0998776D"/>
    <w:rsid w:val="09B1F0CC"/>
    <w:rsid w:val="09F70734"/>
    <w:rsid w:val="0A0088B4"/>
    <w:rsid w:val="0A1230EB"/>
    <w:rsid w:val="0A1E7011"/>
    <w:rsid w:val="0A34D7A6"/>
    <w:rsid w:val="0A6E2D49"/>
    <w:rsid w:val="0A76E37B"/>
    <w:rsid w:val="0A7F9C2F"/>
    <w:rsid w:val="0A9E2023"/>
    <w:rsid w:val="0AA010C1"/>
    <w:rsid w:val="0AB42F65"/>
    <w:rsid w:val="0ABF1A21"/>
    <w:rsid w:val="0AD3B572"/>
    <w:rsid w:val="0ADE764E"/>
    <w:rsid w:val="0AF07D34"/>
    <w:rsid w:val="0AFE385A"/>
    <w:rsid w:val="0B1432DB"/>
    <w:rsid w:val="0B22E455"/>
    <w:rsid w:val="0B41F8FE"/>
    <w:rsid w:val="0B7DB7CD"/>
    <w:rsid w:val="0B8689BD"/>
    <w:rsid w:val="0B872C64"/>
    <w:rsid w:val="0B8BA513"/>
    <w:rsid w:val="0B97CFC3"/>
    <w:rsid w:val="0BA2686C"/>
    <w:rsid w:val="0BB1BC6F"/>
    <w:rsid w:val="0BB87B05"/>
    <w:rsid w:val="0BB9073C"/>
    <w:rsid w:val="0BBA4072"/>
    <w:rsid w:val="0BC99C1F"/>
    <w:rsid w:val="0BE75029"/>
    <w:rsid w:val="0BEB9670"/>
    <w:rsid w:val="0BFD1703"/>
    <w:rsid w:val="0BFF28D6"/>
    <w:rsid w:val="0C5B38E9"/>
    <w:rsid w:val="0C725C81"/>
    <w:rsid w:val="0C9805C8"/>
    <w:rsid w:val="0CABFEAE"/>
    <w:rsid w:val="0CE85BFB"/>
    <w:rsid w:val="0CFB2D21"/>
    <w:rsid w:val="0D0A283F"/>
    <w:rsid w:val="0D19882E"/>
    <w:rsid w:val="0D1C24DA"/>
    <w:rsid w:val="0D32B08B"/>
    <w:rsid w:val="0D5AABB6"/>
    <w:rsid w:val="0D672BF3"/>
    <w:rsid w:val="0D715B66"/>
    <w:rsid w:val="0D8FD588"/>
    <w:rsid w:val="0D967FB5"/>
    <w:rsid w:val="0DA6F96E"/>
    <w:rsid w:val="0DD4EEFC"/>
    <w:rsid w:val="0DE14548"/>
    <w:rsid w:val="0DE5E031"/>
    <w:rsid w:val="0E0BB7F3"/>
    <w:rsid w:val="0E0CA565"/>
    <w:rsid w:val="0E4C82BB"/>
    <w:rsid w:val="0E8ADBB5"/>
    <w:rsid w:val="0E8D5462"/>
    <w:rsid w:val="0E986F60"/>
    <w:rsid w:val="0EA998C8"/>
    <w:rsid w:val="0EB5588F"/>
    <w:rsid w:val="0EB92F4C"/>
    <w:rsid w:val="0ECF7085"/>
    <w:rsid w:val="0EE5DF77"/>
    <w:rsid w:val="0EF8F93A"/>
    <w:rsid w:val="0F03E300"/>
    <w:rsid w:val="0F253A21"/>
    <w:rsid w:val="0F29852C"/>
    <w:rsid w:val="0F2A07A1"/>
    <w:rsid w:val="0F2F1495"/>
    <w:rsid w:val="0F4A7338"/>
    <w:rsid w:val="0F60CDDB"/>
    <w:rsid w:val="0F7C0951"/>
    <w:rsid w:val="0F7CC37D"/>
    <w:rsid w:val="0F85159F"/>
    <w:rsid w:val="0FC1A70C"/>
    <w:rsid w:val="0FD11C76"/>
    <w:rsid w:val="0FD2330A"/>
    <w:rsid w:val="0FD3AF99"/>
    <w:rsid w:val="1076D093"/>
    <w:rsid w:val="1094C99B"/>
    <w:rsid w:val="10A56DF5"/>
    <w:rsid w:val="10A98165"/>
    <w:rsid w:val="10B36A20"/>
    <w:rsid w:val="10B79DBD"/>
    <w:rsid w:val="10B7FD49"/>
    <w:rsid w:val="10BC15D7"/>
    <w:rsid w:val="10C43B19"/>
    <w:rsid w:val="10CE2077"/>
    <w:rsid w:val="11179FCF"/>
    <w:rsid w:val="111CCE21"/>
    <w:rsid w:val="114CC08A"/>
    <w:rsid w:val="117A9ECE"/>
    <w:rsid w:val="118F2612"/>
    <w:rsid w:val="119D635B"/>
    <w:rsid w:val="11C7A423"/>
    <w:rsid w:val="11D52AE8"/>
    <w:rsid w:val="11D60647"/>
    <w:rsid w:val="11DA3CB4"/>
    <w:rsid w:val="11EAE9F5"/>
    <w:rsid w:val="11EE990B"/>
    <w:rsid w:val="11F02E5A"/>
    <w:rsid w:val="11F0D00E"/>
    <w:rsid w:val="11FE043E"/>
    <w:rsid w:val="12015BE1"/>
    <w:rsid w:val="1266B557"/>
    <w:rsid w:val="12689AAA"/>
    <w:rsid w:val="1289BB4F"/>
    <w:rsid w:val="128A246C"/>
    <w:rsid w:val="1294DADE"/>
    <w:rsid w:val="1296C260"/>
    <w:rsid w:val="12A03995"/>
    <w:rsid w:val="12EF486D"/>
    <w:rsid w:val="13044F5D"/>
    <w:rsid w:val="1308A73A"/>
    <w:rsid w:val="130AF8B8"/>
    <w:rsid w:val="1315562A"/>
    <w:rsid w:val="1321B96C"/>
    <w:rsid w:val="13380458"/>
    <w:rsid w:val="13411070"/>
    <w:rsid w:val="1373961D"/>
    <w:rsid w:val="13867064"/>
    <w:rsid w:val="1397F560"/>
    <w:rsid w:val="13A0F1E7"/>
    <w:rsid w:val="13B4E888"/>
    <w:rsid w:val="13D66D77"/>
    <w:rsid w:val="13ECEB34"/>
    <w:rsid w:val="1427A34B"/>
    <w:rsid w:val="142EC56A"/>
    <w:rsid w:val="143117CC"/>
    <w:rsid w:val="14321E53"/>
    <w:rsid w:val="14398798"/>
    <w:rsid w:val="143AD9FC"/>
    <w:rsid w:val="143B4811"/>
    <w:rsid w:val="14C8CA65"/>
    <w:rsid w:val="14E9D31D"/>
    <w:rsid w:val="14FC11C7"/>
    <w:rsid w:val="15107561"/>
    <w:rsid w:val="1511CA63"/>
    <w:rsid w:val="1512D59F"/>
    <w:rsid w:val="1512F76B"/>
    <w:rsid w:val="15249A13"/>
    <w:rsid w:val="153CC248"/>
    <w:rsid w:val="1544742E"/>
    <w:rsid w:val="1547A98F"/>
    <w:rsid w:val="154AD92E"/>
    <w:rsid w:val="15603F8C"/>
    <w:rsid w:val="15682CEA"/>
    <w:rsid w:val="158FF015"/>
    <w:rsid w:val="15CE6322"/>
    <w:rsid w:val="15F05F20"/>
    <w:rsid w:val="15F3CC58"/>
    <w:rsid w:val="1620CE4B"/>
    <w:rsid w:val="162CD055"/>
    <w:rsid w:val="164CF6EC"/>
    <w:rsid w:val="165379AE"/>
    <w:rsid w:val="166825E5"/>
    <w:rsid w:val="167BF7D1"/>
    <w:rsid w:val="16831204"/>
    <w:rsid w:val="1697E228"/>
    <w:rsid w:val="16D892A9"/>
    <w:rsid w:val="16EFBD35"/>
    <w:rsid w:val="1704D844"/>
    <w:rsid w:val="171D1C9B"/>
    <w:rsid w:val="17273ECD"/>
    <w:rsid w:val="175B22EF"/>
    <w:rsid w:val="1766639F"/>
    <w:rsid w:val="1768B88E"/>
    <w:rsid w:val="179D2121"/>
    <w:rsid w:val="17B3EDEB"/>
    <w:rsid w:val="17C1F4DE"/>
    <w:rsid w:val="17F0621E"/>
    <w:rsid w:val="180F4959"/>
    <w:rsid w:val="181646FB"/>
    <w:rsid w:val="182E8EBD"/>
    <w:rsid w:val="18393EF1"/>
    <w:rsid w:val="18426A76"/>
    <w:rsid w:val="18686782"/>
    <w:rsid w:val="188D3FE3"/>
    <w:rsid w:val="189B593F"/>
    <w:rsid w:val="189E7D18"/>
    <w:rsid w:val="18A65F8E"/>
    <w:rsid w:val="18B8FA09"/>
    <w:rsid w:val="18BB12FB"/>
    <w:rsid w:val="18C48EB8"/>
    <w:rsid w:val="18C7D63C"/>
    <w:rsid w:val="18C905EF"/>
    <w:rsid w:val="18C9868F"/>
    <w:rsid w:val="18EAC91A"/>
    <w:rsid w:val="19730A22"/>
    <w:rsid w:val="1993128E"/>
    <w:rsid w:val="19BEDA2F"/>
    <w:rsid w:val="19C2E7C4"/>
    <w:rsid w:val="19C6DF03"/>
    <w:rsid w:val="19DF10EE"/>
    <w:rsid w:val="19E3543C"/>
    <w:rsid w:val="19ECDAB0"/>
    <w:rsid w:val="19F80B36"/>
    <w:rsid w:val="1A0006D5"/>
    <w:rsid w:val="1A0437E3"/>
    <w:rsid w:val="1A0B56AA"/>
    <w:rsid w:val="1A0F896D"/>
    <w:rsid w:val="1A1F75A1"/>
    <w:rsid w:val="1A234940"/>
    <w:rsid w:val="1A2C1F6F"/>
    <w:rsid w:val="1A3A4D79"/>
    <w:rsid w:val="1A461795"/>
    <w:rsid w:val="1A53BCC8"/>
    <w:rsid w:val="1A54EAEF"/>
    <w:rsid w:val="1A795124"/>
    <w:rsid w:val="1A7CD67E"/>
    <w:rsid w:val="1AA26F50"/>
    <w:rsid w:val="1AAB5472"/>
    <w:rsid w:val="1AB2F2A5"/>
    <w:rsid w:val="1AD32999"/>
    <w:rsid w:val="1AD6E4F3"/>
    <w:rsid w:val="1ADA3E93"/>
    <w:rsid w:val="1ADAAA04"/>
    <w:rsid w:val="1AF17384"/>
    <w:rsid w:val="1B13B91F"/>
    <w:rsid w:val="1B18CEFC"/>
    <w:rsid w:val="1B20680F"/>
    <w:rsid w:val="1B3277FD"/>
    <w:rsid w:val="1B5E70B5"/>
    <w:rsid w:val="1B642959"/>
    <w:rsid w:val="1B68C75B"/>
    <w:rsid w:val="1B6FF635"/>
    <w:rsid w:val="1B80D990"/>
    <w:rsid w:val="1B815E14"/>
    <w:rsid w:val="1B85DE03"/>
    <w:rsid w:val="1B888DC6"/>
    <w:rsid w:val="1BA00844"/>
    <w:rsid w:val="1BCE82FA"/>
    <w:rsid w:val="1BE6338B"/>
    <w:rsid w:val="1BFB7146"/>
    <w:rsid w:val="1BFDDB54"/>
    <w:rsid w:val="1C3AD6EA"/>
    <w:rsid w:val="1C41A088"/>
    <w:rsid w:val="1C47AD48"/>
    <w:rsid w:val="1C679703"/>
    <w:rsid w:val="1C996EEB"/>
    <w:rsid w:val="1CA4FFF0"/>
    <w:rsid w:val="1CA5B517"/>
    <w:rsid w:val="1CAC72B2"/>
    <w:rsid w:val="1CB174C8"/>
    <w:rsid w:val="1CB6944A"/>
    <w:rsid w:val="1CC2BB32"/>
    <w:rsid w:val="1CC373E2"/>
    <w:rsid w:val="1CCB1230"/>
    <w:rsid w:val="1CE9B0A5"/>
    <w:rsid w:val="1CF8CF23"/>
    <w:rsid w:val="1D3FF4B2"/>
    <w:rsid w:val="1D565399"/>
    <w:rsid w:val="1D6831B9"/>
    <w:rsid w:val="1D79C187"/>
    <w:rsid w:val="1D86E55A"/>
    <w:rsid w:val="1D909282"/>
    <w:rsid w:val="1D968051"/>
    <w:rsid w:val="1DA5EA4A"/>
    <w:rsid w:val="1DB3618F"/>
    <w:rsid w:val="1DC48B57"/>
    <w:rsid w:val="1DFD7870"/>
    <w:rsid w:val="1E0B8977"/>
    <w:rsid w:val="1E0F8A00"/>
    <w:rsid w:val="1E18F294"/>
    <w:rsid w:val="1E1A5EF6"/>
    <w:rsid w:val="1E267BAC"/>
    <w:rsid w:val="1E2B92ED"/>
    <w:rsid w:val="1E59BD84"/>
    <w:rsid w:val="1E6E0EBC"/>
    <w:rsid w:val="1E8127C9"/>
    <w:rsid w:val="1E884BD2"/>
    <w:rsid w:val="1ECD54ED"/>
    <w:rsid w:val="1ED0C114"/>
    <w:rsid w:val="1ED7FB9F"/>
    <w:rsid w:val="1EE77943"/>
    <w:rsid w:val="1F187A78"/>
    <w:rsid w:val="1F1BC39E"/>
    <w:rsid w:val="1F229F5E"/>
    <w:rsid w:val="1F3250B2"/>
    <w:rsid w:val="1F371F44"/>
    <w:rsid w:val="1F5D51DC"/>
    <w:rsid w:val="1FAD4DF3"/>
    <w:rsid w:val="1FB174DD"/>
    <w:rsid w:val="1FD459FC"/>
    <w:rsid w:val="1FE2EC6B"/>
    <w:rsid w:val="1FE72A42"/>
    <w:rsid w:val="2009DF1D"/>
    <w:rsid w:val="20241C33"/>
    <w:rsid w:val="203381AA"/>
    <w:rsid w:val="2055F5C6"/>
    <w:rsid w:val="20644B3F"/>
    <w:rsid w:val="206A2A40"/>
    <w:rsid w:val="2070DF30"/>
    <w:rsid w:val="2083D644"/>
    <w:rsid w:val="2087F09C"/>
    <w:rsid w:val="208E2C99"/>
    <w:rsid w:val="20B56D16"/>
    <w:rsid w:val="20BCDE05"/>
    <w:rsid w:val="20BE192E"/>
    <w:rsid w:val="20CD2256"/>
    <w:rsid w:val="20D7DCD4"/>
    <w:rsid w:val="20E63161"/>
    <w:rsid w:val="2103D125"/>
    <w:rsid w:val="2131FF3D"/>
    <w:rsid w:val="218CF3D8"/>
    <w:rsid w:val="21979719"/>
    <w:rsid w:val="21AAB244"/>
    <w:rsid w:val="21B834AA"/>
    <w:rsid w:val="21D1F0E8"/>
    <w:rsid w:val="21F51F87"/>
    <w:rsid w:val="22455F5E"/>
    <w:rsid w:val="2256E116"/>
    <w:rsid w:val="2273DAEB"/>
    <w:rsid w:val="22836C86"/>
    <w:rsid w:val="2283707C"/>
    <w:rsid w:val="228FE20F"/>
    <w:rsid w:val="2290F011"/>
    <w:rsid w:val="229FA186"/>
    <w:rsid w:val="22BB8817"/>
    <w:rsid w:val="22C6B834"/>
    <w:rsid w:val="22CC1509"/>
    <w:rsid w:val="22D1BB63"/>
    <w:rsid w:val="22E5B217"/>
    <w:rsid w:val="22EB923D"/>
    <w:rsid w:val="231EF33D"/>
    <w:rsid w:val="23259432"/>
    <w:rsid w:val="2334F681"/>
    <w:rsid w:val="2335D2EA"/>
    <w:rsid w:val="236643FD"/>
    <w:rsid w:val="236DC149"/>
    <w:rsid w:val="2376B328"/>
    <w:rsid w:val="2377AA8B"/>
    <w:rsid w:val="2389096B"/>
    <w:rsid w:val="2390EFE8"/>
    <w:rsid w:val="23A04D4F"/>
    <w:rsid w:val="23CDAE33"/>
    <w:rsid w:val="23E98EA1"/>
    <w:rsid w:val="23F47EC7"/>
    <w:rsid w:val="2423D289"/>
    <w:rsid w:val="2470DA17"/>
    <w:rsid w:val="24818278"/>
    <w:rsid w:val="248480E9"/>
    <w:rsid w:val="249408DA"/>
    <w:rsid w:val="24AB1F10"/>
    <w:rsid w:val="24BAC39E"/>
    <w:rsid w:val="24CD7A31"/>
    <w:rsid w:val="24CDCD17"/>
    <w:rsid w:val="24EFD56C"/>
    <w:rsid w:val="24FBE3A5"/>
    <w:rsid w:val="250991AA"/>
    <w:rsid w:val="251895DF"/>
    <w:rsid w:val="251AA755"/>
    <w:rsid w:val="255A5274"/>
    <w:rsid w:val="2562548C"/>
    <w:rsid w:val="25626905"/>
    <w:rsid w:val="256F6E47"/>
    <w:rsid w:val="257865AE"/>
    <w:rsid w:val="25AAA0BB"/>
    <w:rsid w:val="25B33808"/>
    <w:rsid w:val="25BC6769"/>
    <w:rsid w:val="25BD5243"/>
    <w:rsid w:val="25D46FA1"/>
    <w:rsid w:val="25D8BC31"/>
    <w:rsid w:val="25F474BC"/>
    <w:rsid w:val="262332FF"/>
    <w:rsid w:val="262F7069"/>
    <w:rsid w:val="264926F0"/>
    <w:rsid w:val="26532BCC"/>
    <w:rsid w:val="2663AC9D"/>
    <w:rsid w:val="268AD7B5"/>
    <w:rsid w:val="26A2DA5D"/>
    <w:rsid w:val="26AAB700"/>
    <w:rsid w:val="26AE53EA"/>
    <w:rsid w:val="26C9482F"/>
    <w:rsid w:val="26CB42CE"/>
    <w:rsid w:val="26D1B203"/>
    <w:rsid w:val="26D75872"/>
    <w:rsid w:val="26DD0032"/>
    <w:rsid w:val="270626F3"/>
    <w:rsid w:val="271BB7E8"/>
    <w:rsid w:val="274717EB"/>
    <w:rsid w:val="274CBD95"/>
    <w:rsid w:val="274E9078"/>
    <w:rsid w:val="276EFCD5"/>
    <w:rsid w:val="277D8991"/>
    <w:rsid w:val="278D7ACE"/>
    <w:rsid w:val="279EF4A9"/>
    <w:rsid w:val="279F862C"/>
    <w:rsid w:val="27E092E2"/>
    <w:rsid w:val="27EA0923"/>
    <w:rsid w:val="281B1624"/>
    <w:rsid w:val="283E9917"/>
    <w:rsid w:val="2883B8D3"/>
    <w:rsid w:val="28A9B2D9"/>
    <w:rsid w:val="28B78849"/>
    <w:rsid w:val="28D9F81B"/>
    <w:rsid w:val="28E03CCA"/>
    <w:rsid w:val="28E573F4"/>
    <w:rsid w:val="2908EAB1"/>
    <w:rsid w:val="293950C8"/>
    <w:rsid w:val="293B568D"/>
    <w:rsid w:val="29461132"/>
    <w:rsid w:val="29488E1B"/>
    <w:rsid w:val="294AE9D9"/>
    <w:rsid w:val="294D87AA"/>
    <w:rsid w:val="294D8FD8"/>
    <w:rsid w:val="29502E3E"/>
    <w:rsid w:val="29586589"/>
    <w:rsid w:val="2967232F"/>
    <w:rsid w:val="296A3696"/>
    <w:rsid w:val="299C949E"/>
    <w:rsid w:val="29AC3C50"/>
    <w:rsid w:val="29B0051C"/>
    <w:rsid w:val="29E257C2"/>
    <w:rsid w:val="29FE9919"/>
    <w:rsid w:val="2A008EE2"/>
    <w:rsid w:val="2A0DC8EE"/>
    <w:rsid w:val="2A0F51FD"/>
    <w:rsid w:val="2A32CB5D"/>
    <w:rsid w:val="2A3BA887"/>
    <w:rsid w:val="2A5358AA"/>
    <w:rsid w:val="2A6A17AA"/>
    <w:rsid w:val="2A7A3E08"/>
    <w:rsid w:val="2A89A8A8"/>
    <w:rsid w:val="2A9DDAF0"/>
    <w:rsid w:val="2AC4B143"/>
    <w:rsid w:val="2AD726EE"/>
    <w:rsid w:val="2AE9580B"/>
    <w:rsid w:val="2AF4F643"/>
    <w:rsid w:val="2B22D1A7"/>
    <w:rsid w:val="2B386C2D"/>
    <w:rsid w:val="2B409CCE"/>
    <w:rsid w:val="2B596C6B"/>
    <w:rsid w:val="2B6B65B2"/>
    <w:rsid w:val="2B7A7997"/>
    <w:rsid w:val="2B9CCAC4"/>
    <w:rsid w:val="2BACECC8"/>
    <w:rsid w:val="2BE8CEC2"/>
    <w:rsid w:val="2BEF290B"/>
    <w:rsid w:val="2BF31392"/>
    <w:rsid w:val="2BF34F39"/>
    <w:rsid w:val="2C52D9E3"/>
    <w:rsid w:val="2C68FF85"/>
    <w:rsid w:val="2C73DC3A"/>
    <w:rsid w:val="2C7BDE54"/>
    <w:rsid w:val="2C87CF00"/>
    <w:rsid w:val="2CC1D79D"/>
    <w:rsid w:val="2CC89549"/>
    <w:rsid w:val="2CCD9AD0"/>
    <w:rsid w:val="2CDCF26C"/>
    <w:rsid w:val="2CE6EC70"/>
    <w:rsid w:val="2D12867D"/>
    <w:rsid w:val="2D259C48"/>
    <w:rsid w:val="2D3639DB"/>
    <w:rsid w:val="2D399896"/>
    <w:rsid w:val="2D3A2324"/>
    <w:rsid w:val="2D3B80A2"/>
    <w:rsid w:val="2D428E36"/>
    <w:rsid w:val="2D55D3F8"/>
    <w:rsid w:val="2D5A7098"/>
    <w:rsid w:val="2DA3D7DE"/>
    <w:rsid w:val="2DBDAB3A"/>
    <w:rsid w:val="2DC40562"/>
    <w:rsid w:val="2DD57BB2"/>
    <w:rsid w:val="2DD87747"/>
    <w:rsid w:val="2DD93211"/>
    <w:rsid w:val="2DD95216"/>
    <w:rsid w:val="2DF4912E"/>
    <w:rsid w:val="2E23F53A"/>
    <w:rsid w:val="2E27AEE1"/>
    <w:rsid w:val="2E2CD5AA"/>
    <w:rsid w:val="2E441CE7"/>
    <w:rsid w:val="2E4BCC76"/>
    <w:rsid w:val="2E59398E"/>
    <w:rsid w:val="2E700CEF"/>
    <w:rsid w:val="2E83763F"/>
    <w:rsid w:val="2ED568F7"/>
    <w:rsid w:val="2EE88E54"/>
    <w:rsid w:val="2EF11308"/>
    <w:rsid w:val="2EFD37F7"/>
    <w:rsid w:val="2F3D44D3"/>
    <w:rsid w:val="2F4B6C8C"/>
    <w:rsid w:val="2F4D625C"/>
    <w:rsid w:val="2F53FD9B"/>
    <w:rsid w:val="2F750520"/>
    <w:rsid w:val="2F7C1EA2"/>
    <w:rsid w:val="2FB6E789"/>
    <w:rsid w:val="2FBCE03A"/>
    <w:rsid w:val="2FC8A60B"/>
    <w:rsid w:val="2FEA6F5A"/>
    <w:rsid w:val="2FFE7CFC"/>
    <w:rsid w:val="3007AA8B"/>
    <w:rsid w:val="301341F9"/>
    <w:rsid w:val="301FADED"/>
    <w:rsid w:val="30204ABA"/>
    <w:rsid w:val="3034B4BB"/>
    <w:rsid w:val="3034F4F5"/>
    <w:rsid w:val="3035436F"/>
    <w:rsid w:val="3037C238"/>
    <w:rsid w:val="304B1067"/>
    <w:rsid w:val="3061B866"/>
    <w:rsid w:val="30954C06"/>
    <w:rsid w:val="30D09909"/>
    <w:rsid w:val="30E74715"/>
    <w:rsid w:val="30EB1CC8"/>
    <w:rsid w:val="310D17FC"/>
    <w:rsid w:val="310D1C74"/>
    <w:rsid w:val="31316EB5"/>
    <w:rsid w:val="3147295F"/>
    <w:rsid w:val="31585EB2"/>
    <w:rsid w:val="316E28CA"/>
    <w:rsid w:val="316F69A5"/>
    <w:rsid w:val="317291C0"/>
    <w:rsid w:val="3178D6A9"/>
    <w:rsid w:val="31936058"/>
    <w:rsid w:val="31958909"/>
    <w:rsid w:val="31A10BF3"/>
    <w:rsid w:val="31A68C8E"/>
    <w:rsid w:val="31A7A2EF"/>
    <w:rsid w:val="31AAB4A9"/>
    <w:rsid w:val="31AFDE52"/>
    <w:rsid w:val="31DB2BF5"/>
    <w:rsid w:val="31DED428"/>
    <w:rsid w:val="31F847C4"/>
    <w:rsid w:val="31FA400E"/>
    <w:rsid w:val="3229258E"/>
    <w:rsid w:val="322C5A94"/>
    <w:rsid w:val="32369A78"/>
    <w:rsid w:val="32565896"/>
    <w:rsid w:val="3258B68C"/>
    <w:rsid w:val="325CC25F"/>
    <w:rsid w:val="325EF5BE"/>
    <w:rsid w:val="329D0A70"/>
    <w:rsid w:val="32EA2659"/>
    <w:rsid w:val="32F0EF9E"/>
    <w:rsid w:val="330532F8"/>
    <w:rsid w:val="333CDC54"/>
    <w:rsid w:val="334BAEB3"/>
    <w:rsid w:val="3371EC83"/>
    <w:rsid w:val="339F55B1"/>
    <w:rsid w:val="33BE1B59"/>
    <w:rsid w:val="33DF2CC0"/>
    <w:rsid w:val="33E42E73"/>
    <w:rsid w:val="33F892C0"/>
    <w:rsid w:val="343E59AA"/>
    <w:rsid w:val="3445574C"/>
    <w:rsid w:val="345A86CA"/>
    <w:rsid w:val="348EA571"/>
    <w:rsid w:val="348FABDC"/>
    <w:rsid w:val="34979962"/>
    <w:rsid w:val="34982F22"/>
    <w:rsid w:val="349DFABF"/>
    <w:rsid w:val="34AC180D"/>
    <w:rsid w:val="34B54EA5"/>
    <w:rsid w:val="34B98C18"/>
    <w:rsid w:val="34C00449"/>
    <w:rsid w:val="34C50DF0"/>
    <w:rsid w:val="34D1EE1F"/>
    <w:rsid w:val="34D8B58E"/>
    <w:rsid w:val="34DFEB74"/>
    <w:rsid w:val="34E77F14"/>
    <w:rsid w:val="34EA899C"/>
    <w:rsid w:val="34ED6D39"/>
    <w:rsid w:val="34EDB9A3"/>
    <w:rsid w:val="34FA2F1D"/>
    <w:rsid w:val="350B9E28"/>
    <w:rsid w:val="350DE6BC"/>
    <w:rsid w:val="3554257B"/>
    <w:rsid w:val="355A748A"/>
    <w:rsid w:val="3566C6A0"/>
    <w:rsid w:val="356E2C27"/>
    <w:rsid w:val="356FDEF1"/>
    <w:rsid w:val="359B7C4F"/>
    <w:rsid w:val="35E2539B"/>
    <w:rsid w:val="35EBF180"/>
    <w:rsid w:val="35FAAE84"/>
    <w:rsid w:val="361579FD"/>
    <w:rsid w:val="362DFCE5"/>
    <w:rsid w:val="36563F5A"/>
    <w:rsid w:val="366DBE80"/>
    <w:rsid w:val="36704ED5"/>
    <w:rsid w:val="368B84FC"/>
    <w:rsid w:val="36A76E89"/>
    <w:rsid w:val="36AB7C19"/>
    <w:rsid w:val="36C042E3"/>
    <w:rsid w:val="36C345F1"/>
    <w:rsid w:val="36DC7EC5"/>
    <w:rsid w:val="36F19318"/>
    <w:rsid w:val="36FF25F7"/>
    <w:rsid w:val="3705E1E9"/>
    <w:rsid w:val="3706D94F"/>
    <w:rsid w:val="37109C78"/>
    <w:rsid w:val="37121E3D"/>
    <w:rsid w:val="3712F4BA"/>
    <w:rsid w:val="373547E3"/>
    <w:rsid w:val="376CE2F5"/>
    <w:rsid w:val="377523B3"/>
    <w:rsid w:val="37958C8A"/>
    <w:rsid w:val="37A994DA"/>
    <w:rsid w:val="37AA9CF5"/>
    <w:rsid w:val="37B94F0A"/>
    <w:rsid w:val="37F75E9F"/>
    <w:rsid w:val="38240B0B"/>
    <w:rsid w:val="382614E1"/>
    <w:rsid w:val="383B2351"/>
    <w:rsid w:val="384EDA94"/>
    <w:rsid w:val="386E47F1"/>
    <w:rsid w:val="3885339A"/>
    <w:rsid w:val="3897DBF6"/>
    <w:rsid w:val="389F7086"/>
    <w:rsid w:val="38BEEEA0"/>
    <w:rsid w:val="38D337C6"/>
    <w:rsid w:val="3916555F"/>
    <w:rsid w:val="392C64BD"/>
    <w:rsid w:val="3947AD84"/>
    <w:rsid w:val="395340BF"/>
    <w:rsid w:val="3997CD69"/>
    <w:rsid w:val="39AA0F13"/>
    <w:rsid w:val="39AF7C61"/>
    <w:rsid w:val="39B2089C"/>
    <w:rsid w:val="39B6170D"/>
    <w:rsid w:val="39D5CE40"/>
    <w:rsid w:val="39E520D1"/>
    <w:rsid w:val="39E8CE3B"/>
    <w:rsid w:val="39F0EFF5"/>
    <w:rsid w:val="3A1AD9FA"/>
    <w:rsid w:val="3A26AB4F"/>
    <w:rsid w:val="3A2ABA80"/>
    <w:rsid w:val="3A33AC57"/>
    <w:rsid w:val="3A3FD648"/>
    <w:rsid w:val="3A5CD64D"/>
    <w:rsid w:val="3A5F9199"/>
    <w:rsid w:val="3A71E62F"/>
    <w:rsid w:val="3A76CE13"/>
    <w:rsid w:val="3A7D5A09"/>
    <w:rsid w:val="3A7D8667"/>
    <w:rsid w:val="3AA34437"/>
    <w:rsid w:val="3AB1F18C"/>
    <w:rsid w:val="3AB9FEDA"/>
    <w:rsid w:val="3AC8351E"/>
    <w:rsid w:val="3AF1064C"/>
    <w:rsid w:val="3AF3A1F0"/>
    <w:rsid w:val="3B046B54"/>
    <w:rsid w:val="3B29A739"/>
    <w:rsid w:val="3B356F50"/>
    <w:rsid w:val="3B3CC1F7"/>
    <w:rsid w:val="3B3FC982"/>
    <w:rsid w:val="3B4B4CC2"/>
    <w:rsid w:val="3B6C8E11"/>
    <w:rsid w:val="3B8BBFC1"/>
    <w:rsid w:val="3BD9F3ED"/>
    <w:rsid w:val="3BE480CD"/>
    <w:rsid w:val="3BEC7CAF"/>
    <w:rsid w:val="3C2F37BF"/>
    <w:rsid w:val="3C37F38F"/>
    <w:rsid w:val="3C3A5FCB"/>
    <w:rsid w:val="3C408ADC"/>
    <w:rsid w:val="3C523B35"/>
    <w:rsid w:val="3C59A0DB"/>
    <w:rsid w:val="3C64057F"/>
    <w:rsid w:val="3C73F24E"/>
    <w:rsid w:val="3C743453"/>
    <w:rsid w:val="3C975D76"/>
    <w:rsid w:val="3CACD36E"/>
    <w:rsid w:val="3CBEE307"/>
    <w:rsid w:val="3CDD0004"/>
    <w:rsid w:val="3CDE4AC5"/>
    <w:rsid w:val="3CE71D23"/>
    <w:rsid w:val="3D15C8C7"/>
    <w:rsid w:val="3D18F8A1"/>
    <w:rsid w:val="3D43920E"/>
    <w:rsid w:val="3D525C73"/>
    <w:rsid w:val="3DBA3B67"/>
    <w:rsid w:val="3DC17990"/>
    <w:rsid w:val="3DE7477B"/>
    <w:rsid w:val="3DED0077"/>
    <w:rsid w:val="3E080362"/>
    <w:rsid w:val="3E0F7980"/>
    <w:rsid w:val="3E294813"/>
    <w:rsid w:val="3E2B42B2"/>
    <w:rsid w:val="3E3AD222"/>
    <w:rsid w:val="3E3E7BA8"/>
    <w:rsid w:val="3E462C5F"/>
    <w:rsid w:val="3E4ABDF5"/>
    <w:rsid w:val="3E504C09"/>
    <w:rsid w:val="3E55EB86"/>
    <w:rsid w:val="3E806B0E"/>
    <w:rsid w:val="3E88146E"/>
    <w:rsid w:val="3E906FC3"/>
    <w:rsid w:val="3EAA64D5"/>
    <w:rsid w:val="3EC46118"/>
    <w:rsid w:val="3F1F750C"/>
    <w:rsid w:val="3F46821A"/>
    <w:rsid w:val="3F48C5A4"/>
    <w:rsid w:val="3F4CC653"/>
    <w:rsid w:val="3F66D881"/>
    <w:rsid w:val="3F680673"/>
    <w:rsid w:val="3F6B997E"/>
    <w:rsid w:val="3F77B3AD"/>
    <w:rsid w:val="3F7EFBF9"/>
    <w:rsid w:val="3F9B7657"/>
    <w:rsid w:val="3FB91DD2"/>
    <w:rsid w:val="3FE09999"/>
    <w:rsid w:val="4038900B"/>
    <w:rsid w:val="40463536"/>
    <w:rsid w:val="40509963"/>
    <w:rsid w:val="4050F534"/>
    <w:rsid w:val="40A9957D"/>
    <w:rsid w:val="40BE7538"/>
    <w:rsid w:val="40D0B616"/>
    <w:rsid w:val="40F00DDF"/>
    <w:rsid w:val="4104CC51"/>
    <w:rsid w:val="41071E8A"/>
    <w:rsid w:val="410809F4"/>
    <w:rsid w:val="410B7C4B"/>
    <w:rsid w:val="4111AF64"/>
    <w:rsid w:val="412B2DC4"/>
    <w:rsid w:val="412FA7F9"/>
    <w:rsid w:val="41300FA5"/>
    <w:rsid w:val="4132BB35"/>
    <w:rsid w:val="4134F32F"/>
    <w:rsid w:val="4148A308"/>
    <w:rsid w:val="414A41D6"/>
    <w:rsid w:val="414B5165"/>
    <w:rsid w:val="414D941E"/>
    <w:rsid w:val="416479C2"/>
    <w:rsid w:val="416ACE99"/>
    <w:rsid w:val="4178CA42"/>
    <w:rsid w:val="419999AD"/>
    <w:rsid w:val="419AD231"/>
    <w:rsid w:val="41AFB8F3"/>
    <w:rsid w:val="41BCCF1F"/>
    <w:rsid w:val="41D6292D"/>
    <w:rsid w:val="41EC69C4"/>
    <w:rsid w:val="41EFD870"/>
    <w:rsid w:val="41F8E3A9"/>
    <w:rsid w:val="42076249"/>
    <w:rsid w:val="421CDFAD"/>
    <w:rsid w:val="4235656E"/>
    <w:rsid w:val="4239698B"/>
    <w:rsid w:val="424565DE"/>
    <w:rsid w:val="4264727F"/>
    <w:rsid w:val="426E5D29"/>
    <w:rsid w:val="428E8748"/>
    <w:rsid w:val="429C0617"/>
    <w:rsid w:val="42ACDFDE"/>
    <w:rsid w:val="42BBC273"/>
    <w:rsid w:val="42C3BA3A"/>
    <w:rsid w:val="42CF740D"/>
    <w:rsid w:val="42D0B753"/>
    <w:rsid w:val="42D4B07B"/>
    <w:rsid w:val="42D78101"/>
    <w:rsid w:val="430366FA"/>
    <w:rsid w:val="4303EF37"/>
    <w:rsid w:val="4349E7DB"/>
    <w:rsid w:val="436FA5A9"/>
    <w:rsid w:val="438BA8D1"/>
    <w:rsid w:val="438D5B53"/>
    <w:rsid w:val="43A63DE3"/>
    <w:rsid w:val="43C38CAF"/>
    <w:rsid w:val="43EE336B"/>
    <w:rsid w:val="43FB6B1F"/>
    <w:rsid w:val="440487FC"/>
    <w:rsid w:val="440A3F63"/>
    <w:rsid w:val="440B68EE"/>
    <w:rsid w:val="441E661A"/>
    <w:rsid w:val="442D9AB4"/>
    <w:rsid w:val="44589FF8"/>
    <w:rsid w:val="4477DE2E"/>
    <w:rsid w:val="447FCA1B"/>
    <w:rsid w:val="4484A995"/>
    <w:rsid w:val="4488D508"/>
    <w:rsid w:val="448DEE7C"/>
    <w:rsid w:val="448EECCF"/>
    <w:rsid w:val="449DE542"/>
    <w:rsid w:val="449FA8B7"/>
    <w:rsid w:val="44B01492"/>
    <w:rsid w:val="44E7896B"/>
    <w:rsid w:val="44E99FCE"/>
    <w:rsid w:val="4510C913"/>
    <w:rsid w:val="4519A659"/>
    <w:rsid w:val="45277932"/>
    <w:rsid w:val="4544B1D4"/>
    <w:rsid w:val="454E6CA0"/>
    <w:rsid w:val="455C51E9"/>
    <w:rsid w:val="4568BC05"/>
    <w:rsid w:val="45797308"/>
    <w:rsid w:val="45BABB94"/>
    <w:rsid w:val="45D8A863"/>
    <w:rsid w:val="45DD696A"/>
    <w:rsid w:val="45FA32DE"/>
    <w:rsid w:val="460D7598"/>
    <w:rsid w:val="4624A569"/>
    <w:rsid w:val="463B8FF9"/>
    <w:rsid w:val="463CD082"/>
    <w:rsid w:val="46508679"/>
    <w:rsid w:val="4663B29C"/>
    <w:rsid w:val="46853306"/>
    <w:rsid w:val="4685702F"/>
    <w:rsid w:val="469799EC"/>
    <w:rsid w:val="46A51442"/>
    <w:rsid w:val="46C8965E"/>
    <w:rsid w:val="46E33A0F"/>
    <w:rsid w:val="46FB2D71"/>
    <w:rsid w:val="4712857B"/>
    <w:rsid w:val="47151F77"/>
    <w:rsid w:val="4750885B"/>
    <w:rsid w:val="4766DA6E"/>
    <w:rsid w:val="4771EA66"/>
    <w:rsid w:val="477B2702"/>
    <w:rsid w:val="47901150"/>
    <w:rsid w:val="47A5F079"/>
    <w:rsid w:val="47BCD5A2"/>
    <w:rsid w:val="47BDEFFC"/>
    <w:rsid w:val="47DA101D"/>
    <w:rsid w:val="47EACEE1"/>
    <w:rsid w:val="47FBA2CA"/>
    <w:rsid w:val="480D3D5C"/>
    <w:rsid w:val="481E1397"/>
    <w:rsid w:val="48568330"/>
    <w:rsid w:val="486B435E"/>
    <w:rsid w:val="488ADBE9"/>
    <w:rsid w:val="4893F2AB"/>
    <w:rsid w:val="48992F9F"/>
    <w:rsid w:val="48A255C1"/>
    <w:rsid w:val="48BDDAA9"/>
    <w:rsid w:val="48C3ED4C"/>
    <w:rsid w:val="48C50B07"/>
    <w:rsid w:val="48D7F91F"/>
    <w:rsid w:val="48E88F46"/>
    <w:rsid w:val="49131022"/>
    <w:rsid w:val="49363FA9"/>
    <w:rsid w:val="49489A1C"/>
    <w:rsid w:val="494BA7C0"/>
    <w:rsid w:val="49574040"/>
    <w:rsid w:val="495B1CEE"/>
    <w:rsid w:val="495D9679"/>
    <w:rsid w:val="4979034A"/>
    <w:rsid w:val="49946EEB"/>
    <w:rsid w:val="49ECFF20"/>
    <w:rsid w:val="4A0A0D76"/>
    <w:rsid w:val="4A28417C"/>
    <w:rsid w:val="4A4C20D8"/>
    <w:rsid w:val="4A56D863"/>
    <w:rsid w:val="4A6046B1"/>
    <w:rsid w:val="4A704790"/>
    <w:rsid w:val="4A73C980"/>
    <w:rsid w:val="4AC5803E"/>
    <w:rsid w:val="4AC7B212"/>
    <w:rsid w:val="4ACABC9A"/>
    <w:rsid w:val="4ADE54CB"/>
    <w:rsid w:val="4AE0DA6F"/>
    <w:rsid w:val="4AE3B350"/>
    <w:rsid w:val="4AE648E0"/>
    <w:rsid w:val="4B25CE88"/>
    <w:rsid w:val="4B4BD402"/>
    <w:rsid w:val="4B4CDFEC"/>
    <w:rsid w:val="4B59361F"/>
    <w:rsid w:val="4B5A930B"/>
    <w:rsid w:val="4B6FC97E"/>
    <w:rsid w:val="4B82DA81"/>
    <w:rsid w:val="4B96E818"/>
    <w:rsid w:val="4B9B6531"/>
    <w:rsid w:val="4BAA9996"/>
    <w:rsid w:val="4BD0D061"/>
    <w:rsid w:val="4BEAEA0D"/>
    <w:rsid w:val="4C064CD0"/>
    <w:rsid w:val="4C09D244"/>
    <w:rsid w:val="4C1220FE"/>
    <w:rsid w:val="4C233BDA"/>
    <w:rsid w:val="4C2E2F0E"/>
    <w:rsid w:val="4C4C3E30"/>
    <w:rsid w:val="4C6F7EDA"/>
    <w:rsid w:val="4C902202"/>
    <w:rsid w:val="4C90CFB2"/>
    <w:rsid w:val="4C964D60"/>
    <w:rsid w:val="4C9E9910"/>
    <w:rsid w:val="4CA5F444"/>
    <w:rsid w:val="4CCD71DC"/>
    <w:rsid w:val="4CEDE5E4"/>
    <w:rsid w:val="4D2262FF"/>
    <w:rsid w:val="4D2817AF"/>
    <w:rsid w:val="4D34C15D"/>
    <w:rsid w:val="4D48D163"/>
    <w:rsid w:val="4D52E6F8"/>
    <w:rsid w:val="4D661D93"/>
    <w:rsid w:val="4D75D791"/>
    <w:rsid w:val="4D7DA21B"/>
    <w:rsid w:val="4D821E2D"/>
    <w:rsid w:val="4DAD7967"/>
    <w:rsid w:val="4DBE7C6A"/>
    <w:rsid w:val="4DD6A1B5"/>
    <w:rsid w:val="4DE62AAE"/>
    <w:rsid w:val="4DF4417C"/>
    <w:rsid w:val="4DF5F689"/>
    <w:rsid w:val="4E056589"/>
    <w:rsid w:val="4E10EB06"/>
    <w:rsid w:val="4E17E387"/>
    <w:rsid w:val="4E186222"/>
    <w:rsid w:val="4E249BF5"/>
    <w:rsid w:val="4E3C9CFD"/>
    <w:rsid w:val="4E47A3C2"/>
    <w:rsid w:val="4E709C5C"/>
    <w:rsid w:val="4E7A69C4"/>
    <w:rsid w:val="4E7BCF19"/>
    <w:rsid w:val="4E8B2162"/>
    <w:rsid w:val="4E955E7E"/>
    <w:rsid w:val="4E9B230B"/>
    <w:rsid w:val="4EAFBFD0"/>
    <w:rsid w:val="4EEE8346"/>
    <w:rsid w:val="4F315984"/>
    <w:rsid w:val="4F3FFABB"/>
    <w:rsid w:val="4F526DED"/>
    <w:rsid w:val="4F60C675"/>
    <w:rsid w:val="4F82B1B0"/>
    <w:rsid w:val="4F96528B"/>
    <w:rsid w:val="4FA54AA1"/>
    <w:rsid w:val="4FACEDBD"/>
    <w:rsid w:val="4FB39088"/>
    <w:rsid w:val="4FB43283"/>
    <w:rsid w:val="4FB44B92"/>
    <w:rsid w:val="4FB7A5C1"/>
    <w:rsid w:val="4FC56544"/>
    <w:rsid w:val="4FF6F722"/>
    <w:rsid w:val="4FFD8691"/>
    <w:rsid w:val="500FC1A4"/>
    <w:rsid w:val="50112011"/>
    <w:rsid w:val="50179F7A"/>
    <w:rsid w:val="5025203D"/>
    <w:rsid w:val="50392C96"/>
    <w:rsid w:val="503C2E03"/>
    <w:rsid w:val="504050FD"/>
    <w:rsid w:val="50562C1D"/>
    <w:rsid w:val="505C22C8"/>
    <w:rsid w:val="5091F0B0"/>
    <w:rsid w:val="50937E3C"/>
    <w:rsid w:val="50B9E90E"/>
    <w:rsid w:val="50BFBC98"/>
    <w:rsid w:val="50CD29E5"/>
    <w:rsid w:val="51309096"/>
    <w:rsid w:val="513CAAD6"/>
    <w:rsid w:val="513D064B"/>
    <w:rsid w:val="5155A65A"/>
    <w:rsid w:val="51650439"/>
    <w:rsid w:val="517B7AF8"/>
    <w:rsid w:val="517BDB86"/>
    <w:rsid w:val="5196E23A"/>
    <w:rsid w:val="519E599E"/>
    <w:rsid w:val="51A72C10"/>
    <w:rsid w:val="51A8B050"/>
    <w:rsid w:val="51B5E59D"/>
    <w:rsid w:val="51CB7B73"/>
    <w:rsid w:val="51D79470"/>
    <w:rsid w:val="51F0FECA"/>
    <w:rsid w:val="5208BEC1"/>
    <w:rsid w:val="5211F170"/>
    <w:rsid w:val="521A132A"/>
    <w:rsid w:val="5234591F"/>
    <w:rsid w:val="52487FBD"/>
    <w:rsid w:val="52553822"/>
    <w:rsid w:val="526D36A5"/>
    <w:rsid w:val="527EE590"/>
    <w:rsid w:val="5286CDF6"/>
    <w:rsid w:val="52902C89"/>
    <w:rsid w:val="52AADA18"/>
    <w:rsid w:val="52E13C20"/>
    <w:rsid w:val="52F15853"/>
    <w:rsid w:val="52F176BB"/>
    <w:rsid w:val="53135AC1"/>
    <w:rsid w:val="531535C8"/>
    <w:rsid w:val="532AF6F0"/>
    <w:rsid w:val="53352753"/>
    <w:rsid w:val="5349CF76"/>
    <w:rsid w:val="534C7790"/>
    <w:rsid w:val="535E9285"/>
    <w:rsid w:val="536434B1"/>
    <w:rsid w:val="536CFB4F"/>
    <w:rsid w:val="537C7E88"/>
    <w:rsid w:val="5396D8BF"/>
    <w:rsid w:val="53A012CF"/>
    <w:rsid w:val="53A3108E"/>
    <w:rsid w:val="53A31B9B"/>
    <w:rsid w:val="53D70221"/>
    <w:rsid w:val="53D7E026"/>
    <w:rsid w:val="53FEEF7F"/>
    <w:rsid w:val="5443BE7E"/>
    <w:rsid w:val="5443D987"/>
    <w:rsid w:val="5445BFF1"/>
    <w:rsid w:val="545DF0F9"/>
    <w:rsid w:val="546034AB"/>
    <w:rsid w:val="54612021"/>
    <w:rsid w:val="5465B712"/>
    <w:rsid w:val="5472CA3C"/>
    <w:rsid w:val="54A61749"/>
    <w:rsid w:val="54C91E42"/>
    <w:rsid w:val="553F736A"/>
    <w:rsid w:val="554FFC2B"/>
    <w:rsid w:val="555523E7"/>
    <w:rsid w:val="5559FC6B"/>
    <w:rsid w:val="5573B5F9"/>
    <w:rsid w:val="557FC124"/>
    <w:rsid w:val="55901D98"/>
    <w:rsid w:val="55923116"/>
    <w:rsid w:val="55A1B095"/>
    <w:rsid w:val="55C187E6"/>
    <w:rsid w:val="55CB3E70"/>
    <w:rsid w:val="55D41B69"/>
    <w:rsid w:val="55DF8EDF"/>
    <w:rsid w:val="5610D86A"/>
    <w:rsid w:val="56146817"/>
    <w:rsid w:val="5629177D"/>
    <w:rsid w:val="563AC33E"/>
    <w:rsid w:val="5641A955"/>
    <w:rsid w:val="56521139"/>
    <w:rsid w:val="56530840"/>
    <w:rsid w:val="5675E27E"/>
    <w:rsid w:val="567E5234"/>
    <w:rsid w:val="5686F645"/>
    <w:rsid w:val="5690BCD4"/>
    <w:rsid w:val="56C30764"/>
    <w:rsid w:val="56CF9435"/>
    <w:rsid w:val="56DC78AE"/>
    <w:rsid w:val="56ED844D"/>
    <w:rsid w:val="5708544F"/>
    <w:rsid w:val="57174607"/>
    <w:rsid w:val="57246506"/>
    <w:rsid w:val="5735A23B"/>
    <w:rsid w:val="57381012"/>
    <w:rsid w:val="57469878"/>
    <w:rsid w:val="57921F25"/>
    <w:rsid w:val="57BFABA4"/>
    <w:rsid w:val="57C43B4A"/>
    <w:rsid w:val="580F9BC6"/>
    <w:rsid w:val="58318701"/>
    <w:rsid w:val="5875CC5A"/>
    <w:rsid w:val="5888396D"/>
    <w:rsid w:val="5888935A"/>
    <w:rsid w:val="58A4EC06"/>
    <w:rsid w:val="58A62055"/>
    <w:rsid w:val="58BE9305"/>
    <w:rsid w:val="58E287A0"/>
    <w:rsid w:val="58EF7221"/>
    <w:rsid w:val="590F6F7A"/>
    <w:rsid w:val="592852C2"/>
    <w:rsid w:val="594CFD89"/>
    <w:rsid w:val="59551F84"/>
    <w:rsid w:val="596B443B"/>
    <w:rsid w:val="596C84F8"/>
    <w:rsid w:val="59810337"/>
    <w:rsid w:val="5986B628"/>
    <w:rsid w:val="59900F31"/>
    <w:rsid w:val="59BA4BF3"/>
    <w:rsid w:val="59BD1718"/>
    <w:rsid w:val="59F87089"/>
    <w:rsid w:val="5A0AFC1D"/>
    <w:rsid w:val="5A54ABBD"/>
    <w:rsid w:val="5A55A617"/>
    <w:rsid w:val="5A5F25AF"/>
    <w:rsid w:val="5A63BD29"/>
    <w:rsid w:val="5A71ECAF"/>
    <w:rsid w:val="5A7E5801"/>
    <w:rsid w:val="5A87E088"/>
    <w:rsid w:val="5A95F0F6"/>
    <w:rsid w:val="5AA203E3"/>
    <w:rsid w:val="5AAB3FDB"/>
    <w:rsid w:val="5ABC8C80"/>
    <w:rsid w:val="5AC30E7A"/>
    <w:rsid w:val="5AD4F896"/>
    <w:rsid w:val="5AEB5E6C"/>
    <w:rsid w:val="5B00EA63"/>
    <w:rsid w:val="5B25BE60"/>
    <w:rsid w:val="5B39E131"/>
    <w:rsid w:val="5B476A1F"/>
    <w:rsid w:val="5B684A3F"/>
    <w:rsid w:val="5BC0F570"/>
    <w:rsid w:val="5BC21308"/>
    <w:rsid w:val="5BD06BE4"/>
    <w:rsid w:val="5BE84D64"/>
    <w:rsid w:val="5BF889EE"/>
    <w:rsid w:val="5BFE094A"/>
    <w:rsid w:val="5BFFC520"/>
    <w:rsid w:val="5C289955"/>
    <w:rsid w:val="5C2F57EB"/>
    <w:rsid w:val="5C3FA13B"/>
    <w:rsid w:val="5C47103C"/>
    <w:rsid w:val="5C50C42A"/>
    <w:rsid w:val="5C5B60D5"/>
    <w:rsid w:val="5CA04EF5"/>
    <w:rsid w:val="5CC62781"/>
    <w:rsid w:val="5CE08457"/>
    <w:rsid w:val="5CE83E4C"/>
    <w:rsid w:val="5CFB5566"/>
    <w:rsid w:val="5D018003"/>
    <w:rsid w:val="5D248C5D"/>
    <w:rsid w:val="5D24E643"/>
    <w:rsid w:val="5D26A85E"/>
    <w:rsid w:val="5D420AA9"/>
    <w:rsid w:val="5D46F515"/>
    <w:rsid w:val="5D7E87BD"/>
    <w:rsid w:val="5D8365CD"/>
    <w:rsid w:val="5D8FBD12"/>
    <w:rsid w:val="5D93FFCD"/>
    <w:rsid w:val="5DA15F8F"/>
    <w:rsid w:val="5DA584DC"/>
    <w:rsid w:val="5DA6BB75"/>
    <w:rsid w:val="5DA98D71"/>
    <w:rsid w:val="5DAFBBFD"/>
    <w:rsid w:val="5DB1C33F"/>
    <w:rsid w:val="5DC0EBFC"/>
    <w:rsid w:val="5DEB1D79"/>
    <w:rsid w:val="5DF799D0"/>
    <w:rsid w:val="5E03B5E4"/>
    <w:rsid w:val="5E1528D8"/>
    <w:rsid w:val="5E1D6424"/>
    <w:rsid w:val="5E2A57EE"/>
    <w:rsid w:val="5E5B2D55"/>
    <w:rsid w:val="5E852E36"/>
    <w:rsid w:val="5E8A664A"/>
    <w:rsid w:val="5E90FBC6"/>
    <w:rsid w:val="5E9D5064"/>
    <w:rsid w:val="5E9F1E96"/>
    <w:rsid w:val="5EAC072E"/>
    <w:rsid w:val="5EBA118C"/>
    <w:rsid w:val="5EBD9AE6"/>
    <w:rsid w:val="5ED1EA4A"/>
    <w:rsid w:val="5EFBBFA8"/>
    <w:rsid w:val="5F06295A"/>
    <w:rsid w:val="5F0F0F71"/>
    <w:rsid w:val="5F342FDB"/>
    <w:rsid w:val="5F3817C3"/>
    <w:rsid w:val="5FA869B9"/>
    <w:rsid w:val="5FCA8DC1"/>
    <w:rsid w:val="5FE1181A"/>
    <w:rsid w:val="5FE8ED77"/>
    <w:rsid w:val="5FF8CEC3"/>
    <w:rsid w:val="6021218D"/>
    <w:rsid w:val="605588D1"/>
    <w:rsid w:val="60669AB3"/>
    <w:rsid w:val="60743D6D"/>
    <w:rsid w:val="609A59BE"/>
    <w:rsid w:val="609DC30E"/>
    <w:rsid w:val="60A4E197"/>
    <w:rsid w:val="60A509F2"/>
    <w:rsid w:val="60C75DD4"/>
    <w:rsid w:val="60D3309F"/>
    <w:rsid w:val="60ED9985"/>
    <w:rsid w:val="611A815F"/>
    <w:rsid w:val="612B11BD"/>
    <w:rsid w:val="6134072A"/>
    <w:rsid w:val="6158EE7D"/>
    <w:rsid w:val="61676073"/>
    <w:rsid w:val="616F3DA4"/>
    <w:rsid w:val="61B848F7"/>
    <w:rsid w:val="61EAD80E"/>
    <w:rsid w:val="61F7FD80"/>
    <w:rsid w:val="624BF54A"/>
    <w:rsid w:val="62632E35"/>
    <w:rsid w:val="62683A27"/>
    <w:rsid w:val="6269EBD4"/>
    <w:rsid w:val="626C90C0"/>
    <w:rsid w:val="62842D4E"/>
    <w:rsid w:val="62945D1F"/>
    <w:rsid w:val="62A33DAF"/>
    <w:rsid w:val="62AE03A2"/>
    <w:rsid w:val="62C174BF"/>
    <w:rsid w:val="62C9A3B2"/>
    <w:rsid w:val="62D437F6"/>
    <w:rsid w:val="62D8DBA8"/>
    <w:rsid w:val="62F05A3B"/>
    <w:rsid w:val="632994BE"/>
    <w:rsid w:val="632BEBE4"/>
    <w:rsid w:val="63334718"/>
    <w:rsid w:val="6358EFB5"/>
    <w:rsid w:val="6382ABED"/>
    <w:rsid w:val="638A5C74"/>
    <w:rsid w:val="639BAA0F"/>
    <w:rsid w:val="63B09BF2"/>
    <w:rsid w:val="63C48160"/>
    <w:rsid w:val="63CF9C75"/>
    <w:rsid w:val="64257341"/>
    <w:rsid w:val="642752C2"/>
    <w:rsid w:val="64302D80"/>
    <w:rsid w:val="643671CA"/>
    <w:rsid w:val="644E3109"/>
    <w:rsid w:val="644E9960"/>
    <w:rsid w:val="64967E39"/>
    <w:rsid w:val="649882B2"/>
    <w:rsid w:val="649E8031"/>
    <w:rsid w:val="64A556C5"/>
    <w:rsid w:val="64A5E9BB"/>
    <w:rsid w:val="64C763B2"/>
    <w:rsid w:val="65046F62"/>
    <w:rsid w:val="6524BA1D"/>
    <w:rsid w:val="6528F9F4"/>
    <w:rsid w:val="652D6779"/>
    <w:rsid w:val="653033A2"/>
    <w:rsid w:val="6599679D"/>
    <w:rsid w:val="65A2BB82"/>
    <w:rsid w:val="65ACA738"/>
    <w:rsid w:val="65AFBFB1"/>
    <w:rsid w:val="65CAD805"/>
    <w:rsid w:val="65E41B20"/>
    <w:rsid w:val="65FEB4E5"/>
    <w:rsid w:val="6600FEB8"/>
    <w:rsid w:val="660B0321"/>
    <w:rsid w:val="660F4DAC"/>
    <w:rsid w:val="6610FA50"/>
    <w:rsid w:val="6639B921"/>
    <w:rsid w:val="66A86249"/>
    <w:rsid w:val="66CC0403"/>
    <w:rsid w:val="66FD9ABB"/>
    <w:rsid w:val="67061B27"/>
    <w:rsid w:val="67099B42"/>
    <w:rsid w:val="673A0BBE"/>
    <w:rsid w:val="675CEC9F"/>
    <w:rsid w:val="676A65B7"/>
    <w:rsid w:val="677E945C"/>
    <w:rsid w:val="677FC975"/>
    <w:rsid w:val="678AA21F"/>
    <w:rsid w:val="678C14F0"/>
    <w:rsid w:val="679236CC"/>
    <w:rsid w:val="6792B1FA"/>
    <w:rsid w:val="67992C7A"/>
    <w:rsid w:val="67A2E2C1"/>
    <w:rsid w:val="67A5BD75"/>
    <w:rsid w:val="67B9A299"/>
    <w:rsid w:val="67D563FC"/>
    <w:rsid w:val="67DE0A9D"/>
    <w:rsid w:val="67E8582F"/>
    <w:rsid w:val="67ED0628"/>
    <w:rsid w:val="68048437"/>
    <w:rsid w:val="680EEC66"/>
    <w:rsid w:val="683DFF06"/>
    <w:rsid w:val="6857CBF1"/>
    <w:rsid w:val="6862739A"/>
    <w:rsid w:val="68673F04"/>
    <w:rsid w:val="686B79CC"/>
    <w:rsid w:val="686C1DA0"/>
    <w:rsid w:val="687F4F52"/>
    <w:rsid w:val="689A79A2"/>
    <w:rsid w:val="68A56BA3"/>
    <w:rsid w:val="68C17513"/>
    <w:rsid w:val="68C7C9EA"/>
    <w:rsid w:val="690CB46C"/>
    <w:rsid w:val="69131FF7"/>
    <w:rsid w:val="69381C4D"/>
    <w:rsid w:val="6957E303"/>
    <w:rsid w:val="6958336B"/>
    <w:rsid w:val="696016CB"/>
    <w:rsid w:val="69674B1E"/>
    <w:rsid w:val="6971F154"/>
    <w:rsid w:val="6979DAFE"/>
    <w:rsid w:val="6986E96C"/>
    <w:rsid w:val="69C1D846"/>
    <w:rsid w:val="69DA025F"/>
    <w:rsid w:val="6A0216DD"/>
    <w:rsid w:val="6A048959"/>
    <w:rsid w:val="6A07EE01"/>
    <w:rsid w:val="6A09B9E8"/>
    <w:rsid w:val="6A0A72C3"/>
    <w:rsid w:val="6A1529DA"/>
    <w:rsid w:val="6A34B80B"/>
    <w:rsid w:val="6A3D2808"/>
    <w:rsid w:val="6A520FCF"/>
    <w:rsid w:val="6A525F74"/>
    <w:rsid w:val="6A68E59C"/>
    <w:rsid w:val="6A743ED7"/>
    <w:rsid w:val="6A8C09A5"/>
    <w:rsid w:val="6AA88ADB"/>
    <w:rsid w:val="6AD0CD3C"/>
    <w:rsid w:val="6AD637FC"/>
    <w:rsid w:val="6AE2A5C0"/>
    <w:rsid w:val="6AF02E0A"/>
    <w:rsid w:val="6AF3B364"/>
    <w:rsid w:val="6B38EC1F"/>
    <w:rsid w:val="6B4B1D44"/>
    <w:rsid w:val="6B55DDE4"/>
    <w:rsid w:val="6B5A3232"/>
    <w:rsid w:val="6B8F865C"/>
    <w:rsid w:val="6B92F48E"/>
    <w:rsid w:val="6BA3BE62"/>
    <w:rsid w:val="6BD49AED"/>
    <w:rsid w:val="6BE559EF"/>
    <w:rsid w:val="6BF3B8C4"/>
    <w:rsid w:val="6C0E201E"/>
    <w:rsid w:val="6C12699F"/>
    <w:rsid w:val="6C1287B2"/>
    <w:rsid w:val="6C15E4BF"/>
    <w:rsid w:val="6C216FD3"/>
    <w:rsid w:val="6C53C22F"/>
    <w:rsid w:val="6C5AAD29"/>
    <w:rsid w:val="6C5AC420"/>
    <w:rsid w:val="6C6497F5"/>
    <w:rsid w:val="6CC0D2C2"/>
    <w:rsid w:val="6D1688F0"/>
    <w:rsid w:val="6D26E931"/>
    <w:rsid w:val="6D33EEF3"/>
    <w:rsid w:val="6D52C075"/>
    <w:rsid w:val="6D755CAB"/>
    <w:rsid w:val="6D891761"/>
    <w:rsid w:val="6D8FC8A5"/>
    <w:rsid w:val="6DA1DA4C"/>
    <w:rsid w:val="6DA22D70"/>
    <w:rsid w:val="6DC667BA"/>
    <w:rsid w:val="6DD260D9"/>
    <w:rsid w:val="6DDF0E9F"/>
    <w:rsid w:val="6DDFDCA6"/>
    <w:rsid w:val="6E1B6ADA"/>
    <w:rsid w:val="6E20A268"/>
    <w:rsid w:val="6E24EF5F"/>
    <w:rsid w:val="6E2AF52A"/>
    <w:rsid w:val="6E2B5426"/>
    <w:rsid w:val="6E334EFF"/>
    <w:rsid w:val="6E5A561C"/>
    <w:rsid w:val="6E63E11E"/>
    <w:rsid w:val="6E7D2A19"/>
    <w:rsid w:val="6EA1FC88"/>
    <w:rsid w:val="6ED032E2"/>
    <w:rsid w:val="6EF5919F"/>
    <w:rsid w:val="6EFF28B8"/>
    <w:rsid w:val="6F084733"/>
    <w:rsid w:val="6F0E59E1"/>
    <w:rsid w:val="6F14E546"/>
    <w:rsid w:val="6F345BAB"/>
    <w:rsid w:val="6F7CA934"/>
    <w:rsid w:val="6F850844"/>
    <w:rsid w:val="6F86CF6A"/>
    <w:rsid w:val="6F97CF56"/>
    <w:rsid w:val="6FA1F35E"/>
    <w:rsid w:val="6FC0D20E"/>
    <w:rsid w:val="6FD3FBC7"/>
    <w:rsid w:val="6FD68CA2"/>
    <w:rsid w:val="6FE1B389"/>
    <w:rsid w:val="6FEFCFFA"/>
    <w:rsid w:val="701A5084"/>
    <w:rsid w:val="704F7205"/>
    <w:rsid w:val="7070800E"/>
    <w:rsid w:val="7072274D"/>
    <w:rsid w:val="708F4692"/>
    <w:rsid w:val="709A3DB4"/>
    <w:rsid w:val="70A1EDFC"/>
    <w:rsid w:val="70A2AE22"/>
    <w:rsid w:val="70EA0BEE"/>
    <w:rsid w:val="70EA564D"/>
    <w:rsid w:val="7105097F"/>
    <w:rsid w:val="7133BAEB"/>
    <w:rsid w:val="713CDE76"/>
    <w:rsid w:val="71AE9849"/>
    <w:rsid w:val="71C69EC2"/>
    <w:rsid w:val="71EB14F0"/>
    <w:rsid w:val="71F4F8ED"/>
    <w:rsid w:val="71F86C7B"/>
    <w:rsid w:val="7205781F"/>
    <w:rsid w:val="720D093B"/>
    <w:rsid w:val="722187FC"/>
    <w:rsid w:val="7239AFD5"/>
    <w:rsid w:val="72443AE2"/>
    <w:rsid w:val="7246FC37"/>
    <w:rsid w:val="726BFC6D"/>
    <w:rsid w:val="72C0E25C"/>
    <w:rsid w:val="72EF0946"/>
    <w:rsid w:val="730B2498"/>
    <w:rsid w:val="733198B3"/>
    <w:rsid w:val="73379E2B"/>
    <w:rsid w:val="738490E2"/>
    <w:rsid w:val="738783CC"/>
    <w:rsid w:val="739E2BEB"/>
    <w:rsid w:val="73B4112E"/>
    <w:rsid w:val="73B98349"/>
    <w:rsid w:val="73BF05FE"/>
    <w:rsid w:val="73D4ABCF"/>
    <w:rsid w:val="73F987D5"/>
    <w:rsid w:val="740C1540"/>
    <w:rsid w:val="741E56CE"/>
    <w:rsid w:val="74308170"/>
    <w:rsid w:val="743AA619"/>
    <w:rsid w:val="744D06EB"/>
    <w:rsid w:val="74625877"/>
    <w:rsid w:val="7481976D"/>
    <w:rsid w:val="74896ADD"/>
    <w:rsid w:val="748B44B6"/>
    <w:rsid w:val="748C6F37"/>
    <w:rsid w:val="749BC2BB"/>
    <w:rsid w:val="74D80B30"/>
    <w:rsid w:val="74E6DB21"/>
    <w:rsid w:val="74FAB817"/>
    <w:rsid w:val="7500CD78"/>
    <w:rsid w:val="7527C653"/>
    <w:rsid w:val="75297B76"/>
    <w:rsid w:val="75491D71"/>
    <w:rsid w:val="75510F14"/>
    <w:rsid w:val="75528E2E"/>
    <w:rsid w:val="757FDAAF"/>
    <w:rsid w:val="75996F10"/>
    <w:rsid w:val="75A454B4"/>
    <w:rsid w:val="75C182AF"/>
    <w:rsid w:val="75DE4672"/>
    <w:rsid w:val="75F25BDB"/>
    <w:rsid w:val="760C6097"/>
    <w:rsid w:val="761F0A78"/>
    <w:rsid w:val="76271517"/>
    <w:rsid w:val="76306984"/>
    <w:rsid w:val="7630A2BF"/>
    <w:rsid w:val="76388C77"/>
    <w:rsid w:val="763DAAFF"/>
    <w:rsid w:val="7651B977"/>
    <w:rsid w:val="765FE603"/>
    <w:rsid w:val="76620DB7"/>
    <w:rsid w:val="769B9229"/>
    <w:rsid w:val="76A01510"/>
    <w:rsid w:val="76A442D9"/>
    <w:rsid w:val="76C396B4"/>
    <w:rsid w:val="76EB47C1"/>
    <w:rsid w:val="7702185F"/>
    <w:rsid w:val="7727857B"/>
    <w:rsid w:val="77518C27"/>
    <w:rsid w:val="775D5310"/>
    <w:rsid w:val="777094CB"/>
    <w:rsid w:val="77B82716"/>
    <w:rsid w:val="77C66C7E"/>
    <w:rsid w:val="77D01A8A"/>
    <w:rsid w:val="77DFA649"/>
    <w:rsid w:val="77E2D80F"/>
    <w:rsid w:val="77E5D9BB"/>
    <w:rsid w:val="77ED89D8"/>
    <w:rsid w:val="77FEAD4B"/>
    <w:rsid w:val="781D15C4"/>
    <w:rsid w:val="7872D5D4"/>
    <w:rsid w:val="788E9B37"/>
    <w:rsid w:val="788F44CD"/>
    <w:rsid w:val="78AD8D5A"/>
    <w:rsid w:val="78DE2138"/>
    <w:rsid w:val="78EB32BD"/>
    <w:rsid w:val="793ECCD0"/>
    <w:rsid w:val="7952FAC1"/>
    <w:rsid w:val="79554A8D"/>
    <w:rsid w:val="7956C282"/>
    <w:rsid w:val="79920FD2"/>
    <w:rsid w:val="799317C4"/>
    <w:rsid w:val="79B1EA3C"/>
    <w:rsid w:val="79D9F086"/>
    <w:rsid w:val="79FCEC99"/>
    <w:rsid w:val="7A1853B6"/>
    <w:rsid w:val="7A1C0A93"/>
    <w:rsid w:val="7A2B152E"/>
    <w:rsid w:val="7A38042B"/>
    <w:rsid w:val="7A3F6702"/>
    <w:rsid w:val="7A549F35"/>
    <w:rsid w:val="7A5934A8"/>
    <w:rsid w:val="7A5F4D54"/>
    <w:rsid w:val="7A854C92"/>
    <w:rsid w:val="7A862BDE"/>
    <w:rsid w:val="7AC6C5AB"/>
    <w:rsid w:val="7AD8D911"/>
    <w:rsid w:val="7AEA6232"/>
    <w:rsid w:val="7B121D88"/>
    <w:rsid w:val="7B1D7A7D"/>
    <w:rsid w:val="7B1F8BA9"/>
    <w:rsid w:val="7B36C27B"/>
    <w:rsid w:val="7B3C1ECB"/>
    <w:rsid w:val="7B460514"/>
    <w:rsid w:val="7B892DA4"/>
    <w:rsid w:val="7BF8CC75"/>
    <w:rsid w:val="7C273F9F"/>
    <w:rsid w:val="7C2E15C1"/>
    <w:rsid w:val="7C64AC6F"/>
    <w:rsid w:val="7C7D6DCB"/>
    <w:rsid w:val="7CACF54E"/>
    <w:rsid w:val="7CAD9515"/>
    <w:rsid w:val="7CB32019"/>
    <w:rsid w:val="7CC2F862"/>
    <w:rsid w:val="7D0813C4"/>
    <w:rsid w:val="7D113EEF"/>
    <w:rsid w:val="7D1E2F62"/>
    <w:rsid w:val="7D3451AA"/>
    <w:rsid w:val="7D4494CC"/>
    <w:rsid w:val="7D479F83"/>
    <w:rsid w:val="7D53CF52"/>
    <w:rsid w:val="7D553209"/>
    <w:rsid w:val="7D737F3B"/>
    <w:rsid w:val="7D778407"/>
    <w:rsid w:val="7D7E0FF2"/>
    <w:rsid w:val="7D875DDE"/>
    <w:rsid w:val="7D8853C2"/>
    <w:rsid w:val="7D9BA152"/>
    <w:rsid w:val="7DA6A260"/>
    <w:rsid w:val="7DB0757C"/>
    <w:rsid w:val="7DB18453"/>
    <w:rsid w:val="7DB964B7"/>
    <w:rsid w:val="7DDF8085"/>
    <w:rsid w:val="7DF0D8E4"/>
    <w:rsid w:val="7E30E64B"/>
    <w:rsid w:val="7E37B061"/>
    <w:rsid w:val="7E398BA0"/>
    <w:rsid w:val="7E42A27B"/>
    <w:rsid w:val="7E487D94"/>
    <w:rsid w:val="7E63A7FB"/>
    <w:rsid w:val="7E6A599F"/>
    <w:rsid w:val="7EA0E0CE"/>
    <w:rsid w:val="7EE9F41F"/>
    <w:rsid w:val="7EEF1A76"/>
    <w:rsid w:val="7EEF7630"/>
    <w:rsid w:val="7F1C4AC9"/>
    <w:rsid w:val="7F694098"/>
    <w:rsid w:val="7F6B96D1"/>
    <w:rsid w:val="7F7D8F08"/>
    <w:rsid w:val="7F95A1E2"/>
    <w:rsid w:val="7F99BDBB"/>
    <w:rsid w:val="7F9AD0AF"/>
    <w:rsid w:val="7FA1CCE1"/>
    <w:rsid w:val="7FA3354F"/>
    <w:rsid w:val="7FBD1CB6"/>
    <w:rsid w:val="7FDAD310"/>
    <w:rsid w:val="7FE7F039"/>
    <w:rsid w:val="7FF20D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3B8D3"/>
  <w15:chartTrackingRefBased/>
  <w15:docId w15:val="{2449411E-6B0A-4EA7-B986-701A7BE2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35"/>
  </w:style>
  <w:style w:type="paragraph" w:styleId="Ttulo1">
    <w:name w:val="heading 1"/>
    <w:basedOn w:val="Normal"/>
    <w:next w:val="Normal"/>
    <w:link w:val="Ttulo1Char"/>
    <w:uiPriority w:val="9"/>
    <w:qFormat/>
    <w:rsid w:val="001504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0563C1" w:themeColor="hyperlink"/>
      <w:u w:val="single"/>
    </w:rPr>
  </w:style>
  <w:style w:type="paragraph" w:styleId="PargrafodaLista">
    <w:name w:val="List Paragraph"/>
    <w:basedOn w:val="Normal"/>
    <w:uiPriority w:val="34"/>
    <w:qFormat/>
    <w:pPr>
      <w:ind w:left="720"/>
      <w:contextualSpacing/>
    </w:pPr>
  </w:style>
  <w:style w:type="paragraph" w:styleId="Cabealho">
    <w:name w:val="header"/>
    <w:basedOn w:val="Normal"/>
    <w:link w:val="CabealhoChar"/>
    <w:uiPriority w:val="99"/>
    <w:unhideWhenUsed/>
    <w:rsid w:val="00690E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0EE9"/>
  </w:style>
  <w:style w:type="paragraph" w:styleId="Rodap">
    <w:name w:val="footer"/>
    <w:basedOn w:val="Normal"/>
    <w:link w:val="RodapChar"/>
    <w:uiPriority w:val="99"/>
    <w:unhideWhenUsed/>
    <w:rsid w:val="00690EE9"/>
    <w:pPr>
      <w:tabs>
        <w:tab w:val="center" w:pos="4252"/>
        <w:tab w:val="right" w:pos="8504"/>
      </w:tabs>
      <w:spacing w:after="0" w:line="240" w:lineRule="auto"/>
    </w:pPr>
  </w:style>
  <w:style w:type="character" w:customStyle="1" w:styleId="RodapChar">
    <w:name w:val="Rodapé Char"/>
    <w:basedOn w:val="Fontepargpadro"/>
    <w:link w:val="Rodap"/>
    <w:uiPriority w:val="99"/>
    <w:rsid w:val="00690EE9"/>
  </w:style>
  <w:style w:type="character" w:customStyle="1" w:styleId="Ttulo1Char">
    <w:name w:val="Título 1 Char"/>
    <w:basedOn w:val="Fontepargpadro"/>
    <w:link w:val="Ttulo1"/>
    <w:uiPriority w:val="9"/>
    <w:rsid w:val="0015045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62432">
      <w:bodyDiv w:val="1"/>
      <w:marLeft w:val="0"/>
      <w:marRight w:val="0"/>
      <w:marTop w:val="0"/>
      <w:marBottom w:val="0"/>
      <w:divBdr>
        <w:top w:val="none" w:sz="0" w:space="0" w:color="auto"/>
        <w:left w:val="none" w:sz="0" w:space="0" w:color="auto"/>
        <w:bottom w:val="none" w:sz="0" w:space="0" w:color="auto"/>
        <w:right w:val="none" w:sz="0" w:space="0" w:color="auto"/>
      </w:divBdr>
      <w:divsChild>
        <w:div w:id="1371301712">
          <w:blockQuote w:val="1"/>
          <w:marLeft w:val="720"/>
          <w:marRight w:val="0"/>
          <w:marTop w:val="0"/>
          <w:marBottom w:val="48"/>
          <w:divBdr>
            <w:top w:val="none" w:sz="0" w:space="0" w:color="auto"/>
            <w:left w:val="none" w:sz="0" w:space="0" w:color="auto"/>
            <w:bottom w:val="none" w:sz="0" w:space="0" w:color="auto"/>
            <w:right w:val="none" w:sz="0" w:space="0" w:color="auto"/>
          </w:divBdr>
        </w:div>
        <w:div w:id="199707740">
          <w:blockQuote w:val="1"/>
          <w:marLeft w:val="720"/>
          <w:marRight w:val="0"/>
          <w:marTop w:val="0"/>
          <w:marBottom w:val="48"/>
          <w:divBdr>
            <w:top w:val="none" w:sz="0" w:space="0" w:color="auto"/>
            <w:left w:val="none" w:sz="0" w:space="0" w:color="auto"/>
            <w:bottom w:val="none" w:sz="0" w:space="0" w:color="auto"/>
            <w:right w:val="none" w:sz="0" w:space="0" w:color="auto"/>
          </w:divBdr>
        </w:div>
        <w:div w:id="1966157645">
          <w:blockQuote w:val="1"/>
          <w:marLeft w:val="720"/>
          <w:marRight w:val="0"/>
          <w:marTop w:val="0"/>
          <w:marBottom w:val="48"/>
          <w:divBdr>
            <w:top w:val="none" w:sz="0" w:space="0" w:color="auto"/>
            <w:left w:val="none" w:sz="0" w:space="0" w:color="auto"/>
            <w:bottom w:val="none" w:sz="0" w:space="0" w:color="auto"/>
            <w:right w:val="none" w:sz="0" w:space="0" w:color="auto"/>
          </w:divBdr>
        </w:div>
        <w:div w:id="851529711">
          <w:blockQuote w:val="1"/>
          <w:marLeft w:val="720"/>
          <w:marRight w:val="0"/>
          <w:marTop w:val="0"/>
          <w:marBottom w:val="48"/>
          <w:divBdr>
            <w:top w:val="none" w:sz="0" w:space="0" w:color="auto"/>
            <w:left w:val="none" w:sz="0" w:space="0" w:color="auto"/>
            <w:bottom w:val="none" w:sz="0" w:space="0" w:color="auto"/>
            <w:right w:val="none" w:sz="0" w:space="0" w:color="auto"/>
          </w:divBdr>
        </w:div>
        <w:div w:id="901671408">
          <w:blockQuote w:val="1"/>
          <w:marLeft w:val="720"/>
          <w:marRight w:val="0"/>
          <w:marTop w:val="0"/>
          <w:marBottom w:val="48"/>
          <w:divBdr>
            <w:top w:val="none" w:sz="0" w:space="0" w:color="auto"/>
            <w:left w:val="none" w:sz="0" w:space="0" w:color="auto"/>
            <w:bottom w:val="none" w:sz="0" w:space="0" w:color="auto"/>
            <w:right w:val="none" w:sz="0" w:space="0" w:color="auto"/>
          </w:divBdr>
        </w:div>
        <w:div w:id="121480466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20553953">
      <w:bodyDiv w:val="1"/>
      <w:marLeft w:val="0"/>
      <w:marRight w:val="0"/>
      <w:marTop w:val="0"/>
      <w:marBottom w:val="0"/>
      <w:divBdr>
        <w:top w:val="none" w:sz="0" w:space="0" w:color="auto"/>
        <w:left w:val="none" w:sz="0" w:space="0" w:color="auto"/>
        <w:bottom w:val="none" w:sz="0" w:space="0" w:color="auto"/>
        <w:right w:val="none" w:sz="0" w:space="0" w:color="auto"/>
      </w:divBdr>
      <w:divsChild>
        <w:div w:id="1969117455">
          <w:blockQuote w:val="1"/>
          <w:marLeft w:val="720"/>
          <w:marRight w:val="0"/>
          <w:marTop w:val="0"/>
          <w:marBottom w:val="48"/>
          <w:divBdr>
            <w:top w:val="none" w:sz="0" w:space="0" w:color="auto"/>
            <w:left w:val="none" w:sz="0" w:space="0" w:color="auto"/>
            <w:bottom w:val="none" w:sz="0" w:space="0" w:color="auto"/>
            <w:right w:val="none" w:sz="0" w:space="0" w:color="auto"/>
          </w:divBdr>
        </w:div>
        <w:div w:id="1167865012">
          <w:blockQuote w:val="1"/>
          <w:marLeft w:val="720"/>
          <w:marRight w:val="0"/>
          <w:marTop w:val="0"/>
          <w:marBottom w:val="48"/>
          <w:divBdr>
            <w:top w:val="none" w:sz="0" w:space="0" w:color="auto"/>
            <w:left w:val="none" w:sz="0" w:space="0" w:color="auto"/>
            <w:bottom w:val="none" w:sz="0" w:space="0" w:color="auto"/>
            <w:right w:val="none" w:sz="0" w:space="0" w:color="auto"/>
          </w:divBdr>
        </w:div>
        <w:div w:id="2136831321">
          <w:blockQuote w:val="1"/>
          <w:marLeft w:val="720"/>
          <w:marRight w:val="0"/>
          <w:marTop w:val="0"/>
          <w:marBottom w:val="48"/>
          <w:divBdr>
            <w:top w:val="none" w:sz="0" w:space="0" w:color="auto"/>
            <w:left w:val="none" w:sz="0" w:space="0" w:color="auto"/>
            <w:bottom w:val="none" w:sz="0" w:space="0" w:color="auto"/>
            <w:right w:val="none" w:sz="0" w:space="0" w:color="auto"/>
          </w:divBdr>
        </w:div>
        <w:div w:id="2035958171">
          <w:blockQuote w:val="1"/>
          <w:marLeft w:val="720"/>
          <w:marRight w:val="0"/>
          <w:marTop w:val="0"/>
          <w:marBottom w:val="48"/>
          <w:divBdr>
            <w:top w:val="none" w:sz="0" w:space="0" w:color="auto"/>
            <w:left w:val="none" w:sz="0" w:space="0" w:color="auto"/>
            <w:bottom w:val="none" w:sz="0" w:space="0" w:color="auto"/>
            <w:right w:val="none" w:sz="0" w:space="0" w:color="auto"/>
          </w:divBdr>
        </w:div>
        <w:div w:id="195671813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21" Type="http://schemas.openxmlformats.org/officeDocument/2006/relationships/hyperlink" Target="https://www.youtube.com/watch?v=Q1hsl0YfeG4" TargetMode="External"/><Relationship Id="rId34" Type="http://schemas.openxmlformats.org/officeDocument/2006/relationships/hyperlink" Target="https://contas.tcu.gov.br/pesquisaJurisprudenci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legislacao.planalto.gov.br/legisla/legislacao.nsf/Viw_Identificacao/DEC%2010.947-2022?OpenDocument" TargetMode="External"/><Relationship Id="rId33" Type="http://schemas.openxmlformats.org/officeDocument/2006/relationships/hyperlink" Target="https://contas.tcu.gov.br/juris/SvlHighLight?key=ACORDAO-LEGADO-122765&amp;texto=2532382532382532382b2532384e554d41434f5244414f253341323736392b4f522b4e554d52454c4143414f253341323736392532392532392532392b414e442b2532382b2532384e554d414e4f41434f5244414f253341323031342b4f522b4e554d414e4f52454c4143414f253341323031342532392532392532392b414e442b2b434f4c45474941444f253341253232504c454e4152494f253232&amp;sort=DTRELEVANCIA&amp;ordem=DESC&amp;bases=ACORDAO-LEGADO;DECISAO-LEGADO;RELACAO-LEGADO;ACORDAO-RELACAO-LEGADO;&amp;highlight=&amp;posicaoDocumento=0&amp;numDocumento=1&amp;totalDocumentos=1"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consultoria.pgf@agu.gov.br" TargetMode="External"/><Relationship Id="rId29" Type="http://schemas.openxmlformats.org/officeDocument/2006/relationships/hyperlink" Target="https://www.gov.br/compras/pt-br/acesso-a-informacao/legislacao/portarias/portaria-no-6-de-15-de-janeiro-de-20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contas.tcu.gov.br/juris/SvlProxyHighlight?base=ACORDAO&amp;ano=2016&amp;numero=2066&amp;colegiado=P"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yperlink" Target="https://www.gov.br/compras/pt-br/acesso-a-informacao/legislacao/portarias/portaria-no-179-de-22-de-abril-de-2019" TargetMode="External"/><Relationship Id="rId36" Type="http://schemas.openxmlformats.org/officeDocument/2006/relationships/hyperlink" Target="http://www.planalto.gov.br/ccivil_03/decreto/d93872.htm"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consultoria.pgf@agu.gov.br" TargetMode="External"/><Relationship Id="rId31" Type="http://schemas.openxmlformats.org/officeDocument/2006/relationships/hyperlink" Target="https://contas.tcu.gov.br/pesquisaJurisprudenc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legislacao.planalto.gov.br/legisla/legislacao.nsf/Viw_Identificacao/DEC%208.540-2015?OpenDocument" TargetMode="External"/><Relationship Id="rId30" Type="http://schemas.openxmlformats.org/officeDocument/2006/relationships/hyperlink" Target="http://legislacao.planalto.gov.br/legisla/legislacao.nsf/Viw_Identificacao/DEC%2010.818-2021?OpenDocument" TargetMode="External"/><Relationship Id="rId35" Type="http://schemas.openxmlformats.org/officeDocument/2006/relationships/hyperlink" Target="https://www.gov.br/compras/pt-br/acesso-a-informacao/legislacao/instrucoes-normativas/instrucao-normativa-seges-me-no-67-de-8-de-julho-de-2021"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Observa_x00e7__x00f5_es xmlns="a43e49fb-bdc2-4760-8452-31999e1964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3ADEA-E842-4205-823F-97C32C646F3C}">
  <ds:schemaRefs>
    <ds:schemaRef ds:uri="http://schemas.microsoft.com/sharepoint/v3/contenttype/forms"/>
  </ds:schemaRefs>
</ds:datastoreItem>
</file>

<file path=customXml/itemProps2.xml><?xml version="1.0" encoding="utf-8"?>
<ds:datastoreItem xmlns:ds="http://schemas.openxmlformats.org/officeDocument/2006/customXml" ds:itemID="{A729DB59-84E2-4E04-B062-0414F6CBB3AD}">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3.xml><?xml version="1.0" encoding="utf-8"?>
<ds:datastoreItem xmlns:ds="http://schemas.openxmlformats.org/officeDocument/2006/customXml" ds:itemID="{B5DE5D8B-7E6D-4E0B-A8B7-69377977C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6924A1-E554-469F-8DA1-9677BB17B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20934</Words>
  <Characters>113046</Characters>
  <Application>Microsoft Office Word</Application>
  <DocSecurity>0</DocSecurity>
  <Lines>942</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Lídia Pinto Oliveira</dc:creator>
  <cp:keywords/>
  <dc:description/>
  <cp:lastModifiedBy>Marcela Ali Tarif Roque</cp:lastModifiedBy>
  <cp:revision>7</cp:revision>
  <dcterms:created xsi:type="dcterms:W3CDTF">2024-06-12T19:46:00Z</dcterms:created>
  <dcterms:modified xsi:type="dcterms:W3CDTF">2024-06-13T21:13:00Z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