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F7D762" w14:textId="35707F17" w:rsidR="00D8140E" w:rsidRDefault="00E626DF">
      <w:r>
        <w:rPr>
          <w:noProof/>
          <w:lang w:eastAsia="pt-BR"/>
        </w:rPr>
        <mc:AlternateContent>
          <mc:Choice Requires="wps">
            <w:drawing>
              <wp:anchor distT="0" distB="0" distL="114300" distR="114300" simplePos="0" relativeHeight="251660288" behindDoc="0" locked="0" layoutInCell="1" allowOverlap="1" wp14:anchorId="450893BB" wp14:editId="1C2E4791">
                <wp:simplePos x="0" y="0"/>
                <wp:positionH relativeFrom="column">
                  <wp:posOffset>1893461</wp:posOffset>
                </wp:positionH>
                <wp:positionV relativeFrom="paragraph">
                  <wp:posOffset>6208395</wp:posOffset>
                </wp:positionV>
                <wp:extent cx="3962400" cy="1514475"/>
                <wp:effectExtent l="0" t="0" r="0" b="0"/>
                <wp:wrapNone/>
                <wp:docPr id="3" name="Caixa de Texto 3"/>
                <wp:cNvGraphicFramePr/>
                <a:graphic xmlns:a="http://schemas.openxmlformats.org/drawingml/2006/main">
                  <a:graphicData uri="http://schemas.microsoft.com/office/word/2010/wordprocessingShape">
                    <wps:wsp>
                      <wps:cNvSpPr txBox="1"/>
                      <wps:spPr>
                        <a:xfrm>
                          <a:off x="0" y="0"/>
                          <a:ext cx="3962400" cy="1514475"/>
                        </a:xfrm>
                        <a:prstGeom prst="rect">
                          <a:avLst/>
                        </a:prstGeom>
                        <a:noFill/>
                        <a:ln w="6350">
                          <a:noFill/>
                        </a:ln>
                      </wps:spPr>
                      <wps:txbx>
                        <w:txbxContent>
                          <w:p w14:paraId="4A9A2CDF" w14:textId="0128F3D5" w:rsidR="008F01BD" w:rsidRPr="008F01BD" w:rsidRDefault="00934C40" w:rsidP="008F01BD">
                            <w:pPr>
                              <w:rPr>
                                <w:rFonts w:ascii="Arial" w:hAnsi="Arial" w:cs="Arial"/>
                                <w:color w:val="FFFFFF" w:themeColor="background1"/>
                                <w:sz w:val="44"/>
                                <w:szCs w:val="44"/>
                              </w:rPr>
                            </w:pPr>
                            <w:r>
                              <w:rPr>
                                <w:rFonts w:ascii="Arial" w:hAnsi="Arial" w:cs="Arial"/>
                                <w:b/>
                                <w:bCs/>
                                <w:color w:val="FFFFFF" w:themeColor="background1"/>
                                <w:sz w:val="52"/>
                                <w:szCs w:val="52"/>
                              </w:rPr>
                              <w:t>Concorrência</w:t>
                            </w:r>
                            <w:r w:rsidR="008F01BD">
                              <w:rPr>
                                <w:rFonts w:ascii="Arial" w:hAnsi="Arial" w:cs="Arial"/>
                                <w:b/>
                                <w:bCs/>
                                <w:color w:val="FFFFFF" w:themeColor="background1"/>
                                <w:sz w:val="52"/>
                                <w:szCs w:val="52"/>
                              </w:rPr>
                              <w:t xml:space="preserve"> </w:t>
                            </w:r>
                            <w:r>
                              <w:rPr>
                                <w:rFonts w:ascii="Arial" w:hAnsi="Arial" w:cs="Arial"/>
                                <w:b/>
                                <w:bCs/>
                                <w:color w:val="FFFFFF" w:themeColor="background1"/>
                                <w:sz w:val="52"/>
                                <w:szCs w:val="52"/>
                              </w:rPr>
                              <w:t>–</w:t>
                            </w:r>
                            <w:r w:rsidR="008F01BD">
                              <w:rPr>
                                <w:rFonts w:ascii="Arial" w:hAnsi="Arial" w:cs="Arial"/>
                                <w:b/>
                                <w:bCs/>
                                <w:color w:val="FFFFFF" w:themeColor="background1"/>
                                <w:sz w:val="52"/>
                                <w:szCs w:val="52"/>
                              </w:rPr>
                              <w:t xml:space="preserve"> </w:t>
                            </w:r>
                            <w:r w:rsidRPr="004850D2">
                              <w:rPr>
                                <w:rFonts w:ascii="Arial" w:hAnsi="Arial" w:cs="Arial"/>
                                <w:b/>
                                <w:color w:val="FFFFFF" w:themeColor="background1"/>
                                <w:sz w:val="44"/>
                                <w:szCs w:val="44"/>
                              </w:rPr>
                              <w:t>Obra e S</w:t>
                            </w:r>
                            <w:r w:rsidR="00D8140E" w:rsidRPr="004850D2">
                              <w:rPr>
                                <w:rFonts w:ascii="Arial" w:hAnsi="Arial" w:cs="Arial"/>
                                <w:b/>
                                <w:color w:val="FFFFFF" w:themeColor="background1"/>
                                <w:sz w:val="44"/>
                                <w:szCs w:val="44"/>
                              </w:rPr>
                              <w:t xml:space="preserve">erviço de </w:t>
                            </w:r>
                            <w:r w:rsidRPr="004850D2">
                              <w:rPr>
                                <w:rFonts w:ascii="Arial" w:hAnsi="Arial" w:cs="Arial"/>
                                <w:b/>
                                <w:color w:val="FFFFFF" w:themeColor="background1"/>
                                <w:sz w:val="44"/>
                                <w:szCs w:val="44"/>
                              </w:rPr>
                              <w:t>E</w:t>
                            </w:r>
                            <w:r w:rsidR="00D8140E" w:rsidRPr="004850D2">
                              <w:rPr>
                                <w:rFonts w:ascii="Arial" w:hAnsi="Arial" w:cs="Arial"/>
                                <w:b/>
                                <w:color w:val="FFFFFF" w:themeColor="background1"/>
                                <w:sz w:val="44"/>
                                <w:szCs w:val="44"/>
                              </w:rPr>
                              <w:t>ngenharia COM SRP</w:t>
                            </w:r>
                            <w:r w:rsidR="008F01BD" w:rsidRPr="004850D2">
                              <w:rPr>
                                <w:rFonts w:ascii="Arial" w:hAnsi="Arial" w:cs="Arial"/>
                                <w:b/>
                                <w:color w:val="FFFFFF" w:themeColor="background1"/>
                                <w:sz w:val="44"/>
                                <w:szCs w:val="44"/>
                              </w:rPr>
                              <w:t xml:space="preserve"> </w:t>
                            </w:r>
                            <w:r w:rsidRPr="004850D2">
                              <w:rPr>
                                <w:rFonts w:ascii="Arial" w:hAnsi="Arial" w:cs="Arial"/>
                                <w:b/>
                                <w:color w:val="FFFFFF" w:themeColor="background1"/>
                                <w:sz w:val="44"/>
                                <w:szCs w:val="44"/>
                              </w:rPr>
                              <w:t xml:space="preserve">- </w:t>
                            </w:r>
                            <w:r w:rsidR="00D8140E" w:rsidRPr="004850D2">
                              <w:rPr>
                                <w:rFonts w:ascii="Arial" w:hAnsi="Arial" w:cs="Arial"/>
                                <w:b/>
                                <w:color w:val="FFFFFF" w:themeColor="background1"/>
                                <w:sz w:val="44"/>
                                <w:szCs w:val="44"/>
                              </w:rPr>
                              <w:t>Lei n</w:t>
                            </w:r>
                            <w:r w:rsidRPr="004850D2">
                              <w:rPr>
                                <w:rFonts w:ascii="Arial" w:hAnsi="Arial" w:cs="Arial"/>
                                <w:b/>
                                <w:color w:val="FFFFFF" w:themeColor="background1"/>
                                <w:sz w:val="44"/>
                                <w:szCs w:val="44"/>
                              </w:rPr>
                              <w:t>.</w:t>
                            </w:r>
                            <w:r w:rsidR="00D8140E" w:rsidRPr="004850D2">
                              <w:rPr>
                                <w:rFonts w:ascii="Arial" w:hAnsi="Arial" w:cs="Arial"/>
                                <w:b/>
                                <w:color w:val="FFFFFF" w:themeColor="background1"/>
                                <w:sz w:val="44"/>
                                <w:szCs w:val="44"/>
                              </w:rPr>
                              <w:t xml:space="preserve"> 14.133/2021</w:t>
                            </w:r>
                          </w:p>
                          <w:p w14:paraId="47C7B5C3" w14:textId="17B854C9" w:rsidR="00D8140E" w:rsidRPr="00D8140E" w:rsidRDefault="00D8140E">
                            <w:pPr>
                              <w:rPr>
                                <w:rFonts w:ascii="Arial" w:hAnsi="Arial" w:cs="Arial"/>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50893BB" id="_x0000_t202" coordsize="21600,21600" o:spt="202" path="m,l,21600r21600,l21600,xe">
                <v:stroke joinstyle="miter"/>
                <v:path gradientshapeok="t" o:connecttype="rect"/>
              </v:shapetype>
              <v:shape id="Caixa de Texto 3" o:spid="_x0000_s1026" type="#_x0000_t202" style="position:absolute;margin-left:149.1pt;margin-top:488.85pt;width:312pt;height:119.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" filled="f" stroked="f" strokeweight=".5pt">
                <v:textbox>
                  <w:txbxContent>
                    <w:p w14:paraId="4A9A2CDF" w14:textId="0128F3D5" w:rsidR="008F01BD" w:rsidRPr="008F01BD" w:rsidRDefault="00934C40" w:rsidP="008F01BD">
                      <w:pPr>
                        <w:rPr>
                          <w:rFonts w:ascii="Arial" w:hAnsi="Arial" w:cs="Arial"/>
                          <w:color w:val="FFFFFF" w:themeColor="background1"/>
                          <w:sz w:val="44"/>
                          <w:szCs w:val="44"/>
                        </w:rPr>
                      </w:pPr>
                      <w:r>
                        <w:rPr>
                          <w:rFonts w:ascii="Arial" w:hAnsi="Arial" w:cs="Arial"/>
                          <w:b/>
                          <w:bCs/>
                          <w:color w:val="FFFFFF" w:themeColor="background1"/>
                          <w:sz w:val="52"/>
                          <w:szCs w:val="52"/>
                        </w:rPr>
                        <w:t>Concorrência</w:t>
                      </w:r>
                      <w:r w:rsidR="008F01BD">
                        <w:rPr>
                          <w:rFonts w:ascii="Arial" w:hAnsi="Arial" w:cs="Arial"/>
                          <w:b/>
                          <w:bCs/>
                          <w:color w:val="FFFFFF" w:themeColor="background1"/>
                          <w:sz w:val="52"/>
                          <w:szCs w:val="52"/>
                        </w:rPr>
                        <w:t xml:space="preserve"> </w:t>
                      </w:r>
                      <w:r>
                        <w:rPr>
                          <w:rFonts w:ascii="Arial" w:hAnsi="Arial" w:cs="Arial"/>
                          <w:b/>
                          <w:bCs/>
                          <w:color w:val="FFFFFF" w:themeColor="background1"/>
                          <w:sz w:val="52"/>
                          <w:szCs w:val="52"/>
                        </w:rPr>
                        <w:t>–</w:t>
                      </w:r>
                      <w:r w:rsidR="008F01BD">
                        <w:rPr>
                          <w:rFonts w:ascii="Arial" w:hAnsi="Arial" w:cs="Arial"/>
                          <w:b/>
                          <w:bCs/>
                          <w:color w:val="FFFFFF" w:themeColor="background1"/>
                          <w:sz w:val="52"/>
                          <w:szCs w:val="52"/>
                        </w:rPr>
                        <w:t xml:space="preserve"> </w:t>
                      </w:r>
                      <w:r w:rsidRPr="004850D2">
                        <w:rPr>
                          <w:rFonts w:ascii="Arial" w:hAnsi="Arial" w:cs="Arial"/>
                          <w:b/>
                          <w:color w:val="FFFFFF" w:themeColor="background1"/>
                          <w:sz w:val="44"/>
                          <w:szCs w:val="44"/>
                        </w:rPr>
                        <w:t>Obra e S</w:t>
                      </w:r>
                      <w:r w:rsidR="00D8140E" w:rsidRPr="004850D2">
                        <w:rPr>
                          <w:rFonts w:ascii="Arial" w:hAnsi="Arial" w:cs="Arial"/>
                          <w:b/>
                          <w:color w:val="FFFFFF" w:themeColor="background1"/>
                          <w:sz w:val="44"/>
                          <w:szCs w:val="44"/>
                        </w:rPr>
                        <w:t xml:space="preserve">erviço de </w:t>
                      </w:r>
                      <w:r w:rsidRPr="004850D2">
                        <w:rPr>
                          <w:rFonts w:ascii="Arial" w:hAnsi="Arial" w:cs="Arial"/>
                          <w:b/>
                          <w:color w:val="FFFFFF" w:themeColor="background1"/>
                          <w:sz w:val="44"/>
                          <w:szCs w:val="44"/>
                        </w:rPr>
                        <w:t>E</w:t>
                      </w:r>
                      <w:r w:rsidR="00D8140E" w:rsidRPr="004850D2">
                        <w:rPr>
                          <w:rFonts w:ascii="Arial" w:hAnsi="Arial" w:cs="Arial"/>
                          <w:b/>
                          <w:color w:val="FFFFFF" w:themeColor="background1"/>
                          <w:sz w:val="44"/>
                          <w:szCs w:val="44"/>
                        </w:rPr>
                        <w:t>ngenharia COM SRP</w:t>
                      </w:r>
                      <w:r w:rsidR="008F01BD" w:rsidRPr="004850D2">
                        <w:rPr>
                          <w:rFonts w:ascii="Arial" w:hAnsi="Arial" w:cs="Arial"/>
                          <w:b/>
                          <w:color w:val="FFFFFF" w:themeColor="background1"/>
                          <w:sz w:val="44"/>
                          <w:szCs w:val="44"/>
                        </w:rPr>
                        <w:t xml:space="preserve"> </w:t>
                      </w:r>
                      <w:r w:rsidRPr="004850D2">
                        <w:rPr>
                          <w:rFonts w:ascii="Arial" w:hAnsi="Arial" w:cs="Arial"/>
                          <w:b/>
                          <w:color w:val="FFFFFF" w:themeColor="background1"/>
                          <w:sz w:val="44"/>
                          <w:szCs w:val="44"/>
                        </w:rPr>
                        <w:t xml:space="preserve">- </w:t>
                      </w:r>
                      <w:r w:rsidR="00D8140E" w:rsidRPr="004850D2">
                        <w:rPr>
                          <w:rFonts w:ascii="Arial" w:hAnsi="Arial" w:cs="Arial"/>
                          <w:b/>
                          <w:color w:val="FFFFFF" w:themeColor="background1"/>
                          <w:sz w:val="44"/>
                          <w:szCs w:val="44"/>
                        </w:rPr>
                        <w:t>Lei n</w:t>
                      </w:r>
                      <w:r w:rsidRPr="004850D2">
                        <w:rPr>
                          <w:rFonts w:ascii="Arial" w:hAnsi="Arial" w:cs="Arial"/>
                          <w:b/>
                          <w:color w:val="FFFFFF" w:themeColor="background1"/>
                          <w:sz w:val="44"/>
                          <w:szCs w:val="44"/>
                        </w:rPr>
                        <w:t>.</w:t>
                      </w:r>
                      <w:r w:rsidR="00D8140E" w:rsidRPr="004850D2">
                        <w:rPr>
                          <w:rFonts w:ascii="Arial" w:hAnsi="Arial" w:cs="Arial"/>
                          <w:b/>
                          <w:color w:val="FFFFFF" w:themeColor="background1"/>
                          <w:sz w:val="44"/>
                          <w:szCs w:val="44"/>
                        </w:rPr>
                        <w:t xml:space="preserve"> 14.133/2021</w:t>
                      </w:r>
                    </w:p>
                    <w:p w14:paraId="47C7B5C3" w14:textId="17B854C9" w:rsidR="00D8140E" w:rsidRPr="00D8140E" w:rsidRDefault="00D8140E">
                      <w:pPr>
                        <w:rPr>
                          <w:rFonts w:ascii="Arial" w:hAnsi="Arial" w:cs="Arial"/>
                          <w:color w:val="FFFFFF" w:themeColor="background1"/>
                        </w:rPr>
                      </w:pPr>
                    </w:p>
                  </w:txbxContent>
                </v:textbox>
              </v:shape>
            </w:pict>
          </mc:Fallback>
        </mc:AlternateContent>
      </w:r>
      <w:r>
        <w:rPr>
          <w:noProof/>
          <w:lang w:eastAsia="pt-BR"/>
        </w:rPr>
        <w:drawing>
          <wp:anchor distT="0" distB="0" distL="114300" distR="114300" simplePos="0" relativeHeight="251662336" behindDoc="1" locked="0" layoutInCell="1" allowOverlap="1" wp14:anchorId="5556022C" wp14:editId="042764FE">
            <wp:simplePos x="0" y="0"/>
            <wp:positionH relativeFrom="margin">
              <wp:posOffset>2442845</wp:posOffset>
            </wp:positionH>
            <wp:positionV relativeFrom="paragraph">
              <wp:posOffset>9034671</wp:posOffset>
            </wp:positionV>
            <wp:extent cx="845820" cy="475615"/>
            <wp:effectExtent l="0" t="0" r="0" b="635"/>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45820" cy="475615"/>
                    </a:xfrm>
                    <a:prstGeom prst="rect">
                      <a:avLst/>
                    </a:prstGeom>
                  </pic:spPr>
                </pic:pic>
              </a:graphicData>
            </a:graphic>
            <wp14:sizeRelH relativeFrom="margin">
              <wp14:pctWidth>0</wp14:pctWidth>
            </wp14:sizeRelH>
            <wp14:sizeRelV relativeFrom="margin">
              <wp14:pctHeight>0</wp14:pctHeight>
            </wp14:sizeRelV>
          </wp:anchor>
        </w:drawing>
      </w:r>
      <w:r>
        <w:rPr>
          <w:noProof/>
          <w:lang w:eastAsia="pt-BR"/>
        </w:rPr>
        <w:drawing>
          <wp:anchor distT="0" distB="0" distL="114300" distR="114300" simplePos="0" relativeHeight="251661312" behindDoc="1" locked="0" layoutInCell="1" allowOverlap="1" wp14:anchorId="1AF93C3D" wp14:editId="575207F9">
            <wp:simplePos x="0" y="0"/>
            <wp:positionH relativeFrom="column">
              <wp:posOffset>-899160</wp:posOffset>
            </wp:positionH>
            <wp:positionV relativeFrom="paragraph">
              <wp:posOffset>-1056114</wp:posOffset>
            </wp:positionV>
            <wp:extent cx="7560000" cy="10690038"/>
            <wp:effectExtent l="0" t="0" r="3175" b="0"/>
            <wp:wrapNone/>
            <wp:docPr id="149" name="Imagem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m 14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0000" cy="10690038"/>
                    </a:xfrm>
                    <a:prstGeom prst="rect">
                      <a:avLst/>
                    </a:prstGeom>
                  </pic:spPr>
                </pic:pic>
              </a:graphicData>
            </a:graphic>
            <wp14:sizeRelH relativeFrom="margin">
              <wp14:pctWidth>0</wp14:pctWidth>
            </wp14:sizeRelH>
            <wp14:sizeRelV relativeFrom="margin">
              <wp14:pctHeight>0</wp14:pctHeight>
            </wp14:sizeRelV>
          </wp:anchor>
        </w:drawing>
      </w:r>
      <w:r w:rsidR="00D8140E">
        <w:br w:type="page"/>
      </w:r>
      <w:bookmarkStart w:id="0" w:name="_GoBack"/>
      <w:bookmarkEnd w:id="0"/>
    </w:p>
    <w:p w14:paraId="226AF1C2" w14:textId="6DC7D334" w:rsidR="00BC64A8" w:rsidRDefault="00BC64A8"/>
    <w:p w14:paraId="703319C2" w14:textId="01213F82" w:rsidR="00802A4A" w:rsidRDefault="00802A4A">
      <w:r w:rsidRPr="00BC64A8">
        <w:rPr>
          <w:noProof/>
          <w:lang w:eastAsia="pt-BR"/>
        </w:rPr>
        <mc:AlternateContent>
          <mc:Choice Requires="wps">
            <w:drawing>
              <wp:anchor distT="0" distB="0" distL="114300" distR="114300" simplePos="0" relativeHeight="251675648" behindDoc="0" locked="0" layoutInCell="1" allowOverlap="1" wp14:anchorId="1BE7C345" wp14:editId="4072A4D9">
                <wp:simplePos x="0" y="0"/>
                <wp:positionH relativeFrom="margin">
                  <wp:posOffset>-9525</wp:posOffset>
                </wp:positionH>
                <wp:positionV relativeFrom="paragraph">
                  <wp:posOffset>3712210</wp:posOffset>
                </wp:positionV>
                <wp:extent cx="6299835" cy="3627755"/>
                <wp:effectExtent l="19050" t="19050" r="24765" b="10795"/>
                <wp:wrapNone/>
                <wp:docPr id="24" name="Retângulo: Cantos Arredondados 24"/>
                <wp:cNvGraphicFramePr/>
                <a:graphic xmlns:a="http://schemas.openxmlformats.org/drawingml/2006/main">
                  <a:graphicData uri="http://schemas.microsoft.com/office/word/2010/wordprocessingShape">
                    <wps:wsp>
                      <wps:cNvSpPr/>
                      <wps:spPr>
                        <a:xfrm>
                          <a:off x="0" y="0"/>
                          <a:ext cx="6299835" cy="3627755"/>
                        </a:xfrm>
                        <a:prstGeom prst="roundRect">
                          <a:avLst>
                            <a:gd name="adj" fmla="val 3660"/>
                          </a:avLst>
                        </a:prstGeom>
                        <a:noFill/>
                        <a:ln w="28575" cap="rnd">
                          <a:solidFill>
                            <a:srgbClr val="B886B3"/>
                          </a:solidFill>
                          <a:round/>
                        </a:ln>
                      </wps:spPr>
                      <wps:style>
                        <a:lnRef idx="2">
                          <a:schemeClr val="dk1">
                            <a:shade val="50000"/>
                          </a:schemeClr>
                        </a:lnRef>
                        <a:fillRef idx="1">
                          <a:schemeClr val="dk1"/>
                        </a:fillRef>
                        <a:effectRef idx="0">
                          <a:schemeClr val="dk1"/>
                        </a:effectRef>
                        <a:fontRef idx="minor">
                          <a:schemeClr val="lt1"/>
                        </a:fontRef>
                      </wps:style>
                      <wps:txbx>
                        <w:txbxContent>
                          <w:p w14:paraId="0FABCDAB" w14:textId="77777777" w:rsidR="00CD32C2" w:rsidRPr="00CD32C2" w:rsidRDefault="00CD32C2" w:rsidP="00CD32C2">
                            <w:pPr>
                              <w:spacing w:line="240" w:lineRule="auto"/>
                              <w:ind w:left="2124"/>
                              <w:rPr>
                                <w:rFonts w:ascii="Arial" w:eastAsia="Calibri" w:hAnsi="Arial" w:cs="Arial"/>
                                <w:color w:val="FFFFFF" w:themeColor="background1"/>
                                <w:sz w:val="20"/>
                                <w:szCs w:val="20"/>
                              </w:rPr>
                            </w:pPr>
                            <w:r w:rsidRPr="00CD32C2">
                              <w:rPr>
                                <w:rFonts w:ascii="Arial" w:eastAsia="Calibri" w:hAnsi="Arial" w:cs="Arial"/>
                                <w:color w:val="FFFFFF" w:themeColor="background1"/>
                                <w:sz w:val="20"/>
                                <w:szCs w:val="20"/>
                              </w:rPr>
                              <w:t xml:space="preserve">Licitações na modalidade de concorrência, na forma eletrônica, do tipo </w:t>
                            </w:r>
                            <w:r w:rsidRPr="00CD32C2">
                              <w:rPr>
                                <w:rFonts w:ascii="Arial" w:eastAsia="Calibri" w:hAnsi="Arial" w:cs="Arial"/>
                                <w:b/>
                                <w:bCs/>
                                <w:color w:val="FFFFFF" w:themeColor="background1"/>
                                <w:sz w:val="20"/>
                                <w:szCs w:val="20"/>
                              </w:rPr>
                              <w:t>menor preço</w:t>
                            </w:r>
                            <w:r w:rsidRPr="00CD32C2">
                              <w:rPr>
                                <w:rFonts w:ascii="Arial" w:eastAsia="Calibri" w:hAnsi="Arial" w:cs="Arial"/>
                                <w:color w:val="FFFFFF" w:themeColor="background1"/>
                                <w:sz w:val="20"/>
                                <w:szCs w:val="20"/>
                              </w:rPr>
                              <w:t xml:space="preserve"> ou </w:t>
                            </w:r>
                            <w:r w:rsidRPr="00CD32C2">
                              <w:rPr>
                                <w:rFonts w:ascii="Arial" w:eastAsia="Calibri" w:hAnsi="Arial" w:cs="Arial"/>
                                <w:b/>
                                <w:bCs/>
                                <w:color w:val="FFFFFF" w:themeColor="background1"/>
                                <w:sz w:val="20"/>
                                <w:szCs w:val="20"/>
                              </w:rPr>
                              <w:t>maior desconto</w:t>
                            </w:r>
                            <w:r w:rsidRPr="00CD32C2">
                              <w:rPr>
                                <w:rFonts w:ascii="Arial" w:eastAsia="Calibri" w:hAnsi="Arial" w:cs="Arial"/>
                                <w:color w:val="FFFFFF" w:themeColor="background1"/>
                                <w:sz w:val="20"/>
                                <w:szCs w:val="20"/>
                              </w:rPr>
                              <w:t xml:space="preserve">. com ou sem </w:t>
                            </w:r>
                            <w:r w:rsidRPr="00CD32C2">
                              <w:rPr>
                                <w:rFonts w:ascii="Arial" w:eastAsia="Calibri" w:hAnsi="Arial" w:cs="Arial"/>
                                <w:b/>
                                <w:bCs/>
                                <w:color w:val="FFFFFF" w:themeColor="background1"/>
                                <w:sz w:val="20"/>
                                <w:szCs w:val="20"/>
                              </w:rPr>
                              <w:t>Sistema de Registro de Preços-SRP</w:t>
                            </w:r>
                            <w:r w:rsidRPr="00CD32C2">
                              <w:rPr>
                                <w:rFonts w:ascii="Arial" w:eastAsia="Calibri" w:hAnsi="Arial" w:cs="Arial"/>
                                <w:color w:val="FFFFFF" w:themeColor="background1"/>
                                <w:sz w:val="20"/>
                                <w:szCs w:val="20"/>
                              </w:rPr>
                              <w:t xml:space="preserve">, mediante o regime de </w:t>
                            </w:r>
                            <w:r w:rsidRPr="00CD32C2">
                              <w:rPr>
                                <w:rFonts w:ascii="Arial" w:eastAsia="Calibri" w:hAnsi="Arial" w:cs="Arial"/>
                                <w:b/>
                                <w:bCs/>
                                <w:color w:val="FFFFFF" w:themeColor="background1"/>
                                <w:sz w:val="20"/>
                                <w:szCs w:val="20"/>
                              </w:rPr>
                              <w:t>empreitada por preço unitário</w:t>
                            </w:r>
                            <w:r w:rsidRPr="00CD32C2">
                              <w:rPr>
                                <w:rFonts w:ascii="Arial" w:eastAsia="Calibri" w:hAnsi="Arial" w:cs="Arial"/>
                                <w:color w:val="FFFFFF" w:themeColor="background1"/>
                                <w:sz w:val="20"/>
                                <w:szCs w:val="20"/>
                              </w:rPr>
                              <w:t xml:space="preserve"> </w:t>
                            </w:r>
                            <w:r w:rsidRPr="00CD32C2">
                              <w:rPr>
                                <w:rFonts w:ascii="Arial" w:eastAsia="Calibri" w:hAnsi="Arial" w:cs="Arial"/>
                                <w:b/>
                                <w:bCs/>
                                <w:color w:val="FFFFFF" w:themeColor="background1"/>
                                <w:sz w:val="20"/>
                                <w:szCs w:val="20"/>
                                <w:u w:val="single"/>
                              </w:rPr>
                              <w:t>ou</w:t>
                            </w:r>
                            <w:r w:rsidRPr="00CD32C2">
                              <w:rPr>
                                <w:rFonts w:ascii="Arial" w:eastAsia="Calibri" w:hAnsi="Arial" w:cs="Arial"/>
                                <w:color w:val="FFFFFF" w:themeColor="background1"/>
                                <w:sz w:val="20"/>
                                <w:szCs w:val="20"/>
                              </w:rPr>
                              <w:t xml:space="preserve"> </w:t>
                            </w:r>
                            <w:r w:rsidRPr="00CD32C2">
                              <w:rPr>
                                <w:rFonts w:ascii="Arial" w:eastAsia="Calibri" w:hAnsi="Arial" w:cs="Arial"/>
                                <w:b/>
                                <w:bCs/>
                                <w:color w:val="FFFFFF" w:themeColor="background1"/>
                                <w:sz w:val="20"/>
                                <w:szCs w:val="20"/>
                              </w:rPr>
                              <w:t>empreitada por preço global,</w:t>
                            </w:r>
                            <w:r w:rsidRPr="00CD32C2">
                              <w:rPr>
                                <w:rFonts w:ascii="Arial" w:eastAsia="Calibri" w:hAnsi="Arial" w:cs="Arial"/>
                                <w:color w:val="FFFFFF" w:themeColor="background1"/>
                                <w:sz w:val="20"/>
                                <w:szCs w:val="20"/>
                              </w:rPr>
                              <w:t xml:space="preserve"> sob o regramento da Lei nº 14.133, de 2021, para contratação de </w:t>
                            </w:r>
                            <w:r w:rsidRPr="00CD32C2">
                              <w:rPr>
                                <w:rFonts w:ascii="Arial" w:eastAsia="Calibri" w:hAnsi="Arial" w:cs="Arial"/>
                                <w:b/>
                                <w:bCs/>
                                <w:color w:val="FFFFFF" w:themeColor="background1"/>
                                <w:sz w:val="20"/>
                                <w:szCs w:val="20"/>
                                <w:u w:val="single"/>
                              </w:rPr>
                              <w:t>obras</w:t>
                            </w:r>
                            <w:r w:rsidRPr="00CD32C2">
                              <w:rPr>
                                <w:rFonts w:ascii="Arial" w:eastAsia="Calibri" w:hAnsi="Arial" w:cs="Arial"/>
                                <w:color w:val="FFFFFF" w:themeColor="background1"/>
                                <w:sz w:val="20"/>
                                <w:szCs w:val="20"/>
                                <w:u w:val="single"/>
                              </w:rPr>
                              <w:t xml:space="preserve"> e </w:t>
                            </w:r>
                            <w:r w:rsidRPr="00CD32C2">
                              <w:rPr>
                                <w:rFonts w:ascii="Arial" w:eastAsia="Calibri" w:hAnsi="Arial" w:cs="Arial"/>
                                <w:b/>
                                <w:bCs/>
                                <w:color w:val="FFFFFF" w:themeColor="background1"/>
                                <w:sz w:val="20"/>
                                <w:szCs w:val="20"/>
                                <w:u w:val="single"/>
                              </w:rPr>
                              <w:t>serviços</w:t>
                            </w:r>
                            <w:r w:rsidRPr="00CD32C2">
                              <w:rPr>
                                <w:rFonts w:ascii="Arial" w:eastAsia="Calibri" w:hAnsi="Arial" w:cs="Arial"/>
                                <w:color w:val="FFFFFF" w:themeColor="background1"/>
                                <w:sz w:val="20"/>
                                <w:szCs w:val="20"/>
                                <w:u w:val="single"/>
                              </w:rPr>
                              <w:t xml:space="preserve"> </w:t>
                            </w:r>
                            <w:r w:rsidRPr="00CD32C2">
                              <w:rPr>
                                <w:rFonts w:ascii="Arial" w:eastAsia="Calibri" w:hAnsi="Arial" w:cs="Arial"/>
                                <w:b/>
                                <w:bCs/>
                                <w:color w:val="FFFFFF" w:themeColor="background1"/>
                                <w:sz w:val="20"/>
                                <w:szCs w:val="20"/>
                                <w:u w:val="single"/>
                              </w:rPr>
                              <w:t>especiais de engenharia</w:t>
                            </w:r>
                            <w:r w:rsidRPr="00CD32C2">
                              <w:rPr>
                                <w:rFonts w:ascii="Arial" w:eastAsia="Calibri" w:hAnsi="Arial" w:cs="Arial"/>
                                <w:color w:val="FFFFFF" w:themeColor="background1"/>
                                <w:sz w:val="20"/>
                                <w:szCs w:val="20"/>
                              </w:rPr>
                              <w:t xml:space="preserve">, nos termos das definições constantes do inciso XVIII, alínea “b” do inciso XXI, e inciso XXXVIII, todos do art. 6º e art. 29, parágrafo único da referida Lei, consoante modelo de edital disponibilizado pela AGU. </w:t>
                            </w:r>
                          </w:p>
                          <w:p w14:paraId="4CFDCB66" w14:textId="77777777" w:rsidR="00CD32C2" w:rsidRPr="00CD32C2" w:rsidRDefault="00CD32C2" w:rsidP="00CD32C2">
                            <w:pPr>
                              <w:spacing w:line="240" w:lineRule="auto"/>
                              <w:ind w:left="2124"/>
                              <w:rPr>
                                <w:rFonts w:ascii="Arial" w:eastAsia="Calibri" w:hAnsi="Arial" w:cs="Arial"/>
                                <w:b/>
                                <w:bCs/>
                                <w:color w:val="FFFFFF" w:themeColor="background1"/>
                                <w:sz w:val="20"/>
                                <w:szCs w:val="20"/>
                              </w:rPr>
                            </w:pPr>
                            <w:r w:rsidRPr="00CD32C2">
                              <w:rPr>
                                <w:rFonts w:ascii="Arial" w:eastAsia="Calibri" w:hAnsi="Arial" w:cs="Arial"/>
                                <w:color w:val="FFFFFF" w:themeColor="background1"/>
                                <w:sz w:val="20"/>
                                <w:szCs w:val="20"/>
                              </w:rPr>
                              <w:t xml:space="preserve">Poderá ser utilizado para serviços técnicos especializados de natureza predominantemente intelectual, de valor inferior a R$ 343.249,96, nos termos do artigo 6º, XVIII, e art. 37, §2º, ambos da Lei nº 14.133, de 2021, combinado com o Decreto n.º 11.317, de 2022, com </w:t>
                            </w:r>
                            <w:r w:rsidRPr="00CD32C2">
                              <w:rPr>
                                <w:rFonts w:ascii="Arial" w:eastAsia="Calibri" w:hAnsi="Arial" w:cs="Arial"/>
                                <w:b/>
                                <w:bCs/>
                                <w:color w:val="FFFFFF" w:themeColor="background1"/>
                                <w:sz w:val="20"/>
                                <w:szCs w:val="20"/>
                              </w:rPr>
                              <w:t>critérios de julgamento menor preço ou maior desconto. Caso o valor estimado da licitação seja superior</w:t>
                            </w:r>
                            <w:r w:rsidRPr="00CD32C2">
                              <w:rPr>
                                <w:rFonts w:ascii="Arial" w:eastAsia="Calibri" w:hAnsi="Arial" w:cs="Arial"/>
                                <w:color w:val="FFFFFF" w:themeColor="background1"/>
                                <w:sz w:val="20"/>
                                <w:szCs w:val="20"/>
                              </w:rPr>
                              <w:t xml:space="preserve"> a R$ 343.249,96</w:t>
                            </w:r>
                            <w:r w:rsidRPr="00CD32C2">
                              <w:rPr>
                                <w:rFonts w:ascii="Arial" w:eastAsia="Calibri" w:hAnsi="Arial" w:cs="Arial"/>
                                <w:b/>
                                <w:bCs/>
                                <w:color w:val="FFFFFF" w:themeColor="background1"/>
                                <w:sz w:val="20"/>
                                <w:szCs w:val="20"/>
                              </w:rPr>
                              <w:t xml:space="preserve"> a Administração poderá adotar outros critérios, cabendo ao parecerista fazer os devidos ajustes no caso concreto, não objeto deste parecer parametrizado.</w:t>
                            </w:r>
                          </w:p>
                          <w:p w14:paraId="4009E72D" w14:textId="4AFE5E91" w:rsidR="00BC64A8" w:rsidRPr="00CD32C2" w:rsidRDefault="00CD32C2" w:rsidP="00CD32C2">
                            <w:pPr>
                              <w:spacing w:line="240" w:lineRule="auto"/>
                              <w:ind w:left="2124"/>
                              <w:rPr>
                                <w:rFonts w:ascii="Arial" w:eastAsia="Calibri" w:hAnsi="Arial" w:cs="Arial"/>
                                <w:color w:val="FFFFFF" w:themeColor="background1"/>
                                <w:sz w:val="20"/>
                                <w:szCs w:val="20"/>
                              </w:rPr>
                            </w:pPr>
                            <w:r w:rsidRPr="00CD32C2">
                              <w:rPr>
                                <w:rFonts w:ascii="Arial" w:eastAsia="Calibri" w:hAnsi="Arial" w:cs="Arial"/>
                                <w:b/>
                                <w:bCs/>
                                <w:color w:val="FFFFFF" w:themeColor="background1"/>
                                <w:sz w:val="20"/>
                                <w:szCs w:val="20"/>
                              </w:rPr>
                              <w:t>Se a contratação de serviço de engenharia for realizada com dedicação exclusiva de mão-de-obra</w:t>
                            </w:r>
                            <w:r w:rsidRPr="00CD32C2">
                              <w:rPr>
                                <w:rFonts w:ascii="Arial" w:eastAsia="Calibri" w:hAnsi="Arial" w:cs="Arial"/>
                                <w:color w:val="FFFFFF" w:themeColor="background1"/>
                                <w:sz w:val="20"/>
                                <w:szCs w:val="20"/>
                              </w:rPr>
                              <w:t>, este modelo deverá ser combinado com o de</w:t>
                            </w:r>
                            <w:r w:rsidR="00802A4A">
                              <w:rPr>
                                <w:rFonts w:ascii="Arial" w:eastAsia="Calibri" w:hAnsi="Arial" w:cs="Arial"/>
                                <w:color w:val="FFFFFF" w:themeColor="background1"/>
                                <w:sz w:val="20"/>
                                <w:szCs w:val="20"/>
                              </w:rPr>
                              <w:t xml:space="preserve"> </w:t>
                            </w:r>
                            <w:r w:rsidRPr="00CD32C2">
                              <w:rPr>
                                <w:rFonts w:ascii="Arial" w:eastAsia="Calibri" w:hAnsi="Arial" w:cs="Arial"/>
                                <w:color w:val="FFFFFF" w:themeColor="background1"/>
                                <w:sz w:val="20"/>
                                <w:szCs w:val="20"/>
                              </w:rPr>
                              <w:t>serviços continuados com dedicação exclusiva de mão-de-obra, transportando as matérias ali pertinentes para o presente modelo.</w:t>
                            </w:r>
                          </w:p>
                        </w:txbxContent>
                      </wps:txbx>
                      <wps:bodyPr rot="0" spcFirstLastPara="0" vertOverflow="overflow" horzOverflow="overflow" vert="horz" wrap="square" lIns="72000" tIns="45720" rIns="360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BE7C345" id="Retângulo: Cantos Arredondados 24" o:spid="_x0000_s1027" style="position:absolute;margin-left:-.75pt;margin-top:292.3pt;width:496.05pt;height:285.6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4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" filled="f" strokecolor="#b886b3" strokeweight="2.25pt">
                <v:stroke endcap="round"/>
                <v:textbox inset="2mm,,10mm">
                  <w:txbxContent>
                    <w:p w14:paraId="0FABCDAB" w14:textId="77777777" w:rsidR="00CD32C2" w:rsidRPr="00CD32C2" w:rsidRDefault="00CD32C2" w:rsidP="00CD32C2">
                      <w:pPr>
                        <w:spacing w:line="240" w:lineRule="auto"/>
                        <w:ind w:left="2124"/>
                        <w:rPr>
                          <w:rFonts w:ascii="Arial" w:eastAsia="Calibri" w:hAnsi="Arial" w:cs="Arial"/>
                          <w:color w:val="FFFFFF" w:themeColor="background1"/>
                          <w:sz w:val="20"/>
                          <w:szCs w:val="20"/>
                        </w:rPr>
                      </w:pPr>
                      <w:r w:rsidRPr="00CD32C2">
                        <w:rPr>
                          <w:rFonts w:ascii="Arial" w:eastAsia="Calibri" w:hAnsi="Arial" w:cs="Arial"/>
                          <w:color w:val="FFFFFF" w:themeColor="background1"/>
                          <w:sz w:val="20"/>
                          <w:szCs w:val="20"/>
                        </w:rPr>
                        <w:t xml:space="preserve">Licitações na modalidade de concorrência, na forma eletrônica, do tipo </w:t>
                      </w:r>
                      <w:r w:rsidRPr="00CD32C2">
                        <w:rPr>
                          <w:rFonts w:ascii="Arial" w:eastAsia="Calibri" w:hAnsi="Arial" w:cs="Arial"/>
                          <w:b/>
                          <w:bCs/>
                          <w:color w:val="FFFFFF" w:themeColor="background1"/>
                          <w:sz w:val="20"/>
                          <w:szCs w:val="20"/>
                        </w:rPr>
                        <w:t>menor preço</w:t>
                      </w:r>
                      <w:r w:rsidRPr="00CD32C2">
                        <w:rPr>
                          <w:rFonts w:ascii="Arial" w:eastAsia="Calibri" w:hAnsi="Arial" w:cs="Arial"/>
                          <w:color w:val="FFFFFF" w:themeColor="background1"/>
                          <w:sz w:val="20"/>
                          <w:szCs w:val="20"/>
                        </w:rPr>
                        <w:t xml:space="preserve"> ou </w:t>
                      </w:r>
                      <w:r w:rsidRPr="00CD32C2">
                        <w:rPr>
                          <w:rFonts w:ascii="Arial" w:eastAsia="Calibri" w:hAnsi="Arial" w:cs="Arial"/>
                          <w:b/>
                          <w:bCs/>
                          <w:color w:val="FFFFFF" w:themeColor="background1"/>
                          <w:sz w:val="20"/>
                          <w:szCs w:val="20"/>
                        </w:rPr>
                        <w:t>maior desconto</w:t>
                      </w:r>
                      <w:r w:rsidRPr="00CD32C2">
                        <w:rPr>
                          <w:rFonts w:ascii="Arial" w:eastAsia="Calibri" w:hAnsi="Arial" w:cs="Arial"/>
                          <w:color w:val="FFFFFF" w:themeColor="background1"/>
                          <w:sz w:val="20"/>
                          <w:szCs w:val="20"/>
                        </w:rPr>
                        <w:t xml:space="preserve">. com ou sem </w:t>
                      </w:r>
                      <w:r w:rsidRPr="00CD32C2">
                        <w:rPr>
                          <w:rFonts w:ascii="Arial" w:eastAsia="Calibri" w:hAnsi="Arial" w:cs="Arial"/>
                          <w:b/>
                          <w:bCs/>
                          <w:color w:val="FFFFFF" w:themeColor="background1"/>
                          <w:sz w:val="20"/>
                          <w:szCs w:val="20"/>
                        </w:rPr>
                        <w:t>Sistema de Registro de Preços-SRP</w:t>
                      </w:r>
                      <w:r w:rsidRPr="00CD32C2">
                        <w:rPr>
                          <w:rFonts w:ascii="Arial" w:eastAsia="Calibri" w:hAnsi="Arial" w:cs="Arial"/>
                          <w:color w:val="FFFFFF" w:themeColor="background1"/>
                          <w:sz w:val="20"/>
                          <w:szCs w:val="20"/>
                        </w:rPr>
                        <w:t xml:space="preserve">, mediante o regime de </w:t>
                      </w:r>
                      <w:r w:rsidRPr="00CD32C2">
                        <w:rPr>
                          <w:rFonts w:ascii="Arial" w:eastAsia="Calibri" w:hAnsi="Arial" w:cs="Arial"/>
                          <w:b/>
                          <w:bCs/>
                          <w:color w:val="FFFFFF" w:themeColor="background1"/>
                          <w:sz w:val="20"/>
                          <w:szCs w:val="20"/>
                        </w:rPr>
                        <w:t>empreitada por preço unitário</w:t>
                      </w:r>
                      <w:r w:rsidRPr="00CD32C2">
                        <w:rPr>
                          <w:rFonts w:ascii="Arial" w:eastAsia="Calibri" w:hAnsi="Arial" w:cs="Arial"/>
                          <w:color w:val="FFFFFF" w:themeColor="background1"/>
                          <w:sz w:val="20"/>
                          <w:szCs w:val="20"/>
                        </w:rPr>
                        <w:t xml:space="preserve"> </w:t>
                      </w:r>
                      <w:r w:rsidRPr="00CD32C2">
                        <w:rPr>
                          <w:rFonts w:ascii="Arial" w:eastAsia="Calibri" w:hAnsi="Arial" w:cs="Arial"/>
                          <w:b/>
                          <w:bCs/>
                          <w:color w:val="FFFFFF" w:themeColor="background1"/>
                          <w:sz w:val="20"/>
                          <w:szCs w:val="20"/>
                          <w:u w:val="single"/>
                        </w:rPr>
                        <w:t>ou</w:t>
                      </w:r>
                      <w:r w:rsidRPr="00CD32C2">
                        <w:rPr>
                          <w:rFonts w:ascii="Arial" w:eastAsia="Calibri" w:hAnsi="Arial" w:cs="Arial"/>
                          <w:color w:val="FFFFFF" w:themeColor="background1"/>
                          <w:sz w:val="20"/>
                          <w:szCs w:val="20"/>
                        </w:rPr>
                        <w:t xml:space="preserve"> </w:t>
                      </w:r>
                      <w:r w:rsidRPr="00CD32C2">
                        <w:rPr>
                          <w:rFonts w:ascii="Arial" w:eastAsia="Calibri" w:hAnsi="Arial" w:cs="Arial"/>
                          <w:b/>
                          <w:bCs/>
                          <w:color w:val="FFFFFF" w:themeColor="background1"/>
                          <w:sz w:val="20"/>
                          <w:szCs w:val="20"/>
                        </w:rPr>
                        <w:t>empreitada por preço global,</w:t>
                      </w:r>
                      <w:r w:rsidRPr="00CD32C2">
                        <w:rPr>
                          <w:rFonts w:ascii="Arial" w:eastAsia="Calibri" w:hAnsi="Arial" w:cs="Arial"/>
                          <w:color w:val="FFFFFF" w:themeColor="background1"/>
                          <w:sz w:val="20"/>
                          <w:szCs w:val="20"/>
                        </w:rPr>
                        <w:t xml:space="preserve"> sob o regramento da Lei nº 14.133, de 2021, para contratação de </w:t>
                      </w:r>
                      <w:r w:rsidRPr="00CD32C2">
                        <w:rPr>
                          <w:rFonts w:ascii="Arial" w:eastAsia="Calibri" w:hAnsi="Arial" w:cs="Arial"/>
                          <w:b/>
                          <w:bCs/>
                          <w:color w:val="FFFFFF" w:themeColor="background1"/>
                          <w:sz w:val="20"/>
                          <w:szCs w:val="20"/>
                          <w:u w:val="single"/>
                        </w:rPr>
                        <w:t>obras</w:t>
                      </w:r>
                      <w:r w:rsidRPr="00CD32C2">
                        <w:rPr>
                          <w:rFonts w:ascii="Arial" w:eastAsia="Calibri" w:hAnsi="Arial" w:cs="Arial"/>
                          <w:color w:val="FFFFFF" w:themeColor="background1"/>
                          <w:sz w:val="20"/>
                          <w:szCs w:val="20"/>
                          <w:u w:val="single"/>
                        </w:rPr>
                        <w:t xml:space="preserve"> e </w:t>
                      </w:r>
                      <w:r w:rsidRPr="00CD32C2">
                        <w:rPr>
                          <w:rFonts w:ascii="Arial" w:eastAsia="Calibri" w:hAnsi="Arial" w:cs="Arial"/>
                          <w:b/>
                          <w:bCs/>
                          <w:color w:val="FFFFFF" w:themeColor="background1"/>
                          <w:sz w:val="20"/>
                          <w:szCs w:val="20"/>
                          <w:u w:val="single"/>
                        </w:rPr>
                        <w:t>serviços</w:t>
                      </w:r>
                      <w:r w:rsidRPr="00CD32C2">
                        <w:rPr>
                          <w:rFonts w:ascii="Arial" w:eastAsia="Calibri" w:hAnsi="Arial" w:cs="Arial"/>
                          <w:color w:val="FFFFFF" w:themeColor="background1"/>
                          <w:sz w:val="20"/>
                          <w:szCs w:val="20"/>
                          <w:u w:val="single"/>
                        </w:rPr>
                        <w:t xml:space="preserve"> </w:t>
                      </w:r>
                      <w:r w:rsidRPr="00CD32C2">
                        <w:rPr>
                          <w:rFonts w:ascii="Arial" w:eastAsia="Calibri" w:hAnsi="Arial" w:cs="Arial"/>
                          <w:b/>
                          <w:bCs/>
                          <w:color w:val="FFFFFF" w:themeColor="background1"/>
                          <w:sz w:val="20"/>
                          <w:szCs w:val="20"/>
                          <w:u w:val="single"/>
                        </w:rPr>
                        <w:t>especiais de engenharia</w:t>
                      </w:r>
                      <w:r w:rsidRPr="00CD32C2">
                        <w:rPr>
                          <w:rFonts w:ascii="Arial" w:eastAsia="Calibri" w:hAnsi="Arial" w:cs="Arial"/>
                          <w:color w:val="FFFFFF" w:themeColor="background1"/>
                          <w:sz w:val="20"/>
                          <w:szCs w:val="20"/>
                        </w:rPr>
                        <w:t xml:space="preserve">, nos termos das definições constantes do inciso XVIII, alínea “b” do inciso XXI, e inciso XXXVIII, todos do art. 6º e art. 29, parágrafo único da referida Lei, consoante modelo de edital disponibilizado pela AGU. </w:t>
                      </w:r>
                    </w:p>
                    <w:p w14:paraId="4CFDCB66" w14:textId="77777777" w:rsidR="00CD32C2" w:rsidRPr="00CD32C2" w:rsidRDefault="00CD32C2" w:rsidP="00CD32C2">
                      <w:pPr>
                        <w:spacing w:line="240" w:lineRule="auto"/>
                        <w:ind w:left="2124"/>
                        <w:rPr>
                          <w:rFonts w:ascii="Arial" w:eastAsia="Calibri" w:hAnsi="Arial" w:cs="Arial"/>
                          <w:b/>
                          <w:bCs/>
                          <w:color w:val="FFFFFF" w:themeColor="background1"/>
                          <w:sz w:val="20"/>
                          <w:szCs w:val="20"/>
                        </w:rPr>
                      </w:pPr>
                      <w:r w:rsidRPr="00CD32C2">
                        <w:rPr>
                          <w:rFonts w:ascii="Arial" w:eastAsia="Calibri" w:hAnsi="Arial" w:cs="Arial"/>
                          <w:color w:val="FFFFFF" w:themeColor="background1"/>
                          <w:sz w:val="20"/>
                          <w:szCs w:val="20"/>
                        </w:rPr>
                        <w:t xml:space="preserve">Poderá ser utilizado para serviços técnicos especializados de natureza predominantemente intelectual, de valor inferior a R$ 343.249,96, nos termos do artigo 6º, XVIII, e art. 37, §2º, ambos da Lei nº 14.133, de 2021, combinado com o Decreto n.º 11.317, de 2022, com </w:t>
                      </w:r>
                      <w:r w:rsidRPr="00CD32C2">
                        <w:rPr>
                          <w:rFonts w:ascii="Arial" w:eastAsia="Calibri" w:hAnsi="Arial" w:cs="Arial"/>
                          <w:b/>
                          <w:bCs/>
                          <w:color w:val="FFFFFF" w:themeColor="background1"/>
                          <w:sz w:val="20"/>
                          <w:szCs w:val="20"/>
                        </w:rPr>
                        <w:t>critérios de julgamento menor preço ou maior desconto. Caso o valor estimado da licitação seja superior</w:t>
                      </w:r>
                      <w:r w:rsidRPr="00CD32C2">
                        <w:rPr>
                          <w:rFonts w:ascii="Arial" w:eastAsia="Calibri" w:hAnsi="Arial" w:cs="Arial"/>
                          <w:color w:val="FFFFFF" w:themeColor="background1"/>
                          <w:sz w:val="20"/>
                          <w:szCs w:val="20"/>
                        </w:rPr>
                        <w:t xml:space="preserve"> a R$ 343.249,96</w:t>
                      </w:r>
                      <w:r w:rsidRPr="00CD32C2">
                        <w:rPr>
                          <w:rFonts w:ascii="Arial" w:eastAsia="Calibri" w:hAnsi="Arial" w:cs="Arial"/>
                          <w:b/>
                          <w:bCs/>
                          <w:color w:val="FFFFFF" w:themeColor="background1"/>
                          <w:sz w:val="20"/>
                          <w:szCs w:val="20"/>
                        </w:rPr>
                        <w:t xml:space="preserve"> a Administração poderá adotar outros critérios, cabendo ao parecerista fazer os devidos ajustes no caso concreto, não objeto deste parecer parametrizado.</w:t>
                      </w:r>
                    </w:p>
                    <w:p w14:paraId="4009E72D" w14:textId="4AFE5E91" w:rsidR="00BC64A8" w:rsidRPr="00CD32C2" w:rsidRDefault="00CD32C2" w:rsidP="00CD32C2">
                      <w:pPr>
                        <w:spacing w:line="240" w:lineRule="auto"/>
                        <w:ind w:left="2124"/>
                        <w:rPr>
                          <w:rFonts w:ascii="Arial" w:eastAsia="Calibri" w:hAnsi="Arial" w:cs="Arial"/>
                          <w:color w:val="FFFFFF" w:themeColor="background1"/>
                          <w:sz w:val="20"/>
                          <w:szCs w:val="20"/>
                        </w:rPr>
                      </w:pPr>
                      <w:r w:rsidRPr="00CD32C2">
                        <w:rPr>
                          <w:rFonts w:ascii="Arial" w:eastAsia="Calibri" w:hAnsi="Arial" w:cs="Arial"/>
                          <w:b/>
                          <w:bCs/>
                          <w:color w:val="FFFFFF" w:themeColor="background1"/>
                          <w:sz w:val="20"/>
                          <w:szCs w:val="20"/>
                        </w:rPr>
                        <w:t>Se a contratação de serviço de engenharia for realizada com dedicação exclusiva de mão-de-obra</w:t>
                      </w:r>
                      <w:r w:rsidRPr="00CD32C2">
                        <w:rPr>
                          <w:rFonts w:ascii="Arial" w:eastAsia="Calibri" w:hAnsi="Arial" w:cs="Arial"/>
                          <w:color w:val="FFFFFF" w:themeColor="background1"/>
                          <w:sz w:val="20"/>
                          <w:szCs w:val="20"/>
                        </w:rPr>
                        <w:t>, este modelo deverá ser combinado com o de</w:t>
                      </w:r>
                      <w:r w:rsidR="00802A4A">
                        <w:rPr>
                          <w:rFonts w:ascii="Arial" w:eastAsia="Calibri" w:hAnsi="Arial" w:cs="Arial"/>
                          <w:color w:val="FFFFFF" w:themeColor="background1"/>
                          <w:sz w:val="20"/>
                          <w:szCs w:val="20"/>
                        </w:rPr>
                        <w:t xml:space="preserve"> </w:t>
                      </w:r>
                      <w:r w:rsidRPr="00CD32C2">
                        <w:rPr>
                          <w:rFonts w:ascii="Arial" w:eastAsia="Calibri" w:hAnsi="Arial" w:cs="Arial"/>
                          <w:color w:val="FFFFFF" w:themeColor="background1"/>
                          <w:sz w:val="20"/>
                          <w:szCs w:val="20"/>
                        </w:rPr>
                        <w:t>serviços continuados com dedicação exclusiva de mão-de-obra, transportando as matérias ali pertinentes para o presente modelo.</w:t>
                      </w:r>
                    </w:p>
                  </w:txbxContent>
                </v:textbox>
                <w10:wrap anchorx="margin"/>
              </v:roundrect>
            </w:pict>
          </mc:Fallback>
        </mc:AlternateContent>
      </w:r>
      <w:r w:rsidRPr="00BC64A8">
        <w:rPr>
          <w:noProof/>
          <w:lang w:eastAsia="pt-BR"/>
        </w:rPr>
        <mc:AlternateContent>
          <mc:Choice Requires="wps">
            <w:drawing>
              <wp:anchor distT="0" distB="0" distL="114300" distR="114300" simplePos="0" relativeHeight="251676672" behindDoc="0" locked="0" layoutInCell="1" allowOverlap="1" wp14:anchorId="5EAC2603" wp14:editId="007F8DFF">
                <wp:simplePos x="0" y="0"/>
                <wp:positionH relativeFrom="column">
                  <wp:posOffset>-301625</wp:posOffset>
                </wp:positionH>
                <wp:positionV relativeFrom="paragraph">
                  <wp:posOffset>3457575</wp:posOffset>
                </wp:positionV>
                <wp:extent cx="1447800" cy="1466850"/>
                <wp:effectExtent l="0" t="0" r="0" b="0"/>
                <wp:wrapNone/>
                <wp:docPr id="20" name="Retângulo: Cantos Arredondados 20"/>
                <wp:cNvGraphicFramePr/>
                <a:graphic xmlns:a="http://schemas.openxmlformats.org/drawingml/2006/main">
                  <a:graphicData uri="http://schemas.microsoft.com/office/word/2010/wordprocessingShape">
                    <wps:wsp>
                      <wps:cNvSpPr/>
                      <wps:spPr>
                        <a:xfrm>
                          <a:off x="0" y="0"/>
                          <a:ext cx="1447800" cy="1466850"/>
                        </a:xfrm>
                        <a:prstGeom prst="roundRect">
                          <a:avLst>
                            <a:gd name="adj" fmla="val 7456"/>
                          </a:avLst>
                        </a:prstGeom>
                        <a:solidFill>
                          <a:srgbClr val="B886B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9D7030" w14:textId="77777777" w:rsidR="00BC64A8" w:rsidRPr="00A06A28" w:rsidRDefault="00BC64A8" w:rsidP="00BC64A8">
                            <w:pPr>
                              <w:jc w:val="center"/>
                              <w:rPr>
                                <w:rFonts w:ascii="Ubuntu" w:hAnsi="Ubuntu"/>
                                <w:b/>
                                <w:bCs/>
                              </w:rPr>
                            </w:pPr>
                            <w:r w:rsidRPr="00BC64A8">
                              <w:rPr>
                                <w:rFonts w:ascii="Arial" w:hAnsi="Arial" w:cs="Arial"/>
                                <w:b/>
                                <w:bCs/>
                              </w:rPr>
                              <w:t>HIPÓTESES DE APLICAÇÃO</w:t>
                            </w:r>
                            <w:r>
                              <w:rPr>
                                <w:rFonts w:ascii="Ubuntu" w:hAnsi="Ubuntu"/>
                                <w:b/>
                                <w:bCs/>
                                <w:noProof/>
                                <w:lang w:eastAsia="pt-BR"/>
                              </w:rPr>
                              <w:drawing>
                                <wp:inline distT="0" distB="0" distL="0" distR="0" wp14:anchorId="2DB916B4" wp14:editId="30A8B00A">
                                  <wp:extent cx="856788" cy="1062355"/>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l="6253"/>
                                          <a:stretch/>
                                        </pic:blipFill>
                                        <pic:spPr bwMode="auto">
                                          <a:xfrm>
                                            <a:off x="0" y="0"/>
                                            <a:ext cx="857221" cy="106289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EAC2603" id="Retângulo: Cantos Arredondados 20" o:spid="_x0000_s1028" style="position:absolute;margin-left:-23.75pt;margin-top:272.25pt;width:114pt;height:11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8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" fillcolor="#b886b3" stroked="f" strokeweight="1pt">
                <v:stroke joinstyle="miter"/>
                <v:textbox>
                  <w:txbxContent>
                    <w:p w14:paraId="159D7030" w14:textId="77777777" w:rsidR="00BC64A8" w:rsidRPr="00A06A28" w:rsidRDefault="00BC64A8" w:rsidP="00BC64A8">
                      <w:pPr>
                        <w:jc w:val="center"/>
                        <w:rPr>
                          <w:rFonts w:ascii="Ubuntu" w:hAnsi="Ubuntu"/>
                          <w:b/>
                          <w:bCs/>
                        </w:rPr>
                      </w:pPr>
                      <w:r w:rsidRPr="00BC64A8">
                        <w:rPr>
                          <w:rFonts w:ascii="Arial" w:hAnsi="Arial" w:cs="Arial"/>
                          <w:b/>
                          <w:bCs/>
                        </w:rPr>
                        <w:t>HIPÓTESES DE APLICAÇÃO</w:t>
                      </w:r>
                      <w:r>
                        <w:rPr>
                          <w:rFonts w:ascii="Ubuntu" w:hAnsi="Ubuntu"/>
                          <w:b/>
                          <w:bCs/>
                          <w:noProof/>
                          <w:lang w:eastAsia="pt-BR"/>
                        </w:rPr>
                        <w:drawing>
                          <wp:inline distT="0" distB="0" distL="0" distR="0" wp14:anchorId="2DB916B4" wp14:editId="30A8B00A">
                            <wp:extent cx="856788" cy="1062355"/>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l="6253"/>
                                    <a:stretch/>
                                  </pic:blipFill>
                                  <pic:spPr bwMode="auto">
                                    <a:xfrm>
                                      <a:off x="0" y="0"/>
                                      <a:ext cx="857221" cy="106289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oundrect>
            </w:pict>
          </mc:Fallback>
        </mc:AlternateContent>
      </w:r>
      <w:r w:rsidRPr="00BC64A8">
        <w:rPr>
          <w:noProof/>
          <w:lang w:eastAsia="pt-BR"/>
        </w:rPr>
        <mc:AlternateContent>
          <mc:Choice Requires="wps">
            <w:drawing>
              <wp:anchor distT="0" distB="0" distL="114300" distR="114300" simplePos="0" relativeHeight="251674624" behindDoc="0" locked="0" layoutInCell="1" allowOverlap="1" wp14:anchorId="3940737C" wp14:editId="623E062B">
                <wp:simplePos x="0" y="0"/>
                <wp:positionH relativeFrom="column">
                  <wp:posOffset>-114300</wp:posOffset>
                </wp:positionH>
                <wp:positionV relativeFrom="paragraph">
                  <wp:posOffset>3569335</wp:posOffset>
                </wp:positionV>
                <wp:extent cx="6299835" cy="3666490"/>
                <wp:effectExtent l="0" t="0" r="5715" b="0"/>
                <wp:wrapNone/>
                <wp:docPr id="150" name="Retângulo: Cantos Arredondados 150"/>
                <wp:cNvGraphicFramePr/>
                <a:graphic xmlns:a="http://schemas.openxmlformats.org/drawingml/2006/main">
                  <a:graphicData uri="http://schemas.microsoft.com/office/word/2010/wordprocessingShape">
                    <wps:wsp>
                      <wps:cNvSpPr/>
                      <wps:spPr>
                        <a:xfrm>
                          <a:off x="0" y="0"/>
                          <a:ext cx="6299835" cy="3666490"/>
                        </a:xfrm>
                        <a:prstGeom prst="roundRect">
                          <a:avLst>
                            <a:gd name="adj" fmla="val 2857"/>
                          </a:avLst>
                        </a:prstGeom>
                        <a:solidFill>
                          <a:srgbClr val="154B5D"/>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598B6071" w14:textId="77777777" w:rsidR="007C5E1C" w:rsidRPr="000F5532" w:rsidRDefault="007C5E1C" w:rsidP="007C5E1C">
                            <w:pPr>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940737C" id="Retângulo: Cantos Arredondados 150" o:spid="_x0000_s1029" style="position:absolute;margin-left:-9pt;margin-top:281.05pt;width:496.05pt;height:288.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" fillcolor="#154b5d" stroked="f" strokeweight="1pt">
                <v:stroke joinstyle="miter"/>
                <v:textbox>
                  <w:txbxContent>
                    <w:p w14:paraId="598B6071" w14:textId="77777777" w:rsidR="007C5E1C" w:rsidRPr="000F5532" w:rsidRDefault="007C5E1C" w:rsidP="007C5E1C">
                      <w:pPr>
                        <w:ind w:left="2484"/>
                        <w:rPr>
                          <w:rFonts w:ascii="Ubuntu" w:hAnsi="Ubuntu"/>
                          <w:color w:val="FFFFFF" w:themeColor="background1"/>
                          <w:sz w:val="20"/>
                          <w:szCs w:val="20"/>
                        </w:rPr>
                      </w:pPr>
                    </w:p>
                  </w:txbxContent>
                </v:textbox>
              </v:roundrect>
            </w:pict>
          </mc:Fallback>
        </mc:AlternateContent>
      </w:r>
      <w:r w:rsidRPr="00BC64A8">
        <w:rPr>
          <w:noProof/>
          <w:lang w:eastAsia="pt-BR"/>
        </w:rPr>
        <mc:AlternateContent>
          <mc:Choice Requires="wps">
            <w:drawing>
              <wp:anchor distT="0" distB="0" distL="114300" distR="114300" simplePos="0" relativeHeight="251665408" behindDoc="0" locked="0" layoutInCell="1" allowOverlap="1" wp14:anchorId="216DCF37" wp14:editId="092AE2CA">
                <wp:simplePos x="0" y="0"/>
                <wp:positionH relativeFrom="margin">
                  <wp:posOffset>19050</wp:posOffset>
                </wp:positionH>
                <wp:positionV relativeFrom="paragraph">
                  <wp:posOffset>634365</wp:posOffset>
                </wp:positionV>
                <wp:extent cx="6299835" cy="2333625"/>
                <wp:effectExtent l="19050" t="19050" r="24765" b="28575"/>
                <wp:wrapNone/>
                <wp:docPr id="11" name="Retângulo: Cantos Arredondados 11"/>
                <wp:cNvGraphicFramePr/>
                <a:graphic xmlns:a="http://schemas.openxmlformats.org/drawingml/2006/main">
                  <a:graphicData uri="http://schemas.microsoft.com/office/word/2010/wordprocessingShape">
                    <wps:wsp>
                      <wps:cNvSpPr/>
                      <wps:spPr>
                        <a:xfrm>
                          <a:off x="0" y="0"/>
                          <a:ext cx="6299835" cy="2333625"/>
                        </a:xfrm>
                        <a:prstGeom prst="roundRect">
                          <a:avLst>
                            <a:gd name="adj" fmla="val 2955"/>
                          </a:avLst>
                        </a:prstGeom>
                        <a:noFill/>
                        <a:ln w="28575">
                          <a:solidFill>
                            <a:srgbClr val="B886B3"/>
                          </a:solidFill>
                        </a:ln>
                      </wps:spPr>
                      <wps:style>
                        <a:lnRef idx="2">
                          <a:schemeClr val="dk1">
                            <a:shade val="50000"/>
                          </a:schemeClr>
                        </a:lnRef>
                        <a:fillRef idx="1">
                          <a:schemeClr val="dk1"/>
                        </a:fillRef>
                        <a:effectRef idx="0">
                          <a:schemeClr val="dk1"/>
                        </a:effectRef>
                        <a:fontRef idx="minor">
                          <a:schemeClr val="lt1"/>
                        </a:fontRef>
                      </wps:style>
                      <wps:txbx>
                        <w:txbxContent>
                          <w:p w14:paraId="31BAC867" w14:textId="77777777" w:rsidR="00845559" w:rsidRPr="00845559" w:rsidRDefault="00845559" w:rsidP="00845559">
                            <w:pPr>
                              <w:numPr>
                                <w:ilvl w:val="0"/>
                                <w:numId w:val="5"/>
                              </w:numPr>
                              <w:ind w:left="2410" w:hanging="283"/>
                              <w:rPr>
                                <w:rFonts w:ascii="Arial" w:eastAsia="Times New Roman" w:hAnsi="Arial" w:cs="Arial"/>
                                <w:color w:val="FFFFFF" w:themeColor="background1"/>
                                <w:sz w:val="20"/>
                                <w:szCs w:val="20"/>
                              </w:rPr>
                            </w:pPr>
                            <w:r w:rsidRPr="00845559">
                              <w:rPr>
                                <w:rFonts w:ascii="Arial" w:eastAsia="Times New Roman" w:hAnsi="Arial" w:cs="Arial"/>
                                <w:color w:val="FFFFFF" w:themeColor="background1"/>
                                <w:sz w:val="20"/>
                                <w:szCs w:val="20"/>
                              </w:rPr>
                              <w:t>O modelo pretende uniformizar a atuação consultiva no âmbito da Procuradoria-Geral Federal.</w:t>
                            </w:r>
                          </w:p>
                          <w:p w14:paraId="65A6DAB4" w14:textId="77777777" w:rsidR="00845559" w:rsidRPr="00845559" w:rsidRDefault="00845559" w:rsidP="00845559">
                            <w:pPr>
                              <w:numPr>
                                <w:ilvl w:val="0"/>
                                <w:numId w:val="5"/>
                              </w:numPr>
                              <w:ind w:left="2410" w:hanging="283"/>
                              <w:rPr>
                                <w:rFonts w:ascii="Arial" w:eastAsia="Times New Roman" w:hAnsi="Arial" w:cs="Arial"/>
                                <w:color w:val="FFFFFF" w:themeColor="background1"/>
                                <w:sz w:val="20"/>
                                <w:szCs w:val="20"/>
                              </w:rPr>
                            </w:pPr>
                            <w:r w:rsidRPr="00845559">
                              <w:rPr>
                                <w:rFonts w:ascii="Arial" w:eastAsia="Times New Roman" w:hAnsi="Arial" w:cs="Arial"/>
                                <w:color w:val="FFFFFF" w:themeColor="background1"/>
                                <w:sz w:val="20"/>
                                <w:szCs w:val="20"/>
                              </w:rPr>
                              <w:t xml:space="preserve">Os pareceres estão em </w:t>
                            </w:r>
                            <w:r w:rsidRPr="00845559">
                              <w:rPr>
                                <w:rFonts w:ascii="Arial" w:eastAsia="Times New Roman" w:hAnsi="Arial" w:cs="Arial"/>
                                <w:b/>
                                <w:color w:val="FFFFFF" w:themeColor="background1"/>
                                <w:sz w:val="20"/>
                                <w:szCs w:val="20"/>
                              </w:rPr>
                              <w:t>permanente aperfeiçoamento</w:t>
                            </w:r>
                            <w:r w:rsidRPr="00845559">
                              <w:rPr>
                                <w:rFonts w:ascii="Arial" w:eastAsia="Times New Roman" w:hAnsi="Arial" w:cs="Arial"/>
                                <w:color w:val="FFFFFF" w:themeColor="background1"/>
                                <w:sz w:val="20"/>
                                <w:szCs w:val="20"/>
                              </w:rPr>
                              <w:t xml:space="preserve"> pela Câmara Permanente de Uniformização de Entendimentos Consultivos da PGF.</w:t>
                            </w:r>
                          </w:p>
                          <w:p w14:paraId="2BC29AB8" w14:textId="4E5EB434" w:rsidR="00BC64A8" w:rsidRPr="00845559" w:rsidRDefault="00845559" w:rsidP="00845559">
                            <w:pPr>
                              <w:numPr>
                                <w:ilvl w:val="0"/>
                                <w:numId w:val="5"/>
                              </w:numPr>
                              <w:ind w:left="2410" w:hanging="283"/>
                              <w:rPr>
                                <w:rFonts w:ascii="Arial" w:eastAsia="Times New Roman" w:hAnsi="Arial" w:cs="Arial"/>
                                <w:color w:val="FFFFFF" w:themeColor="background1"/>
                                <w:sz w:val="20"/>
                                <w:szCs w:val="20"/>
                              </w:rPr>
                            </w:pPr>
                            <w:r w:rsidRPr="00845559">
                              <w:rPr>
                                <w:rFonts w:ascii="Arial" w:eastAsia="Times New Roman" w:hAnsi="Arial" w:cs="Arial"/>
                                <w:color w:val="FFFFFF" w:themeColor="background1"/>
                                <w:sz w:val="20"/>
                                <w:szCs w:val="20"/>
                              </w:rPr>
                              <w:t xml:space="preserve">Destaca-se, no entanto, que </w:t>
                            </w:r>
                            <w:r w:rsidRPr="00845559">
                              <w:rPr>
                                <w:rFonts w:ascii="Arial" w:eastAsia="Times New Roman" w:hAnsi="Arial" w:cs="Arial"/>
                                <w:b/>
                                <w:color w:val="FFFFFF" w:themeColor="background1"/>
                                <w:sz w:val="20"/>
                                <w:szCs w:val="20"/>
                              </w:rPr>
                              <w:t xml:space="preserve">somente o Procurador Federal oficiante, </w:t>
                            </w:r>
                            <w:r w:rsidRPr="00845559">
                              <w:rPr>
                                <w:rFonts w:ascii="Arial" w:eastAsia="Times New Roman" w:hAnsi="Arial" w:cs="Arial"/>
                                <w:color w:val="FFFFFF" w:themeColor="background1"/>
                                <w:sz w:val="20"/>
                                <w:szCs w:val="20"/>
                              </w:rPr>
                              <w:t>no exercício de sua autonomia funcional, poderá avaliar a pertinência de manter</w:t>
                            </w:r>
                            <w:r w:rsidR="00CD32C2">
                              <w:rPr>
                                <w:rFonts w:ascii="Arial" w:eastAsia="Times New Roman" w:hAnsi="Arial" w:cs="Arial"/>
                                <w:color w:val="FFFFFF" w:themeColor="background1"/>
                                <w:sz w:val="20"/>
                                <w:szCs w:val="20"/>
                              </w:rPr>
                              <w:br/>
                            </w:r>
                            <w:r w:rsidRPr="00845559">
                              <w:rPr>
                                <w:rFonts w:ascii="Arial" w:eastAsia="Times New Roman" w:hAnsi="Arial" w:cs="Arial"/>
                                <w:color w:val="FFFFFF" w:themeColor="background1"/>
                                <w:sz w:val="20"/>
                                <w:szCs w:val="20"/>
                              </w:rPr>
                              <w:t>os textos integralmente ou a necessidade de inclusão de um ou de diversos tópicos para adequar ao caso concreto.</w:t>
                            </w:r>
                          </w:p>
                        </w:txbxContent>
                      </wps:txbx>
                      <wps:bodyPr rot="0" spcFirstLastPara="0" vertOverflow="overflow" horzOverflow="overflow" vert="horz" wrap="square" lIns="91440" tIns="45720" rIns="360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16DCF37" id="Retângulo: Cantos Arredondados 11" o:spid="_x0000_s1030" style="position:absolute;margin-left:1.5pt;margin-top:49.95pt;width:496.05pt;height:183.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9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" filled="f" strokecolor="#b886b3" strokeweight="2.25pt">
                <v:stroke joinstyle="miter"/>
                <v:textbox inset=",,10mm">
                  <w:txbxContent>
                    <w:p w14:paraId="31BAC867" w14:textId="77777777" w:rsidR="00845559" w:rsidRPr="00845559" w:rsidRDefault="00845559" w:rsidP="00845559">
                      <w:pPr>
                        <w:numPr>
                          <w:ilvl w:val="0"/>
                          <w:numId w:val="5"/>
                        </w:numPr>
                        <w:ind w:left="2410" w:hanging="283"/>
                        <w:rPr>
                          <w:rFonts w:ascii="Arial" w:eastAsia="Times New Roman" w:hAnsi="Arial" w:cs="Arial"/>
                          <w:color w:val="FFFFFF" w:themeColor="background1"/>
                          <w:sz w:val="20"/>
                          <w:szCs w:val="20"/>
                        </w:rPr>
                      </w:pPr>
                      <w:r w:rsidRPr="00845559">
                        <w:rPr>
                          <w:rFonts w:ascii="Arial" w:eastAsia="Times New Roman" w:hAnsi="Arial" w:cs="Arial"/>
                          <w:color w:val="FFFFFF" w:themeColor="background1"/>
                          <w:sz w:val="20"/>
                          <w:szCs w:val="20"/>
                        </w:rPr>
                        <w:t>O modelo pretende uniformizar a atuação consultiva no âmbito da Procuradoria-Geral Federal.</w:t>
                      </w:r>
                    </w:p>
                    <w:p w14:paraId="65A6DAB4" w14:textId="77777777" w:rsidR="00845559" w:rsidRPr="00845559" w:rsidRDefault="00845559" w:rsidP="00845559">
                      <w:pPr>
                        <w:numPr>
                          <w:ilvl w:val="0"/>
                          <w:numId w:val="5"/>
                        </w:numPr>
                        <w:ind w:left="2410" w:hanging="283"/>
                        <w:rPr>
                          <w:rFonts w:ascii="Arial" w:eastAsia="Times New Roman" w:hAnsi="Arial" w:cs="Arial"/>
                          <w:color w:val="FFFFFF" w:themeColor="background1"/>
                          <w:sz w:val="20"/>
                          <w:szCs w:val="20"/>
                        </w:rPr>
                      </w:pPr>
                      <w:r w:rsidRPr="00845559">
                        <w:rPr>
                          <w:rFonts w:ascii="Arial" w:eastAsia="Times New Roman" w:hAnsi="Arial" w:cs="Arial"/>
                          <w:color w:val="FFFFFF" w:themeColor="background1"/>
                          <w:sz w:val="20"/>
                          <w:szCs w:val="20"/>
                        </w:rPr>
                        <w:t xml:space="preserve">Os pareceres estão em </w:t>
                      </w:r>
                      <w:r w:rsidRPr="00845559">
                        <w:rPr>
                          <w:rFonts w:ascii="Arial" w:eastAsia="Times New Roman" w:hAnsi="Arial" w:cs="Arial"/>
                          <w:b/>
                          <w:color w:val="FFFFFF" w:themeColor="background1"/>
                          <w:sz w:val="20"/>
                          <w:szCs w:val="20"/>
                        </w:rPr>
                        <w:t>permanente aperfeiçoamento</w:t>
                      </w:r>
                      <w:r w:rsidRPr="00845559">
                        <w:rPr>
                          <w:rFonts w:ascii="Arial" w:eastAsia="Times New Roman" w:hAnsi="Arial" w:cs="Arial"/>
                          <w:color w:val="FFFFFF" w:themeColor="background1"/>
                          <w:sz w:val="20"/>
                          <w:szCs w:val="20"/>
                        </w:rPr>
                        <w:t xml:space="preserve"> pela Câmara Permanente de Uniformização de Entendimentos Consultivos da PGF.</w:t>
                      </w:r>
                    </w:p>
                    <w:p w14:paraId="2BC29AB8" w14:textId="4E5EB434" w:rsidR="00BC64A8" w:rsidRPr="00845559" w:rsidRDefault="00845559" w:rsidP="00845559">
                      <w:pPr>
                        <w:numPr>
                          <w:ilvl w:val="0"/>
                          <w:numId w:val="5"/>
                        </w:numPr>
                        <w:ind w:left="2410" w:hanging="283"/>
                        <w:rPr>
                          <w:rFonts w:ascii="Arial" w:eastAsia="Times New Roman" w:hAnsi="Arial" w:cs="Arial"/>
                          <w:color w:val="FFFFFF" w:themeColor="background1"/>
                          <w:sz w:val="20"/>
                          <w:szCs w:val="20"/>
                        </w:rPr>
                      </w:pPr>
                      <w:r w:rsidRPr="00845559">
                        <w:rPr>
                          <w:rFonts w:ascii="Arial" w:eastAsia="Times New Roman" w:hAnsi="Arial" w:cs="Arial"/>
                          <w:color w:val="FFFFFF" w:themeColor="background1"/>
                          <w:sz w:val="20"/>
                          <w:szCs w:val="20"/>
                        </w:rPr>
                        <w:t xml:space="preserve">Destaca-se, no entanto, que </w:t>
                      </w:r>
                      <w:r w:rsidRPr="00845559">
                        <w:rPr>
                          <w:rFonts w:ascii="Arial" w:eastAsia="Times New Roman" w:hAnsi="Arial" w:cs="Arial"/>
                          <w:b/>
                          <w:color w:val="FFFFFF" w:themeColor="background1"/>
                          <w:sz w:val="20"/>
                          <w:szCs w:val="20"/>
                        </w:rPr>
                        <w:t xml:space="preserve">somente o Procurador Federal oficiante, </w:t>
                      </w:r>
                      <w:r w:rsidRPr="00845559">
                        <w:rPr>
                          <w:rFonts w:ascii="Arial" w:eastAsia="Times New Roman" w:hAnsi="Arial" w:cs="Arial"/>
                          <w:color w:val="FFFFFF" w:themeColor="background1"/>
                          <w:sz w:val="20"/>
                          <w:szCs w:val="20"/>
                        </w:rPr>
                        <w:t>no exercício de sua autonomia funcional, poderá avaliar a pertinência de manter</w:t>
                      </w:r>
                      <w:r w:rsidR="00CD32C2">
                        <w:rPr>
                          <w:rFonts w:ascii="Arial" w:eastAsia="Times New Roman" w:hAnsi="Arial" w:cs="Arial"/>
                          <w:color w:val="FFFFFF" w:themeColor="background1"/>
                          <w:sz w:val="20"/>
                          <w:szCs w:val="20"/>
                        </w:rPr>
                        <w:br/>
                      </w:r>
                      <w:r w:rsidRPr="00845559">
                        <w:rPr>
                          <w:rFonts w:ascii="Arial" w:eastAsia="Times New Roman" w:hAnsi="Arial" w:cs="Arial"/>
                          <w:color w:val="FFFFFF" w:themeColor="background1"/>
                          <w:sz w:val="20"/>
                          <w:szCs w:val="20"/>
                        </w:rPr>
                        <w:t>os textos integralmente ou a necessidade de inclusão de um ou de diversos tópicos para adequar ao caso concreto.</w:t>
                      </w:r>
                    </w:p>
                  </w:txbxContent>
                </v:textbox>
                <w10:wrap anchorx="margin"/>
              </v:roundrect>
            </w:pict>
          </mc:Fallback>
        </mc:AlternateContent>
      </w:r>
      <w:r w:rsidRPr="00BC64A8">
        <w:rPr>
          <w:noProof/>
          <w:lang w:eastAsia="pt-BR"/>
        </w:rPr>
        <mc:AlternateContent>
          <mc:Choice Requires="wps">
            <w:drawing>
              <wp:anchor distT="0" distB="0" distL="114300" distR="114300" simplePos="0" relativeHeight="251666432" behindDoc="0" locked="0" layoutInCell="1" allowOverlap="1" wp14:anchorId="53A0BF1A" wp14:editId="77274BF3">
                <wp:simplePos x="0" y="0"/>
                <wp:positionH relativeFrom="column">
                  <wp:posOffset>-278765</wp:posOffset>
                </wp:positionH>
                <wp:positionV relativeFrom="paragraph">
                  <wp:posOffset>409575</wp:posOffset>
                </wp:positionV>
                <wp:extent cx="1447800" cy="1619250"/>
                <wp:effectExtent l="0" t="0" r="0" b="0"/>
                <wp:wrapNone/>
                <wp:docPr id="1" name="Retângulo: Cantos Arredondados 1"/>
                <wp:cNvGraphicFramePr/>
                <a:graphic xmlns:a="http://schemas.openxmlformats.org/drawingml/2006/main">
                  <a:graphicData uri="http://schemas.microsoft.com/office/word/2010/wordprocessingShape">
                    <wps:wsp>
                      <wps:cNvSpPr/>
                      <wps:spPr>
                        <a:xfrm>
                          <a:off x="0" y="0"/>
                          <a:ext cx="1447800" cy="1619250"/>
                        </a:xfrm>
                        <a:prstGeom prst="roundRect">
                          <a:avLst>
                            <a:gd name="adj" fmla="val 5483"/>
                          </a:avLst>
                        </a:prstGeom>
                        <a:solidFill>
                          <a:srgbClr val="B886B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9505AD" w14:textId="77777777" w:rsidR="00BC64A8" w:rsidRPr="00BC64A8" w:rsidRDefault="00BC64A8" w:rsidP="00BC64A8">
                            <w:pPr>
                              <w:jc w:val="center"/>
                              <w:rPr>
                                <w:rFonts w:ascii="Arial" w:hAnsi="Arial" w:cs="Arial"/>
                                <w:b/>
                                <w:bCs/>
                              </w:rPr>
                            </w:pPr>
                            <w:r w:rsidRPr="00BC64A8">
                              <w:rPr>
                                <w:rFonts w:ascii="Arial" w:hAnsi="Arial" w:cs="Arial"/>
                                <w:b/>
                                <w:bCs/>
                              </w:rPr>
                              <w:t xml:space="preserve">POR QUE UTILIZAR </w:t>
                            </w:r>
                            <w:r w:rsidRPr="00BC64A8">
                              <w:rPr>
                                <w:rFonts w:ascii="Arial" w:hAnsi="Arial" w:cs="Arial"/>
                                <w:b/>
                                <w:bCs/>
                              </w:rPr>
                              <w:br/>
                              <w:t>ESTE MODELO?</w:t>
                            </w:r>
                            <w:r w:rsidRPr="00BC64A8">
                              <w:rPr>
                                <w:rFonts w:ascii="Arial" w:hAnsi="Arial" w:cs="Arial"/>
                                <w:b/>
                                <w:bCs/>
                                <w:noProof/>
                                <w:lang w:eastAsia="pt-BR"/>
                              </w:rPr>
                              <w:drawing>
                                <wp:inline distT="0" distB="0" distL="0" distR="0" wp14:anchorId="77D94CFA" wp14:editId="666B1844">
                                  <wp:extent cx="787488" cy="981075"/>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6876"/>
                                          <a:stretch/>
                                        </pic:blipFill>
                                        <pic:spPr bwMode="auto">
                                          <a:xfrm>
                                            <a:off x="0" y="0"/>
                                            <a:ext cx="791279" cy="98579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3A0BF1A" id="Retângulo: Cantos Arredondados 1" o:spid="_x0000_s1031" style="position:absolute;margin-left:-21.95pt;margin-top:32.25pt;width:114pt;height:1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5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" fillcolor="#b886b3" stroked="f" strokeweight="1pt">
                <v:stroke joinstyle="miter"/>
                <v:textbox>
                  <w:txbxContent>
                    <w:p w14:paraId="649505AD" w14:textId="77777777" w:rsidR="00BC64A8" w:rsidRPr="00BC64A8" w:rsidRDefault="00BC64A8" w:rsidP="00BC64A8">
                      <w:pPr>
                        <w:jc w:val="center"/>
                        <w:rPr>
                          <w:rFonts w:ascii="Arial" w:hAnsi="Arial" w:cs="Arial"/>
                          <w:b/>
                          <w:bCs/>
                        </w:rPr>
                      </w:pPr>
                      <w:r w:rsidRPr="00BC64A8">
                        <w:rPr>
                          <w:rFonts w:ascii="Arial" w:hAnsi="Arial" w:cs="Arial"/>
                          <w:b/>
                          <w:bCs/>
                        </w:rPr>
                        <w:t xml:space="preserve">POR QUE UTILIZAR </w:t>
                      </w:r>
                      <w:r w:rsidRPr="00BC64A8">
                        <w:rPr>
                          <w:rFonts w:ascii="Arial" w:hAnsi="Arial" w:cs="Arial"/>
                          <w:b/>
                          <w:bCs/>
                        </w:rPr>
                        <w:br/>
                        <w:t>ESTE MODELO?</w:t>
                      </w:r>
                      <w:r w:rsidRPr="00BC64A8">
                        <w:rPr>
                          <w:rFonts w:ascii="Arial" w:hAnsi="Arial" w:cs="Arial"/>
                          <w:b/>
                          <w:bCs/>
                          <w:noProof/>
                          <w:lang w:eastAsia="pt-BR"/>
                        </w:rPr>
                        <w:drawing>
                          <wp:inline distT="0" distB="0" distL="0" distR="0" wp14:anchorId="77D94CFA" wp14:editId="666B1844">
                            <wp:extent cx="787488" cy="981075"/>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l="6876"/>
                                    <a:stretch/>
                                  </pic:blipFill>
                                  <pic:spPr bwMode="auto">
                                    <a:xfrm>
                                      <a:off x="0" y="0"/>
                                      <a:ext cx="791279" cy="98579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oundrect>
            </w:pict>
          </mc:Fallback>
        </mc:AlternateContent>
      </w:r>
      <w:r w:rsidRPr="00BC64A8">
        <w:rPr>
          <w:noProof/>
          <w:lang w:eastAsia="pt-BR"/>
        </w:rPr>
        <mc:AlternateContent>
          <mc:Choice Requires="wps">
            <w:drawing>
              <wp:anchor distT="0" distB="0" distL="114300" distR="114300" simplePos="0" relativeHeight="251664384" behindDoc="0" locked="0" layoutInCell="1" allowOverlap="1" wp14:anchorId="5C60526E" wp14:editId="39998F41">
                <wp:simplePos x="0" y="0"/>
                <wp:positionH relativeFrom="column">
                  <wp:posOffset>-85725</wp:posOffset>
                </wp:positionH>
                <wp:positionV relativeFrom="paragraph">
                  <wp:posOffset>520065</wp:posOffset>
                </wp:positionV>
                <wp:extent cx="6299835" cy="2352675"/>
                <wp:effectExtent l="0" t="0" r="5715" b="9525"/>
                <wp:wrapNone/>
                <wp:docPr id="9" name="Retângulo: Cantos Arredondados 9"/>
                <wp:cNvGraphicFramePr/>
                <a:graphic xmlns:a="http://schemas.openxmlformats.org/drawingml/2006/main">
                  <a:graphicData uri="http://schemas.microsoft.com/office/word/2010/wordprocessingShape">
                    <wps:wsp>
                      <wps:cNvSpPr/>
                      <wps:spPr>
                        <a:xfrm>
                          <a:off x="0" y="0"/>
                          <a:ext cx="6299835" cy="2352675"/>
                        </a:xfrm>
                        <a:prstGeom prst="roundRect">
                          <a:avLst>
                            <a:gd name="adj" fmla="val 2857"/>
                          </a:avLst>
                        </a:prstGeom>
                        <a:solidFill>
                          <a:srgbClr val="154B5D"/>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08583F04" w14:textId="77777777" w:rsidR="00BC64A8" w:rsidRPr="000F5532" w:rsidRDefault="00BC64A8" w:rsidP="00BC64A8">
                            <w:pPr>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C60526E" id="Retângulo: Cantos Arredondados 9" o:spid="_x0000_s1032" style="position:absolute;margin-left:-6.75pt;margin-top:40.95pt;width:496.05pt;height:18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" fillcolor="#154b5d" stroked="f" strokeweight="1pt">
                <v:stroke joinstyle="miter"/>
                <v:textbox>
                  <w:txbxContent>
                    <w:p w14:paraId="08583F04" w14:textId="77777777" w:rsidR="00BC64A8" w:rsidRPr="000F5532" w:rsidRDefault="00BC64A8" w:rsidP="00BC64A8">
                      <w:pPr>
                        <w:ind w:left="2484"/>
                        <w:rPr>
                          <w:rFonts w:ascii="Ubuntu" w:hAnsi="Ubuntu"/>
                          <w:color w:val="FFFFFF" w:themeColor="background1"/>
                          <w:sz w:val="20"/>
                          <w:szCs w:val="20"/>
                        </w:rPr>
                      </w:pPr>
                    </w:p>
                  </w:txbxContent>
                </v:textbox>
              </v:roundrect>
            </w:pict>
          </mc:Fallback>
        </mc:AlternateContent>
      </w:r>
      <w:r>
        <w:br w:type="page"/>
      </w:r>
    </w:p>
    <w:p w14:paraId="7614AA63" w14:textId="07490303" w:rsidR="00E626DF" w:rsidRDefault="00EB002E">
      <w:r>
        <w:rPr>
          <w:noProof/>
          <w:lang w:eastAsia="pt-BR"/>
        </w:rPr>
        <w:lastRenderedPageBreak/>
        <mc:AlternateContent>
          <mc:Choice Requires="wps">
            <w:drawing>
              <wp:anchor distT="0" distB="0" distL="114300" distR="114300" simplePos="0" relativeHeight="251709440" behindDoc="0" locked="0" layoutInCell="1" allowOverlap="1" wp14:anchorId="5220B08F" wp14:editId="349CAA7B">
                <wp:simplePos x="0" y="0"/>
                <wp:positionH relativeFrom="column">
                  <wp:posOffset>3040840</wp:posOffset>
                </wp:positionH>
                <wp:positionV relativeFrom="paragraph">
                  <wp:posOffset>6759715</wp:posOffset>
                </wp:positionV>
                <wp:extent cx="106680" cy="0"/>
                <wp:effectExtent l="0" t="76200" r="26670" b="95250"/>
                <wp:wrapNone/>
                <wp:docPr id="45" name="Conector de Seta Reta 45"/>
                <wp:cNvGraphicFramePr/>
                <a:graphic xmlns:a="http://schemas.openxmlformats.org/drawingml/2006/main">
                  <a:graphicData uri="http://schemas.microsoft.com/office/word/2010/wordprocessingShape">
                    <wps:wsp>
                      <wps:cNvCnPr/>
                      <wps:spPr>
                        <a:xfrm>
                          <a:off x="0" y="0"/>
                          <a:ext cx="106680" cy="0"/>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7EA8741" id="_x0000_t32" coordsize="21600,21600" o:spt="32" o:oned="t" path="m,l21600,21600e" filled="f">
                <v:path arrowok="t" fillok="f" o:connecttype="none"/>
                <o:lock v:ext="edit" shapetype="t"/>
              </v:shapetype>
              <v:shape id="Conector de Seta Reta 45" o:spid="_x0000_s1026" type="#_x0000_t32" style="position:absolute;margin-left:239.45pt;margin-top:532.25pt;width:8.4pt;height:0;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" strokecolor="white [3212]" strokeweight=".5pt">
                <v:stroke endarrow="block" joinstyle="miter"/>
              </v:shape>
            </w:pict>
          </mc:Fallback>
        </mc:AlternateContent>
      </w:r>
      <w:r>
        <w:rPr>
          <w:noProof/>
          <w:lang w:eastAsia="pt-BR"/>
        </w:rPr>
        <mc:AlternateContent>
          <mc:Choice Requires="wps">
            <w:drawing>
              <wp:anchor distT="0" distB="0" distL="114300" distR="114300" simplePos="0" relativeHeight="251707392" behindDoc="0" locked="0" layoutInCell="1" allowOverlap="1" wp14:anchorId="5F977362" wp14:editId="340AFF91">
                <wp:simplePos x="0" y="0"/>
                <wp:positionH relativeFrom="column">
                  <wp:posOffset>3042975</wp:posOffset>
                </wp:positionH>
                <wp:positionV relativeFrom="paragraph">
                  <wp:posOffset>6392796</wp:posOffset>
                </wp:positionV>
                <wp:extent cx="106680" cy="0"/>
                <wp:effectExtent l="0" t="76200" r="26670" b="95250"/>
                <wp:wrapNone/>
                <wp:docPr id="44" name="Conector de Seta Reta 44"/>
                <wp:cNvGraphicFramePr/>
                <a:graphic xmlns:a="http://schemas.openxmlformats.org/drawingml/2006/main">
                  <a:graphicData uri="http://schemas.microsoft.com/office/word/2010/wordprocessingShape">
                    <wps:wsp>
                      <wps:cNvCnPr/>
                      <wps:spPr>
                        <a:xfrm>
                          <a:off x="0" y="0"/>
                          <a:ext cx="106680" cy="0"/>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87D3627" id="Conector de Seta Reta 44" o:spid="_x0000_s1026" type="#_x0000_t32" style="position:absolute;margin-left:239.6pt;margin-top:503.35pt;width:8.4pt;height:0;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" strokecolor="white [3212]" strokeweight=".5pt">
                <v:stroke endarrow="block" joinstyle="miter"/>
              </v:shape>
            </w:pict>
          </mc:Fallback>
        </mc:AlternateContent>
      </w:r>
      <w:r>
        <w:rPr>
          <w:noProof/>
          <w:lang w:eastAsia="pt-BR"/>
        </w:rPr>
        <mc:AlternateContent>
          <mc:Choice Requires="wps">
            <w:drawing>
              <wp:anchor distT="0" distB="0" distL="114300" distR="114300" simplePos="0" relativeHeight="251705344" behindDoc="0" locked="0" layoutInCell="1" allowOverlap="1" wp14:anchorId="53427F79" wp14:editId="05799AB6">
                <wp:simplePos x="0" y="0"/>
                <wp:positionH relativeFrom="column">
                  <wp:posOffset>3040324</wp:posOffset>
                </wp:positionH>
                <wp:positionV relativeFrom="paragraph">
                  <wp:posOffset>6036310</wp:posOffset>
                </wp:positionV>
                <wp:extent cx="106680" cy="0"/>
                <wp:effectExtent l="0" t="76200" r="26670" b="95250"/>
                <wp:wrapNone/>
                <wp:docPr id="43" name="Conector de Seta Reta 43"/>
                <wp:cNvGraphicFramePr/>
                <a:graphic xmlns:a="http://schemas.openxmlformats.org/drawingml/2006/main">
                  <a:graphicData uri="http://schemas.microsoft.com/office/word/2010/wordprocessingShape">
                    <wps:wsp>
                      <wps:cNvCnPr/>
                      <wps:spPr>
                        <a:xfrm>
                          <a:off x="0" y="0"/>
                          <a:ext cx="106680" cy="0"/>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22212A3" id="Conector de Seta Reta 43" o:spid="_x0000_s1026" type="#_x0000_t32" style="position:absolute;margin-left:239.4pt;margin-top:475.3pt;width:8.4pt;height:0;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" strokecolor="white [3212]" strokeweight=".5pt">
                <v:stroke endarrow="block" joinstyle="miter"/>
              </v:shape>
            </w:pict>
          </mc:Fallback>
        </mc:AlternateContent>
      </w:r>
      <w:r>
        <w:rPr>
          <w:noProof/>
          <w:lang w:eastAsia="pt-BR"/>
        </w:rPr>
        <mc:AlternateContent>
          <mc:Choice Requires="wps">
            <w:drawing>
              <wp:anchor distT="0" distB="0" distL="114300" distR="114300" simplePos="0" relativeHeight="251703296" behindDoc="0" locked="0" layoutInCell="1" allowOverlap="1" wp14:anchorId="3E934005" wp14:editId="66EEB59A">
                <wp:simplePos x="0" y="0"/>
                <wp:positionH relativeFrom="column">
                  <wp:posOffset>3036570</wp:posOffset>
                </wp:positionH>
                <wp:positionV relativeFrom="paragraph">
                  <wp:posOffset>5663565</wp:posOffset>
                </wp:positionV>
                <wp:extent cx="106680" cy="0"/>
                <wp:effectExtent l="0" t="76200" r="26670" b="95250"/>
                <wp:wrapNone/>
                <wp:docPr id="42" name="Conector de Seta Reta 42"/>
                <wp:cNvGraphicFramePr/>
                <a:graphic xmlns:a="http://schemas.openxmlformats.org/drawingml/2006/main">
                  <a:graphicData uri="http://schemas.microsoft.com/office/word/2010/wordprocessingShape">
                    <wps:wsp>
                      <wps:cNvCnPr/>
                      <wps:spPr>
                        <a:xfrm>
                          <a:off x="0" y="0"/>
                          <a:ext cx="106680" cy="0"/>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A431E8F" id="Conector de Seta Reta 42" o:spid="_x0000_s1026" type="#_x0000_t32" style="position:absolute;margin-left:239.1pt;margin-top:445.95pt;width:8.4pt;height:0;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" strokecolor="white [3212]" strokeweight=".5pt">
                <v:stroke endarrow="block" joinstyle="miter"/>
              </v:shape>
            </w:pict>
          </mc:Fallback>
        </mc:AlternateContent>
      </w:r>
      <w:r w:rsidRPr="005F33CC">
        <w:rPr>
          <w:noProof/>
          <w:lang w:eastAsia="pt-BR"/>
        </w:rPr>
        <mc:AlternateContent>
          <mc:Choice Requires="wps">
            <w:drawing>
              <wp:anchor distT="0" distB="0" distL="114300" distR="114300" simplePos="0" relativeHeight="251702272" behindDoc="0" locked="0" layoutInCell="1" allowOverlap="1" wp14:anchorId="493615C1" wp14:editId="7220AE0D">
                <wp:simplePos x="0" y="0"/>
                <wp:positionH relativeFrom="margin">
                  <wp:posOffset>1047750</wp:posOffset>
                </wp:positionH>
                <wp:positionV relativeFrom="paragraph">
                  <wp:posOffset>7330440</wp:posOffset>
                </wp:positionV>
                <wp:extent cx="5086350" cy="581025"/>
                <wp:effectExtent l="0" t="0" r="0" b="0"/>
                <wp:wrapNone/>
                <wp:docPr id="5" name="Caixa de Texto 5"/>
                <wp:cNvGraphicFramePr/>
                <a:graphic xmlns:a="http://schemas.openxmlformats.org/drawingml/2006/main">
                  <a:graphicData uri="http://schemas.microsoft.com/office/word/2010/wordprocessingShape">
                    <wps:wsp>
                      <wps:cNvSpPr txBox="1"/>
                      <wps:spPr>
                        <a:xfrm>
                          <a:off x="0" y="0"/>
                          <a:ext cx="5086350" cy="581025"/>
                        </a:xfrm>
                        <a:prstGeom prst="rect">
                          <a:avLst/>
                        </a:prstGeom>
                        <a:noFill/>
                        <a:ln w="6350">
                          <a:noFill/>
                        </a:ln>
                      </wps:spPr>
                      <wps:txbx>
                        <w:txbxContent>
                          <w:p w14:paraId="1886655A" w14:textId="3104A4AF" w:rsidR="000213FB" w:rsidRPr="004E5997" w:rsidRDefault="000213FB" w:rsidP="004E5997">
                            <w:pPr>
                              <w:pStyle w:val="PargrafodaLista"/>
                              <w:numPr>
                                <w:ilvl w:val="0"/>
                                <w:numId w:val="31"/>
                              </w:numPr>
                              <w:spacing w:line="240" w:lineRule="auto"/>
                              <w:rPr>
                                <w:rFonts w:ascii="Arial" w:hAnsi="Arial" w:cs="Arial"/>
                                <w:color w:val="FFFFFF" w:themeColor="background1"/>
                              </w:rPr>
                            </w:pPr>
                            <w:r w:rsidRPr="004E5997">
                              <w:rPr>
                                <w:rFonts w:ascii="Arial" w:hAnsi="Arial" w:cs="Arial"/>
                                <w:color w:val="FFFFFF" w:themeColor="background1"/>
                                <w:sz w:val="18"/>
                                <w:szCs w:val="18"/>
                              </w:rPr>
                              <w:t>Todas as marcações de cores e sugestões de reação não utilizadas devem ser excluídas do texto final do parecer, inclusive esse quadro explicativo</w:t>
                            </w:r>
                            <w:r w:rsidR="002179E3" w:rsidRPr="004E5997">
                              <w:rPr>
                                <w:rFonts w:ascii="Arial" w:hAnsi="Arial" w:cs="Arial"/>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93615C1" id="Caixa de Texto 5" o:spid="_x0000_s1033" type="#_x0000_t202" style="position:absolute;margin-left:82.5pt;margin-top:577.2pt;width:400.5pt;height:45.7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" filled="f" stroked="f" strokeweight=".5pt">
                <v:textbox>
                  <w:txbxContent>
                    <w:p w14:paraId="1886655A" w14:textId="3104A4AF" w:rsidR="000213FB" w:rsidRPr="004E5997" w:rsidRDefault="000213FB" w:rsidP="004E5997">
                      <w:pPr>
                        <w:pStyle w:val="PargrafodaLista"/>
                        <w:numPr>
                          <w:ilvl w:val="0"/>
                          <w:numId w:val="31"/>
                        </w:numPr>
                        <w:spacing w:line="240" w:lineRule="auto"/>
                        <w:rPr>
                          <w:rFonts w:ascii="Arial" w:hAnsi="Arial" w:cs="Arial"/>
                          <w:color w:val="FFFFFF" w:themeColor="background1"/>
                        </w:rPr>
                      </w:pPr>
                      <w:r w:rsidRPr="004E5997">
                        <w:rPr>
                          <w:rFonts w:ascii="Arial" w:hAnsi="Arial" w:cs="Arial"/>
                          <w:color w:val="FFFFFF" w:themeColor="background1"/>
                          <w:sz w:val="18"/>
                          <w:szCs w:val="18"/>
                        </w:rPr>
                        <w:t>Todas as marcações de cores e sugestões de reação não utilizadas devem ser excluídas do texto final do parecer, inclusive esse quadro explicativo</w:t>
                      </w:r>
                      <w:r w:rsidR="002179E3" w:rsidRPr="004E5997">
                        <w:rPr>
                          <w:rFonts w:ascii="Arial" w:hAnsi="Arial" w:cs="Arial"/>
                          <w:color w:val="FFFFFF" w:themeColor="background1"/>
                          <w:sz w:val="18"/>
                          <w:szCs w:val="18"/>
                        </w:rPr>
                        <w:t>.</w:t>
                      </w:r>
                    </w:p>
                  </w:txbxContent>
                </v:textbox>
                <w10:wrap anchorx="margin"/>
              </v:shape>
            </w:pict>
          </mc:Fallback>
        </mc:AlternateContent>
      </w:r>
      <w:r w:rsidRPr="005F33CC">
        <w:rPr>
          <w:noProof/>
          <w:lang w:eastAsia="pt-BR"/>
        </w:rPr>
        <mc:AlternateContent>
          <mc:Choice Requires="wps">
            <w:drawing>
              <wp:anchor distT="0" distB="0" distL="114300" distR="114300" simplePos="0" relativeHeight="251685888" behindDoc="0" locked="0" layoutInCell="1" allowOverlap="1" wp14:anchorId="423CB292" wp14:editId="3D872999">
                <wp:simplePos x="0" y="0"/>
                <wp:positionH relativeFrom="column">
                  <wp:posOffset>3152775</wp:posOffset>
                </wp:positionH>
                <wp:positionV relativeFrom="paragraph">
                  <wp:posOffset>5549265</wp:posOffset>
                </wp:positionV>
                <wp:extent cx="3070860" cy="1895475"/>
                <wp:effectExtent l="0" t="0" r="0" b="0"/>
                <wp:wrapNone/>
                <wp:docPr id="72" name="Caixa de Texto 72"/>
                <wp:cNvGraphicFramePr/>
                <a:graphic xmlns:a="http://schemas.openxmlformats.org/drawingml/2006/main">
                  <a:graphicData uri="http://schemas.microsoft.com/office/word/2010/wordprocessingShape">
                    <wps:wsp>
                      <wps:cNvSpPr txBox="1"/>
                      <wps:spPr>
                        <a:xfrm>
                          <a:off x="0" y="0"/>
                          <a:ext cx="3070860" cy="1895475"/>
                        </a:xfrm>
                        <a:prstGeom prst="rect">
                          <a:avLst/>
                        </a:prstGeom>
                        <a:noFill/>
                        <a:ln w="6350">
                          <a:noFill/>
                        </a:ln>
                      </wps:spPr>
                      <wps:txbx>
                        <w:txbxContent>
                          <w:p w14:paraId="1DFA4E25" w14:textId="77777777" w:rsidR="005F33CC" w:rsidRPr="005F240B" w:rsidRDefault="005F33CC" w:rsidP="005F33CC">
                            <w:pPr>
                              <w:spacing w:line="480" w:lineRule="auto"/>
                              <w:rPr>
                                <w:rFonts w:ascii="Arial" w:hAnsi="Arial" w:cs="Arial"/>
                                <w:color w:val="FFFFFF" w:themeColor="background1"/>
                                <w:sz w:val="18"/>
                                <w:szCs w:val="18"/>
                              </w:rPr>
                            </w:pPr>
                            <w:r w:rsidRPr="005F240B">
                              <w:rPr>
                                <w:rFonts w:ascii="Arial" w:hAnsi="Arial" w:cs="Arial"/>
                                <w:color w:val="FFFFFF" w:themeColor="background1"/>
                                <w:sz w:val="18"/>
                                <w:szCs w:val="18"/>
                              </w:rPr>
                              <w:t>Deverão ser excluídas.</w:t>
                            </w:r>
                          </w:p>
                          <w:p w14:paraId="2694AC12" w14:textId="77777777" w:rsidR="005F33CC" w:rsidRPr="005F240B" w:rsidRDefault="005F33CC" w:rsidP="005F33CC">
                            <w:pPr>
                              <w:spacing w:line="360" w:lineRule="auto"/>
                              <w:rPr>
                                <w:rFonts w:ascii="Arial" w:hAnsi="Arial" w:cs="Arial"/>
                                <w:color w:val="FFFFFF" w:themeColor="background1"/>
                                <w:sz w:val="18"/>
                                <w:szCs w:val="18"/>
                              </w:rPr>
                            </w:pPr>
                            <w:r w:rsidRPr="005F240B">
                              <w:rPr>
                                <w:rFonts w:ascii="Arial" w:hAnsi="Arial" w:cs="Arial"/>
                                <w:color w:val="FFFFFF" w:themeColor="background1"/>
                                <w:sz w:val="18"/>
                                <w:szCs w:val="18"/>
                              </w:rPr>
                              <w:t>Texto sugerido para a estrutura do parecer.</w:t>
                            </w:r>
                          </w:p>
                          <w:p w14:paraId="309A0515" w14:textId="77777777" w:rsidR="005F33CC" w:rsidRPr="005F240B" w:rsidRDefault="005F33CC" w:rsidP="005F33CC">
                            <w:pPr>
                              <w:spacing w:line="240" w:lineRule="auto"/>
                              <w:rPr>
                                <w:rFonts w:ascii="Arial" w:hAnsi="Arial" w:cs="Arial"/>
                                <w:color w:val="FFFFFF" w:themeColor="background1"/>
                                <w:sz w:val="18"/>
                                <w:szCs w:val="18"/>
                              </w:rPr>
                            </w:pPr>
                            <w:r w:rsidRPr="005F240B">
                              <w:rPr>
                                <w:rFonts w:ascii="Arial" w:hAnsi="Arial" w:cs="Arial"/>
                                <w:color w:val="FFFFFF" w:themeColor="background1"/>
                                <w:sz w:val="18"/>
                                <w:szCs w:val="18"/>
                              </w:rPr>
                              <w:t>Estrutura para a avaliação e adaptação pelo Procurador, diante das peculiaridades do caso concreto.</w:t>
                            </w:r>
                          </w:p>
                          <w:p w14:paraId="1FC1C89A" w14:textId="77777777" w:rsidR="005F33CC" w:rsidRPr="005F240B" w:rsidRDefault="005F33CC" w:rsidP="005F33CC">
                            <w:pPr>
                              <w:spacing w:line="240" w:lineRule="auto"/>
                              <w:rPr>
                                <w:rFonts w:ascii="Arial" w:hAnsi="Arial" w:cs="Arial"/>
                                <w:color w:val="FFFFFF" w:themeColor="background1"/>
                                <w:sz w:val="18"/>
                                <w:szCs w:val="18"/>
                              </w:rPr>
                            </w:pPr>
                            <w:r w:rsidRPr="005F240B">
                              <w:rPr>
                                <w:rFonts w:ascii="Arial" w:hAnsi="Arial" w:cs="Arial"/>
                                <w:color w:val="FFFFFF" w:themeColor="background1"/>
                                <w:sz w:val="18"/>
                                <w:szCs w:val="18"/>
                              </w:rPr>
                              <w:t>Indica existência de opções alternativas a serem adotadas pelo parecerista quando da análise do</w:t>
                            </w:r>
                            <w:r w:rsidRPr="005F240B">
                              <w:rPr>
                                <w:rFonts w:ascii="Arial" w:hAnsi="Arial" w:cs="Arial"/>
                                <w:color w:val="FFFFFF" w:themeColor="background1"/>
                                <w:sz w:val="18"/>
                                <w:szCs w:val="18"/>
                              </w:rPr>
                              <w:br/>
                              <w:t xml:space="preserve">caso concreto. As opções são excludentes, </w:t>
                            </w:r>
                            <w:r>
                              <w:rPr>
                                <w:rFonts w:ascii="Arial" w:hAnsi="Arial" w:cs="Arial"/>
                                <w:color w:val="FFFFFF" w:themeColor="background1"/>
                                <w:sz w:val="18"/>
                                <w:szCs w:val="18"/>
                              </w:rPr>
                              <w:br/>
                            </w:r>
                            <w:r w:rsidRPr="005F240B">
                              <w:rPr>
                                <w:rFonts w:ascii="Arial" w:hAnsi="Arial" w:cs="Arial"/>
                                <w:color w:val="FFFFFF" w:themeColor="background1"/>
                                <w:sz w:val="18"/>
                                <w:szCs w:val="18"/>
                              </w:rPr>
                              <w:t>competindo ao Procurador Federal oficiante excluir aquela(s) não contemplada(s).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23CB292" id="Caixa de Texto 72" o:spid="_x0000_s1034" type="#_x0000_t202" style="position:absolute;margin-left:248.25pt;margin-top:436.95pt;width:241.8pt;height:149.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" filled="f" stroked="f" strokeweight=".5pt">
                <v:textbox>
                  <w:txbxContent>
                    <w:p w14:paraId="1DFA4E25" w14:textId="77777777" w:rsidR="005F33CC" w:rsidRPr="005F240B" w:rsidRDefault="005F33CC" w:rsidP="005F33CC">
                      <w:pPr>
                        <w:spacing w:line="480" w:lineRule="auto"/>
                        <w:rPr>
                          <w:rFonts w:ascii="Arial" w:hAnsi="Arial" w:cs="Arial"/>
                          <w:color w:val="FFFFFF" w:themeColor="background1"/>
                          <w:sz w:val="18"/>
                          <w:szCs w:val="18"/>
                        </w:rPr>
                      </w:pPr>
                      <w:r w:rsidRPr="005F240B">
                        <w:rPr>
                          <w:rFonts w:ascii="Arial" w:hAnsi="Arial" w:cs="Arial"/>
                          <w:color w:val="FFFFFF" w:themeColor="background1"/>
                          <w:sz w:val="18"/>
                          <w:szCs w:val="18"/>
                        </w:rPr>
                        <w:t>Deverão ser excluídas.</w:t>
                      </w:r>
                    </w:p>
                    <w:p w14:paraId="2694AC12" w14:textId="77777777" w:rsidR="005F33CC" w:rsidRPr="005F240B" w:rsidRDefault="005F33CC" w:rsidP="005F33CC">
                      <w:pPr>
                        <w:spacing w:line="360" w:lineRule="auto"/>
                        <w:rPr>
                          <w:rFonts w:ascii="Arial" w:hAnsi="Arial" w:cs="Arial"/>
                          <w:color w:val="FFFFFF" w:themeColor="background1"/>
                          <w:sz w:val="18"/>
                          <w:szCs w:val="18"/>
                        </w:rPr>
                      </w:pPr>
                      <w:r w:rsidRPr="005F240B">
                        <w:rPr>
                          <w:rFonts w:ascii="Arial" w:hAnsi="Arial" w:cs="Arial"/>
                          <w:color w:val="FFFFFF" w:themeColor="background1"/>
                          <w:sz w:val="18"/>
                          <w:szCs w:val="18"/>
                        </w:rPr>
                        <w:t>Texto sugerido para a estrutura do parecer.</w:t>
                      </w:r>
                    </w:p>
                    <w:p w14:paraId="309A0515" w14:textId="77777777" w:rsidR="005F33CC" w:rsidRPr="005F240B" w:rsidRDefault="005F33CC" w:rsidP="005F33CC">
                      <w:pPr>
                        <w:spacing w:line="240" w:lineRule="auto"/>
                        <w:rPr>
                          <w:rFonts w:ascii="Arial" w:hAnsi="Arial" w:cs="Arial"/>
                          <w:color w:val="FFFFFF" w:themeColor="background1"/>
                          <w:sz w:val="18"/>
                          <w:szCs w:val="18"/>
                        </w:rPr>
                      </w:pPr>
                      <w:r w:rsidRPr="005F240B">
                        <w:rPr>
                          <w:rFonts w:ascii="Arial" w:hAnsi="Arial" w:cs="Arial"/>
                          <w:color w:val="FFFFFF" w:themeColor="background1"/>
                          <w:sz w:val="18"/>
                          <w:szCs w:val="18"/>
                        </w:rPr>
                        <w:t>Estrutura para a avaliação e adaptação pelo Procurador, diante das peculiaridades do caso concreto.</w:t>
                      </w:r>
                    </w:p>
                    <w:p w14:paraId="1FC1C89A" w14:textId="77777777" w:rsidR="005F33CC" w:rsidRPr="005F240B" w:rsidRDefault="005F33CC" w:rsidP="005F33CC">
                      <w:pPr>
                        <w:spacing w:line="240" w:lineRule="auto"/>
                        <w:rPr>
                          <w:rFonts w:ascii="Arial" w:hAnsi="Arial" w:cs="Arial"/>
                          <w:color w:val="FFFFFF" w:themeColor="background1"/>
                          <w:sz w:val="18"/>
                          <w:szCs w:val="18"/>
                        </w:rPr>
                      </w:pPr>
                      <w:r w:rsidRPr="005F240B">
                        <w:rPr>
                          <w:rFonts w:ascii="Arial" w:hAnsi="Arial" w:cs="Arial"/>
                          <w:color w:val="FFFFFF" w:themeColor="background1"/>
                          <w:sz w:val="18"/>
                          <w:szCs w:val="18"/>
                        </w:rPr>
                        <w:t>Indica existência de opções alternativas a serem adotadas pelo parecerista quando da análise do</w:t>
                      </w:r>
                      <w:r w:rsidRPr="005F240B">
                        <w:rPr>
                          <w:rFonts w:ascii="Arial" w:hAnsi="Arial" w:cs="Arial"/>
                          <w:color w:val="FFFFFF" w:themeColor="background1"/>
                          <w:sz w:val="18"/>
                          <w:szCs w:val="18"/>
                        </w:rPr>
                        <w:br/>
                        <w:t xml:space="preserve">caso concreto. As opções são excludentes, </w:t>
                      </w:r>
                      <w:r>
                        <w:rPr>
                          <w:rFonts w:ascii="Arial" w:hAnsi="Arial" w:cs="Arial"/>
                          <w:color w:val="FFFFFF" w:themeColor="background1"/>
                          <w:sz w:val="18"/>
                          <w:szCs w:val="18"/>
                        </w:rPr>
                        <w:br/>
                      </w:r>
                      <w:r w:rsidRPr="005F240B">
                        <w:rPr>
                          <w:rFonts w:ascii="Arial" w:hAnsi="Arial" w:cs="Arial"/>
                          <w:color w:val="FFFFFF" w:themeColor="background1"/>
                          <w:sz w:val="18"/>
                          <w:szCs w:val="18"/>
                        </w:rPr>
                        <w:t>competindo ao Procurador Federal oficiante excluir aquela(s) não contemplada(s).</w:t>
                      </w:r>
                    </w:p>
                  </w:txbxContent>
                </v:textbox>
              </v:shape>
            </w:pict>
          </mc:Fallback>
        </mc:AlternateContent>
      </w:r>
      <w:r w:rsidRPr="005F33CC">
        <w:rPr>
          <w:noProof/>
          <w:lang w:eastAsia="pt-BR"/>
        </w:rPr>
        <mc:AlternateContent>
          <mc:Choice Requires="wps">
            <w:drawing>
              <wp:anchor distT="0" distB="0" distL="114300" distR="114300" simplePos="0" relativeHeight="251684864" behindDoc="0" locked="0" layoutInCell="1" allowOverlap="1" wp14:anchorId="16635547" wp14:editId="297B7F4C">
                <wp:simplePos x="0" y="0"/>
                <wp:positionH relativeFrom="column">
                  <wp:posOffset>1357630</wp:posOffset>
                </wp:positionH>
                <wp:positionV relativeFrom="paragraph">
                  <wp:posOffset>6631940</wp:posOffset>
                </wp:positionV>
                <wp:extent cx="1685290" cy="276860"/>
                <wp:effectExtent l="0" t="0" r="0" b="8890"/>
                <wp:wrapNone/>
                <wp:docPr id="71" name="Retângulo: Cantos Arredondados 71"/>
                <wp:cNvGraphicFramePr/>
                <a:graphic xmlns:a="http://schemas.openxmlformats.org/drawingml/2006/main">
                  <a:graphicData uri="http://schemas.microsoft.com/office/word/2010/wordprocessingShape">
                    <wps:wsp>
                      <wps:cNvSpPr/>
                      <wps:spPr>
                        <a:xfrm>
                          <a:off x="0" y="0"/>
                          <a:ext cx="1685290" cy="276860"/>
                        </a:xfrm>
                        <a:prstGeom prst="roundRect">
                          <a:avLst/>
                        </a:prstGeom>
                        <a:solidFill>
                          <a:srgbClr val="00FF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317E82" w14:textId="77777777" w:rsidR="005F33CC" w:rsidRPr="005F240B" w:rsidRDefault="005F33CC" w:rsidP="005F33CC">
                            <w:pPr>
                              <w:rPr>
                                <w:rFonts w:ascii="Arial" w:hAnsi="Arial" w:cs="Arial"/>
                                <w:color w:val="000000" w:themeColor="text1"/>
                                <w:sz w:val="20"/>
                                <w:szCs w:val="20"/>
                              </w:rPr>
                            </w:pPr>
                            <w:r w:rsidRPr="005F240B">
                              <w:rPr>
                                <w:rFonts w:ascii="Arial" w:hAnsi="Arial" w:cs="Arial"/>
                                <w:color w:val="000000" w:themeColor="text1"/>
                                <w:sz w:val="20"/>
                                <w:szCs w:val="20"/>
                              </w:rPr>
                              <w:t>Texto destacado em Azul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6635547" id="Retângulo: Cantos Arredondados 71" o:spid="_x0000_s1035" style="position:absolute;margin-left:106.9pt;margin-top:522.2pt;width:132.7pt;height:2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" fillcolor="aqua" stroked="f" strokeweight="1pt">
                <v:stroke joinstyle="miter"/>
                <v:textbox>
                  <w:txbxContent>
                    <w:p w14:paraId="76317E82" w14:textId="77777777" w:rsidR="005F33CC" w:rsidRPr="005F240B" w:rsidRDefault="005F33CC" w:rsidP="005F33CC">
                      <w:pPr>
                        <w:rPr>
                          <w:rFonts w:ascii="Arial" w:hAnsi="Arial" w:cs="Arial"/>
                          <w:color w:val="000000" w:themeColor="text1"/>
                          <w:sz w:val="20"/>
                          <w:szCs w:val="20"/>
                        </w:rPr>
                      </w:pPr>
                      <w:r w:rsidRPr="005F240B">
                        <w:rPr>
                          <w:rFonts w:ascii="Arial" w:hAnsi="Arial" w:cs="Arial"/>
                          <w:color w:val="000000" w:themeColor="text1"/>
                          <w:sz w:val="20"/>
                          <w:szCs w:val="20"/>
                        </w:rPr>
                        <w:t>Texto destacado em Azul</w:t>
                      </w:r>
                    </w:p>
                  </w:txbxContent>
                </v:textbox>
              </v:roundrect>
            </w:pict>
          </mc:Fallback>
        </mc:AlternateContent>
      </w:r>
      <w:r w:rsidRPr="005F33CC">
        <w:rPr>
          <w:noProof/>
          <w:lang w:eastAsia="pt-BR"/>
        </w:rPr>
        <mc:AlternateContent>
          <mc:Choice Requires="wps">
            <w:drawing>
              <wp:anchor distT="0" distB="0" distL="114300" distR="114300" simplePos="0" relativeHeight="251683840" behindDoc="0" locked="0" layoutInCell="1" allowOverlap="1" wp14:anchorId="6C87BBBF" wp14:editId="13A12E57">
                <wp:simplePos x="0" y="0"/>
                <wp:positionH relativeFrom="column">
                  <wp:posOffset>1357630</wp:posOffset>
                </wp:positionH>
                <wp:positionV relativeFrom="paragraph">
                  <wp:posOffset>6267450</wp:posOffset>
                </wp:positionV>
                <wp:extent cx="1684020" cy="276860"/>
                <wp:effectExtent l="0" t="0" r="0" b="8890"/>
                <wp:wrapNone/>
                <wp:docPr id="70" name="Retângulo: Cantos Arredondados 70"/>
                <wp:cNvGraphicFramePr/>
                <a:graphic xmlns:a="http://schemas.openxmlformats.org/drawingml/2006/main">
                  <a:graphicData uri="http://schemas.microsoft.com/office/word/2010/wordprocessingShape">
                    <wps:wsp>
                      <wps:cNvSpPr/>
                      <wps:spPr>
                        <a:xfrm>
                          <a:off x="0" y="0"/>
                          <a:ext cx="1684020" cy="27686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F7B814" w14:textId="77777777" w:rsidR="005F33CC" w:rsidRPr="005F240B" w:rsidRDefault="005F33CC" w:rsidP="005F33CC">
                            <w:pPr>
                              <w:rPr>
                                <w:rFonts w:ascii="Arial" w:hAnsi="Arial" w:cs="Arial"/>
                                <w:color w:val="FF0000"/>
                                <w:sz w:val="20"/>
                                <w:szCs w:val="20"/>
                              </w:rPr>
                            </w:pPr>
                            <w:r w:rsidRPr="005F240B">
                              <w:rPr>
                                <w:rFonts w:ascii="Arial" w:hAnsi="Arial" w:cs="Arial"/>
                                <w:color w:val="FF0000"/>
                                <w:sz w:val="20"/>
                                <w:szCs w:val="20"/>
                              </w:rPr>
                              <w:t>Texto na cor Vermelha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C87BBBF" id="Retângulo: Cantos Arredondados 70" o:spid="_x0000_s1036" style="position:absolute;margin-left:106.9pt;margin-top:493.5pt;width:132.6pt;height:21.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" fillcolor="white [3212]" stroked="f" strokeweight="1pt">
                <v:stroke joinstyle="miter"/>
                <v:textbox>
                  <w:txbxContent>
                    <w:p w14:paraId="63F7B814" w14:textId="77777777" w:rsidR="005F33CC" w:rsidRPr="005F240B" w:rsidRDefault="005F33CC" w:rsidP="005F33CC">
                      <w:pPr>
                        <w:rPr>
                          <w:rFonts w:ascii="Arial" w:hAnsi="Arial" w:cs="Arial"/>
                          <w:color w:val="FF0000"/>
                          <w:sz w:val="20"/>
                          <w:szCs w:val="20"/>
                        </w:rPr>
                      </w:pPr>
                      <w:r w:rsidRPr="005F240B">
                        <w:rPr>
                          <w:rFonts w:ascii="Arial" w:hAnsi="Arial" w:cs="Arial"/>
                          <w:color w:val="FF0000"/>
                          <w:sz w:val="20"/>
                          <w:szCs w:val="20"/>
                        </w:rPr>
                        <w:t>Texto na cor Vermelha</w:t>
                      </w:r>
                    </w:p>
                  </w:txbxContent>
                </v:textbox>
              </v:roundrect>
            </w:pict>
          </mc:Fallback>
        </mc:AlternateContent>
      </w:r>
      <w:r w:rsidRPr="005F33CC">
        <w:rPr>
          <w:noProof/>
          <w:lang w:eastAsia="pt-BR"/>
        </w:rPr>
        <mc:AlternateContent>
          <mc:Choice Requires="wps">
            <w:drawing>
              <wp:anchor distT="0" distB="0" distL="114300" distR="114300" simplePos="0" relativeHeight="251682816" behindDoc="0" locked="0" layoutInCell="1" allowOverlap="1" wp14:anchorId="3AD22733" wp14:editId="40157E75">
                <wp:simplePos x="0" y="0"/>
                <wp:positionH relativeFrom="column">
                  <wp:posOffset>1357630</wp:posOffset>
                </wp:positionH>
                <wp:positionV relativeFrom="paragraph">
                  <wp:posOffset>5905500</wp:posOffset>
                </wp:positionV>
                <wp:extent cx="1684020" cy="276860"/>
                <wp:effectExtent l="0" t="0" r="0" b="8890"/>
                <wp:wrapNone/>
                <wp:docPr id="69" name="Retângulo: Cantos Arredondados 69"/>
                <wp:cNvGraphicFramePr/>
                <a:graphic xmlns:a="http://schemas.openxmlformats.org/drawingml/2006/main">
                  <a:graphicData uri="http://schemas.microsoft.com/office/word/2010/wordprocessingShape">
                    <wps:wsp>
                      <wps:cNvSpPr/>
                      <wps:spPr>
                        <a:xfrm>
                          <a:off x="0" y="0"/>
                          <a:ext cx="1684020" cy="27686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39E334" w14:textId="77777777" w:rsidR="005F33CC" w:rsidRPr="005F240B" w:rsidRDefault="005F33CC" w:rsidP="005F33CC">
                            <w:pPr>
                              <w:rPr>
                                <w:rFonts w:ascii="Arial" w:hAnsi="Arial" w:cs="Arial"/>
                                <w:color w:val="000000" w:themeColor="text1"/>
                                <w:sz w:val="20"/>
                                <w:szCs w:val="20"/>
                              </w:rPr>
                            </w:pPr>
                            <w:r w:rsidRPr="005F240B">
                              <w:rPr>
                                <w:rFonts w:ascii="Arial" w:hAnsi="Arial" w:cs="Arial"/>
                                <w:color w:val="000000" w:themeColor="text1"/>
                                <w:sz w:val="20"/>
                                <w:szCs w:val="20"/>
                              </w:rPr>
                              <w:t>Texto na cor Preta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AD22733" id="Retângulo: Cantos Arredondados 69" o:spid="_x0000_s1037" style="position:absolute;margin-left:106.9pt;margin-top:465pt;width:132.6pt;height:2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" fillcolor="white [3212]" stroked="f" strokeweight="1pt">
                <v:stroke joinstyle="miter"/>
                <v:textbox>
                  <w:txbxContent>
                    <w:p w14:paraId="1239E334" w14:textId="77777777" w:rsidR="005F33CC" w:rsidRPr="005F240B" w:rsidRDefault="005F33CC" w:rsidP="005F33CC">
                      <w:pPr>
                        <w:rPr>
                          <w:rFonts w:ascii="Arial" w:hAnsi="Arial" w:cs="Arial"/>
                          <w:color w:val="000000" w:themeColor="text1"/>
                          <w:sz w:val="20"/>
                          <w:szCs w:val="20"/>
                        </w:rPr>
                      </w:pPr>
                      <w:r w:rsidRPr="005F240B">
                        <w:rPr>
                          <w:rFonts w:ascii="Arial" w:hAnsi="Arial" w:cs="Arial"/>
                          <w:color w:val="000000" w:themeColor="text1"/>
                          <w:sz w:val="20"/>
                          <w:szCs w:val="20"/>
                        </w:rPr>
                        <w:t>Texto na cor Preta</w:t>
                      </w:r>
                    </w:p>
                  </w:txbxContent>
                </v:textbox>
              </v:roundrect>
            </w:pict>
          </mc:Fallback>
        </mc:AlternateContent>
      </w:r>
      <w:r w:rsidRPr="005F33CC">
        <w:rPr>
          <w:noProof/>
          <w:lang w:eastAsia="pt-BR"/>
        </w:rPr>
        <mc:AlternateContent>
          <mc:Choice Requires="wps">
            <w:drawing>
              <wp:anchor distT="0" distB="0" distL="114300" distR="114300" simplePos="0" relativeHeight="251681792" behindDoc="0" locked="0" layoutInCell="1" allowOverlap="1" wp14:anchorId="0F2C0CC9" wp14:editId="07000BC6">
                <wp:simplePos x="0" y="0"/>
                <wp:positionH relativeFrom="column">
                  <wp:posOffset>1348105</wp:posOffset>
                </wp:positionH>
                <wp:positionV relativeFrom="paragraph">
                  <wp:posOffset>5543550</wp:posOffset>
                </wp:positionV>
                <wp:extent cx="1684020" cy="276225"/>
                <wp:effectExtent l="0" t="0" r="0" b="9525"/>
                <wp:wrapNone/>
                <wp:docPr id="66" name="Retângulo: Cantos Arredondados 66"/>
                <wp:cNvGraphicFramePr/>
                <a:graphic xmlns:a="http://schemas.openxmlformats.org/drawingml/2006/main">
                  <a:graphicData uri="http://schemas.microsoft.com/office/word/2010/wordprocessingShape">
                    <wps:wsp>
                      <wps:cNvSpPr/>
                      <wps:spPr>
                        <a:xfrm>
                          <a:off x="0" y="0"/>
                          <a:ext cx="1684020" cy="276225"/>
                        </a:xfrm>
                        <a:prstGeom prst="round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4BC352" w14:textId="77777777" w:rsidR="005F33CC" w:rsidRPr="005F240B" w:rsidRDefault="005F33CC" w:rsidP="005F33CC">
                            <w:pPr>
                              <w:rPr>
                                <w:rFonts w:ascii="Arial" w:hAnsi="Arial" w:cs="Arial"/>
                                <w:color w:val="003366"/>
                              </w:rPr>
                            </w:pPr>
                            <w:r w:rsidRPr="005F240B">
                              <w:rPr>
                                <w:rFonts w:ascii="Arial" w:eastAsia="Times New Roman" w:hAnsi="Arial" w:cs="Arial"/>
                                <w:color w:val="003366"/>
                                <w:sz w:val="20"/>
                                <w:szCs w:val="20"/>
                                <w:highlight w:val="yellow"/>
                              </w:rPr>
                              <w:t>Notas explicativas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F2C0CC9" id="Retângulo: Cantos Arredondados 66" o:spid="_x0000_s1038" style="position:absolute;margin-left:106.15pt;margin-top:436.5pt;width:132.6pt;height:21.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" fillcolor="yellow" stroked="f" strokeweight="1pt">
                <v:stroke joinstyle="miter"/>
                <v:textbox>
                  <w:txbxContent>
                    <w:p w14:paraId="474BC352" w14:textId="77777777" w:rsidR="005F33CC" w:rsidRPr="005F240B" w:rsidRDefault="005F33CC" w:rsidP="005F33CC">
                      <w:pPr>
                        <w:rPr>
                          <w:rFonts w:ascii="Arial" w:hAnsi="Arial" w:cs="Arial"/>
                          <w:color w:val="003366"/>
                        </w:rPr>
                      </w:pPr>
                      <w:r w:rsidRPr="005F240B">
                        <w:rPr>
                          <w:rFonts w:ascii="Arial" w:eastAsia="Times New Roman" w:hAnsi="Arial" w:cs="Arial"/>
                          <w:color w:val="003366"/>
                          <w:sz w:val="20"/>
                          <w:szCs w:val="20"/>
                          <w:highlight w:val="yellow"/>
                        </w:rPr>
                        <w:t>Notas explicativas</w:t>
                      </w:r>
                    </w:p>
                  </w:txbxContent>
                </v:textbox>
              </v:roundrect>
            </w:pict>
          </mc:Fallback>
        </mc:AlternateContent>
      </w:r>
      <w:r w:rsidR="007B04E4" w:rsidRPr="005F33CC">
        <w:rPr>
          <w:noProof/>
          <w:lang w:eastAsia="pt-BR"/>
        </w:rPr>
        <mc:AlternateContent>
          <mc:Choice Requires="wps">
            <w:drawing>
              <wp:anchor distT="0" distB="0" distL="114300" distR="114300" simplePos="0" relativeHeight="251680768" behindDoc="0" locked="0" layoutInCell="1" allowOverlap="1" wp14:anchorId="48377E45" wp14:editId="62C49DFB">
                <wp:simplePos x="0" y="0"/>
                <wp:positionH relativeFrom="column">
                  <wp:posOffset>-273050</wp:posOffset>
                </wp:positionH>
                <wp:positionV relativeFrom="paragraph">
                  <wp:posOffset>5133975</wp:posOffset>
                </wp:positionV>
                <wp:extent cx="1447800" cy="1552575"/>
                <wp:effectExtent l="0" t="0" r="0" b="9525"/>
                <wp:wrapNone/>
                <wp:docPr id="55" name="Retângulo: Cantos Arredondados 55"/>
                <wp:cNvGraphicFramePr/>
                <a:graphic xmlns:a="http://schemas.openxmlformats.org/drawingml/2006/main">
                  <a:graphicData uri="http://schemas.microsoft.com/office/word/2010/wordprocessingShape">
                    <wps:wsp>
                      <wps:cNvSpPr/>
                      <wps:spPr>
                        <a:xfrm>
                          <a:off x="0" y="0"/>
                          <a:ext cx="1447800" cy="1552575"/>
                        </a:xfrm>
                        <a:prstGeom prst="roundRect">
                          <a:avLst>
                            <a:gd name="adj" fmla="val 8772"/>
                          </a:avLst>
                        </a:prstGeom>
                        <a:solidFill>
                          <a:srgbClr val="B886B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10C5DE" w14:textId="77777777" w:rsidR="005F33CC" w:rsidRPr="005F240B" w:rsidRDefault="005F33CC" w:rsidP="005F33CC">
                            <w:pPr>
                              <w:jc w:val="center"/>
                              <w:rPr>
                                <w:rFonts w:ascii="Arial" w:hAnsi="Arial" w:cs="Arial"/>
                                <w:b/>
                                <w:bCs/>
                              </w:rPr>
                            </w:pPr>
                            <w:r w:rsidRPr="005F240B">
                              <w:rPr>
                                <w:rFonts w:ascii="Arial" w:hAnsi="Arial" w:cs="Arial"/>
                                <w:b/>
                                <w:bCs/>
                              </w:rPr>
                              <w:t>COMO USAR?</w:t>
                            </w:r>
                          </w:p>
                          <w:p w14:paraId="1583C2E6" w14:textId="77777777" w:rsidR="005F33CC" w:rsidRPr="00A06A28" w:rsidRDefault="005F33CC" w:rsidP="005F33CC">
                            <w:pPr>
                              <w:jc w:val="center"/>
                              <w:rPr>
                                <w:rFonts w:ascii="Ubuntu" w:hAnsi="Ubuntu"/>
                                <w:b/>
                                <w:bCs/>
                              </w:rPr>
                            </w:pPr>
                            <w:r>
                              <w:rPr>
                                <w:rFonts w:ascii="Ubuntu" w:hAnsi="Ubuntu"/>
                                <w:b/>
                                <w:bCs/>
                                <w:noProof/>
                                <w:lang w:eastAsia="pt-BR"/>
                              </w:rPr>
                              <w:drawing>
                                <wp:inline distT="0" distB="0" distL="0" distR="0" wp14:anchorId="6348C0B3" wp14:editId="7915758E">
                                  <wp:extent cx="923925" cy="1073964"/>
                                  <wp:effectExtent l="0" t="0" r="0" b="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7416" cy="10780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8377E45" id="Retângulo: Cantos Arredondados 55" o:spid="_x0000_s1039" style="position:absolute;margin-left:-21.5pt;margin-top:404.25pt;width:114pt;height:122.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7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" fillcolor="#b886b3" stroked="f" strokeweight="1pt">
                <v:stroke joinstyle="miter"/>
                <v:textbox>
                  <w:txbxContent>
                    <w:p w14:paraId="6310C5DE" w14:textId="77777777" w:rsidR="005F33CC" w:rsidRPr="005F240B" w:rsidRDefault="005F33CC" w:rsidP="005F33CC">
                      <w:pPr>
                        <w:jc w:val="center"/>
                        <w:rPr>
                          <w:rFonts w:ascii="Arial" w:hAnsi="Arial" w:cs="Arial"/>
                          <w:b/>
                          <w:bCs/>
                        </w:rPr>
                      </w:pPr>
                      <w:r w:rsidRPr="005F240B">
                        <w:rPr>
                          <w:rFonts w:ascii="Arial" w:hAnsi="Arial" w:cs="Arial"/>
                          <w:b/>
                          <w:bCs/>
                        </w:rPr>
                        <w:t>COMO USAR?</w:t>
                      </w:r>
                    </w:p>
                    <w:p w14:paraId="1583C2E6" w14:textId="77777777" w:rsidR="005F33CC" w:rsidRPr="00A06A28" w:rsidRDefault="005F33CC" w:rsidP="005F33CC">
                      <w:pPr>
                        <w:jc w:val="center"/>
                        <w:rPr>
                          <w:rFonts w:ascii="Ubuntu" w:hAnsi="Ubuntu"/>
                          <w:b/>
                          <w:bCs/>
                        </w:rPr>
                      </w:pPr>
                      <w:r>
                        <w:rPr>
                          <w:rFonts w:ascii="Ubuntu" w:hAnsi="Ubuntu"/>
                          <w:b/>
                          <w:bCs/>
                          <w:noProof/>
                          <w:lang w:eastAsia="pt-BR"/>
                        </w:rPr>
                        <w:drawing>
                          <wp:inline distT="0" distB="0" distL="0" distR="0" wp14:anchorId="6348C0B3" wp14:editId="7915758E">
                            <wp:extent cx="923925" cy="1073964"/>
                            <wp:effectExtent l="0" t="0" r="0" b="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7416" cy="1078022"/>
                                    </a:xfrm>
                                    <a:prstGeom prst="rect">
                                      <a:avLst/>
                                    </a:prstGeom>
                                    <a:noFill/>
                                    <a:ln>
                                      <a:noFill/>
                                    </a:ln>
                                  </pic:spPr>
                                </pic:pic>
                              </a:graphicData>
                            </a:graphic>
                          </wp:inline>
                        </w:drawing>
                      </w:r>
                    </w:p>
                  </w:txbxContent>
                </v:textbox>
              </v:roundrect>
            </w:pict>
          </mc:Fallback>
        </mc:AlternateContent>
      </w:r>
      <w:r w:rsidR="007B04E4" w:rsidRPr="005F33CC">
        <w:rPr>
          <w:noProof/>
          <w:lang w:eastAsia="pt-BR"/>
        </w:rPr>
        <mc:AlternateContent>
          <mc:Choice Requires="wps">
            <w:drawing>
              <wp:anchor distT="0" distB="0" distL="114300" distR="114300" simplePos="0" relativeHeight="251678720" behindDoc="0" locked="0" layoutInCell="1" allowOverlap="1" wp14:anchorId="2DBBC156" wp14:editId="0F0C5FC3">
                <wp:simplePos x="0" y="0"/>
                <wp:positionH relativeFrom="column">
                  <wp:posOffset>-76200</wp:posOffset>
                </wp:positionH>
                <wp:positionV relativeFrom="paragraph">
                  <wp:posOffset>5244465</wp:posOffset>
                </wp:positionV>
                <wp:extent cx="6299835" cy="2571750"/>
                <wp:effectExtent l="0" t="0" r="5715" b="0"/>
                <wp:wrapNone/>
                <wp:docPr id="53" name="Retângulo: Cantos Arredondados 53"/>
                <wp:cNvGraphicFramePr/>
                <a:graphic xmlns:a="http://schemas.openxmlformats.org/drawingml/2006/main">
                  <a:graphicData uri="http://schemas.microsoft.com/office/word/2010/wordprocessingShape">
                    <wps:wsp>
                      <wps:cNvSpPr/>
                      <wps:spPr>
                        <a:xfrm>
                          <a:off x="0" y="0"/>
                          <a:ext cx="6299835" cy="2571750"/>
                        </a:xfrm>
                        <a:prstGeom prst="roundRect">
                          <a:avLst>
                            <a:gd name="adj" fmla="val 3901"/>
                          </a:avLst>
                        </a:prstGeom>
                        <a:solidFill>
                          <a:srgbClr val="154B5D"/>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39007A17" w14:textId="77777777" w:rsidR="005F33CC" w:rsidRPr="000F5532" w:rsidRDefault="005F33CC" w:rsidP="005F33CC">
                            <w:pPr>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DBBC156" id="Retângulo: Cantos Arredondados 53" o:spid="_x0000_s1040" style="position:absolute;margin-left:-6pt;margin-top:412.95pt;width:496.05pt;height:20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" fillcolor="#154b5d" stroked="f" strokeweight="1pt">
                <v:stroke joinstyle="miter"/>
                <v:textbox>
                  <w:txbxContent>
                    <w:p w14:paraId="39007A17" w14:textId="77777777" w:rsidR="005F33CC" w:rsidRPr="000F5532" w:rsidRDefault="005F33CC" w:rsidP="005F33CC">
                      <w:pPr>
                        <w:ind w:left="2484"/>
                        <w:rPr>
                          <w:rFonts w:ascii="Ubuntu" w:hAnsi="Ubuntu"/>
                          <w:color w:val="FFFFFF" w:themeColor="background1"/>
                          <w:sz w:val="20"/>
                          <w:szCs w:val="20"/>
                        </w:rPr>
                      </w:pPr>
                    </w:p>
                  </w:txbxContent>
                </v:textbox>
              </v:roundrect>
            </w:pict>
          </mc:Fallback>
        </mc:AlternateContent>
      </w:r>
      <w:r w:rsidR="007B04E4" w:rsidRPr="005F33CC">
        <w:rPr>
          <w:noProof/>
          <w:lang w:eastAsia="pt-BR"/>
        </w:rPr>
        <mc:AlternateContent>
          <mc:Choice Requires="wps">
            <w:drawing>
              <wp:anchor distT="0" distB="0" distL="114300" distR="114300" simplePos="0" relativeHeight="251679744" behindDoc="0" locked="0" layoutInCell="1" allowOverlap="1" wp14:anchorId="482BC2A6" wp14:editId="3F237872">
                <wp:simplePos x="0" y="0"/>
                <wp:positionH relativeFrom="margin">
                  <wp:posOffset>19050</wp:posOffset>
                </wp:positionH>
                <wp:positionV relativeFrom="paragraph">
                  <wp:posOffset>5386705</wp:posOffset>
                </wp:positionV>
                <wp:extent cx="6299835" cy="2571750"/>
                <wp:effectExtent l="19050" t="19050" r="24765" b="19050"/>
                <wp:wrapNone/>
                <wp:docPr id="54" name="Retângulo: Cantos Arredondados 54"/>
                <wp:cNvGraphicFramePr/>
                <a:graphic xmlns:a="http://schemas.openxmlformats.org/drawingml/2006/main">
                  <a:graphicData uri="http://schemas.microsoft.com/office/word/2010/wordprocessingShape">
                    <wps:wsp>
                      <wps:cNvSpPr/>
                      <wps:spPr>
                        <a:xfrm>
                          <a:off x="0" y="0"/>
                          <a:ext cx="6299835" cy="2571750"/>
                        </a:xfrm>
                        <a:prstGeom prst="roundRect">
                          <a:avLst>
                            <a:gd name="adj" fmla="val 3454"/>
                          </a:avLst>
                        </a:prstGeom>
                        <a:noFill/>
                        <a:ln w="28575">
                          <a:solidFill>
                            <a:srgbClr val="B886B3"/>
                          </a:solidFill>
                        </a:ln>
                      </wps:spPr>
                      <wps:style>
                        <a:lnRef idx="2">
                          <a:schemeClr val="dk1">
                            <a:shade val="50000"/>
                          </a:schemeClr>
                        </a:lnRef>
                        <a:fillRef idx="1">
                          <a:schemeClr val="dk1"/>
                        </a:fillRef>
                        <a:effectRef idx="0">
                          <a:schemeClr val="dk1"/>
                        </a:effectRef>
                        <a:fontRef idx="minor">
                          <a:schemeClr val="lt1"/>
                        </a:fontRef>
                      </wps:style>
                      <wps:txbx>
                        <w:txbxContent>
                          <w:p w14:paraId="625893B4" w14:textId="77777777" w:rsidR="005F33CC" w:rsidRDefault="005F33CC" w:rsidP="005F33CC">
                            <w:pPr>
                              <w:ind w:left="2136"/>
                              <w:jc w:val="both"/>
                              <w:rPr>
                                <w:rFonts w:ascii="Ubuntu" w:eastAsia="Times New Roman" w:hAnsi="Ubuntu" w:cs="Times New Roman"/>
                                <w:color w:val="FFFFFF" w:themeColor="background1"/>
                                <w:sz w:val="20"/>
                                <w:szCs w:val="20"/>
                              </w:rPr>
                            </w:pPr>
                            <w:r>
                              <w:rPr>
                                <w:rFonts w:ascii="Ubuntu" w:eastAsia="Times New Roman" w:hAnsi="Ubuntu" w:cs="Times New Roman"/>
                                <w:color w:val="FFFFFF" w:themeColor="background1"/>
                                <w:sz w:val="20"/>
                                <w:szCs w:val="20"/>
                              </w:rPr>
                              <w:t xml:space="preserve">                                                        </w:t>
                            </w:r>
                            <w:r w:rsidRPr="001D2597">
                              <w:rPr>
                                <w:rFonts w:ascii="Ubuntu" w:eastAsia="Times New Roman" w:hAnsi="Ubuntu" w:cs="Times New Roman"/>
                                <w:color w:val="FFFFFF" w:themeColor="background1"/>
                                <w:sz w:val="20"/>
                                <w:szCs w:val="20"/>
                              </w:rPr>
                              <w:t xml:space="preserve"> </w:t>
                            </w:r>
                          </w:p>
                          <w:p w14:paraId="7B2747F0" w14:textId="77777777" w:rsidR="005F33CC" w:rsidRDefault="005F33CC" w:rsidP="005F33CC">
                            <w:pPr>
                              <w:ind w:left="2136"/>
                              <w:jc w:val="both"/>
                              <w:rPr>
                                <w:rFonts w:ascii="Ubuntu" w:eastAsia="Times New Roman" w:hAnsi="Ubuntu" w:cs="Times New Roman"/>
                                <w:color w:val="FFFFFF" w:themeColor="background1"/>
                                <w:sz w:val="20"/>
                                <w:szCs w:val="20"/>
                              </w:rPr>
                            </w:pPr>
                          </w:p>
                          <w:p w14:paraId="2CFFC371" w14:textId="77777777" w:rsidR="005F33CC" w:rsidRDefault="005F33CC" w:rsidP="005F33CC">
                            <w:pPr>
                              <w:ind w:left="2136"/>
                              <w:jc w:val="both"/>
                              <w:rPr>
                                <w:rFonts w:ascii="Ubuntu" w:eastAsia="Times New Roman" w:hAnsi="Ubuntu" w:cs="Times New Roman"/>
                                <w:color w:val="FFFFFF" w:themeColor="background1"/>
                                <w:sz w:val="20"/>
                                <w:szCs w:val="20"/>
                              </w:rPr>
                            </w:pPr>
                          </w:p>
                          <w:p w14:paraId="6AF98643" w14:textId="77777777" w:rsidR="005F33CC" w:rsidRDefault="005F33CC" w:rsidP="005F33CC">
                            <w:pPr>
                              <w:ind w:left="2136"/>
                              <w:jc w:val="both"/>
                              <w:rPr>
                                <w:rFonts w:ascii="Ubuntu" w:eastAsia="Times New Roman" w:hAnsi="Ubuntu" w:cs="Times New Roman"/>
                                <w:color w:val="FFFFFF" w:themeColor="background1"/>
                                <w:sz w:val="20"/>
                                <w:szCs w:val="20"/>
                              </w:rPr>
                            </w:pPr>
                          </w:p>
                          <w:p w14:paraId="01A0ABBC" w14:textId="77777777" w:rsidR="005F33CC" w:rsidRDefault="005F33CC" w:rsidP="005F33CC">
                            <w:pPr>
                              <w:ind w:left="2136"/>
                              <w:jc w:val="both"/>
                              <w:rPr>
                                <w:rFonts w:ascii="Ubuntu" w:eastAsia="Times New Roman" w:hAnsi="Ubuntu" w:cs="Times New Roman"/>
                                <w:color w:val="FFFFFF" w:themeColor="background1"/>
                                <w:sz w:val="20"/>
                                <w:szCs w:val="20"/>
                              </w:rPr>
                            </w:pPr>
                          </w:p>
                          <w:p w14:paraId="5914E724" w14:textId="266BCB29" w:rsidR="005F33CC" w:rsidRPr="005F240B" w:rsidRDefault="005F33CC" w:rsidP="005F33CC">
                            <w:pPr>
                              <w:rPr>
                                <w:rFonts w:ascii="Arial" w:hAnsi="Arial" w:cs="Arial"/>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82BC2A6" id="Retângulo: Cantos Arredondados 54" o:spid="_x0000_s1041" style="position:absolute;margin-left:1.5pt;margin-top:424.15pt;width:496.05pt;height:202.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" filled="f" strokecolor="#b886b3" strokeweight="2.25pt">
                <v:stroke joinstyle="miter"/>
                <v:textbox>
                  <w:txbxContent>
                    <w:p w14:paraId="625893B4" w14:textId="77777777" w:rsidR="005F33CC" w:rsidRDefault="005F33CC" w:rsidP="005F33CC">
                      <w:pPr>
                        <w:ind w:left="2136"/>
                        <w:jc w:val="both"/>
                        <w:rPr>
                          <w:rFonts w:ascii="Ubuntu" w:eastAsia="Times New Roman" w:hAnsi="Ubuntu" w:cs="Times New Roman"/>
                          <w:color w:val="FFFFFF" w:themeColor="background1"/>
                          <w:sz w:val="20"/>
                          <w:szCs w:val="20"/>
                        </w:rPr>
                      </w:pPr>
                      <w:r>
                        <w:rPr>
                          <w:rFonts w:ascii="Ubuntu" w:eastAsia="Times New Roman" w:hAnsi="Ubuntu" w:cs="Times New Roman"/>
                          <w:color w:val="FFFFFF" w:themeColor="background1"/>
                          <w:sz w:val="20"/>
                          <w:szCs w:val="20"/>
                        </w:rPr>
                        <w:t xml:space="preserve">                                                        </w:t>
                      </w:r>
                      <w:r w:rsidRPr="001D2597">
                        <w:rPr>
                          <w:rFonts w:ascii="Ubuntu" w:eastAsia="Times New Roman" w:hAnsi="Ubuntu" w:cs="Times New Roman"/>
                          <w:color w:val="FFFFFF" w:themeColor="background1"/>
                          <w:sz w:val="20"/>
                          <w:szCs w:val="20"/>
                        </w:rPr>
                        <w:t xml:space="preserve"> </w:t>
                      </w:r>
                    </w:p>
                    <w:p w14:paraId="7B2747F0" w14:textId="77777777" w:rsidR="005F33CC" w:rsidRDefault="005F33CC" w:rsidP="005F33CC">
                      <w:pPr>
                        <w:ind w:left="2136"/>
                        <w:jc w:val="both"/>
                        <w:rPr>
                          <w:rFonts w:ascii="Ubuntu" w:eastAsia="Times New Roman" w:hAnsi="Ubuntu" w:cs="Times New Roman"/>
                          <w:color w:val="FFFFFF" w:themeColor="background1"/>
                          <w:sz w:val="20"/>
                          <w:szCs w:val="20"/>
                        </w:rPr>
                      </w:pPr>
                    </w:p>
                    <w:p w14:paraId="2CFFC371" w14:textId="77777777" w:rsidR="005F33CC" w:rsidRDefault="005F33CC" w:rsidP="005F33CC">
                      <w:pPr>
                        <w:ind w:left="2136"/>
                        <w:jc w:val="both"/>
                        <w:rPr>
                          <w:rFonts w:ascii="Ubuntu" w:eastAsia="Times New Roman" w:hAnsi="Ubuntu" w:cs="Times New Roman"/>
                          <w:color w:val="FFFFFF" w:themeColor="background1"/>
                          <w:sz w:val="20"/>
                          <w:szCs w:val="20"/>
                        </w:rPr>
                      </w:pPr>
                    </w:p>
                    <w:p w14:paraId="6AF98643" w14:textId="77777777" w:rsidR="005F33CC" w:rsidRDefault="005F33CC" w:rsidP="005F33CC">
                      <w:pPr>
                        <w:ind w:left="2136"/>
                        <w:jc w:val="both"/>
                        <w:rPr>
                          <w:rFonts w:ascii="Ubuntu" w:eastAsia="Times New Roman" w:hAnsi="Ubuntu" w:cs="Times New Roman"/>
                          <w:color w:val="FFFFFF" w:themeColor="background1"/>
                          <w:sz w:val="20"/>
                          <w:szCs w:val="20"/>
                        </w:rPr>
                      </w:pPr>
                    </w:p>
                    <w:p w14:paraId="01A0ABBC" w14:textId="77777777" w:rsidR="005F33CC" w:rsidRDefault="005F33CC" w:rsidP="005F33CC">
                      <w:pPr>
                        <w:ind w:left="2136"/>
                        <w:jc w:val="both"/>
                        <w:rPr>
                          <w:rFonts w:ascii="Ubuntu" w:eastAsia="Times New Roman" w:hAnsi="Ubuntu" w:cs="Times New Roman"/>
                          <w:color w:val="FFFFFF" w:themeColor="background1"/>
                          <w:sz w:val="20"/>
                          <w:szCs w:val="20"/>
                        </w:rPr>
                      </w:pPr>
                    </w:p>
                    <w:p w14:paraId="5914E724" w14:textId="266BCB29" w:rsidR="005F33CC" w:rsidRPr="005F240B" w:rsidRDefault="005F33CC" w:rsidP="005F33CC">
                      <w:pPr>
                        <w:rPr>
                          <w:rFonts w:ascii="Arial" w:hAnsi="Arial" w:cs="Arial"/>
                          <w:color w:val="FFFFFF" w:themeColor="background1"/>
                          <w:sz w:val="20"/>
                          <w:szCs w:val="20"/>
                        </w:rPr>
                      </w:pPr>
                    </w:p>
                  </w:txbxContent>
                </v:textbox>
                <w10:wrap anchorx="margin"/>
              </v:roundrect>
            </w:pict>
          </mc:Fallback>
        </mc:AlternateContent>
      </w:r>
      <w:r w:rsidR="007B04E4" w:rsidRPr="00BC64A8">
        <w:rPr>
          <w:noProof/>
          <w:lang w:eastAsia="pt-BR"/>
        </w:rPr>
        <mc:AlternateContent>
          <mc:Choice Requires="wps">
            <w:drawing>
              <wp:anchor distT="0" distB="0" distL="114300" distR="114300" simplePos="0" relativeHeight="251671552" behindDoc="0" locked="0" layoutInCell="1" allowOverlap="1" wp14:anchorId="713116BE" wp14:editId="4D4B1D93">
                <wp:simplePos x="0" y="0"/>
                <wp:positionH relativeFrom="margin">
                  <wp:align>left</wp:align>
                </wp:positionH>
                <wp:positionV relativeFrom="paragraph">
                  <wp:posOffset>577215</wp:posOffset>
                </wp:positionV>
                <wp:extent cx="6299835" cy="4362450"/>
                <wp:effectExtent l="19050" t="19050" r="24765" b="19050"/>
                <wp:wrapNone/>
                <wp:docPr id="32" name="Retângulo: Cantos Arredondados 32"/>
                <wp:cNvGraphicFramePr/>
                <a:graphic xmlns:a="http://schemas.openxmlformats.org/drawingml/2006/main">
                  <a:graphicData uri="http://schemas.microsoft.com/office/word/2010/wordprocessingShape">
                    <wps:wsp>
                      <wps:cNvSpPr/>
                      <wps:spPr>
                        <a:xfrm>
                          <a:off x="0" y="0"/>
                          <a:ext cx="6299835" cy="4362450"/>
                        </a:xfrm>
                        <a:prstGeom prst="roundRect">
                          <a:avLst>
                            <a:gd name="adj" fmla="val 6068"/>
                          </a:avLst>
                        </a:prstGeom>
                        <a:noFill/>
                        <a:ln w="28575">
                          <a:solidFill>
                            <a:srgbClr val="B886B3"/>
                          </a:solidFill>
                        </a:ln>
                      </wps:spPr>
                      <wps:style>
                        <a:lnRef idx="2">
                          <a:schemeClr val="dk1">
                            <a:shade val="50000"/>
                          </a:schemeClr>
                        </a:lnRef>
                        <a:fillRef idx="1">
                          <a:schemeClr val="dk1"/>
                        </a:fillRef>
                        <a:effectRef idx="0">
                          <a:schemeClr val="dk1"/>
                        </a:effectRef>
                        <a:fontRef idx="minor">
                          <a:schemeClr val="lt1"/>
                        </a:fontRef>
                      </wps:style>
                      <wps:txbx>
                        <w:txbxContent>
                          <w:p w14:paraId="12B08235" w14:textId="77777777" w:rsidR="00CD32C2" w:rsidRPr="00CD32C2" w:rsidRDefault="00CD32C2" w:rsidP="00CD32C2">
                            <w:pPr>
                              <w:numPr>
                                <w:ilvl w:val="0"/>
                                <w:numId w:val="30"/>
                              </w:numPr>
                              <w:tabs>
                                <w:tab w:val="left" w:pos="2552"/>
                              </w:tabs>
                              <w:rPr>
                                <w:rFonts w:ascii="Arial" w:eastAsia="Calibri" w:hAnsi="Arial" w:cs="Arial"/>
                                <w:color w:val="FFFFFF" w:themeColor="background1"/>
                                <w:sz w:val="20"/>
                                <w:szCs w:val="20"/>
                              </w:rPr>
                            </w:pPr>
                            <w:r w:rsidRPr="00CD32C2">
                              <w:rPr>
                                <w:rFonts w:ascii="Arial" w:eastAsia="Calibri" w:hAnsi="Arial" w:cs="Arial"/>
                                <w:color w:val="FFFFFF" w:themeColor="background1"/>
                                <w:sz w:val="20"/>
                                <w:szCs w:val="20"/>
                              </w:rPr>
                              <w:t xml:space="preserve">Este modelo não é aplicável aos regimes de execução de empreitada integral, contratação por tarefa, contratação integrada, contratação </w:t>
                            </w:r>
                            <w:proofErr w:type="spellStart"/>
                            <w:r w:rsidRPr="00CD32C2">
                              <w:rPr>
                                <w:rFonts w:ascii="Arial" w:eastAsia="Calibri" w:hAnsi="Arial" w:cs="Arial"/>
                                <w:color w:val="FFFFFF" w:themeColor="background1"/>
                                <w:sz w:val="20"/>
                                <w:szCs w:val="20"/>
                              </w:rPr>
                              <w:t>semi-integrada</w:t>
                            </w:r>
                            <w:proofErr w:type="spellEnd"/>
                            <w:r w:rsidRPr="00CD32C2">
                              <w:rPr>
                                <w:rFonts w:ascii="Arial" w:eastAsia="Calibri" w:hAnsi="Arial" w:cs="Arial"/>
                                <w:color w:val="FFFFFF" w:themeColor="background1"/>
                                <w:sz w:val="20"/>
                                <w:szCs w:val="20"/>
                              </w:rPr>
                              <w:t xml:space="preserve"> ou fornecimento e prestação de serviço associado (art. 46, da Lei nº 14.133, de 2021).</w:t>
                            </w:r>
                          </w:p>
                          <w:p w14:paraId="187FD597" w14:textId="77777777" w:rsidR="00CD32C2" w:rsidRPr="00CD32C2" w:rsidRDefault="00CD32C2" w:rsidP="00CD32C2">
                            <w:pPr>
                              <w:numPr>
                                <w:ilvl w:val="0"/>
                                <w:numId w:val="30"/>
                              </w:numPr>
                              <w:tabs>
                                <w:tab w:val="left" w:pos="2552"/>
                              </w:tabs>
                              <w:rPr>
                                <w:rFonts w:ascii="Arial" w:eastAsia="Calibri" w:hAnsi="Arial" w:cs="Arial"/>
                                <w:color w:val="FFFFFF" w:themeColor="background1"/>
                                <w:sz w:val="20"/>
                                <w:szCs w:val="20"/>
                              </w:rPr>
                            </w:pPr>
                            <w:r w:rsidRPr="00CD32C2">
                              <w:rPr>
                                <w:rFonts w:ascii="Arial" w:eastAsia="Calibri" w:hAnsi="Arial" w:cs="Arial"/>
                                <w:color w:val="FFFFFF" w:themeColor="background1"/>
                                <w:sz w:val="20"/>
                                <w:szCs w:val="20"/>
                              </w:rPr>
                              <w:t>Também não é aplicável nos casos cujos critérios de julgamento sejam a melhor técnica ou conteúdo artístico; técnica e preço e maior retorno econômico.</w:t>
                            </w:r>
                          </w:p>
                          <w:p w14:paraId="7B31CD61" w14:textId="77777777" w:rsidR="00CD32C2" w:rsidRPr="00CD32C2" w:rsidRDefault="00CD32C2" w:rsidP="00CD32C2">
                            <w:pPr>
                              <w:numPr>
                                <w:ilvl w:val="0"/>
                                <w:numId w:val="30"/>
                              </w:numPr>
                              <w:tabs>
                                <w:tab w:val="left" w:pos="2552"/>
                              </w:tabs>
                              <w:rPr>
                                <w:rFonts w:ascii="Arial" w:eastAsia="Calibri" w:hAnsi="Arial" w:cs="Arial"/>
                                <w:color w:val="FFFFFF" w:themeColor="background1"/>
                                <w:sz w:val="20"/>
                                <w:szCs w:val="20"/>
                              </w:rPr>
                            </w:pPr>
                            <w:r w:rsidRPr="00CD32C2">
                              <w:rPr>
                                <w:rFonts w:ascii="Arial" w:eastAsia="Calibri" w:hAnsi="Arial" w:cs="Arial"/>
                                <w:color w:val="FFFFFF" w:themeColor="background1"/>
                                <w:sz w:val="20"/>
                                <w:szCs w:val="20"/>
                              </w:rPr>
                              <w:t>Este modelo não é aplicável à concessão/permissão de serviço público (art. 175 da CF/88 e Lei nº 8.987, de 1995) e à Parceria Público-Privada (Lei nº 11.079, de 2004).</w:t>
                            </w:r>
                          </w:p>
                          <w:p w14:paraId="40A1060A" w14:textId="77777777" w:rsidR="00CD32C2" w:rsidRPr="00CD32C2" w:rsidRDefault="00CD32C2" w:rsidP="00CD32C2">
                            <w:pPr>
                              <w:numPr>
                                <w:ilvl w:val="0"/>
                                <w:numId w:val="30"/>
                              </w:numPr>
                              <w:tabs>
                                <w:tab w:val="left" w:pos="2552"/>
                              </w:tabs>
                              <w:rPr>
                                <w:rFonts w:ascii="Arial" w:eastAsia="Calibri" w:hAnsi="Arial" w:cs="Arial"/>
                                <w:color w:val="FFFFFF" w:themeColor="background1"/>
                                <w:sz w:val="20"/>
                                <w:szCs w:val="20"/>
                              </w:rPr>
                            </w:pPr>
                            <w:r w:rsidRPr="00CD32C2">
                              <w:rPr>
                                <w:rFonts w:ascii="Arial" w:eastAsia="Calibri" w:hAnsi="Arial" w:cs="Arial"/>
                                <w:color w:val="FFFFFF" w:themeColor="background1"/>
                                <w:sz w:val="20"/>
                                <w:szCs w:val="20"/>
                              </w:rPr>
                              <w:t xml:space="preserve">Além de não ser aplicável, ainda, para os casos de contratação de bens especiais e de prestação de serviços especiais. </w:t>
                            </w:r>
                          </w:p>
                          <w:p w14:paraId="7C717496" w14:textId="77777777" w:rsidR="00CD32C2" w:rsidRPr="00CD32C2" w:rsidRDefault="00CD32C2" w:rsidP="00CD32C2">
                            <w:pPr>
                              <w:numPr>
                                <w:ilvl w:val="0"/>
                                <w:numId w:val="30"/>
                              </w:numPr>
                              <w:tabs>
                                <w:tab w:val="left" w:pos="2552"/>
                              </w:tabs>
                              <w:rPr>
                                <w:rFonts w:ascii="Arial" w:eastAsia="Calibri" w:hAnsi="Arial" w:cs="Arial"/>
                                <w:color w:val="FFFFFF" w:themeColor="background1"/>
                                <w:sz w:val="20"/>
                                <w:szCs w:val="20"/>
                              </w:rPr>
                            </w:pPr>
                            <w:r w:rsidRPr="00CD32C2">
                              <w:rPr>
                                <w:rFonts w:ascii="Arial" w:eastAsia="Calibri" w:hAnsi="Arial" w:cs="Arial"/>
                                <w:color w:val="FFFFFF" w:themeColor="background1"/>
                                <w:sz w:val="20"/>
                                <w:szCs w:val="20"/>
                              </w:rPr>
                              <w:t xml:space="preserve">Para as hipóteses não aplicáveis ao presente modelo, caberá </w:t>
                            </w:r>
                            <w:r w:rsidRPr="00CD32C2">
                              <w:rPr>
                                <w:rFonts w:ascii="Arial" w:eastAsia="Calibri" w:hAnsi="Arial" w:cs="Arial"/>
                                <w:b/>
                                <w:bCs/>
                                <w:color w:val="FFFFFF" w:themeColor="background1"/>
                                <w:sz w:val="20"/>
                                <w:szCs w:val="20"/>
                              </w:rPr>
                              <w:t>ao parecerista fazer os devidos ajustes no caso concreto.</w:t>
                            </w:r>
                          </w:p>
                          <w:p w14:paraId="4B713512" w14:textId="18985676" w:rsidR="00BC64A8" w:rsidRPr="00802A4A" w:rsidRDefault="00CD32C2" w:rsidP="00802A4A">
                            <w:pPr>
                              <w:numPr>
                                <w:ilvl w:val="0"/>
                                <w:numId w:val="30"/>
                              </w:numPr>
                              <w:tabs>
                                <w:tab w:val="left" w:pos="2552"/>
                              </w:tabs>
                              <w:rPr>
                                <w:rFonts w:ascii="Arial" w:eastAsia="Calibri" w:hAnsi="Arial" w:cs="Arial"/>
                                <w:color w:val="FFFFFF" w:themeColor="background1"/>
                                <w:sz w:val="20"/>
                                <w:szCs w:val="20"/>
                              </w:rPr>
                            </w:pPr>
                            <w:r w:rsidRPr="00CD32C2">
                              <w:rPr>
                                <w:rFonts w:ascii="Arial" w:eastAsia="Calibri" w:hAnsi="Arial" w:cs="Arial"/>
                                <w:color w:val="FFFFFF" w:themeColor="background1"/>
                                <w:sz w:val="20"/>
                                <w:szCs w:val="20"/>
                              </w:rPr>
                              <w:t>Não se aplica aos processos instruídos com fundamento na Lei nº 8.666, de 1993, Lei nº 10.520, de 2002 e Lei nº 12.462, de 2011, nos termos do art. 191 da Lei nº 14.133, de 2021 e item 217 do PARECER n. 00002/2021/CNMLC/CGU/AGU, NUP: 00688.000716/2019-43, sequencial 460).</w:t>
                            </w:r>
                          </w:p>
                        </w:txbxContent>
                      </wps:txbx>
                      <wps:bodyPr rot="0" spcFirstLastPara="0" vertOverflow="overflow" horzOverflow="overflow" vert="horz" wrap="square" lIns="91440" tIns="45720" rIns="360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13116BE" id="Retângulo: Cantos Arredondados 32" o:spid="_x0000_s1042" style="position:absolute;margin-left:0;margin-top:45.45pt;width:496.05pt;height:343.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39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" filled="f" strokecolor="#b886b3" strokeweight="2.25pt">
                <v:stroke joinstyle="miter"/>
                <v:textbox inset=",,10mm">
                  <w:txbxContent>
                    <w:p w14:paraId="12B08235" w14:textId="77777777" w:rsidR="00CD32C2" w:rsidRPr="00CD32C2" w:rsidRDefault="00CD32C2" w:rsidP="00CD32C2">
                      <w:pPr>
                        <w:numPr>
                          <w:ilvl w:val="0"/>
                          <w:numId w:val="30"/>
                        </w:numPr>
                        <w:tabs>
                          <w:tab w:val="left" w:pos="2552"/>
                        </w:tabs>
                        <w:rPr>
                          <w:rFonts w:ascii="Arial" w:eastAsia="Calibri" w:hAnsi="Arial" w:cs="Arial"/>
                          <w:color w:val="FFFFFF" w:themeColor="background1"/>
                          <w:sz w:val="20"/>
                          <w:szCs w:val="20"/>
                        </w:rPr>
                      </w:pPr>
                      <w:r w:rsidRPr="00CD32C2">
                        <w:rPr>
                          <w:rFonts w:ascii="Arial" w:eastAsia="Calibri" w:hAnsi="Arial" w:cs="Arial"/>
                          <w:color w:val="FFFFFF" w:themeColor="background1"/>
                          <w:sz w:val="20"/>
                          <w:szCs w:val="20"/>
                        </w:rPr>
                        <w:t xml:space="preserve">Este modelo não é aplicável aos regimes de execução de empreitada integral, contratação por tarefa, contratação integrada, contratação </w:t>
                      </w:r>
                      <w:proofErr w:type="spellStart"/>
                      <w:r w:rsidRPr="00CD32C2">
                        <w:rPr>
                          <w:rFonts w:ascii="Arial" w:eastAsia="Calibri" w:hAnsi="Arial" w:cs="Arial"/>
                          <w:color w:val="FFFFFF" w:themeColor="background1"/>
                          <w:sz w:val="20"/>
                          <w:szCs w:val="20"/>
                        </w:rPr>
                        <w:t>semi-integrada</w:t>
                      </w:r>
                      <w:proofErr w:type="spellEnd"/>
                      <w:r w:rsidRPr="00CD32C2">
                        <w:rPr>
                          <w:rFonts w:ascii="Arial" w:eastAsia="Calibri" w:hAnsi="Arial" w:cs="Arial"/>
                          <w:color w:val="FFFFFF" w:themeColor="background1"/>
                          <w:sz w:val="20"/>
                          <w:szCs w:val="20"/>
                        </w:rPr>
                        <w:t xml:space="preserve"> ou fornecimento e prestação de serviço associado (art. 46, da Lei nº 14.133, de 2021).</w:t>
                      </w:r>
                    </w:p>
                    <w:p w14:paraId="187FD597" w14:textId="77777777" w:rsidR="00CD32C2" w:rsidRPr="00CD32C2" w:rsidRDefault="00CD32C2" w:rsidP="00CD32C2">
                      <w:pPr>
                        <w:numPr>
                          <w:ilvl w:val="0"/>
                          <w:numId w:val="30"/>
                        </w:numPr>
                        <w:tabs>
                          <w:tab w:val="left" w:pos="2552"/>
                        </w:tabs>
                        <w:rPr>
                          <w:rFonts w:ascii="Arial" w:eastAsia="Calibri" w:hAnsi="Arial" w:cs="Arial"/>
                          <w:color w:val="FFFFFF" w:themeColor="background1"/>
                          <w:sz w:val="20"/>
                          <w:szCs w:val="20"/>
                        </w:rPr>
                      </w:pPr>
                      <w:r w:rsidRPr="00CD32C2">
                        <w:rPr>
                          <w:rFonts w:ascii="Arial" w:eastAsia="Calibri" w:hAnsi="Arial" w:cs="Arial"/>
                          <w:color w:val="FFFFFF" w:themeColor="background1"/>
                          <w:sz w:val="20"/>
                          <w:szCs w:val="20"/>
                        </w:rPr>
                        <w:t>Também não é aplicável nos casos cujos critérios de julgamento sejam a melhor técnica ou conteúdo artístico; técnica e preço e maior retorno econômico.</w:t>
                      </w:r>
                    </w:p>
                    <w:p w14:paraId="7B31CD61" w14:textId="77777777" w:rsidR="00CD32C2" w:rsidRPr="00CD32C2" w:rsidRDefault="00CD32C2" w:rsidP="00CD32C2">
                      <w:pPr>
                        <w:numPr>
                          <w:ilvl w:val="0"/>
                          <w:numId w:val="30"/>
                        </w:numPr>
                        <w:tabs>
                          <w:tab w:val="left" w:pos="2552"/>
                        </w:tabs>
                        <w:rPr>
                          <w:rFonts w:ascii="Arial" w:eastAsia="Calibri" w:hAnsi="Arial" w:cs="Arial"/>
                          <w:color w:val="FFFFFF" w:themeColor="background1"/>
                          <w:sz w:val="20"/>
                          <w:szCs w:val="20"/>
                        </w:rPr>
                      </w:pPr>
                      <w:r w:rsidRPr="00CD32C2">
                        <w:rPr>
                          <w:rFonts w:ascii="Arial" w:eastAsia="Calibri" w:hAnsi="Arial" w:cs="Arial"/>
                          <w:color w:val="FFFFFF" w:themeColor="background1"/>
                          <w:sz w:val="20"/>
                          <w:szCs w:val="20"/>
                        </w:rPr>
                        <w:t>Este modelo não é aplicável à concessão/permissão de serviço público (art. 175 da CF/88 e Lei nº 8.987, de 1995) e à Parceria Público-Privada (Lei nº 11.079, de 2004).</w:t>
                      </w:r>
                    </w:p>
                    <w:p w14:paraId="40A1060A" w14:textId="77777777" w:rsidR="00CD32C2" w:rsidRPr="00CD32C2" w:rsidRDefault="00CD32C2" w:rsidP="00CD32C2">
                      <w:pPr>
                        <w:numPr>
                          <w:ilvl w:val="0"/>
                          <w:numId w:val="30"/>
                        </w:numPr>
                        <w:tabs>
                          <w:tab w:val="left" w:pos="2552"/>
                        </w:tabs>
                        <w:rPr>
                          <w:rFonts w:ascii="Arial" w:eastAsia="Calibri" w:hAnsi="Arial" w:cs="Arial"/>
                          <w:color w:val="FFFFFF" w:themeColor="background1"/>
                          <w:sz w:val="20"/>
                          <w:szCs w:val="20"/>
                        </w:rPr>
                      </w:pPr>
                      <w:r w:rsidRPr="00CD32C2">
                        <w:rPr>
                          <w:rFonts w:ascii="Arial" w:eastAsia="Calibri" w:hAnsi="Arial" w:cs="Arial"/>
                          <w:color w:val="FFFFFF" w:themeColor="background1"/>
                          <w:sz w:val="20"/>
                          <w:szCs w:val="20"/>
                        </w:rPr>
                        <w:t xml:space="preserve">Além de não ser aplicável, ainda, para os casos de contratação de bens especiais e de prestação de serviços especiais. </w:t>
                      </w:r>
                    </w:p>
                    <w:p w14:paraId="7C717496" w14:textId="77777777" w:rsidR="00CD32C2" w:rsidRPr="00CD32C2" w:rsidRDefault="00CD32C2" w:rsidP="00CD32C2">
                      <w:pPr>
                        <w:numPr>
                          <w:ilvl w:val="0"/>
                          <w:numId w:val="30"/>
                        </w:numPr>
                        <w:tabs>
                          <w:tab w:val="left" w:pos="2552"/>
                        </w:tabs>
                        <w:rPr>
                          <w:rFonts w:ascii="Arial" w:eastAsia="Calibri" w:hAnsi="Arial" w:cs="Arial"/>
                          <w:color w:val="FFFFFF" w:themeColor="background1"/>
                          <w:sz w:val="20"/>
                          <w:szCs w:val="20"/>
                        </w:rPr>
                      </w:pPr>
                      <w:r w:rsidRPr="00CD32C2">
                        <w:rPr>
                          <w:rFonts w:ascii="Arial" w:eastAsia="Calibri" w:hAnsi="Arial" w:cs="Arial"/>
                          <w:color w:val="FFFFFF" w:themeColor="background1"/>
                          <w:sz w:val="20"/>
                          <w:szCs w:val="20"/>
                        </w:rPr>
                        <w:t xml:space="preserve">Para as hipóteses não aplicáveis ao presente modelo, caberá </w:t>
                      </w:r>
                      <w:r w:rsidRPr="00CD32C2">
                        <w:rPr>
                          <w:rFonts w:ascii="Arial" w:eastAsia="Calibri" w:hAnsi="Arial" w:cs="Arial"/>
                          <w:b/>
                          <w:bCs/>
                          <w:color w:val="FFFFFF" w:themeColor="background1"/>
                          <w:sz w:val="20"/>
                          <w:szCs w:val="20"/>
                        </w:rPr>
                        <w:t>ao parecerista fazer os devidos ajustes no caso concreto.</w:t>
                      </w:r>
                    </w:p>
                    <w:p w14:paraId="4B713512" w14:textId="18985676" w:rsidR="00BC64A8" w:rsidRPr="00802A4A" w:rsidRDefault="00CD32C2" w:rsidP="00802A4A">
                      <w:pPr>
                        <w:numPr>
                          <w:ilvl w:val="0"/>
                          <w:numId w:val="30"/>
                        </w:numPr>
                        <w:tabs>
                          <w:tab w:val="left" w:pos="2552"/>
                        </w:tabs>
                        <w:rPr>
                          <w:rFonts w:ascii="Arial" w:eastAsia="Calibri" w:hAnsi="Arial" w:cs="Arial"/>
                          <w:color w:val="FFFFFF" w:themeColor="background1"/>
                          <w:sz w:val="20"/>
                          <w:szCs w:val="20"/>
                        </w:rPr>
                      </w:pPr>
                      <w:r w:rsidRPr="00CD32C2">
                        <w:rPr>
                          <w:rFonts w:ascii="Arial" w:eastAsia="Calibri" w:hAnsi="Arial" w:cs="Arial"/>
                          <w:color w:val="FFFFFF" w:themeColor="background1"/>
                          <w:sz w:val="20"/>
                          <w:szCs w:val="20"/>
                        </w:rPr>
                        <w:t>Não se aplica aos processos instruídos com fundamento na Lei nº 8.666, de 1993, Lei nº 10.520, de 2002 e Lei nº 12.462, de 2011, nos termos do art. 191 da Lei nº 14.133, de 2021 e item 217 do PARECER n. 00002/2021/CNMLC/CGU/AGU, NUP: 00688.000716/2019-43, sequencial 460).</w:t>
                      </w:r>
                    </w:p>
                  </w:txbxContent>
                </v:textbox>
                <w10:wrap anchorx="margin"/>
              </v:roundrect>
            </w:pict>
          </mc:Fallback>
        </mc:AlternateContent>
      </w:r>
      <w:r w:rsidR="00802A4A" w:rsidRPr="00BC64A8">
        <w:rPr>
          <w:noProof/>
          <w:lang w:eastAsia="pt-BR"/>
        </w:rPr>
        <mc:AlternateContent>
          <mc:Choice Requires="wps">
            <w:drawing>
              <wp:anchor distT="0" distB="0" distL="114300" distR="114300" simplePos="0" relativeHeight="251670528" behindDoc="0" locked="0" layoutInCell="1" allowOverlap="1" wp14:anchorId="318A56DB" wp14:editId="7FC5D1B8">
                <wp:simplePos x="0" y="0"/>
                <wp:positionH relativeFrom="column">
                  <wp:posOffset>-95250</wp:posOffset>
                </wp:positionH>
                <wp:positionV relativeFrom="paragraph">
                  <wp:posOffset>481965</wp:posOffset>
                </wp:positionV>
                <wp:extent cx="6299835" cy="4343400"/>
                <wp:effectExtent l="0" t="0" r="5715" b="0"/>
                <wp:wrapNone/>
                <wp:docPr id="31" name="Retângulo: Cantos Arredondados 31"/>
                <wp:cNvGraphicFramePr/>
                <a:graphic xmlns:a="http://schemas.openxmlformats.org/drawingml/2006/main">
                  <a:graphicData uri="http://schemas.microsoft.com/office/word/2010/wordprocessingShape">
                    <wps:wsp>
                      <wps:cNvSpPr/>
                      <wps:spPr>
                        <a:xfrm>
                          <a:off x="0" y="0"/>
                          <a:ext cx="6299835" cy="4343400"/>
                        </a:xfrm>
                        <a:prstGeom prst="roundRect">
                          <a:avLst>
                            <a:gd name="adj" fmla="val 6945"/>
                          </a:avLst>
                        </a:prstGeom>
                        <a:solidFill>
                          <a:srgbClr val="154B5D"/>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52762F65" w14:textId="77777777" w:rsidR="00BC64A8" w:rsidRPr="000F5532" w:rsidRDefault="00BC64A8" w:rsidP="00BC64A8">
                            <w:pPr>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18A56DB" id="Retângulo: Cantos Arredondados 31" o:spid="_x0000_s1043" style="position:absolute;margin-left:-7.5pt;margin-top:37.95pt;width:496.05pt;height:34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5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" fillcolor="#154b5d" stroked="f" strokeweight="1pt">
                <v:stroke joinstyle="miter"/>
                <v:textbox>
                  <w:txbxContent>
                    <w:p w14:paraId="52762F65" w14:textId="77777777" w:rsidR="00BC64A8" w:rsidRPr="000F5532" w:rsidRDefault="00BC64A8" w:rsidP="00BC64A8">
                      <w:pPr>
                        <w:ind w:left="2484"/>
                        <w:rPr>
                          <w:rFonts w:ascii="Ubuntu" w:hAnsi="Ubuntu"/>
                          <w:color w:val="FFFFFF" w:themeColor="background1"/>
                          <w:sz w:val="20"/>
                          <w:szCs w:val="20"/>
                        </w:rPr>
                      </w:pPr>
                    </w:p>
                  </w:txbxContent>
                </v:textbox>
              </v:roundrect>
            </w:pict>
          </mc:Fallback>
        </mc:AlternateContent>
      </w:r>
      <w:r w:rsidR="00802A4A" w:rsidRPr="00BC64A8">
        <w:rPr>
          <w:noProof/>
          <w:lang w:eastAsia="pt-BR"/>
        </w:rPr>
        <mc:AlternateContent>
          <mc:Choice Requires="wps">
            <w:drawing>
              <wp:anchor distT="0" distB="0" distL="114300" distR="114300" simplePos="0" relativeHeight="251672576" behindDoc="0" locked="0" layoutInCell="1" allowOverlap="1" wp14:anchorId="2885B694" wp14:editId="6B9DCEDA">
                <wp:simplePos x="0" y="0"/>
                <wp:positionH relativeFrom="column">
                  <wp:posOffset>-269240</wp:posOffset>
                </wp:positionH>
                <wp:positionV relativeFrom="paragraph">
                  <wp:posOffset>350520</wp:posOffset>
                </wp:positionV>
                <wp:extent cx="1447800" cy="1571625"/>
                <wp:effectExtent l="0" t="0" r="0" b="9525"/>
                <wp:wrapNone/>
                <wp:docPr id="27" name="Retângulo: Cantos Arredondados 27"/>
                <wp:cNvGraphicFramePr/>
                <a:graphic xmlns:a="http://schemas.openxmlformats.org/drawingml/2006/main">
                  <a:graphicData uri="http://schemas.microsoft.com/office/word/2010/wordprocessingShape">
                    <wps:wsp>
                      <wps:cNvSpPr/>
                      <wps:spPr>
                        <a:xfrm>
                          <a:off x="0" y="0"/>
                          <a:ext cx="1447800" cy="1571625"/>
                        </a:xfrm>
                        <a:prstGeom prst="roundRect">
                          <a:avLst>
                            <a:gd name="adj" fmla="val 6799"/>
                          </a:avLst>
                        </a:prstGeom>
                        <a:solidFill>
                          <a:srgbClr val="B886B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BA4F50" w14:textId="77777777" w:rsidR="00BC64A8" w:rsidRPr="00A06A28" w:rsidRDefault="00BC64A8" w:rsidP="00BC64A8">
                            <w:pPr>
                              <w:jc w:val="center"/>
                              <w:rPr>
                                <w:rFonts w:ascii="Ubuntu" w:hAnsi="Ubuntu"/>
                                <w:b/>
                                <w:bCs/>
                              </w:rPr>
                            </w:pPr>
                            <w:r w:rsidRPr="00890E85">
                              <w:rPr>
                                <w:rFonts w:ascii="Arial" w:hAnsi="Arial" w:cs="Arial"/>
                                <w:b/>
                                <w:bCs/>
                              </w:rPr>
                              <w:t>NÃO APLICÁVEL</w:t>
                            </w:r>
                            <w:r>
                              <w:rPr>
                                <w:rFonts w:ascii="Ubuntu" w:hAnsi="Ubuntu"/>
                                <w:b/>
                                <w:bCs/>
                                <w:noProof/>
                                <w:lang w:eastAsia="pt-BR"/>
                              </w:rPr>
                              <w:drawing>
                                <wp:inline distT="0" distB="0" distL="0" distR="0" wp14:anchorId="2C35AFE1" wp14:editId="22A91751">
                                  <wp:extent cx="866140" cy="1131285"/>
                                  <wp:effectExtent l="0" t="0" r="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a:extLst>
                                              <a:ext uri="{28A0092B-C50C-407E-A947-70E740481C1C}">
                                                <a14:useLocalDpi xmlns:a14="http://schemas.microsoft.com/office/drawing/2010/main" val="0"/>
                                              </a:ext>
                                            </a:extLst>
                                          </a:blip>
                                          <a:srcRect l="10909"/>
                                          <a:stretch/>
                                        </pic:blipFill>
                                        <pic:spPr bwMode="auto">
                                          <a:xfrm>
                                            <a:off x="0" y="0"/>
                                            <a:ext cx="868589" cy="113448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885B694" id="Retângulo: Cantos Arredondados 27" o:spid="_x0000_s1044" style="position:absolute;margin-left:-21.2pt;margin-top:27.6pt;width:114pt;height:12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" fillcolor="#b886b3" stroked="f" strokeweight="1pt">
                <v:stroke joinstyle="miter"/>
                <v:textbox>
                  <w:txbxContent>
                    <w:p w14:paraId="1CBA4F50" w14:textId="77777777" w:rsidR="00BC64A8" w:rsidRPr="00A06A28" w:rsidRDefault="00BC64A8" w:rsidP="00BC64A8">
                      <w:pPr>
                        <w:jc w:val="center"/>
                        <w:rPr>
                          <w:rFonts w:ascii="Ubuntu" w:hAnsi="Ubuntu"/>
                          <w:b/>
                          <w:bCs/>
                        </w:rPr>
                      </w:pPr>
                      <w:r w:rsidRPr="00890E85">
                        <w:rPr>
                          <w:rFonts w:ascii="Arial" w:hAnsi="Arial" w:cs="Arial"/>
                          <w:b/>
                          <w:bCs/>
                        </w:rPr>
                        <w:t>NÃO APLICÁVEL</w:t>
                      </w:r>
                      <w:r>
                        <w:rPr>
                          <w:rFonts w:ascii="Ubuntu" w:hAnsi="Ubuntu"/>
                          <w:b/>
                          <w:bCs/>
                          <w:noProof/>
                          <w:lang w:eastAsia="pt-BR"/>
                        </w:rPr>
                        <w:drawing>
                          <wp:inline distT="0" distB="0" distL="0" distR="0" wp14:anchorId="2C35AFE1" wp14:editId="22A91751">
                            <wp:extent cx="866140" cy="1131285"/>
                            <wp:effectExtent l="0" t="0" r="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a:extLst>
                                        <a:ext uri="{28A0092B-C50C-407E-A947-70E740481C1C}">
                                          <a14:useLocalDpi xmlns:a14="http://schemas.microsoft.com/office/drawing/2010/main" val="0"/>
                                        </a:ext>
                                      </a:extLst>
                                    </a:blip>
                                    <a:srcRect l="10909"/>
                                    <a:stretch/>
                                  </pic:blipFill>
                                  <pic:spPr bwMode="auto">
                                    <a:xfrm>
                                      <a:off x="0" y="0"/>
                                      <a:ext cx="868589" cy="113448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oundrect>
            </w:pict>
          </mc:Fallback>
        </mc:AlternateContent>
      </w:r>
      <w:r>
        <w:softHyphen/>
      </w:r>
      <w:r>
        <w:softHyphen/>
      </w:r>
      <w:r w:rsidR="00E626DF" w:rsidRPr="00BC64A8">
        <w:br w:type="page"/>
      </w:r>
      <w:r w:rsidRPr="005F33CC">
        <w:rPr>
          <w:noProof/>
          <w:lang w:eastAsia="pt-BR"/>
        </w:rPr>
        <w:lastRenderedPageBreak/>
        <mc:AlternateContent>
          <mc:Choice Requires="wps">
            <w:drawing>
              <wp:anchor distT="0" distB="0" distL="114300" distR="114300" simplePos="0" relativeHeight="251694080" behindDoc="0" locked="0" layoutInCell="1" allowOverlap="1" wp14:anchorId="4B02DFE6" wp14:editId="1D926317">
                <wp:simplePos x="0" y="0"/>
                <wp:positionH relativeFrom="column">
                  <wp:posOffset>-87630</wp:posOffset>
                </wp:positionH>
                <wp:positionV relativeFrom="paragraph">
                  <wp:posOffset>346710</wp:posOffset>
                </wp:positionV>
                <wp:extent cx="6299835" cy="3975100"/>
                <wp:effectExtent l="0" t="0" r="5715" b="6350"/>
                <wp:wrapNone/>
                <wp:docPr id="73" name="Retângulo: Cantos Arredondados 73"/>
                <wp:cNvGraphicFramePr/>
                <a:graphic xmlns:a="http://schemas.openxmlformats.org/drawingml/2006/main">
                  <a:graphicData uri="http://schemas.microsoft.com/office/word/2010/wordprocessingShape">
                    <wps:wsp>
                      <wps:cNvSpPr/>
                      <wps:spPr>
                        <a:xfrm>
                          <a:off x="0" y="0"/>
                          <a:ext cx="6299835" cy="3975100"/>
                        </a:xfrm>
                        <a:prstGeom prst="roundRect">
                          <a:avLst>
                            <a:gd name="adj" fmla="val 2622"/>
                          </a:avLst>
                        </a:prstGeom>
                        <a:solidFill>
                          <a:srgbClr val="154B5D"/>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5AC50F4C" w14:textId="77777777" w:rsidR="005F33CC" w:rsidRPr="000F5532" w:rsidRDefault="005F33CC" w:rsidP="005F33CC">
                            <w:pPr>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B02DFE6" id="Retângulo: Cantos Arredondados 73" o:spid="_x0000_s1045" style="position:absolute;margin-left:-6.9pt;margin-top:27.3pt;width:496.05pt;height:31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" fillcolor="#154b5d" stroked="f" strokeweight="1pt">
                <v:stroke joinstyle="miter"/>
                <v:textbox>
                  <w:txbxContent>
                    <w:p w14:paraId="5AC50F4C" w14:textId="77777777" w:rsidR="005F33CC" w:rsidRPr="000F5532" w:rsidRDefault="005F33CC" w:rsidP="005F33CC">
                      <w:pPr>
                        <w:ind w:left="2484"/>
                        <w:rPr>
                          <w:rFonts w:ascii="Ubuntu" w:hAnsi="Ubuntu"/>
                          <w:color w:val="FFFFFF" w:themeColor="background1"/>
                          <w:sz w:val="20"/>
                          <w:szCs w:val="20"/>
                        </w:rPr>
                      </w:pPr>
                    </w:p>
                  </w:txbxContent>
                </v:textbox>
              </v:roundrect>
            </w:pict>
          </mc:Fallback>
        </mc:AlternateContent>
      </w:r>
      <w:r w:rsidRPr="005F33CC">
        <w:rPr>
          <w:noProof/>
          <w:lang w:eastAsia="pt-BR"/>
        </w:rPr>
        <mc:AlternateContent>
          <mc:Choice Requires="wps">
            <w:drawing>
              <wp:anchor distT="0" distB="0" distL="114300" distR="114300" simplePos="0" relativeHeight="251695104" behindDoc="0" locked="0" layoutInCell="1" allowOverlap="1" wp14:anchorId="67C32684" wp14:editId="5D799D3F">
                <wp:simplePos x="0" y="0"/>
                <wp:positionH relativeFrom="column">
                  <wp:posOffset>25400</wp:posOffset>
                </wp:positionH>
                <wp:positionV relativeFrom="paragraph">
                  <wp:posOffset>485140</wp:posOffset>
                </wp:positionV>
                <wp:extent cx="6299835" cy="3982085"/>
                <wp:effectExtent l="19050" t="19050" r="24765" b="18415"/>
                <wp:wrapNone/>
                <wp:docPr id="74" name="Retângulo: Cantos Arredondados 74"/>
                <wp:cNvGraphicFramePr/>
                <a:graphic xmlns:a="http://schemas.openxmlformats.org/drawingml/2006/main">
                  <a:graphicData uri="http://schemas.microsoft.com/office/word/2010/wordprocessingShape">
                    <wps:wsp>
                      <wps:cNvSpPr/>
                      <wps:spPr>
                        <a:xfrm>
                          <a:off x="0" y="0"/>
                          <a:ext cx="6299835" cy="3982085"/>
                        </a:xfrm>
                        <a:prstGeom prst="roundRect">
                          <a:avLst>
                            <a:gd name="adj" fmla="val 2408"/>
                          </a:avLst>
                        </a:prstGeom>
                        <a:noFill/>
                        <a:ln w="28575">
                          <a:solidFill>
                            <a:srgbClr val="B886B3"/>
                          </a:solidFill>
                        </a:ln>
                      </wps:spPr>
                      <wps:style>
                        <a:lnRef idx="2">
                          <a:schemeClr val="dk1">
                            <a:shade val="50000"/>
                          </a:schemeClr>
                        </a:lnRef>
                        <a:fillRef idx="1">
                          <a:schemeClr val="dk1"/>
                        </a:fillRef>
                        <a:effectRef idx="0">
                          <a:schemeClr val="dk1"/>
                        </a:effectRef>
                        <a:fontRef idx="minor">
                          <a:schemeClr val="lt1"/>
                        </a:fontRef>
                      </wps:style>
                      <wps:txbx>
                        <w:txbxContent>
                          <w:p w14:paraId="1F88E696" w14:textId="567E6716" w:rsidR="00EB002E" w:rsidRPr="00EB002E" w:rsidRDefault="00EB002E" w:rsidP="00EB002E">
                            <w:pPr>
                              <w:pStyle w:val="PargrafodaLista"/>
                              <w:numPr>
                                <w:ilvl w:val="0"/>
                                <w:numId w:val="35"/>
                              </w:numPr>
                              <w:spacing w:line="240" w:lineRule="auto"/>
                              <w:ind w:right="449"/>
                              <w:rPr>
                                <w:rFonts w:ascii="Arial" w:eastAsia="Calibri" w:hAnsi="Arial" w:cs="Arial"/>
                                <w:color w:val="FFFFFF" w:themeColor="background1"/>
                                <w:sz w:val="20"/>
                                <w:szCs w:val="20"/>
                              </w:rPr>
                            </w:pPr>
                            <w:r w:rsidRPr="00EB002E">
                              <w:rPr>
                                <w:rFonts w:ascii="Arial" w:eastAsia="Calibri" w:hAnsi="Arial" w:cs="Arial"/>
                                <w:color w:val="FFFFFF" w:themeColor="background1"/>
                                <w:sz w:val="20"/>
                                <w:szCs w:val="20"/>
                              </w:rPr>
                              <w:t xml:space="preserve">Quando o processo não estiver instruído com documento ou informação essencial para a análise da Procuradoria Federal, sugere-se a sua devolução por cota, indicando-se todas as falhas encontradas na instrução processual. Se, entretanto, o processo não contiver todas as informações exigidas pelos instrumentos normativos que regem a matéria, mas a falta puder ser suprida em momento posterior, recomenda-se haja o prosseguimento da análise pelo oficiante, com a aprovação condicionada do edital/contrato/termo aditivo. </w:t>
                            </w:r>
                          </w:p>
                          <w:p w14:paraId="6202C389" w14:textId="08E6F0F7" w:rsidR="00EB002E" w:rsidRPr="00EB002E" w:rsidRDefault="00EB002E" w:rsidP="00EB002E">
                            <w:pPr>
                              <w:pStyle w:val="PargrafodaLista"/>
                              <w:numPr>
                                <w:ilvl w:val="0"/>
                                <w:numId w:val="35"/>
                              </w:numPr>
                              <w:spacing w:line="240" w:lineRule="auto"/>
                              <w:ind w:right="449"/>
                              <w:rPr>
                                <w:rFonts w:ascii="Arial" w:eastAsia="Calibri" w:hAnsi="Arial" w:cs="Arial"/>
                                <w:color w:val="FFFFFF" w:themeColor="background1"/>
                                <w:sz w:val="20"/>
                                <w:szCs w:val="20"/>
                              </w:rPr>
                            </w:pPr>
                            <w:r w:rsidRPr="00EB002E">
                              <w:rPr>
                                <w:rFonts w:ascii="Arial" w:eastAsia="Calibri" w:hAnsi="Arial" w:cs="Arial"/>
                                <w:color w:val="FFFFFF" w:themeColor="background1"/>
                                <w:sz w:val="20"/>
                                <w:szCs w:val="20"/>
                              </w:rPr>
                              <w:t xml:space="preserve">É medida de boa prática </w:t>
                            </w:r>
                            <w:r w:rsidRPr="00EB002E">
                              <w:rPr>
                                <w:rFonts w:ascii="Arial" w:eastAsia="Calibri" w:hAnsi="Arial" w:cs="Arial"/>
                                <w:b/>
                                <w:color w:val="FFFFFF" w:themeColor="background1"/>
                                <w:sz w:val="20"/>
                                <w:szCs w:val="20"/>
                              </w:rPr>
                              <w:t>destacar as orientações já atendidas</w:t>
                            </w:r>
                            <w:r w:rsidRPr="00EB002E">
                              <w:rPr>
                                <w:rFonts w:ascii="Arial" w:eastAsia="Calibri" w:hAnsi="Arial" w:cs="Arial"/>
                                <w:color w:val="FFFFFF" w:themeColor="background1"/>
                                <w:sz w:val="20"/>
                                <w:szCs w:val="20"/>
                              </w:rPr>
                              <w:t xml:space="preserve"> pelo órgão.  </w:t>
                            </w:r>
                          </w:p>
                          <w:p w14:paraId="1F143DB5" w14:textId="04CD1AC8" w:rsidR="00EB002E" w:rsidRPr="00EB002E" w:rsidRDefault="00EB002E" w:rsidP="00EB002E">
                            <w:pPr>
                              <w:pStyle w:val="PargrafodaLista"/>
                              <w:numPr>
                                <w:ilvl w:val="0"/>
                                <w:numId w:val="35"/>
                              </w:numPr>
                              <w:spacing w:line="240" w:lineRule="auto"/>
                              <w:ind w:right="449"/>
                              <w:rPr>
                                <w:rFonts w:ascii="Arial" w:eastAsia="Calibri" w:hAnsi="Arial" w:cs="Arial"/>
                                <w:b/>
                                <w:color w:val="FFFFFF" w:themeColor="background1"/>
                                <w:sz w:val="20"/>
                                <w:szCs w:val="20"/>
                              </w:rPr>
                            </w:pPr>
                            <w:r w:rsidRPr="00EB002E">
                              <w:rPr>
                                <w:rFonts w:ascii="Arial" w:eastAsia="Calibri" w:hAnsi="Arial" w:cs="Arial"/>
                                <w:color w:val="FFFFFF" w:themeColor="background1"/>
                                <w:sz w:val="20"/>
                                <w:szCs w:val="20"/>
                              </w:rPr>
                              <w:t xml:space="preserve">As </w:t>
                            </w:r>
                            <w:r w:rsidRPr="00EB002E">
                              <w:rPr>
                                <w:rFonts w:ascii="Arial" w:eastAsia="Calibri" w:hAnsi="Arial" w:cs="Arial"/>
                                <w:b/>
                                <w:color w:val="FFFFFF" w:themeColor="background1"/>
                                <w:sz w:val="20"/>
                                <w:szCs w:val="20"/>
                              </w:rPr>
                              <w:t>recomendações realizadas ao longo do parecer</w:t>
                            </w:r>
                            <w:r w:rsidRPr="00EB002E">
                              <w:rPr>
                                <w:rFonts w:ascii="Arial" w:eastAsia="Calibri" w:hAnsi="Arial" w:cs="Arial"/>
                                <w:color w:val="FFFFFF" w:themeColor="background1"/>
                                <w:sz w:val="20"/>
                                <w:szCs w:val="20"/>
                              </w:rPr>
                              <w:t xml:space="preserve"> que demandem atuação da autoridade devem ser </w:t>
                            </w:r>
                            <w:r w:rsidRPr="00EB002E">
                              <w:rPr>
                                <w:rFonts w:ascii="Arial" w:eastAsia="Calibri" w:hAnsi="Arial" w:cs="Arial"/>
                                <w:b/>
                                <w:color w:val="FFFFFF" w:themeColor="background1"/>
                                <w:sz w:val="20"/>
                                <w:szCs w:val="20"/>
                              </w:rPr>
                              <w:t>destacadas no texto</w:t>
                            </w:r>
                            <w:r w:rsidRPr="00EB002E">
                              <w:rPr>
                                <w:rFonts w:ascii="Arial" w:eastAsia="Calibri" w:hAnsi="Arial" w:cs="Arial"/>
                                <w:color w:val="FFFFFF" w:themeColor="background1"/>
                                <w:sz w:val="20"/>
                                <w:szCs w:val="20"/>
                              </w:rPr>
                              <w:t xml:space="preserve"> e expressamente </w:t>
                            </w:r>
                            <w:r w:rsidRPr="00EB002E">
                              <w:rPr>
                                <w:rFonts w:ascii="Arial" w:eastAsia="Calibri" w:hAnsi="Arial" w:cs="Arial"/>
                                <w:b/>
                                <w:color w:val="FFFFFF" w:themeColor="background1"/>
                                <w:sz w:val="20"/>
                                <w:szCs w:val="20"/>
                              </w:rPr>
                              <w:t>indicadas no tópico da conclusão.</w:t>
                            </w:r>
                          </w:p>
                          <w:p w14:paraId="6690018C" w14:textId="4B1941EF" w:rsidR="00EB002E" w:rsidRPr="00EB002E" w:rsidRDefault="00EB002E" w:rsidP="00EB002E">
                            <w:pPr>
                              <w:pStyle w:val="PargrafodaLista"/>
                              <w:numPr>
                                <w:ilvl w:val="0"/>
                                <w:numId w:val="35"/>
                              </w:numPr>
                              <w:spacing w:line="240" w:lineRule="auto"/>
                              <w:ind w:right="449"/>
                              <w:rPr>
                                <w:rFonts w:ascii="Arial" w:eastAsia="Calibri" w:hAnsi="Arial" w:cs="Arial"/>
                                <w:color w:val="FFFFFF" w:themeColor="background1"/>
                                <w:sz w:val="20"/>
                                <w:szCs w:val="20"/>
                              </w:rPr>
                            </w:pPr>
                            <w:r w:rsidRPr="00EB002E">
                              <w:rPr>
                                <w:rFonts w:ascii="Arial" w:eastAsia="Calibri" w:hAnsi="Arial" w:cs="Arial"/>
                                <w:color w:val="FFFFFF" w:themeColor="background1"/>
                                <w:sz w:val="20"/>
                                <w:szCs w:val="20"/>
                              </w:rPr>
                              <w:t xml:space="preserve">Para facilitar a utilização do modelo, os parágrafos desse parecer parametrizado não foram numerados. No entanto, </w:t>
                            </w:r>
                            <w:r w:rsidRPr="00EB002E">
                              <w:rPr>
                                <w:rFonts w:ascii="Arial" w:eastAsia="Calibri" w:hAnsi="Arial" w:cs="Arial"/>
                                <w:b/>
                                <w:bCs/>
                                <w:color w:val="FFFFFF" w:themeColor="background1"/>
                                <w:sz w:val="20"/>
                                <w:szCs w:val="20"/>
                              </w:rPr>
                              <w:t xml:space="preserve">recomenda-se a numeração para viabilizar a indicação dos itens a serem observados no tópico da conclusão. </w:t>
                            </w:r>
                            <w:r w:rsidRPr="00EB002E">
                              <w:rPr>
                                <w:rFonts w:ascii="Arial" w:eastAsia="Calibri" w:hAnsi="Arial" w:cs="Arial"/>
                                <w:color w:val="FFFFFF" w:themeColor="background1"/>
                                <w:sz w:val="20"/>
                                <w:szCs w:val="20"/>
                              </w:rPr>
                              <w:t xml:space="preserve">  </w:t>
                            </w:r>
                          </w:p>
                          <w:p w14:paraId="119F36B0" w14:textId="72732597" w:rsidR="005F33CC" w:rsidRPr="00EB002E" w:rsidRDefault="00EB002E" w:rsidP="00EB002E">
                            <w:pPr>
                              <w:pStyle w:val="PargrafodaLista"/>
                              <w:numPr>
                                <w:ilvl w:val="0"/>
                                <w:numId w:val="35"/>
                              </w:numPr>
                              <w:spacing w:line="240" w:lineRule="auto"/>
                              <w:ind w:right="449"/>
                              <w:rPr>
                                <w:rFonts w:ascii="Arial" w:hAnsi="Arial" w:cs="Arial"/>
                                <w:color w:val="FFFFFF" w:themeColor="background1"/>
                                <w:sz w:val="20"/>
                                <w:szCs w:val="20"/>
                              </w:rPr>
                            </w:pPr>
                            <w:r w:rsidRPr="00EB002E">
                              <w:rPr>
                                <w:rFonts w:ascii="Arial" w:eastAsia="Calibri" w:hAnsi="Arial" w:cs="Arial"/>
                                <w:color w:val="FFFFFF" w:themeColor="background1"/>
                                <w:sz w:val="20"/>
                                <w:szCs w:val="20"/>
                              </w:rPr>
                              <w:t xml:space="preserve">O modelo está configurado de acordo com as </w:t>
                            </w:r>
                            <w:r w:rsidRPr="00EB002E">
                              <w:rPr>
                                <w:rFonts w:ascii="Arial" w:eastAsia="Calibri" w:hAnsi="Arial" w:cs="Arial"/>
                                <w:b/>
                                <w:color w:val="FFFFFF" w:themeColor="background1"/>
                                <w:sz w:val="20"/>
                                <w:szCs w:val="20"/>
                              </w:rPr>
                              <w:t>normas da Portaria nº 1.399, de 2009</w:t>
                            </w:r>
                            <w:r w:rsidRPr="00EB002E">
                              <w:rPr>
                                <w:rFonts w:ascii="Arial" w:eastAsia="Calibri" w:hAnsi="Arial" w:cs="Arial"/>
                                <w:color w:val="FFFFFF" w:themeColor="background1"/>
                                <w:sz w:val="20"/>
                                <w:szCs w:val="20"/>
                              </w:rPr>
                              <w:t>, e seu anexo, do Advogado-Geral da União. O Procurador Federal deve atentar, no desenvolvimento do parecer, para o cumprimento integral das orientações da Procuradoria-Geral Federal e da Advocacia-Geral da União pertinentes à matéria.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7C32684" id="Retângulo: Cantos Arredondados 74" o:spid="_x0000_s1046" style="position:absolute;margin-left:2pt;margin-top:38.2pt;width:496.05pt;height:313.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" filled="f" strokecolor="#b886b3" strokeweight="2.25pt">
                <v:stroke joinstyle="miter"/>
                <v:textbox>
                  <w:txbxContent>
                    <w:p w14:paraId="1F88E696" w14:textId="567E6716" w:rsidR="00EB002E" w:rsidRPr="00EB002E" w:rsidRDefault="00EB002E" w:rsidP="00EB002E">
                      <w:pPr>
                        <w:pStyle w:val="PargrafodaLista"/>
                        <w:numPr>
                          <w:ilvl w:val="0"/>
                          <w:numId w:val="35"/>
                        </w:numPr>
                        <w:spacing w:line="240" w:lineRule="auto"/>
                        <w:ind w:right="449"/>
                        <w:rPr>
                          <w:rFonts w:ascii="Arial" w:eastAsia="Calibri" w:hAnsi="Arial" w:cs="Arial"/>
                          <w:color w:val="FFFFFF" w:themeColor="background1"/>
                          <w:sz w:val="20"/>
                          <w:szCs w:val="20"/>
                        </w:rPr>
                      </w:pPr>
                      <w:r w:rsidRPr="00EB002E">
                        <w:rPr>
                          <w:rFonts w:ascii="Arial" w:eastAsia="Calibri" w:hAnsi="Arial" w:cs="Arial"/>
                          <w:color w:val="FFFFFF" w:themeColor="background1"/>
                          <w:sz w:val="20"/>
                          <w:szCs w:val="20"/>
                        </w:rPr>
                        <w:t xml:space="preserve">Quando o processo não estiver instruído com documento ou informação essencial para a análise da Procuradoria Federal, sugere-se a sua devolução por cota, indicando-se todas as falhas encontradas na instrução processual. Se, entretanto, o processo não contiver todas as informações exigidas pelos instrumentos normativos que regem a matéria, mas a falta puder ser suprida em momento posterior, recomenda-se haja o prosseguimento da análise pelo oficiante, com a aprovação condicionada do edital/contrato/termo aditivo. </w:t>
                      </w:r>
                    </w:p>
                    <w:p w14:paraId="6202C389" w14:textId="08E6F0F7" w:rsidR="00EB002E" w:rsidRPr="00EB002E" w:rsidRDefault="00EB002E" w:rsidP="00EB002E">
                      <w:pPr>
                        <w:pStyle w:val="PargrafodaLista"/>
                        <w:numPr>
                          <w:ilvl w:val="0"/>
                          <w:numId w:val="35"/>
                        </w:numPr>
                        <w:spacing w:line="240" w:lineRule="auto"/>
                        <w:ind w:right="449"/>
                        <w:rPr>
                          <w:rFonts w:ascii="Arial" w:eastAsia="Calibri" w:hAnsi="Arial" w:cs="Arial"/>
                          <w:color w:val="FFFFFF" w:themeColor="background1"/>
                          <w:sz w:val="20"/>
                          <w:szCs w:val="20"/>
                        </w:rPr>
                      </w:pPr>
                      <w:r w:rsidRPr="00EB002E">
                        <w:rPr>
                          <w:rFonts w:ascii="Arial" w:eastAsia="Calibri" w:hAnsi="Arial" w:cs="Arial"/>
                          <w:color w:val="FFFFFF" w:themeColor="background1"/>
                          <w:sz w:val="20"/>
                          <w:szCs w:val="20"/>
                        </w:rPr>
                        <w:t xml:space="preserve">É medida de boa prática </w:t>
                      </w:r>
                      <w:r w:rsidRPr="00EB002E">
                        <w:rPr>
                          <w:rFonts w:ascii="Arial" w:eastAsia="Calibri" w:hAnsi="Arial" w:cs="Arial"/>
                          <w:b/>
                          <w:color w:val="FFFFFF" w:themeColor="background1"/>
                          <w:sz w:val="20"/>
                          <w:szCs w:val="20"/>
                        </w:rPr>
                        <w:t>destacar as orientações já atendidas</w:t>
                      </w:r>
                      <w:r w:rsidRPr="00EB002E">
                        <w:rPr>
                          <w:rFonts w:ascii="Arial" w:eastAsia="Calibri" w:hAnsi="Arial" w:cs="Arial"/>
                          <w:color w:val="FFFFFF" w:themeColor="background1"/>
                          <w:sz w:val="20"/>
                          <w:szCs w:val="20"/>
                        </w:rPr>
                        <w:t xml:space="preserve"> pelo órgão.  </w:t>
                      </w:r>
                    </w:p>
                    <w:p w14:paraId="1F143DB5" w14:textId="04CD1AC8" w:rsidR="00EB002E" w:rsidRPr="00EB002E" w:rsidRDefault="00EB002E" w:rsidP="00EB002E">
                      <w:pPr>
                        <w:pStyle w:val="PargrafodaLista"/>
                        <w:numPr>
                          <w:ilvl w:val="0"/>
                          <w:numId w:val="35"/>
                        </w:numPr>
                        <w:spacing w:line="240" w:lineRule="auto"/>
                        <w:ind w:right="449"/>
                        <w:rPr>
                          <w:rFonts w:ascii="Arial" w:eastAsia="Calibri" w:hAnsi="Arial" w:cs="Arial"/>
                          <w:b/>
                          <w:color w:val="FFFFFF" w:themeColor="background1"/>
                          <w:sz w:val="20"/>
                          <w:szCs w:val="20"/>
                        </w:rPr>
                      </w:pPr>
                      <w:r w:rsidRPr="00EB002E">
                        <w:rPr>
                          <w:rFonts w:ascii="Arial" w:eastAsia="Calibri" w:hAnsi="Arial" w:cs="Arial"/>
                          <w:color w:val="FFFFFF" w:themeColor="background1"/>
                          <w:sz w:val="20"/>
                          <w:szCs w:val="20"/>
                        </w:rPr>
                        <w:t xml:space="preserve">As </w:t>
                      </w:r>
                      <w:r w:rsidRPr="00EB002E">
                        <w:rPr>
                          <w:rFonts w:ascii="Arial" w:eastAsia="Calibri" w:hAnsi="Arial" w:cs="Arial"/>
                          <w:b/>
                          <w:color w:val="FFFFFF" w:themeColor="background1"/>
                          <w:sz w:val="20"/>
                          <w:szCs w:val="20"/>
                        </w:rPr>
                        <w:t>recomendações realizadas ao longo do parecer</w:t>
                      </w:r>
                      <w:r w:rsidRPr="00EB002E">
                        <w:rPr>
                          <w:rFonts w:ascii="Arial" w:eastAsia="Calibri" w:hAnsi="Arial" w:cs="Arial"/>
                          <w:color w:val="FFFFFF" w:themeColor="background1"/>
                          <w:sz w:val="20"/>
                          <w:szCs w:val="20"/>
                        </w:rPr>
                        <w:t xml:space="preserve"> que demandem atuação da autoridade devem ser </w:t>
                      </w:r>
                      <w:r w:rsidRPr="00EB002E">
                        <w:rPr>
                          <w:rFonts w:ascii="Arial" w:eastAsia="Calibri" w:hAnsi="Arial" w:cs="Arial"/>
                          <w:b/>
                          <w:color w:val="FFFFFF" w:themeColor="background1"/>
                          <w:sz w:val="20"/>
                          <w:szCs w:val="20"/>
                        </w:rPr>
                        <w:t>destacadas no texto</w:t>
                      </w:r>
                      <w:r w:rsidRPr="00EB002E">
                        <w:rPr>
                          <w:rFonts w:ascii="Arial" w:eastAsia="Calibri" w:hAnsi="Arial" w:cs="Arial"/>
                          <w:color w:val="FFFFFF" w:themeColor="background1"/>
                          <w:sz w:val="20"/>
                          <w:szCs w:val="20"/>
                        </w:rPr>
                        <w:t xml:space="preserve"> e expressamente </w:t>
                      </w:r>
                      <w:r w:rsidRPr="00EB002E">
                        <w:rPr>
                          <w:rFonts w:ascii="Arial" w:eastAsia="Calibri" w:hAnsi="Arial" w:cs="Arial"/>
                          <w:b/>
                          <w:color w:val="FFFFFF" w:themeColor="background1"/>
                          <w:sz w:val="20"/>
                          <w:szCs w:val="20"/>
                        </w:rPr>
                        <w:t>indicadas no tópico da conclusão.</w:t>
                      </w:r>
                    </w:p>
                    <w:p w14:paraId="6690018C" w14:textId="4B1941EF" w:rsidR="00EB002E" w:rsidRPr="00EB002E" w:rsidRDefault="00EB002E" w:rsidP="00EB002E">
                      <w:pPr>
                        <w:pStyle w:val="PargrafodaLista"/>
                        <w:numPr>
                          <w:ilvl w:val="0"/>
                          <w:numId w:val="35"/>
                        </w:numPr>
                        <w:spacing w:line="240" w:lineRule="auto"/>
                        <w:ind w:right="449"/>
                        <w:rPr>
                          <w:rFonts w:ascii="Arial" w:eastAsia="Calibri" w:hAnsi="Arial" w:cs="Arial"/>
                          <w:color w:val="FFFFFF" w:themeColor="background1"/>
                          <w:sz w:val="20"/>
                          <w:szCs w:val="20"/>
                        </w:rPr>
                      </w:pPr>
                      <w:r w:rsidRPr="00EB002E">
                        <w:rPr>
                          <w:rFonts w:ascii="Arial" w:eastAsia="Calibri" w:hAnsi="Arial" w:cs="Arial"/>
                          <w:color w:val="FFFFFF" w:themeColor="background1"/>
                          <w:sz w:val="20"/>
                          <w:szCs w:val="20"/>
                        </w:rPr>
                        <w:t xml:space="preserve">Para facilitar a utilização do modelo, os parágrafos desse parecer parametrizado não foram numerados. No entanto, </w:t>
                      </w:r>
                      <w:r w:rsidRPr="00EB002E">
                        <w:rPr>
                          <w:rFonts w:ascii="Arial" w:eastAsia="Calibri" w:hAnsi="Arial" w:cs="Arial"/>
                          <w:b/>
                          <w:bCs/>
                          <w:color w:val="FFFFFF" w:themeColor="background1"/>
                          <w:sz w:val="20"/>
                          <w:szCs w:val="20"/>
                        </w:rPr>
                        <w:t xml:space="preserve">recomenda-se a numeração para viabilizar a indicação dos itens a serem observados no tópico da conclusão. </w:t>
                      </w:r>
                      <w:r w:rsidRPr="00EB002E">
                        <w:rPr>
                          <w:rFonts w:ascii="Arial" w:eastAsia="Calibri" w:hAnsi="Arial" w:cs="Arial"/>
                          <w:color w:val="FFFFFF" w:themeColor="background1"/>
                          <w:sz w:val="20"/>
                          <w:szCs w:val="20"/>
                        </w:rPr>
                        <w:t xml:space="preserve">  </w:t>
                      </w:r>
                    </w:p>
                    <w:p w14:paraId="119F36B0" w14:textId="72732597" w:rsidR="005F33CC" w:rsidRPr="00EB002E" w:rsidRDefault="00EB002E" w:rsidP="00EB002E">
                      <w:pPr>
                        <w:pStyle w:val="PargrafodaLista"/>
                        <w:numPr>
                          <w:ilvl w:val="0"/>
                          <w:numId w:val="35"/>
                        </w:numPr>
                        <w:spacing w:line="240" w:lineRule="auto"/>
                        <w:ind w:right="449"/>
                        <w:rPr>
                          <w:rFonts w:ascii="Arial" w:hAnsi="Arial" w:cs="Arial"/>
                          <w:color w:val="FFFFFF" w:themeColor="background1"/>
                          <w:sz w:val="20"/>
                          <w:szCs w:val="20"/>
                        </w:rPr>
                      </w:pPr>
                      <w:r w:rsidRPr="00EB002E">
                        <w:rPr>
                          <w:rFonts w:ascii="Arial" w:eastAsia="Calibri" w:hAnsi="Arial" w:cs="Arial"/>
                          <w:color w:val="FFFFFF" w:themeColor="background1"/>
                          <w:sz w:val="20"/>
                          <w:szCs w:val="20"/>
                        </w:rPr>
                        <w:t xml:space="preserve">O modelo está configurado de acordo com as </w:t>
                      </w:r>
                      <w:r w:rsidRPr="00EB002E">
                        <w:rPr>
                          <w:rFonts w:ascii="Arial" w:eastAsia="Calibri" w:hAnsi="Arial" w:cs="Arial"/>
                          <w:b/>
                          <w:color w:val="FFFFFF" w:themeColor="background1"/>
                          <w:sz w:val="20"/>
                          <w:szCs w:val="20"/>
                        </w:rPr>
                        <w:t>normas da Portaria nº 1.399, de 2009</w:t>
                      </w:r>
                      <w:r w:rsidRPr="00EB002E">
                        <w:rPr>
                          <w:rFonts w:ascii="Arial" w:eastAsia="Calibri" w:hAnsi="Arial" w:cs="Arial"/>
                          <w:color w:val="FFFFFF" w:themeColor="background1"/>
                          <w:sz w:val="20"/>
                          <w:szCs w:val="20"/>
                        </w:rPr>
                        <w:t>, e seu anexo, do Advogado-Geral da União. O Procurador Federal deve atentar, no desenvolvimento do parecer, para o cumprimento integral das orientações da Procuradoria-Geral Federal e da Advocacia-Geral da União pertinentes à matéria.</w:t>
                      </w:r>
                    </w:p>
                  </w:txbxContent>
                </v:textbox>
              </v:roundrect>
            </w:pict>
          </mc:Fallback>
        </mc:AlternateContent>
      </w:r>
      <w:r w:rsidRPr="005F33CC">
        <w:rPr>
          <w:noProof/>
          <w:lang w:eastAsia="pt-BR"/>
        </w:rPr>
        <mc:AlternateContent>
          <mc:Choice Requires="wps">
            <w:drawing>
              <wp:anchor distT="0" distB="0" distL="114300" distR="114300" simplePos="0" relativeHeight="251696128" behindDoc="0" locked="0" layoutInCell="1" allowOverlap="1" wp14:anchorId="3424058E" wp14:editId="3C6200B0">
                <wp:simplePos x="0" y="0"/>
                <wp:positionH relativeFrom="column">
                  <wp:posOffset>-271145</wp:posOffset>
                </wp:positionH>
                <wp:positionV relativeFrom="paragraph">
                  <wp:posOffset>234646</wp:posOffset>
                </wp:positionV>
                <wp:extent cx="1447800" cy="1543050"/>
                <wp:effectExtent l="0" t="0" r="0" b="0"/>
                <wp:wrapNone/>
                <wp:docPr id="75" name="Retângulo: Cantos Arredondados 75"/>
                <wp:cNvGraphicFramePr/>
                <a:graphic xmlns:a="http://schemas.openxmlformats.org/drawingml/2006/main">
                  <a:graphicData uri="http://schemas.microsoft.com/office/word/2010/wordprocessingShape">
                    <wps:wsp>
                      <wps:cNvSpPr/>
                      <wps:spPr>
                        <a:xfrm>
                          <a:off x="0" y="0"/>
                          <a:ext cx="1447800" cy="1543050"/>
                        </a:xfrm>
                        <a:prstGeom prst="roundRect">
                          <a:avLst>
                            <a:gd name="adj" fmla="val 6799"/>
                          </a:avLst>
                        </a:prstGeom>
                        <a:solidFill>
                          <a:srgbClr val="B886B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186CED" w14:textId="77777777" w:rsidR="005F33CC" w:rsidRPr="00A06A28" w:rsidRDefault="005F33CC" w:rsidP="005F33CC">
                            <w:pPr>
                              <w:jc w:val="center"/>
                              <w:rPr>
                                <w:rFonts w:ascii="Ubuntu" w:hAnsi="Ubuntu"/>
                                <w:b/>
                                <w:bCs/>
                              </w:rPr>
                            </w:pPr>
                            <w:r w:rsidRPr="005F33CC">
                              <w:rPr>
                                <w:rFonts w:ascii="Arial" w:hAnsi="Arial" w:cs="Arial"/>
                                <w:b/>
                                <w:bCs/>
                              </w:rPr>
                              <w:t>ATENÇÃO</w:t>
                            </w:r>
                            <w:r>
                              <w:rPr>
                                <w:rFonts w:ascii="Ubuntu" w:hAnsi="Ubuntu"/>
                                <w:b/>
                                <w:bCs/>
                                <w:noProof/>
                                <w:lang w:eastAsia="pt-BR"/>
                              </w:rPr>
                              <w:drawing>
                                <wp:inline distT="0" distB="0" distL="0" distR="0" wp14:anchorId="0568A12B" wp14:editId="19FBAE2A">
                                  <wp:extent cx="1040676" cy="1209675"/>
                                  <wp:effectExtent l="0" t="0" r="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42126" cy="12113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424058E" id="Retângulo: Cantos Arredondados 75" o:spid="_x0000_s1047" style="position:absolute;margin-left:-21.35pt;margin-top:18.5pt;width:114pt;height:12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" fillcolor="#b886b3" stroked="f" strokeweight="1pt">
                <v:stroke joinstyle="miter"/>
                <v:textbox>
                  <w:txbxContent>
                    <w:p w14:paraId="30186CED" w14:textId="77777777" w:rsidR="005F33CC" w:rsidRPr="00A06A28" w:rsidRDefault="005F33CC" w:rsidP="005F33CC">
                      <w:pPr>
                        <w:jc w:val="center"/>
                        <w:rPr>
                          <w:rFonts w:ascii="Ubuntu" w:hAnsi="Ubuntu"/>
                          <w:b/>
                          <w:bCs/>
                        </w:rPr>
                      </w:pPr>
                      <w:r w:rsidRPr="005F33CC">
                        <w:rPr>
                          <w:rFonts w:ascii="Arial" w:hAnsi="Arial" w:cs="Arial"/>
                          <w:b/>
                          <w:bCs/>
                        </w:rPr>
                        <w:t>ATENÇÃO</w:t>
                      </w:r>
                      <w:r>
                        <w:rPr>
                          <w:rFonts w:ascii="Ubuntu" w:hAnsi="Ubuntu"/>
                          <w:b/>
                          <w:bCs/>
                          <w:noProof/>
                          <w:lang w:eastAsia="pt-BR"/>
                        </w:rPr>
                        <w:drawing>
                          <wp:inline distT="0" distB="0" distL="0" distR="0" wp14:anchorId="0568A12B" wp14:editId="19FBAE2A">
                            <wp:extent cx="1040676" cy="1209675"/>
                            <wp:effectExtent l="0" t="0" r="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2126" cy="1211360"/>
                                    </a:xfrm>
                                    <a:prstGeom prst="rect">
                                      <a:avLst/>
                                    </a:prstGeom>
                                    <a:noFill/>
                                    <a:ln>
                                      <a:noFill/>
                                    </a:ln>
                                  </pic:spPr>
                                </pic:pic>
                              </a:graphicData>
                            </a:graphic>
                          </wp:inline>
                        </w:drawing>
                      </w:r>
                    </w:p>
                  </w:txbxContent>
                </v:textbox>
              </v:roundrect>
            </w:pict>
          </mc:Fallback>
        </mc:AlternateContent>
      </w:r>
      <w:r w:rsidR="005476D5">
        <w:rPr>
          <w:rFonts w:ascii="Times New Roman" w:eastAsia="Times New Roman" w:hAnsi="Times New Roman" w:cs="Times New Roman"/>
          <w:noProof/>
          <w:color w:val="000000" w:themeColor="text1"/>
          <w:sz w:val="24"/>
          <w:szCs w:val="24"/>
          <w:lang w:eastAsia="pt-BR"/>
        </w:rPr>
        <w:drawing>
          <wp:anchor distT="0" distB="0" distL="114300" distR="114300" simplePos="0" relativeHeight="251700224" behindDoc="0" locked="0" layoutInCell="1" allowOverlap="1" wp14:anchorId="173538A6" wp14:editId="1738C951">
            <wp:simplePos x="0" y="0"/>
            <wp:positionH relativeFrom="column">
              <wp:posOffset>5327374</wp:posOffset>
            </wp:positionH>
            <wp:positionV relativeFrom="paragraph">
              <wp:posOffset>7777618</wp:posOffset>
            </wp:positionV>
            <wp:extent cx="885825" cy="885825"/>
            <wp:effectExtent l="0" t="0" r="9525" b="9525"/>
            <wp:wrapNone/>
            <wp:docPr id="4" name="Imagem 4">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a:hlinkClick r:id="rId22"/>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14:sizeRelH relativeFrom="margin">
              <wp14:pctWidth>0</wp14:pctWidth>
            </wp14:sizeRelH>
            <wp14:sizeRelV relativeFrom="margin">
              <wp14:pctHeight>0</wp14:pctHeight>
            </wp14:sizeRelV>
          </wp:anchor>
        </w:drawing>
      </w:r>
      <w:r w:rsidR="001C1C94" w:rsidRPr="005F33CC">
        <w:rPr>
          <w:noProof/>
          <w:lang w:eastAsia="pt-BR"/>
        </w:rPr>
        <mc:AlternateContent>
          <mc:Choice Requires="wps">
            <w:drawing>
              <wp:anchor distT="0" distB="0" distL="114300" distR="114300" simplePos="0" relativeHeight="251686912" behindDoc="1" locked="0" layoutInCell="1" allowOverlap="1" wp14:anchorId="3B68F535" wp14:editId="788FDDD9">
                <wp:simplePos x="0" y="0"/>
                <wp:positionH relativeFrom="column">
                  <wp:posOffset>-114300</wp:posOffset>
                </wp:positionH>
                <wp:positionV relativeFrom="paragraph">
                  <wp:posOffset>7625715</wp:posOffset>
                </wp:positionV>
                <wp:extent cx="3276600" cy="898525"/>
                <wp:effectExtent l="0" t="0" r="0" b="0"/>
                <wp:wrapNone/>
                <wp:docPr id="83" name="Retângulo: Cantos Arredondados 83"/>
                <wp:cNvGraphicFramePr/>
                <a:graphic xmlns:a="http://schemas.openxmlformats.org/drawingml/2006/main">
                  <a:graphicData uri="http://schemas.microsoft.com/office/word/2010/wordprocessingShape">
                    <wps:wsp>
                      <wps:cNvSpPr/>
                      <wps:spPr>
                        <a:xfrm>
                          <a:off x="0" y="0"/>
                          <a:ext cx="3276600" cy="898525"/>
                        </a:xfrm>
                        <a:prstGeom prst="roundRect">
                          <a:avLst>
                            <a:gd name="adj" fmla="val 6407"/>
                          </a:avLst>
                        </a:prstGeom>
                        <a:solidFill>
                          <a:srgbClr val="B886B3"/>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02906494" w14:textId="77777777" w:rsidR="005F33CC" w:rsidRPr="000F5532" w:rsidRDefault="005F33CC" w:rsidP="005F33CC">
                            <w:pPr>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B68F535" id="Retângulo: Cantos Arredondados 83" o:spid="_x0000_s1048" style="position:absolute;margin-left:-9pt;margin-top:600.45pt;width:258pt;height:70.7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1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" fillcolor="#b886b3" stroked="f" strokeweight="1pt">
                <v:stroke joinstyle="miter"/>
                <v:textbox>
                  <w:txbxContent>
                    <w:p w14:paraId="02906494" w14:textId="77777777" w:rsidR="005F33CC" w:rsidRPr="000F5532" w:rsidRDefault="005F33CC" w:rsidP="005F33CC">
                      <w:pPr>
                        <w:ind w:left="2484"/>
                        <w:rPr>
                          <w:rFonts w:ascii="Ubuntu" w:hAnsi="Ubuntu"/>
                          <w:color w:val="FFFFFF" w:themeColor="background1"/>
                          <w:sz w:val="20"/>
                          <w:szCs w:val="20"/>
                        </w:rPr>
                      </w:pPr>
                    </w:p>
                  </w:txbxContent>
                </v:textbox>
              </v:roundrect>
            </w:pict>
          </mc:Fallback>
        </mc:AlternateContent>
      </w:r>
      <w:r w:rsidR="001C1C94" w:rsidRPr="00CB1EE4">
        <w:rPr>
          <w:noProof/>
          <w:lang w:eastAsia="pt-BR"/>
        </w:rPr>
        <mc:AlternateContent>
          <mc:Choice Requires="wps">
            <w:drawing>
              <wp:anchor distT="0" distB="0" distL="114300" distR="114300" simplePos="0" relativeHeight="251698176" behindDoc="0" locked="0" layoutInCell="1" allowOverlap="1" wp14:anchorId="620E2E3A" wp14:editId="423ED23B">
                <wp:simplePos x="0" y="0"/>
                <wp:positionH relativeFrom="column">
                  <wp:posOffset>3600450</wp:posOffset>
                </wp:positionH>
                <wp:positionV relativeFrom="paragraph">
                  <wp:posOffset>7856551</wp:posOffset>
                </wp:positionV>
                <wp:extent cx="1429385" cy="552450"/>
                <wp:effectExtent l="0" t="0" r="0" b="0"/>
                <wp:wrapNone/>
                <wp:docPr id="97" name="Caixa de Texto 97"/>
                <wp:cNvGraphicFramePr/>
                <a:graphic xmlns:a="http://schemas.openxmlformats.org/drawingml/2006/main">
                  <a:graphicData uri="http://schemas.microsoft.com/office/word/2010/wordprocessingShape">
                    <wps:wsp>
                      <wps:cNvSpPr txBox="1"/>
                      <wps:spPr>
                        <a:xfrm>
                          <a:off x="0" y="0"/>
                          <a:ext cx="1429385" cy="552450"/>
                        </a:xfrm>
                        <a:prstGeom prst="rect">
                          <a:avLst/>
                        </a:prstGeom>
                        <a:noFill/>
                        <a:ln w="6350">
                          <a:noFill/>
                        </a:ln>
                      </wps:spPr>
                      <wps:txbx>
                        <w:txbxContent>
                          <w:p w14:paraId="7467A743" w14:textId="77777777" w:rsidR="001C1C94" w:rsidRPr="00106C29" w:rsidRDefault="001C1C94" w:rsidP="001C1C94">
                            <w:pPr>
                              <w:rPr>
                                <w:rFonts w:ascii="Arial" w:hAnsi="Arial" w:cs="Arial"/>
                                <w:color w:val="FFFFFF" w:themeColor="background1"/>
                                <w:sz w:val="20"/>
                                <w:szCs w:val="20"/>
                              </w:rPr>
                            </w:pPr>
                            <w:r w:rsidRPr="00106C29">
                              <w:rPr>
                                <w:rFonts w:ascii="Arial" w:hAnsi="Arial" w:cs="Arial"/>
                                <w:color w:val="FFFFFF" w:themeColor="background1"/>
                                <w:sz w:val="20"/>
                                <w:szCs w:val="20"/>
                              </w:rPr>
                              <w:t xml:space="preserve">Assista o vídeo sobre esse parecer pelo </w:t>
                            </w:r>
                            <w:r>
                              <w:rPr>
                                <w:rFonts w:ascii="Arial" w:hAnsi="Arial" w:cs="Arial"/>
                                <w:color w:val="FFFFFF" w:themeColor="background1"/>
                                <w:sz w:val="20"/>
                                <w:szCs w:val="20"/>
                              </w:rPr>
                              <w:br/>
                            </w:r>
                            <w:proofErr w:type="spellStart"/>
                            <w:r w:rsidRPr="00106C29">
                              <w:rPr>
                                <w:rFonts w:ascii="Arial" w:hAnsi="Arial" w:cs="Arial"/>
                                <w:color w:val="FFFFFF" w:themeColor="background1"/>
                                <w:sz w:val="20"/>
                                <w:szCs w:val="20"/>
                              </w:rPr>
                              <w:t>Qr-Code</w:t>
                            </w:r>
                            <w:proofErr w:type="spellEnd"/>
                            <w:r w:rsidRPr="00106C29">
                              <w:rPr>
                                <w:rFonts w:ascii="Arial" w:hAnsi="Arial" w:cs="Arial"/>
                                <w:color w:val="FFFFFF" w:themeColor="background1"/>
                                <w:sz w:val="20"/>
                                <w:szCs w:val="20"/>
                              </w:rPr>
                              <w:t xml:space="preserve"> ao lado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20E2E3A" id="Caixa de Texto 97" o:spid="_x0000_s1049" type="#_x0000_t202" style="position:absolute;margin-left:283.5pt;margin-top:618.65pt;width:112.55pt;height:4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" filled="f" stroked="f" strokeweight=".5pt">
                <v:textbox>
                  <w:txbxContent>
                    <w:p w14:paraId="7467A743" w14:textId="77777777" w:rsidR="001C1C94" w:rsidRPr="00106C29" w:rsidRDefault="001C1C94" w:rsidP="001C1C94">
                      <w:pPr>
                        <w:rPr>
                          <w:rFonts w:ascii="Arial" w:hAnsi="Arial" w:cs="Arial"/>
                          <w:color w:val="FFFFFF" w:themeColor="background1"/>
                          <w:sz w:val="20"/>
                          <w:szCs w:val="20"/>
                        </w:rPr>
                      </w:pPr>
                      <w:r w:rsidRPr="00106C29">
                        <w:rPr>
                          <w:rFonts w:ascii="Arial" w:hAnsi="Arial" w:cs="Arial"/>
                          <w:color w:val="FFFFFF" w:themeColor="background1"/>
                          <w:sz w:val="20"/>
                          <w:szCs w:val="20"/>
                        </w:rPr>
                        <w:t xml:space="preserve">Assista o vídeo sobre esse parecer pelo </w:t>
                      </w:r>
                      <w:r>
                        <w:rPr>
                          <w:rFonts w:ascii="Arial" w:hAnsi="Arial" w:cs="Arial"/>
                          <w:color w:val="FFFFFF" w:themeColor="background1"/>
                          <w:sz w:val="20"/>
                          <w:szCs w:val="20"/>
                        </w:rPr>
                        <w:br/>
                      </w:r>
                      <w:proofErr w:type="spellStart"/>
                      <w:r w:rsidRPr="00106C29">
                        <w:rPr>
                          <w:rFonts w:ascii="Arial" w:hAnsi="Arial" w:cs="Arial"/>
                          <w:color w:val="FFFFFF" w:themeColor="background1"/>
                          <w:sz w:val="20"/>
                          <w:szCs w:val="20"/>
                        </w:rPr>
                        <w:t>Qr-Code</w:t>
                      </w:r>
                      <w:proofErr w:type="spellEnd"/>
                      <w:r w:rsidRPr="00106C29">
                        <w:rPr>
                          <w:rFonts w:ascii="Arial" w:hAnsi="Arial" w:cs="Arial"/>
                          <w:color w:val="FFFFFF" w:themeColor="background1"/>
                          <w:sz w:val="20"/>
                          <w:szCs w:val="20"/>
                        </w:rPr>
                        <w:t xml:space="preserve"> ao lado</w:t>
                      </w:r>
                    </w:p>
                  </w:txbxContent>
                </v:textbox>
              </v:shape>
            </w:pict>
          </mc:Fallback>
        </mc:AlternateContent>
      </w:r>
      <w:r w:rsidR="001C1C94" w:rsidRPr="005F33CC">
        <w:rPr>
          <w:noProof/>
          <w:lang w:eastAsia="pt-BR"/>
        </w:rPr>
        <mc:AlternateContent>
          <mc:Choice Requires="wps">
            <w:drawing>
              <wp:anchor distT="0" distB="0" distL="114300" distR="114300" simplePos="0" relativeHeight="251692032" behindDoc="0" locked="0" layoutInCell="1" allowOverlap="1" wp14:anchorId="718CE3D7" wp14:editId="0A068406">
                <wp:simplePos x="0" y="0"/>
                <wp:positionH relativeFrom="column">
                  <wp:posOffset>5203190</wp:posOffset>
                </wp:positionH>
                <wp:positionV relativeFrom="paragraph">
                  <wp:posOffset>7675245</wp:posOffset>
                </wp:positionV>
                <wp:extent cx="1104265" cy="1079500"/>
                <wp:effectExtent l="38100" t="38100" r="114935" b="120650"/>
                <wp:wrapNone/>
                <wp:docPr id="98" name="Retângulo: Cantos Arredondados 98"/>
                <wp:cNvGraphicFramePr/>
                <a:graphic xmlns:a="http://schemas.openxmlformats.org/drawingml/2006/main">
                  <a:graphicData uri="http://schemas.microsoft.com/office/word/2010/wordprocessingShape">
                    <wps:wsp>
                      <wps:cNvSpPr/>
                      <wps:spPr>
                        <a:xfrm>
                          <a:off x="0" y="0"/>
                          <a:ext cx="1104265" cy="1079500"/>
                        </a:xfrm>
                        <a:prstGeom prst="roundRect">
                          <a:avLst/>
                        </a:prstGeom>
                        <a:solidFill>
                          <a:schemeClr val="bg1"/>
                        </a:solidFill>
                        <a:ln>
                          <a:solidFill>
                            <a:schemeClr val="bg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81F4BDA" id="Retângulo: Cantos Arredondados 98" o:spid="_x0000_s1026" style="position:absolute;margin-left:409.7pt;margin-top:604.35pt;width:86.95pt;height: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" fillcolor="white [3212]" strokecolor="white [3212]" strokeweight="1pt">
                <v:stroke joinstyle="miter"/>
                <v:shadow on="t" color="black" opacity="26214f" origin="-.5,-.5" offset=".74836mm,.74836mm"/>
              </v:roundrect>
            </w:pict>
          </mc:Fallback>
        </mc:AlternateContent>
      </w:r>
      <w:r w:rsidR="001C1C94" w:rsidRPr="005F33CC">
        <w:rPr>
          <w:noProof/>
          <w:lang w:eastAsia="pt-BR"/>
        </w:rPr>
        <mc:AlternateContent>
          <mc:Choice Requires="wps">
            <w:drawing>
              <wp:anchor distT="0" distB="0" distL="114300" distR="114300" simplePos="0" relativeHeight="251691008" behindDoc="0" locked="0" layoutInCell="1" allowOverlap="1" wp14:anchorId="0EF50E70" wp14:editId="37039BBE">
                <wp:simplePos x="0" y="0"/>
                <wp:positionH relativeFrom="column">
                  <wp:posOffset>1071245</wp:posOffset>
                </wp:positionH>
                <wp:positionV relativeFrom="paragraph">
                  <wp:posOffset>7849870</wp:posOffset>
                </wp:positionV>
                <wp:extent cx="1854835" cy="742950"/>
                <wp:effectExtent l="0" t="0" r="0" b="0"/>
                <wp:wrapNone/>
                <wp:docPr id="96" name="Caixa de Texto 96"/>
                <wp:cNvGraphicFramePr/>
                <a:graphic xmlns:a="http://schemas.openxmlformats.org/drawingml/2006/main">
                  <a:graphicData uri="http://schemas.microsoft.com/office/word/2010/wordprocessingShape">
                    <wps:wsp>
                      <wps:cNvSpPr txBox="1"/>
                      <wps:spPr>
                        <a:xfrm>
                          <a:off x="0" y="0"/>
                          <a:ext cx="1854835" cy="742950"/>
                        </a:xfrm>
                        <a:prstGeom prst="rect">
                          <a:avLst/>
                        </a:prstGeom>
                        <a:noFill/>
                        <a:ln w="6350">
                          <a:noFill/>
                        </a:ln>
                      </wps:spPr>
                      <wps:txbx>
                        <w:txbxContent>
                          <w:p w14:paraId="50D00078" w14:textId="78190E88" w:rsidR="005F33CC" w:rsidRPr="00106C29" w:rsidRDefault="005F33CC" w:rsidP="005F33CC">
                            <w:pPr>
                              <w:rPr>
                                <w:rFonts w:ascii="Arial" w:hAnsi="Arial" w:cs="Arial"/>
                                <w:color w:val="FFFFFF" w:themeColor="background1"/>
                                <w:sz w:val="20"/>
                                <w:szCs w:val="20"/>
                              </w:rPr>
                            </w:pPr>
                            <w:r w:rsidRPr="00106C29">
                              <w:rPr>
                                <w:rFonts w:ascii="Arial" w:eastAsia="Times New Roman" w:hAnsi="Arial" w:cs="Arial"/>
                                <w:color w:val="FFFFFF" w:themeColor="background1"/>
                                <w:sz w:val="20"/>
                                <w:szCs w:val="20"/>
                              </w:rPr>
                              <w:t xml:space="preserve">Atualização: </w:t>
                            </w:r>
                            <w:r w:rsidR="00EB002E">
                              <w:rPr>
                                <w:rFonts w:ascii="Arial" w:eastAsia="Times New Roman" w:hAnsi="Arial" w:cs="Arial"/>
                                <w:color w:val="FFFFFF" w:themeColor="background1"/>
                                <w:sz w:val="20"/>
                                <w:szCs w:val="20"/>
                              </w:rPr>
                              <w:t>fevereiro/2024</w:t>
                            </w:r>
                            <w:r w:rsidRPr="00106C29">
                              <w:rPr>
                                <w:rFonts w:ascii="Arial" w:eastAsia="Times New Roman" w:hAnsi="Arial" w:cs="Arial"/>
                                <w:color w:val="FFFFFF" w:themeColor="background1"/>
                                <w:sz w:val="20"/>
                                <w:szCs w:val="20"/>
                              </w:rPr>
                              <w:br/>
                              <w:t xml:space="preserve">Sugestões, elogios e críticas: </w:t>
                            </w:r>
                            <w:hyperlink r:id="rId24">
                              <w:r w:rsidRPr="00106C29">
                                <w:rPr>
                                  <w:rFonts w:ascii="Arial" w:eastAsia="Times New Roman" w:hAnsi="Arial" w:cs="Arial"/>
                                  <w:color w:val="FFFFFF" w:themeColor="background1"/>
                                  <w:sz w:val="24"/>
                                  <w:szCs w:val="24"/>
                                </w:rPr>
                                <w:t>pgf.cpuc@agu.gov.br</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EF50E70" id="Caixa de Texto 96" o:spid="_x0000_s1050" type="#_x0000_t202" style="position:absolute;margin-left:84.35pt;margin-top:618.1pt;width:146.05pt;height:5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" filled="f" stroked="f" strokeweight=".5pt">
                <v:textbox>
                  <w:txbxContent>
                    <w:p w14:paraId="50D00078" w14:textId="78190E88" w:rsidR="005F33CC" w:rsidRPr="00106C29" w:rsidRDefault="005F33CC" w:rsidP="005F33CC">
                      <w:pPr>
                        <w:rPr>
                          <w:rFonts w:ascii="Arial" w:hAnsi="Arial" w:cs="Arial"/>
                          <w:color w:val="FFFFFF" w:themeColor="background1"/>
                          <w:sz w:val="20"/>
                          <w:szCs w:val="20"/>
                        </w:rPr>
                      </w:pPr>
                      <w:r w:rsidRPr="00106C29">
                        <w:rPr>
                          <w:rFonts w:ascii="Arial" w:eastAsia="Times New Roman" w:hAnsi="Arial" w:cs="Arial"/>
                          <w:color w:val="FFFFFF" w:themeColor="background1"/>
                          <w:sz w:val="20"/>
                          <w:szCs w:val="20"/>
                        </w:rPr>
                        <w:t xml:space="preserve">Atualização: </w:t>
                      </w:r>
                      <w:r w:rsidR="00EB002E">
                        <w:rPr>
                          <w:rFonts w:ascii="Arial" w:eastAsia="Times New Roman" w:hAnsi="Arial" w:cs="Arial"/>
                          <w:color w:val="FFFFFF" w:themeColor="background1"/>
                          <w:sz w:val="20"/>
                          <w:szCs w:val="20"/>
                        </w:rPr>
                        <w:t>fevereiro/2024</w:t>
                      </w:r>
                      <w:r w:rsidRPr="00106C29">
                        <w:rPr>
                          <w:rFonts w:ascii="Arial" w:eastAsia="Times New Roman" w:hAnsi="Arial" w:cs="Arial"/>
                          <w:color w:val="FFFFFF" w:themeColor="background1"/>
                          <w:sz w:val="20"/>
                          <w:szCs w:val="20"/>
                        </w:rPr>
                        <w:br/>
                        <w:t xml:space="preserve">Sugestões, elogios e críticas: </w:t>
                      </w:r>
                      <w:hyperlink r:id="rId25">
                        <w:r w:rsidRPr="00106C29">
                          <w:rPr>
                            <w:rFonts w:ascii="Arial" w:eastAsia="Times New Roman" w:hAnsi="Arial" w:cs="Arial"/>
                            <w:color w:val="FFFFFF" w:themeColor="background1"/>
                            <w:sz w:val="24"/>
                            <w:szCs w:val="24"/>
                          </w:rPr>
                          <w:t>pgf.cpuc@agu.gov.br</w:t>
                        </w:r>
                      </w:hyperlink>
                    </w:p>
                  </w:txbxContent>
                </v:textbox>
              </v:shape>
            </w:pict>
          </mc:Fallback>
        </mc:AlternateContent>
      </w:r>
      <w:r w:rsidR="001C1C94" w:rsidRPr="005F33CC">
        <w:rPr>
          <w:noProof/>
          <w:lang w:eastAsia="pt-BR"/>
        </w:rPr>
        <mc:AlternateContent>
          <mc:Choice Requires="wps">
            <w:drawing>
              <wp:anchor distT="0" distB="0" distL="114300" distR="114300" simplePos="0" relativeHeight="251689984" behindDoc="0" locked="0" layoutInCell="1" allowOverlap="1" wp14:anchorId="005302E8" wp14:editId="207A9F64">
                <wp:simplePos x="0" y="0"/>
                <wp:positionH relativeFrom="column">
                  <wp:posOffset>11430</wp:posOffset>
                </wp:positionH>
                <wp:positionV relativeFrom="paragraph">
                  <wp:posOffset>7769225</wp:posOffset>
                </wp:positionV>
                <wp:extent cx="3206750" cy="898525"/>
                <wp:effectExtent l="19050" t="19050" r="12700" b="15875"/>
                <wp:wrapNone/>
                <wp:docPr id="89" name="Retângulo: Cantos Arredondados 89"/>
                <wp:cNvGraphicFramePr/>
                <a:graphic xmlns:a="http://schemas.openxmlformats.org/drawingml/2006/main">
                  <a:graphicData uri="http://schemas.microsoft.com/office/word/2010/wordprocessingShape">
                    <wps:wsp>
                      <wps:cNvSpPr/>
                      <wps:spPr>
                        <a:xfrm>
                          <a:off x="0" y="0"/>
                          <a:ext cx="3206750" cy="898525"/>
                        </a:xfrm>
                        <a:prstGeom prst="roundRect">
                          <a:avLst>
                            <a:gd name="adj" fmla="val 6048"/>
                          </a:avLst>
                        </a:prstGeom>
                        <a:noFill/>
                        <a:ln w="28575">
                          <a:solidFill>
                            <a:srgbClr val="154B5D"/>
                          </a:solidFill>
                        </a:ln>
                      </wps:spPr>
                      <wps:style>
                        <a:lnRef idx="2">
                          <a:schemeClr val="dk1">
                            <a:shade val="50000"/>
                          </a:schemeClr>
                        </a:lnRef>
                        <a:fillRef idx="1">
                          <a:schemeClr val="dk1"/>
                        </a:fillRef>
                        <a:effectRef idx="0">
                          <a:schemeClr val="dk1"/>
                        </a:effectRef>
                        <a:fontRef idx="minor">
                          <a:schemeClr val="lt1"/>
                        </a:fontRef>
                      </wps:style>
                      <wps:txbx>
                        <w:txbxContent>
                          <w:p w14:paraId="6A425D92" w14:textId="77777777" w:rsidR="005F33CC" w:rsidRPr="008C6FAA" w:rsidRDefault="005F33CC" w:rsidP="005F33CC">
                            <w:pPr>
                              <w:jc w:val="both"/>
                              <w:rPr>
                                <w:rFonts w:ascii="Ubuntu" w:hAnsi="Ubuntu"/>
                                <w:color w:val="FFFFFF" w:themeColor="background1"/>
                                <w:sz w:val="20"/>
                                <w:szCs w:val="20"/>
                              </w:rPr>
                            </w:pPr>
                            <w:r w:rsidRPr="008C6FAA">
                              <w:rPr>
                                <w:rFonts w:ascii="Times New Roman" w:eastAsia="Times New Roman" w:hAnsi="Times New Roman" w:cs="Times New Roman"/>
                                <w:color w:val="000000" w:themeColor="text1"/>
                                <w:sz w:val="24"/>
                                <w:szCs w:val="24"/>
                              </w:rPr>
                              <w:t xml:space="preserve"> </w:t>
                            </w:r>
                            <w:r w:rsidRPr="00B4766E">
                              <w:rPr>
                                <w:noProof/>
                                <w:lang w:eastAsia="pt-BR"/>
                              </w:rPr>
                              <w:drawing>
                                <wp:inline distT="0" distB="0" distL="0" distR="0" wp14:anchorId="723CB197" wp14:editId="1D75F1F5">
                                  <wp:extent cx="887802" cy="701070"/>
                                  <wp:effectExtent l="0" t="0" r="0"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extLst>
                                              <a:ext uri="{28A0092B-C50C-407E-A947-70E740481C1C}">
                                                <a14:useLocalDpi xmlns:a14="http://schemas.microsoft.com/office/drawing/2010/main" val="0"/>
                                              </a:ext>
                                            </a:extLst>
                                          </a:blip>
                                          <a:srcRect t="9032"/>
                                          <a:stretch/>
                                        </pic:blipFill>
                                        <pic:spPr bwMode="auto">
                                          <a:xfrm>
                                            <a:off x="0" y="0"/>
                                            <a:ext cx="894330" cy="70622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05302E8" id="Retângulo: Cantos Arredondados 89" o:spid="_x0000_s1051" style="position:absolute;margin-left:.9pt;margin-top:611.75pt;width:252.5pt;height:70.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9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" filled="f" strokecolor="#154b5d" strokeweight="2.25pt">
                <v:stroke joinstyle="miter"/>
                <v:textbox>
                  <w:txbxContent>
                    <w:p w14:paraId="6A425D92" w14:textId="77777777" w:rsidR="005F33CC" w:rsidRPr="008C6FAA" w:rsidRDefault="005F33CC" w:rsidP="005F33CC">
                      <w:pPr>
                        <w:jc w:val="both"/>
                        <w:rPr>
                          <w:rFonts w:ascii="Ubuntu" w:hAnsi="Ubuntu"/>
                          <w:color w:val="FFFFFF" w:themeColor="background1"/>
                          <w:sz w:val="20"/>
                          <w:szCs w:val="20"/>
                        </w:rPr>
                      </w:pPr>
                      <w:r w:rsidRPr="008C6FAA">
                        <w:rPr>
                          <w:rFonts w:ascii="Times New Roman" w:eastAsia="Times New Roman" w:hAnsi="Times New Roman" w:cs="Times New Roman"/>
                          <w:color w:val="000000" w:themeColor="text1"/>
                          <w:sz w:val="24"/>
                          <w:szCs w:val="24"/>
                        </w:rPr>
                        <w:t xml:space="preserve"> </w:t>
                      </w:r>
                      <w:r w:rsidRPr="00B4766E">
                        <w:rPr>
                          <w:noProof/>
                          <w:lang w:eastAsia="pt-BR"/>
                        </w:rPr>
                        <w:drawing>
                          <wp:inline distT="0" distB="0" distL="0" distR="0" wp14:anchorId="723CB197" wp14:editId="1D75F1F5">
                            <wp:extent cx="887802" cy="701070"/>
                            <wp:effectExtent l="0" t="0" r="0"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a:extLst>
                                        <a:ext uri="{28A0092B-C50C-407E-A947-70E740481C1C}">
                                          <a14:useLocalDpi xmlns:a14="http://schemas.microsoft.com/office/drawing/2010/main" val="0"/>
                                        </a:ext>
                                      </a:extLst>
                                    </a:blip>
                                    <a:srcRect t="9032"/>
                                    <a:stretch/>
                                  </pic:blipFill>
                                  <pic:spPr bwMode="auto">
                                    <a:xfrm>
                                      <a:off x="0" y="0"/>
                                      <a:ext cx="894330" cy="70622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oundrect>
            </w:pict>
          </mc:Fallback>
        </mc:AlternateContent>
      </w:r>
      <w:r w:rsidR="001C1C94" w:rsidRPr="005F33CC">
        <w:rPr>
          <w:noProof/>
          <w:lang w:eastAsia="pt-BR"/>
        </w:rPr>
        <mc:AlternateContent>
          <mc:Choice Requires="wps">
            <w:drawing>
              <wp:anchor distT="0" distB="0" distL="114300" distR="114300" simplePos="0" relativeHeight="251688960" behindDoc="0" locked="0" layoutInCell="1" allowOverlap="1" wp14:anchorId="5CBB7E98" wp14:editId="1B41913A">
                <wp:simplePos x="0" y="0"/>
                <wp:positionH relativeFrom="column">
                  <wp:posOffset>3503295</wp:posOffset>
                </wp:positionH>
                <wp:positionV relativeFrom="paragraph">
                  <wp:posOffset>7766685</wp:posOffset>
                </wp:positionV>
                <wp:extent cx="2644140" cy="899795"/>
                <wp:effectExtent l="19050" t="19050" r="22860" b="14605"/>
                <wp:wrapNone/>
                <wp:docPr id="87" name="Retângulo: Cantos Arredondados 87"/>
                <wp:cNvGraphicFramePr/>
                <a:graphic xmlns:a="http://schemas.openxmlformats.org/drawingml/2006/main">
                  <a:graphicData uri="http://schemas.microsoft.com/office/word/2010/wordprocessingShape">
                    <wps:wsp>
                      <wps:cNvSpPr/>
                      <wps:spPr>
                        <a:xfrm>
                          <a:off x="0" y="0"/>
                          <a:ext cx="2644140" cy="899795"/>
                        </a:xfrm>
                        <a:prstGeom prst="roundRect">
                          <a:avLst>
                            <a:gd name="adj" fmla="val 7817"/>
                          </a:avLst>
                        </a:prstGeom>
                        <a:noFill/>
                        <a:ln w="28575">
                          <a:solidFill>
                            <a:srgbClr val="154B5D"/>
                          </a:solidFill>
                        </a:ln>
                      </wps:spPr>
                      <wps:style>
                        <a:lnRef idx="2">
                          <a:schemeClr val="dk1">
                            <a:shade val="50000"/>
                          </a:schemeClr>
                        </a:lnRef>
                        <a:fillRef idx="1">
                          <a:schemeClr val="dk1"/>
                        </a:fillRef>
                        <a:effectRef idx="0">
                          <a:schemeClr val="dk1"/>
                        </a:effectRef>
                        <a:fontRef idx="minor">
                          <a:schemeClr val="lt1"/>
                        </a:fontRef>
                      </wps:style>
                      <wps:txbx>
                        <w:txbxContent>
                          <w:p w14:paraId="356C6BEA" w14:textId="77777777" w:rsidR="005F33CC" w:rsidRPr="000F5532" w:rsidRDefault="005F33CC" w:rsidP="005F33CC">
                            <w:pPr>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CBB7E98" id="Retângulo: Cantos Arredondados 87" o:spid="_x0000_s1052" style="position:absolute;margin-left:275.85pt;margin-top:611.55pt;width:208.2pt;height:70.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" filled="f" strokecolor="#154b5d" strokeweight="2.25pt">
                <v:stroke joinstyle="miter"/>
                <v:textbox>
                  <w:txbxContent>
                    <w:p w14:paraId="356C6BEA" w14:textId="77777777" w:rsidR="005F33CC" w:rsidRPr="000F5532" w:rsidRDefault="005F33CC" w:rsidP="005F33CC">
                      <w:pPr>
                        <w:ind w:left="2484"/>
                        <w:rPr>
                          <w:rFonts w:ascii="Ubuntu" w:hAnsi="Ubuntu"/>
                          <w:color w:val="FFFFFF" w:themeColor="background1"/>
                          <w:sz w:val="20"/>
                          <w:szCs w:val="20"/>
                        </w:rPr>
                      </w:pPr>
                    </w:p>
                  </w:txbxContent>
                </v:textbox>
              </v:roundrect>
            </w:pict>
          </mc:Fallback>
        </mc:AlternateContent>
      </w:r>
      <w:r w:rsidR="001C1C94" w:rsidRPr="005F33CC">
        <w:rPr>
          <w:noProof/>
          <w:lang w:eastAsia="pt-BR"/>
        </w:rPr>
        <mc:AlternateContent>
          <mc:Choice Requires="wps">
            <w:drawing>
              <wp:anchor distT="0" distB="0" distL="114300" distR="114300" simplePos="0" relativeHeight="251687936" behindDoc="0" locked="0" layoutInCell="1" allowOverlap="1" wp14:anchorId="739F56AF" wp14:editId="3D6D2601">
                <wp:simplePos x="0" y="0"/>
                <wp:positionH relativeFrom="column">
                  <wp:posOffset>3389630</wp:posOffset>
                </wp:positionH>
                <wp:positionV relativeFrom="paragraph">
                  <wp:posOffset>7629525</wp:posOffset>
                </wp:positionV>
                <wp:extent cx="2699385" cy="899795"/>
                <wp:effectExtent l="0" t="0" r="5715" b="0"/>
                <wp:wrapNone/>
                <wp:docPr id="85" name="Retângulo: Cantos Arredondados 85"/>
                <wp:cNvGraphicFramePr/>
                <a:graphic xmlns:a="http://schemas.openxmlformats.org/drawingml/2006/main">
                  <a:graphicData uri="http://schemas.microsoft.com/office/word/2010/wordprocessingShape">
                    <wps:wsp>
                      <wps:cNvSpPr/>
                      <wps:spPr>
                        <a:xfrm>
                          <a:off x="0" y="0"/>
                          <a:ext cx="2699385" cy="899795"/>
                        </a:xfrm>
                        <a:prstGeom prst="roundRect">
                          <a:avLst>
                            <a:gd name="adj" fmla="val 7018"/>
                          </a:avLst>
                        </a:prstGeom>
                        <a:solidFill>
                          <a:srgbClr val="B886B3"/>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5B7772EC" w14:textId="77777777" w:rsidR="005F33CC" w:rsidRPr="000F5532" w:rsidRDefault="005F33CC" w:rsidP="005F33CC">
                            <w:pPr>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39F56AF" id="Retângulo: Cantos Arredondados 85" o:spid="_x0000_s1053" style="position:absolute;margin-left:266.9pt;margin-top:600.75pt;width:212.55pt;height:70.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" fillcolor="#b886b3" stroked="f" strokeweight="1pt">
                <v:stroke joinstyle="miter"/>
                <v:textbox>
                  <w:txbxContent>
                    <w:p w14:paraId="5B7772EC" w14:textId="77777777" w:rsidR="005F33CC" w:rsidRPr="000F5532" w:rsidRDefault="005F33CC" w:rsidP="005F33CC">
                      <w:pPr>
                        <w:ind w:left="2484"/>
                        <w:rPr>
                          <w:rFonts w:ascii="Ubuntu" w:hAnsi="Ubuntu"/>
                          <w:color w:val="FFFFFF" w:themeColor="background1"/>
                          <w:sz w:val="20"/>
                          <w:szCs w:val="20"/>
                        </w:rPr>
                      </w:pPr>
                    </w:p>
                  </w:txbxContent>
                </v:textbox>
              </v:roundrect>
            </w:pict>
          </mc:Fallback>
        </mc:AlternateContent>
      </w:r>
      <w:r w:rsidR="00E626DF">
        <w:br w:type="page"/>
      </w:r>
    </w:p>
    <w:p w14:paraId="5127AB6D" w14:textId="77777777" w:rsidR="006D1F90" w:rsidRPr="0051439E" w:rsidRDefault="006D1F90" w:rsidP="006D1F90">
      <w:pPr>
        <w:pStyle w:val="Ttulo1"/>
        <w:spacing w:after="48"/>
        <w:ind w:left="1418"/>
        <w:jc w:val="both"/>
        <w:rPr>
          <w:rFonts w:eastAsiaTheme="minorEastAsia"/>
          <w:color w:val="000000"/>
          <w:sz w:val="20"/>
          <w:szCs w:val="20"/>
        </w:rPr>
      </w:pPr>
      <w:bookmarkStart w:id="1" w:name="_Hlk169603833"/>
      <w:r w:rsidRPr="0051439E">
        <w:rPr>
          <w:rFonts w:eastAsiaTheme="minorEastAsia"/>
          <w:color w:val="000000" w:themeColor="text1"/>
          <w:sz w:val="20"/>
          <w:szCs w:val="20"/>
        </w:rPr>
        <w:lastRenderedPageBreak/>
        <w:t>EMENTA: DIREITO ADMINISTRATIVO. LICITAÇÃO. CONCORRÊNCIA. </w:t>
      </w:r>
      <w:r w:rsidRPr="0051439E">
        <w:rPr>
          <w:rFonts w:eastAsiaTheme="minorEastAsia"/>
          <w:b w:val="0"/>
          <w:bCs w:val="0"/>
          <w:color w:val="FF0000"/>
          <w:sz w:val="20"/>
          <w:szCs w:val="20"/>
        </w:rPr>
        <w:t>SISTEMA DE REGISTRO DE PREÇOS</w:t>
      </w:r>
      <w:r w:rsidRPr="0051439E">
        <w:rPr>
          <w:rFonts w:eastAsiaTheme="minorEastAsia"/>
          <w:b w:val="0"/>
          <w:bCs w:val="0"/>
          <w:color w:val="000000" w:themeColor="text1"/>
          <w:sz w:val="20"/>
          <w:szCs w:val="20"/>
        </w:rPr>
        <w:t>. </w:t>
      </w:r>
      <w:r w:rsidRPr="0051439E">
        <w:rPr>
          <w:rFonts w:eastAsiaTheme="minorEastAsia"/>
          <w:b w:val="0"/>
          <w:bCs w:val="0"/>
          <w:color w:val="FF0000"/>
          <w:sz w:val="20"/>
          <w:szCs w:val="20"/>
        </w:rPr>
        <w:t>OBRA OU SERVIÇOS ESPECIAIS DE ENGENHARIA.</w:t>
      </w:r>
      <w:r w:rsidRPr="0051439E">
        <w:rPr>
          <w:rFonts w:eastAsiaTheme="minorEastAsia"/>
          <w:b w:val="0"/>
          <w:bCs w:val="0"/>
          <w:color w:val="000000" w:themeColor="text1"/>
          <w:sz w:val="20"/>
          <w:szCs w:val="20"/>
        </w:rPr>
        <w:t> </w:t>
      </w:r>
      <w:r w:rsidRPr="0051439E">
        <w:rPr>
          <w:rFonts w:eastAsiaTheme="minorEastAsia"/>
          <w:b w:val="0"/>
          <w:bCs w:val="0"/>
          <w:color w:val="FF0000"/>
          <w:sz w:val="20"/>
          <w:szCs w:val="20"/>
        </w:rPr>
        <w:t xml:space="preserve">CRITÉRIO DE JULGAMENTO: MENOR PREÇO OU MAIOR DESCONTO. REGIME DE EXECUÇÃO: EMPREITADA POR PREÇO UNITÁRIO </w:t>
      </w:r>
      <w:r w:rsidRPr="0051439E">
        <w:rPr>
          <w:rFonts w:eastAsiaTheme="minorEastAsia"/>
          <w:color w:val="FF0000"/>
          <w:sz w:val="20"/>
          <w:szCs w:val="20"/>
          <w:u w:val="single"/>
        </w:rPr>
        <w:t>OU</w:t>
      </w:r>
      <w:r w:rsidRPr="0051439E">
        <w:rPr>
          <w:rFonts w:eastAsiaTheme="minorEastAsia"/>
          <w:b w:val="0"/>
          <w:bCs w:val="0"/>
          <w:color w:val="FF0000"/>
          <w:sz w:val="20"/>
          <w:szCs w:val="20"/>
        </w:rPr>
        <w:t xml:space="preserve"> EMPREITADA POR PREÇO GLOBAL</w:t>
      </w:r>
      <w:r w:rsidRPr="0051439E">
        <w:rPr>
          <w:rFonts w:eastAsiaTheme="minorEastAsia"/>
          <w:b w:val="0"/>
          <w:bCs w:val="0"/>
          <w:color w:val="000000" w:themeColor="text1"/>
          <w:sz w:val="20"/>
          <w:szCs w:val="20"/>
        </w:rPr>
        <w:t xml:space="preserve"> REGULARIDADE FORMAL DO PROCESSO. LEI Nº 14.133, DE 1º DE ABRIL DE 2021. </w:t>
      </w:r>
      <w:r w:rsidRPr="0051439E">
        <w:rPr>
          <w:rFonts w:eastAsiaTheme="minorEastAsia"/>
          <w:b w:val="0"/>
          <w:bCs w:val="0"/>
          <w:color w:val="FF0000"/>
          <w:sz w:val="20"/>
          <w:szCs w:val="20"/>
        </w:rPr>
        <w:t>DECRETO Nº 11.462/2023</w:t>
      </w:r>
      <w:r w:rsidRPr="0051439E">
        <w:rPr>
          <w:rFonts w:eastAsiaTheme="minorEastAsia"/>
          <w:b w:val="0"/>
          <w:bCs w:val="0"/>
          <w:color w:val="000000" w:themeColor="text1"/>
          <w:sz w:val="20"/>
          <w:szCs w:val="20"/>
        </w:rPr>
        <w:t xml:space="preserve">, PORTARIA SEGES/ME Nº 8.678/2021. INSTRUÇÃO NORMATIVA SEGES/ME Nº 91, DE 16 DE DEZEMBRO DE 2022. DECRETO Nº 7.983, DE 8 DE ABRIL DE 2013, NO QUE COUBER. DECRETO Nº 10.947, DE 25 DE JANEIRO DE 2022. INSTRUÇÃO NORMATIVA SEGES Nº 58/2022. DECRETO Nº 11.246, DE 27 DE OUTUBRO DE 2022. INSTRUÇÃO NORMATIVA SEGES/ME Nº 81/2022. PORTARIA SEGES/ME Nº 938, DE 2 DE FEVEREIRO DE 2022. INSTRUÇÃO NORMATIVA SEGES/ME Nº 98, DE 26 DE DEZEMBRO DE 2022 E INSTRUÇÃO NORMATIVA Nº 5, DE 26 DE MAIO DE 2017, NO QUE COUBER. </w:t>
      </w:r>
      <w:r w:rsidRPr="0051439E">
        <w:rPr>
          <w:rFonts w:eastAsiaTheme="minorEastAsia"/>
          <w:b w:val="0"/>
          <w:bCs w:val="0"/>
          <w:color w:val="FF0000"/>
          <w:sz w:val="20"/>
          <w:szCs w:val="20"/>
        </w:rPr>
        <w:t>[COMPLEMENTAR COM ESPECIFICIDADES].</w:t>
      </w:r>
      <w:r w:rsidRPr="0051439E">
        <w:rPr>
          <w:rFonts w:eastAsiaTheme="minorEastAsia"/>
          <w:b w:val="0"/>
          <w:bCs w:val="0"/>
          <w:color w:val="000000" w:themeColor="text1"/>
          <w:sz w:val="20"/>
          <w:szCs w:val="20"/>
        </w:rPr>
        <w:t xml:space="preserve"> </w:t>
      </w:r>
      <w:r w:rsidRPr="0051439E">
        <w:rPr>
          <w:rFonts w:eastAsiaTheme="minorEastAsia"/>
          <w:b w:val="0"/>
          <w:bCs w:val="0"/>
          <w:color w:val="FF0000"/>
          <w:sz w:val="20"/>
          <w:szCs w:val="20"/>
        </w:rPr>
        <w:t>REGULARIDADE JURÍDICA, COM RESSALVAS.</w:t>
      </w:r>
      <w:bookmarkEnd w:id="1"/>
    </w:p>
    <w:p w14:paraId="79E8625D" w14:textId="77777777" w:rsidR="006D1F90" w:rsidRPr="0051439E" w:rsidRDefault="006D1F90" w:rsidP="006D1F90">
      <w:pPr>
        <w:spacing w:after="48" w:line="288" w:lineRule="atLeast"/>
        <w:ind w:left="2790" w:firstLine="1418"/>
        <w:jc w:val="both"/>
        <w:rPr>
          <w:rFonts w:ascii="Times New Roman" w:eastAsiaTheme="minorEastAsia" w:hAnsi="Times New Roman" w:cs="Times New Roman"/>
          <w:color w:val="000000"/>
          <w:lang w:eastAsia="pt-BR"/>
        </w:rPr>
      </w:pPr>
      <w:r w:rsidRPr="0051439E">
        <w:rPr>
          <w:rFonts w:ascii="Times New Roman" w:eastAsiaTheme="minorEastAsia" w:hAnsi="Times New Roman" w:cs="Times New Roman"/>
          <w:color w:val="000000" w:themeColor="text1"/>
          <w:lang w:eastAsia="pt-BR"/>
        </w:rPr>
        <w:t>  </w:t>
      </w:r>
    </w:p>
    <w:p w14:paraId="63128DF5" w14:textId="77777777" w:rsidR="006D1F90" w:rsidRPr="0051439E" w:rsidRDefault="006D1F90" w:rsidP="006D1F90">
      <w:pPr>
        <w:spacing w:after="48" w:line="288" w:lineRule="atLeast"/>
        <w:jc w:val="both"/>
        <w:outlineLvl w:val="0"/>
        <w:rPr>
          <w:rFonts w:ascii="Times New Roman" w:eastAsiaTheme="minorEastAsia" w:hAnsi="Times New Roman" w:cs="Times New Roman"/>
          <w:b/>
          <w:caps/>
          <w:color w:val="000000"/>
          <w:kern w:val="36"/>
          <w:lang w:eastAsia="pt-BR"/>
        </w:rPr>
      </w:pPr>
      <w:r w:rsidRPr="0051439E">
        <w:rPr>
          <w:rFonts w:ascii="Times New Roman" w:eastAsiaTheme="minorEastAsia" w:hAnsi="Times New Roman" w:cs="Times New Roman"/>
          <w:b/>
          <w:caps/>
          <w:color w:val="000000"/>
          <w:kern w:val="36"/>
          <w:lang w:eastAsia="pt-BR"/>
        </w:rPr>
        <w:t>RELATÓRIO</w:t>
      </w:r>
    </w:p>
    <w:p w14:paraId="59DCD9BA" w14:textId="77777777" w:rsidR="006D1F90" w:rsidRPr="0051439E" w:rsidRDefault="006D1F90" w:rsidP="006D1F90">
      <w:pPr>
        <w:spacing w:after="48" w:line="288" w:lineRule="atLeast"/>
        <w:ind w:firstLine="1418"/>
        <w:jc w:val="both"/>
        <w:rPr>
          <w:rFonts w:ascii="Times New Roman" w:eastAsiaTheme="minorEastAsia" w:hAnsi="Times New Roman" w:cs="Times New Roman"/>
          <w:color w:val="000000"/>
          <w:lang w:eastAsia="pt-BR"/>
        </w:rPr>
      </w:pPr>
      <w:r w:rsidRPr="0051439E">
        <w:rPr>
          <w:rFonts w:ascii="Times New Roman" w:eastAsiaTheme="minorEastAsia" w:hAnsi="Times New Roman" w:cs="Times New Roman"/>
          <w:color w:val="000000" w:themeColor="text1"/>
          <w:lang w:eastAsia="pt-BR"/>
        </w:rPr>
        <w:t> </w:t>
      </w:r>
    </w:p>
    <w:p w14:paraId="089999BA" w14:textId="77777777" w:rsidR="006D1F90" w:rsidRPr="0051439E" w:rsidRDefault="006D1F90" w:rsidP="006D1F90">
      <w:pPr>
        <w:spacing w:after="48" w:line="288" w:lineRule="atLeast"/>
        <w:jc w:val="both"/>
        <w:rPr>
          <w:rFonts w:ascii="Times New Roman" w:eastAsiaTheme="minorEastAsia" w:hAnsi="Times New Roman" w:cs="Times New Roman"/>
          <w:color w:val="000000"/>
          <w:lang w:eastAsia="pt-BR"/>
        </w:rPr>
      </w:pPr>
      <w:r w:rsidRPr="0051439E">
        <w:rPr>
          <w:rFonts w:ascii="Times New Roman" w:eastAsiaTheme="minorEastAsia" w:hAnsi="Times New Roman" w:cs="Times New Roman"/>
          <w:color w:val="000000" w:themeColor="text1"/>
          <w:lang w:eastAsia="pt-BR"/>
        </w:rPr>
        <w:t>Trata-se de processo administrativo encaminhado a este órgão consultivo, para análise da regularidade jurídica do procedimento licitatório da modalidade de Concorrência, </w:t>
      </w:r>
      <w:r w:rsidRPr="0051439E">
        <w:rPr>
          <w:rFonts w:ascii="Times New Roman" w:eastAsiaTheme="minorEastAsia" w:hAnsi="Times New Roman" w:cs="Times New Roman"/>
          <w:color w:val="FF0000"/>
          <w:lang w:eastAsia="pt-BR"/>
        </w:rPr>
        <w:t>processada sob o Sistema de Registro de Preços</w:t>
      </w:r>
      <w:r w:rsidRPr="0051439E">
        <w:rPr>
          <w:rFonts w:ascii="Times New Roman" w:eastAsiaTheme="minorEastAsia" w:hAnsi="Times New Roman" w:cs="Times New Roman"/>
          <w:color w:val="000000" w:themeColor="text1"/>
          <w:lang w:eastAsia="pt-BR"/>
        </w:rPr>
        <w:t xml:space="preserve">, que tem por objeto a contratação </w:t>
      </w:r>
      <w:r w:rsidRPr="0051439E">
        <w:rPr>
          <w:rFonts w:ascii="Times New Roman" w:eastAsia="Times New Roman" w:hAnsi="Times New Roman" w:cs="Times New Roman"/>
          <w:color w:val="FF0000"/>
          <w:lang w:eastAsia="pt-BR"/>
        </w:rPr>
        <w:t xml:space="preserve">de obra ou </w:t>
      </w:r>
      <w:r w:rsidRPr="0051439E">
        <w:rPr>
          <w:rFonts w:ascii="Times New Roman" w:eastAsiaTheme="minorEastAsia" w:hAnsi="Times New Roman" w:cs="Times New Roman"/>
          <w:color w:val="FF0000"/>
          <w:lang w:eastAsia="pt-BR"/>
        </w:rPr>
        <w:t>da prestação de serviços de engenharia XXX</w:t>
      </w:r>
      <w:r w:rsidRPr="0051439E">
        <w:rPr>
          <w:rFonts w:ascii="Times New Roman" w:eastAsiaTheme="minorEastAsia" w:hAnsi="Times New Roman" w:cs="Times New Roman"/>
          <w:color w:val="000000" w:themeColor="text1"/>
          <w:lang w:eastAsia="pt-BR"/>
        </w:rPr>
        <w:t>, </w:t>
      </w:r>
      <w:r w:rsidRPr="0051439E">
        <w:rPr>
          <w:rFonts w:ascii="Times New Roman" w:eastAsiaTheme="minorEastAsia" w:hAnsi="Times New Roman" w:cs="Times New Roman"/>
          <w:color w:val="FF0000"/>
          <w:lang w:eastAsia="pt-BR"/>
        </w:rPr>
        <w:t xml:space="preserve">pelo critério de menor preço </w:t>
      </w:r>
      <w:r w:rsidRPr="0051439E">
        <w:rPr>
          <w:rFonts w:ascii="Times New Roman" w:eastAsiaTheme="minorEastAsia" w:hAnsi="Times New Roman" w:cs="Times New Roman"/>
          <w:color w:val="FF0000"/>
          <w:u w:val="single"/>
          <w:lang w:eastAsia="pt-BR"/>
        </w:rPr>
        <w:t>OU</w:t>
      </w:r>
      <w:r w:rsidRPr="0051439E">
        <w:rPr>
          <w:rFonts w:ascii="Times New Roman" w:eastAsiaTheme="minorEastAsia" w:hAnsi="Times New Roman" w:cs="Times New Roman"/>
          <w:color w:val="FF0000"/>
          <w:lang w:eastAsia="pt-BR"/>
        </w:rPr>
        <w:t xml:space="preserve"> maior desconto, </w:t>
      </w:r>
      <w:r w:rsidRPr="0051439E">
        <w:rPr>
          <w:rFonts w:ascii="Times New Roman" w:eastAsiaTheme="minorEastAsia" w:hAnsi="Times New Roman" w:cs="Times New Roman"/>
          <w:lang w:eastAsia="pt-BR"/>
        </w:rPr>
        <w:t xml:space="preserve">mediante o regime de </w:t>
      </w:r>
      <w:r w:rsidRPr="0051439E">
        <w:rPr>
          <w:rFonts w:ascii="Times New Roman" w:eastAsiaTheme="minorEastAsia" w:hAnsi="Times New Roman" w:cs="Times New Roman"/>
          <w:color w:val="FF0000"/>
          <w:lang w:eastAsia="pt-BR"/>
        </w:rPr>
        <w:t xml:space="preserve">empreitada por preço unitário </w:t>
      </w:r>
      <w:r w:rsidRPr="0051439E">
        <w:rPr>
          <w:rFonts w:ascii="Times New Roman" w:eastAsiaTheme="minorEastAsia" w:hAnsi="Times New Roman" w:cs="Times New Roman"/>
          <w:color w:val="FF0000"/>
          <w:u w:val="single"/>
          <w:lang w:eastAsia="pt-BR"/>
        </w:rPr>
        <w:t>OU</w:t>
      </w:r>
      <w:r w:rsidRPr="0051439E">
        <w:rPr>
          <w:rFonts w:ascii="Times New Roman" w:eastAsiaTheme="minorEastAsia" w:hAnsi="Times New Roman" w:cs="Times New Roman"/>
          <w:color w:val="FF0000"/>
          <w:lang w:eastAsia="pt-BR"/>
        </w:rPr>
        <w:t xml:space="preserve"> empreitada por preço global</w:t>
      </w:r>
      <w:r w:rsidRPr="0051439E">
        <w:rPr>
          <w:rFonts w:ascii="Times New Roman" w:eastAsiaTheme="minorEastAsia" w:hAnsi="Times New Roman" w:cs="Times New Roman"/>
          <w:b/>
          <w:bCs/>
          <w:lang w:eastAsia="pt-BR"/>
        </w:rPr>
        <w:t>,</w:t>
      </w:r>
      <w:r w:rsidRPr="0051439E">
        <w:rPr>
          <w:rFonts w:ascii="Times New Roman" w:eastAsiaTheme="minorEastAsia" w:hAnsi="Times New Roman" w:cs="Times New Roman"/>
          <w:color w:val="000000" w:themeColor="text1"/>
          <w:lang w:eastAsia="pt-BR"/>
        </w:rPr>
        <w:t xml:space="preserve"> no valor estimado de R$</w:t>
      </w:r>
      <w:r w:rsidRPr="0051439E">
        <w:rPr>
          <w:rFonts w:ascii="Times New Roman" w:eastAsiaTheme="minorEastAsia" w:hAnsi="Times New Roman" w:cs="Times New Roman"/>
          <w:color w:val="FF0000"/>
          <w:lang w:eastAsia="pt-BR"/>
        </w:rPr>
        <w:t> XXX.</w:t>
      </w:r>
    </w:p>
    <w:p w14:paraId="07AB304B" w14:textId="77777777" w:rsidR="006D1F90" w:rsidRPr="0051439E" w:rsidRDefault="006D1F90" w:rsidP="006D1F90">
      <w:pPr>
        <w:spacing w:after="48" w:line="288" w:lineRule="atLeast"/>
        <w:ind w:firstLine="1440"/>
        <w:jc w:val="both"/>
        <w:rPr>
          <w:rFonts w:ascii="Times New Roman" w:eastAsiaTheme="minorEastAsia" w:hAnsi="Times New Roman" w:cs="Times New Roman"/>
          <w:color w:val="000000"/>
          <w:lang w:eastAsia="pt-BR"/>
        </w:rPr>
      </w:pPr>
      <w:r w:rsidRPr="0051439E">
        <w:rPr>
          <w:rFonts w:ascii="Times New Roman" w:eastAsiaTheme="minorEastAsia" w:hAnsi="Times New Roman" w:cs="Times New Roman"/>
          <w:color w:val="000000" w:themeColor="text1"/>
          <w:lang w:eastAsia="pt-BR"/>
        </w:rPr>
        <w:t> </w:t>
      </w:r>
    </w:p>
    <w:p w14:paraId="4D6857CE" w14:textId="77777777" w:rsidR="006D1F90" w:rsidRPr="0051439E" w:rsidRDefault="006D1F90" w:rsidP="006D1F90">
      <w:pPr>
        <w:spacing w:after="48" w:line="288" w:lineRule="atLeast"/>
        <w:jc w:val="both"/>
        <w:rPr>
          <w:rFonts w:ascii="Times New Roman" w:eastAsiaTheme="minorEastAsia" w:hAnsi="Times New Roman" w:cs="Times New Roman"/>
          <w:color w:val="000000"/>
          <w:lang w:eastAsia="pt-BR"/>
        </w:rPr>
      </w:pPr>
      <w:r w:rsidRPr="0051439E">
        <w:rPr>
          <w:rFonts w:ascii="Times New Roman" w:eastAsiaTheme="minorEastAsia" w:hAnsi="Times New Roman" w:cs="Times New Roman"/>
          <w:color w:val="000000" w:themeColor="text1"/>
          <w:lang w:eastAsia="pt-BR"/>
        </w:rPr>
        <w:t>Os presentes autos encontram-se instruídos com os seguintes documentos, pertinentes à presente análise:</w:t>
      </w:r>
    </w:p>
    <w:p w14:paraId="36FD5A45" w14:textId="77777777" w:rsidR="006D1F90" w:rsidRPr="0051439E" w:rsidRDefault="006D1F90" w:rsidP="006D1F90">
      <w:pPr>
        <w:spacing w:before="100" w:beforeAutospacing="1" w:after="48" w:afterAutospacing="1" w:line="288" w:lineRule="atLeast"/>
        <w:jc w:val="both"/>
        <w:rPr>
          <w:rFonts w:ascii="Times New Roman" w:eastAsiaTheme="minorEastAsia" w:hAnsi="Times New Roman" w:cs="Times New Roman"/>
          <w:color w:val="000000"/>
          <w:lang w:eastAsia="pt-BR"/>
        </w:rPr>
      </w:pPr>
    </w:p>
    <w:p w14:paraId="307CDA24" w14:textId="77777777" w:rsidR="006D1F90" w:rsidRPr="0051439E" w:rsidRDefault="006D1F90" w:rsidP="006D1F90">
      <w:pPr>
        <w:pStyle w:val="PargrafodaLista"/>
        <w:numPr>
          <w:ilvl w:val="0"/>
          <w:numId w:val="3"/>
        </w:numPr>
        <w:spacing w:before="100" w:beforeAutospacing="1" w:after="100" w:afterAutospacing="1" w:line="240" w:lineRule="auto"/>
        <w:ind w:left="1530" w:hanging="270"/>
        <w:jc w:val="both"/>
        <w:rPr>
          <w:rFonts w:ascii="Times New Roman" w:eastAsiaTheme="minorEastAsia" w:hAnsi="Times New Roman" w:cs="Times New Roman"/>
          <w:color w:val="FF0000"/>
          <w:lang w:eastAsia="pt-BR"/>
        </w:rPr>
      </w:pPr>
      <w:r w:rsidRPr="0051439E">
        <w:rPr>
          <w:rFonts w:ascii="Times New Roman" w:eastAsiaTheme="minorEastAsia" w:hAnsi="Times New Roman" w:cs="Times New Roman"/>
          <w:color w:val="FF0000"/>
          <w:lang w:eastAsia="pt-BR"/>
        </w:rPr>
        <w:t>documento de formalização da demanda (fls. SEI n. )</w:t>
      </w:r>
    </w:p>
    <w:p w14:paraId="40C95F16" w14:textId="77777777" w:rsidR="006D1F90" w:rsidRPr="0051439E" w:rsidRDefault="006D1F90" w:rsidP="006D1F90">
      <w:pPr>
        <w:pStyle w:val="PargrafodaLista"/>
        <w:numPr>
          <w:ilvl w:val="0"/>
          <w:numId w:val="3"/>
        </w:numPr>
        <w:spacing w:before="100" w:beforeAutospacing="1" w:after="100" w:afterAutospacing="1" w:line="240" w:lineRule="auto"/>
        <w:ind w:left="1530" w:hanging="270"/>
        <w:jc w:val="both"/>
        <w:rPr>
          <w:rFonts w:ascii="Times New Roman" w:eastAsiaTheme="minorEastAsia" w:hAnsi="Times New Roman" w:cs="Times New Roman"/>
          <w:color w:val="FF0000"/>
          <w:lang w:eastAsia="pt-BR"/>
        </w:rPr>
      </w:pPr>
      <w:r w:rsidRPr="0051439E">
        <w:rPr>
          <w:rFonts w:ascii="Times New Roman" w:eastAsiaTheme="minorEastAsia" w:hAnsi="Times New Roman" w:cs="Times New Roman"/>
          <w:color w:val="FF0000"/>
          <w:lang w:eastAsia="pt-BR"/>
        </w:rPr>
        <w:t>autorização da autoridade administrativa (fls. SEI n. )</w:t>
      </w:r>
    </w:p>
    <w:p w14:paraId="085197D4" w14:textId="77777777" w:rsidR="006D1F90" w:rsidRPr="0051439E" w:rsidRDefault="006D1F90" w:rsidP="006D1F90">
      <w:pPr>
        <w:pStyle w:val="PargrafodaLista"/>
        <w:numPr>
          <w:ilvl w:val="0"/>
          <w:numId w:val="3"/>
        </w:numPr>
        <w:spacing w:before="100" w:beforeAutospacing="1" w:after="100" w:afterAutospacing="1" w:line="240" w:lineRule="auto"/>
        <w:ind w:left="1530" w:hanging="270"/>
        <w:jc w:val="both"/>
        <w:rPr>
          <w:rFonts w:ascii="Times New Roman" w:eastAsiaTheme="minorEastAsia" w:hAnsi="Times New Roman" w:cs="Times New Roman"/>
          <w:color w:val="FF0000"/>
          <w:lang w:eastAsia="pt-BR"/>
        </w:rPr>
      </w:pPr>
      <w:r w:rsidRPr="0051439E">
        <w:rPr>
          <w:rFonts w:ascii="Times New Roman" w:eastAsiaTheme="minorEastAsia" w:hAnsi="Times New Roman" w:cs="Times New Roman"/>
          <w:color w:val="FF0000"/>
          <w:lang w:eastAsia="pt-BR"/>
        </w:rPr>
        <w:t>estudo técnico preliminar - ETP (fls. SEI n. )</w:t>
      </w:r>
    </w:p>
    <w:p w14:paraId="3D3A4269" w14:textId="77777777" w:rsidR="006D1F90" w:rsidRPr="0051439E" w:rsidRDefault="006D1F90" w:rsidP="006D1F90">
      <w:pPr>
        <w:pStyle w:val="PargrafodaLista"/>
        <w:numPr>
          <w:ilvl w:val="0"/>
          <w:numId w:val="3"/>
        </w:numPr>
        <w:spacing w:before="100" w:beforeAutospacing="1" w:after="100" w:afterAutospacing="1" w:line="240" w:lineRule="auto"/>
        <w:ind w:left="1530" w:hanging="270"/>
        <w:jc w:val="both"/>
        <w:rPr>
          <w:rFonts w:ascii="Times New Roman" w:eastAsiaTheme="minorEastAsia" w:hAnsi="Times New Roman" w:cs="Times New Roman"/>
          <w:color w:val="FF0000"/>
          <w:lang w:eastAsia="pt-BR"/>
        </w:rPr>
      </w:pPr>
      <w:r w:rsidRPr="0051439E">
        <w:rPr>
          <w:rFonts w:ascii="Times New Roman" w:eastAsiaTheme="minorEastAsia" w:hAnsi="Times New Roman" w:cs="Times New Roman"/>
          <w:color w:val="FF0000"/>
          <w:lang w:eastAsia="pt-BR"/>
        </w:rPr>
        <w:t>mapa de gerenciamento de riscos (fls. SEI n. )</w:t>
      </w:r>
    </w:p>
    <w:p w14:paraId="7F1277EE" w14:textId="77777777" w:rsidR="006D1F90" w:rsidRPr="0051439E" w:rsidRDefault="006D1F90" w:rsidP="006D1F90">
      <w:pPr>
        <w:pStyle w:val="PargrafodaLista"/>
        <w:numPr>
          <w:ilvl w:val="0"/>
          <w:numId w:val="3"/>
        </w:numPr>
        <w:spacing w:before="100" w:beforeAutospacing="1" w:after="100" w:afterAutospacing="1" w:line="240" w:lineRule="auto"/>
        <w:ind w:left="1530" w:hanging="270"/>
        <w:jc w:val="both"/>
        <w:rPr>
          <w:rFonts w:ascii="Times New Roman" w:eastAsiaTheme="minorEastAsia" w:hAnsi="Times New Roman" w:cs="Times New Roman"/>
          <w:color w:val="FF0000"/>
          <w:lang w:eastAsia="pt-BR"/>
        </w:rPr>
      </w:pPr>
      <w:r w:rsidRPr="0051439E">
        <w:rPr>
          <w:rFonts w:ascii="Times New Roman" w:eastAsiaTheme="minorEastAsia" w:hAnsi="Times New Roman" w:cs="Times New Roman"/>
          <w:color w:val="FF0000"/>
          <w:lang w:eastAsia="pt-BR"/>
        </w:rPr>
        <w:t>planilhas orçamentárias (fls. SEI n. )</w:t>
      </w:r>
    </w:p>
    <w:p w14:paraId="028FD1BD" w14:textId="77777777" w:rsidR="006D1F90" w:rsidRPr="0051439E" w:rsidRDefault="006D1F90" w:rsidP="006D1F90">
      <w:pPr>
        <w:pStyle w:val="PargrafodaLista"/>
        <w:numPr>
          <w:ilvl w:val="0"/>
          <w:numId w:val="3"/>
        </w:numPr>
        <w:spacing w:beforeAutospacing="1" w:afterAutospacing="1" w:line="240" w:lineRule="auto"/>
        <w:ind w:left="1530" w:hanging="270"/>
        <w:jc w:val="both"/>
        <w:rPr>
          <w:rFonts w:ascii="Times New Roman" w:eastAsiaTheme="minorEastAsia" w:hAnsi="Times New Roman" w:cs="Times New Roman"/>
          <w:color w:val="FF0000"/>
          <w:lang w:eastAsia="pt-BR"/>
        </w:rPr>
      </w:pPr>
      <w:r w:rsidRPr="0051439E">
        <w:rPr>
          <w:rFonts w:ascii="Times New Roman" w:eastAsiaTheme="minorEastAsia" w:hAnsi="Times New Roman" w:cs="Times New Roman"/>
          <w:color w:val="FF0000"/>
          <w:lang w:eastAsia="pt-BR"/>
        </w:rPr>
        <w:t>anotação de responsabilidade técnica (ART) e/ou registro de responsabilidade técnica (RRT) e/ou termo de responsabilidade técnica (TRT) (fls. SEI n. )</w:t>
      </w:r>
    </w:p>
    <w:p w14:paraId="626DDEE7" w14:textId="77777777" w:rsidR="006D1F90" w:rsidRPr="0051439E" w:rsidRDefault="006D1F90" w:rsidP="006D1F90">
      <w:pPr>
        <w:pStyle w:val="PargrafodaLista"/>
        <w:numPr>
          <w:ilvl w:val="0"/>
          <w:numId w:val="3"/>
        </w:numPr>
        <w:spacing w:before="100" w:beforeAutospacing="1" w:after="100" w:afterAutospacing="1" w:line="240" w:lineRule="auto"/>
        <w:ind w:left="1530" w:hanging="270"/>
        <w:jc w:val="both"/>
        <w:rPr>
          <w:rFonts w:ascii="Times New Roman" w:eastAsiaTheme="minorEastAsia" w:hAnsi="Times New Roman" w:cs="Times New Roman"/>
          <w:color w:val="FF0000"/>
          <w:lang w:eastAsia="pt-BR"/>
        </w:rPr>
      </w:pPr>
      <w:r w:rsidRPr="0051439E">
        <w:rPr>
          <w:rFonts w:ascii="Times New Roman" w:eastAsiaTheme="minorEastAsia" w:hAnsi="Times New Roman" w:cs="Times New Roman"/>
          <w:color w:val="FF0000"/>
          <w:lang w:eastAsia="pt-BR"/>
        </w:rPr>
        <w:t>pesquisa de preços (fls. SEI n. )</w:t>
      </w:r>
    </w:p>
    <w:p w14:paraId="2C0D3A4F" w14:textId="77777777" w:rsidR="006D1F90" w:rsidRPr="0051439E" w:rsidRDefault="006D1F90" w:rsidP="006D1F90">
      <w:pPr>
        <w:pStyle w:val="PargrafodaLista"/>
        <w:numPr>
          <w:ilvl w:val="0"/>
          <w:numId w:val="3"/>
        </w:numPr>
        <w:tabs>
          <w:tab w:val="left" w:pos="1560"/>
        </w:tabs>
        <w:spacing w:before="100" w:beforeAutospacing="1" w:after="100" w:afterAutospacing="1" w:line="240" w:lineRule="auto"/>
        <w:ind w:firstLine="556"/>
        <w:jc w:val="both"/>
        <w:rPr>
          <w:rFonts w:ascii="Times New Roman" w:eastAsiaTheme="minorEastAsia" w:hAnsi="Times New Roman" w:cs="Times New Roman"/>
          <w:color w:val="FF0000"/>
          <w:lang w:eastAsia="pt-BR"/>
        </w:rPr>
      </w:pPr>
      <w:r w:rsidRPr="0051439E">
        <w:rPr>
          <w:rFonts w:ascii="Times New Roman" w:eastAsiaTheme="minorEastAsia" w:hAnsi="Times New Roman" w:cs="Times New Roman"/>
          <w:color w:val="FF0000"/>
          <w:lang w:eastAsia="pt-BR"/>
        </w:rPr>
        <w:t>Comprovação da titularidade do imóvel ou regularidade da posse (doc. SEI n. XXX);</w:t>
      </w:r>
    </w:p>
    <w:p w14:paraId="1282B2E2" w14:textId="77777777" w:rsidR="006D1F90" w:rsidRPr="0051439E" w:rsidRDefault="006D1F90" w:rsidP="006D1F90">
      <w:pPr>
        <w:pStyle w:val="PargrafodaLista"/>
        <w:numPr>
          <w:ilvl w:val="0"/>
          <w:numId w:val="3"/>
        </w:numPr>
        <w:tabs>
          <w:tab w:val="left" w:pos="1560"/>
        </w:tabs>
        <w:spacing w:before="100" w:beforeAutospacing="1" w:after="100" w:afterAutospacing="1" w:line="240" w:lineRule="auto"/>
        <w:ind w:firstLine="556"/>
        <w:jc w:val="both"/>
        <w:rPr>
          <w:rFonts w:ascii="Times New Roman" w:eastAsiaTheme="minorEastAsia" w:hAnsi="Times New Roman" w:cs="Times New Roman"/>
          <w:color w:val="FF0000"/>
          <w:lang w:eastAsia="pt-BR"/>
        </w:rPr>
      </w:pPr>
      <w:r w:rsidRPr="0051439E">
        <w:rPr>
          <w:rFonts w:ascii="Times New Roman" w:eastAsiaTheme="minorEastAsia" w:hAnsi="Times New Roman" w:cs="Times New Roman"/>
          <w:color w:val="FF0000"/>
          <w:lang w:eastAsia="pt-BR"/>
        </w:rPr>
        <w:t>projeto básico (doc. SEI n. XXX);</w:t>
      </w:r>
    </w:p>
    <w:p w14:paraId="3B1534D6" w14:textId="77777777" w:rsidR="006D1F90" w:rsidRPr="0051439E" w:rsidRDefault="006D1F90" w:rsidP="006D1F90">
      <w:pPr>
        <w:pStyle w:val="PargrafodaLista"/>
        <w:numPr>
          <w:ilvl w:val="0"/>
          <w:numId w:val="3"/>
        </w:numPr>
        <w:tabs>
          <w:tab w:val="left" w:pos="1560"/>
        </w:tabs>
        <w:spacing w:beforeAutospacing="1" w:afterAutospacing="1" w:line="240" w:lineRule="auto"/>
        <w:ind w:firstLine="556"/>
        <w:jc w:val="both"/>
        <w:rPr>
          <w:rFonts w:ascii="Times New Roman" w:eastAsiaTheme="minorEastAsia" w:hAnsi="Times New Roman" w:cs="Times New Roman"/>
          <w:color w:val="FF0000"/>
          <w:lang w:eastAsia="pt-BR"/>
        </w:rPr>
      </w:pPr>
      <w:r w:rsidRPr="0051439E">
        <w:rPr>
          <w:rFonts w:ascii="Times New Roman" w:eastAsiaTheme="minorEastAsia" w:hAnsi="Times New Roman" w:cs="Times New Roman"/>
          <w:color w:val="FF0000"/>
          <w:lang w:eastAsia="pt-BR"/>
        </w:rPr>
        <w:t>projeto executivo (doc. SEI n. XXX);</w:t>
      </w:r>
    </w:p>
    <w:p w14:paraId="3798BA14" w14:textId="77777777" w:rsidR="006D1F90" w:rsidRPr="0051439E" w:rsidRDefault="006D1F90" w:rsidP="006D1F90">
      <w:pPr>
        <w:pStyle w:val="PargrafodaLista"/>
        <w:numPr>
          <w:ilvl w:val="0"/>
          <w:numId w:val="3"/>
        </w:numPr>
        <w:tabs>
          <w:tab w:val="left" w:pos="1560"/>
        </w:tabs>
        <w:spacing w:before="100" w:beforeAutospacing="1" w:after="100" w:afterAutospacing="1" w:line="240" w:lineRule="auto"/>
        <w:ind w:firstLine="556"/>
        <w:jc w:val="both"/>
        <w:rPr>
          <w:rFonts w:ascii="Times New Roman" w:eastAsiaTheme="minorEastAsia" w:hAnsi="Times New Roman" w:cs="Times New Roman"/>
          <w:color w:val="FF0000"/>
          <w:lang w:eastAsia="pt-BR"/>
        </w:rPr>
      </w:pPr>
      <w:r w:rsidRPr="0051439E">
        <w:rPr>
          <w:rFonts w:ascii="Times New Roman" w:eastAsiaTheme="minorEastAsia" w:hAnsi="Times New Roman" w:cs="Times New Roman"/>
          <w:color w:val="FF0000"/>
          <w:lang w:eastAsia="pt-BR"/>
        </w:rPr>
        <w:t>plantas (doc. SEI n. XXX);</w:t>
      </w:r>
    </w:p>
    <w:p w14:paraId="79275DEA" w14:textId="77777777" w:rsidR="006D1F90" w:rsidRPr="0051439E" w:rsidRDefault="006D1F90" w:rsidP="006D1F90">
      <w:pPr>
        <w:pStyle w:val="PargrafodaLista"/>
        <w:numPr>
          <w:ilvl w:val="0"/>
          <w:numId w:val="3"/>
        </w:numPr>
        <w:tabs>
          <w:tab w:val="left" w:pos="1560"/>
        </w:tabs>
        <w:spacing w:before="100" w:beforeAutospacing="1" w:after="100" w:afterAutospacing="1" w:line="240" w:lineRule="auto"/>
        <w:ind w:firstLine="556"/>
        <w:jc w:val="both"/>
        <w:rPr>
          <w:rFonts w:ascii="Times New Roman" w:eastAsiaTheme="minorEastAsia" w:hAnsi="Times New Roman" w:cs="Times New Roman"/>
          <w:color w:val="FF0000"/>
          <w:lang w:eastAsia="pt-BR"/>
        </w:rPr>
      </w:pPr>
      <w:r w:rsidRPr="0051439E">
        <w:rPr>
          <w:rFonts w:ascii="Times New Roman" w:eastAsiaTheme="minorEastAsia" w:hAnsi="Times New Roman" w:cs="Times New Roman"/>
          <w:color w:val="FF0000"/>
          <w:lang w:eastAsia="pt-BR"/>
        </w:rPr>
        <w:t>memorial descritivo (doc. SEI n. XXX);</w:t>
      </w:r>
    </w:p>
    <w:p w14:paraId="764AD33D" w14:textId="77777777" w:rsidR="006D1F90" w:rsidRPr="0051439E" w:rsidRDefault="006D1F90" w:rsidP="006D1F90">
      <w:pPr>
        <w:pStyle w:val="PargrafodaLista"/>
        <w:numPr>
          <w:ilvl w:val="0"/>
          <w:numId w:val="3"/>
        </w:numPr>
        <w:tabs>
          <w:tab w:val="left" w:pos="1560"/>
        </w:tabs>
        <w:spacing w:before="100" w:beforeAutospacing="1" w:after="100" w:afterAutospacing="1" w:line="240" w:lineRule="auto"/>
        <w:ind w:firstLine="556"/>
        <w:jc w:val="both"/>
        <w:rPr>
          <w:rFonts w:ascii="Times New Roman" w:eastAsiaTheme="minorEastAsia" w:hAnsi="Times New Roman" w:cs="Times New Roman"/>
          <w:color w:val="FF0000"/>
          <w:lang w:eastAsia="pt-BR"/>
        </w:rPr>
      </w:pPr>
      <w:r w:rsidRPr="0051439E">
        <w:rPr>
          <w:rFonts w:ascii="Times New Roman" w:eastAsiaTheme="minorEastAsia" w:hAnsi="Times New Roman" w:cs="Times New Roman"/>
          <w:color w:val="FF0000"/>
          <w:lang w:eastAsia="pt-BR"/>
        </w:rPr>
        <w:t xml:space="preserve">planilha de orçamento, com data-base </w:t>
      </w:r>
      <w:proofErr w:type="spellStart"/>
      <w:r w:rsidRPr="0051439E">
        <w:rPr>
          <w:rFonts w:ascii="Times New Roman" w:eastAsiaTheme="minorEastAsia" w:hAnsi="Times New Roman" w:cs="Times New Roman"/>
          <w:color w:val="FF0000"/>
          <w:lang w:eastAsia="pt-BR"/>
        </w:rPr>
        <w:t>xxxx</w:t>
      </w:r>
      <w:proofErr w:type="spellEnd"/>
      <w:r w:rsidRPr="0051439E">
        <w:rPr>
          <w:rFonts w:ascii="Times New Roman" w:eastAsiaTheme="minorEastAsia" w:hAnsi="Times New Roman" w:cs="Times New Roman"/>
          <w:color w:val="FF0000"/>
          <w:lang w:eastAsia="pt-BR"/>
        </w:rPr>
        <w:t>/AAAA (doc. SEI n. XXX);</w:t>
      </w:r>
    </w:p>
    <w:p w14:paraId="2F96C778" w14:textId="77777777" w:rsidR="006D1F90" w:rsidRPr="0051439E" w:rsidRDefault="006D1F90" w:rsidP="006D1F90">
      <w:pPr>
        <w:pStyle w:val="PargrafodaLista"/>
        <w:numPr>
          <w:ilvl w:val="0"/>
          <w:numId w:val="3"/>
        </w:numPr>
        <w:tabs>
          <w:tab w:val="left" w:pos="1560"/>
        </w:tabs>
        <w:spacing w:before="100" w:beforeAutospacing="1" w:after="100" w:afterAutospacing="1" w:line="240" w:lineRule="auto"/>
        <w:ind w:firstLine="556"/>
        <w:jc w:val="both"/>
        <w:rPr>
          <w:rFonts w:ascii="Times New Roman" w:eastAsiaTheme="minorEastAsia" w:hAnsi="Times New Roman" w:cs="Times New Roman"/>
          <w:color w:val="FF0000"/>
          <w:lang w:eastAsia="pt-BR"/>
        </w:rPr>
      </w:pPr>
      <w:r w:rsidRPr="0051439E">
        <w:rPr>
          <w:rFonts w:ascii="Times New Roman" w:eastAsiaTheme="minorEastAsia" w:hAnsi="Times New Roman" w:cs="Times New Roman"/>
          <w:color w:val="FF0000"/>
          <w:lang w:eastAsia="pt-BR"/>
        </w:rPr>
        <w:t>cronograma físico-financeiro (doc. SEI n. XXX);</w:t>
      </w:r>
    </w:p>
    <w:p w14:paraId="466F0742" w14:textId="77777777" w:rsidR="006D1F90" w:rsidRPr="0051439E" w:rsidRDefault="006D1F90" w:rsidP="006D1F90">
      <w:pPr>
        <w:pStyle w:val="PargrafodaLista"/>
        <w:numPr>
          <w:ilvl w:val="0"/>
          <w:numId w:val="3"/>
        </w:numPr>
        <w:tabs>
          <w:tab w:val="left" w:pos="1560"/>
        </w:tabs>
        <w:spacing w:before="100" w:beforeAutospacing="1" w:after="100" w:afterAutospacing="1" w:line="240" w:lineRule="auto"/>
        <w:ind w:firstLine="556"/>
        <w:jc w:val="both"/>
        <w:rPr>
          <w:rFonts w:ascii="Times New Roman" w:eastAsiaTheme="minorEastAsia" w:hAnsi="Times New Roman" w:cs="Times New Roman"/>
          <w:color w:val="FF0000"/>
          <w:lang w:eastAsia="pt-BR"/>
        </w:rPr>
      </w:pPr>
      <w:r w:rsidRPr="0051439E">
        <w:rPr>
          <w:rFonts w:ascii="Times New Roman" w:eastAsiaTheme="minorEastAsia" w:hAnsi="Times New Roman" w:cs="Times New Roman"/>
          <w:color w:val="FF0000"/>
          <w:lang w:eastAsia="pt-BR"/>
        </w:rPr>
        <w:t>composição dos benefícios e despesas indiretas - BDI (doc. SEI n. XXX);</w:t>
      </w:r>
    </w:p>
    <w:p w14:paraId="2C763F73" w14:textId="77777777" w:rsidR="006D1F90" w:rsidRPr="0051439E" w:rsidRDefault="006D1F90" w:rsidP="006D1F90">
      <w:pPr>
        <w:pStyle w:val="PargrafodaLista"/>
        <w:numPr>
          <w:ilvl w:val="0"/>
          <w:numId w:val="3"/>
        </w:numPr>
        <w:tabs>
          <w:tab w:val="left" w:pos="1560"/>
        </w:tabs>
        <w:spacing w:before="100" w:beforeAutospacing="1" w:after="100" w:afterAutospacing="1" w:line="240" w:lineRule="auto"/>
        <w:ind w:firstLine="556"/>
        <w:jc w:val="both"/>
        <w:rPr>
          <w:rFonts w:ascii="Times New Roman" w:eastAsiaTheme="minorEastAsia" w:hAnsi="Times New Roman" w:cs="Times New Roman"/>
          <w:color w:val="FF0000"/>
          <w:lang w:eastAsia="pt-BR"/>
        </w:rPr>
      </w:pPr>
      <w:r w:rsidRPr="0051439E">
        <w:rPr>
          <w:rFonts w:ascii="Times New Roman" w:eastAsiaTheme="minorEastAsia" w:hAnsi="Times New Roman" w:cs="Times New Roman"/>
          <w:color w:val="FF0000"/>
          <w:lang w:eastAsia="pt-BR"/>
        </w:rPr>
        <w:t>planilha de composição de encargos sociais (doc. SEI n. XXX);</w:t>
      </w:r>
    </w:p>
    <w:p w14:paraId="4F6CFBC3" w14:textId="77777777" w:rsidR="006D1F90" w:rsidRPr="0051439E" w:rsidRDefault="006D1F90" w:rsidP="006D1F90">
      <w:pPr>
        <w:pStyle w:val="PargrafodaLista"/>
        <w:numPr>
          <w:ilvl w:val="0"/>
          <w:numId w:val="3"/>
        </w:numPr>
        <w:spacing w:before="100" w:beforeAutospacing="1" w:after="100" w:afterAutospacing="1" w:line="240" w:lineRule="auto"/>
        <w:ind w:left="1530" w:hanging="270"/>
        <w:jc w:val="both"/>
        <w:rPr>
          <w:rFonts w:ascii="Times New Roman" w:eastAsiaTheme="minorEastAsia" w:hAnsi="Times New Roman" w:cs="Times New Roman"/>
          <w:color w:val="FF0000"/>
          <w:lang w:eastAsia="pt-BR"/>
        </w:rPr>
      </w:pPr>
      <w:r w:rsidRPr="0051439E">
        <w:rPr>
          <w:rFonts w:ascii="Times New Roman" w:eastAsiaTheme="minorEastAsia" w:hAnsi="Times New Roman" w:cs="Times New Roman"/>
          <w:color w:val="FF0000"/>
          <w:lang w:eastAsia="pt-BR"/>
        </w:rPr>
        <w:t>mapa comparativo de preços (fls. SEI n. )</w:t>
      </w:r>
    </w:p>
    <w:p w14:paraId="230351A4" w14:textId="77777777" w:rsidR="006D1F90" w:rsidRPr="0051439E" w:rsidRDefault="006D1F90" w:rsidP="006D1F90">
      <w:pPr>
        <w:pStyle w:val="PargrafodaLista"/>
        <w:numPr>
          <w:ilvl w:val="0"/>
          <w:numId w:val="3"/>
        </w:numPr>
        <w:spacing w:before="100" w:beforeAutospacing="1" w:after="100" w:afterAutospacing="1" w:line="240" w:lineRule="auto"/>
        <w:ind w:left="1530" w:hanging="270"/>
        <w:jc w:val="both"/>
        <w:rPr>
          <w:rFonts w:ascii="Times New Roman" w:eastAsiaTheme="minorEastAsia" w:hAnsi="Times New Roman" w:cs="Times New Roman"/>
          <w:color w:val="FF0000"/>
          <w:lang w:eastAsia="pt-BR"/>
        </w:rPr>
      </w:pPr>
      <w:r w:rsidRPr="0051439E">
        <w:rPr>
          <w:rFonts w:ascii="Times New Roman" w:eastAsiaTheme="minorEastAsia" w:hAnsi="Times New Roman" w:cs="Times New Roman"/>
          <w:color w:val="FF0000"/>
          <w:lang w:eastAsia="pt-BR"/>
        </w:rPr>
        <w:t>despacho com considerações a respeito do orçamento estimativo (fls. SEI n. )</w:t>
      </w:r>
    </w:p>
    <w:p w14:paraId="515FC656" w14:textId="77777777" w:rsidR="006D1F90" w:rsidRPr="0051439E" w:rsidRDefault="006D1F90" w:rsidP="006D1F90">
      <w:pPr>
        <w:pStyle w:val="PargrafodaLista"/>
        <w:numPr>
          <w:ilvl w:val="0"/>
          <w:numId w:val="3"/>
        </w:numPr>
        <w:spacing w:before="100" w:beforeAutospacing="1" w:after="100" w:afterAutospacing="1" w:line="240" w:lineRule="auto"/>
        <w:ind w:left="1530" w:hanging="270"/>
        <w:jc w:val="both"/>
        <w:rPr>
          <w:rFonts w:ascii="Times New Roman" w:eastAsiaTheme="minorEastAsia" w:hAnsi="Times New Roman" w:cs="Times New Roman"/>
          <w:color w:val="FF0000"/>
          <w:lang w:eastAsia="pt-BR"/>
        </w:rPr>
      </w:pPr>
      <w:r w:rsidRPr="0051439E">
        <w:rPr>
          <w:rFonts w:ascii="Times New Roman" w:eastAsiaTheme="minorEastAsia" w:hAnsi="Times New Roman" w:cs="Times New Roman"/>
          <w:color w:val="FF0000"/>
          <w:lang w:eastAsia="pt-BR"/>
        </w:rPr>
        <w:t>termo de referência (fls. SEI n. )</w:t>
      </w:r>
    </w:p>
    <w:p w14:paraId="6248AF33" w14:textId="77777777" w:rsidR="006D1F90" w:rsidRPr="0051439E" w:rsidRDefault="006D1F90" w:rsidP="006D1F90">
      <w:pPr>
        <w:pStyle w:val="PargrafodaLista"/>
        <w:numPr>
          <w:ilvl w:val="0"/>
          <w:numId w:val="3"/>
        </w:numPr>
        <w:spacing w:beforeAutospacing="1" w:afterAutospacing="1" w:line="240" w:lineRule="auto"/>
        <w:ind w:left="1530" w:hanging="270"/>
        <w:jc w:val="both"/>
        <w:rPr>
          <w:rFonts w:ascii="Times New Roman" w:eastAsiaTheme="minorEastAsia" w:hAnsi="Times New Roman" w:cs="Times New Roman"/>
          <w:color w:val="FF0000"/>
          <w:lang w:eastAsia="pt-BR"/>
        </w:rPr>
      </w:pPr>
      <w:r w:rsidRPr="0051439E">
        <w:rPr>
          <w:rFonts w:ascii="Times New Roman" w:eastAsiaTheme="minorEastAsia" w:hAnsi="Times New Roman" w:cs="Times New Roman"/>
          <w:color w:val="FF0000"/>
        </w:rPr>
        <w:t xml:space="preserve">termo de justificativas técnicas relevantes obras e serviços de engenharia Lei 14.133 </w:t>
      </w:r>
      <w:r w:rsidRPr="0051439E">
        <w:rPr>
          <w:rFonts w:ascii="Times New Roman" w:eastAsiaTheme="minorEastAsia" w:hAnsi="Times New Roman" w:cs="Times New Roman"/>
          <w:color w:val="FF0000"/>
          <w:lang w:eastAsia="pt-BR"/>
        </w:rPr>
        <w:t>(fls. sei n. )</w:t>
      </w:r>
    </w:p>
    <w:p w14:paraId="19762F31" w14:textId="77777777" w:rsidR="006D1F90" w:rsidRPr="0051439E" w:rsidRDefault="006D1F90" w:rsidP="006D1F90">
      <w:pPr>
        <w:pStyle w:val="PargrafodaLista"/>
        <w:numPr>
          <w:ilvl w:val="0"/>
          <w:numId w:val="3"/>
        </w:numPr>
        <w:spacing w:before="100" w:beforeAutospacing="1" w:after="100" w:afterAutospacing="1" w:line="240" w:lineRule="auto"/>
        <w:ind w:left="1530" w:hanging="270"/>
        <w:jc w:val="both"/>
        <w:rPr>
          <w:rFonts w:ascii="Times New Roman" w:eastAsiaTheme="minorEastAsia" w:hAnsi="Times New Roman" w:cs="Times New Roman"/>
          <w:color w:val="FF0000"/>
          <w:lang w:eastAsia="pt-BR"/>
        </w:rPr>
      </w:pPr>
      <w:r w:rsidRPr="0051439E">
        <w:rPr>
          <w:rFonts w:ascii="Times New Roman" w:eastAsiaTheme="minorEastAsia" w:hAnsi="Times New Roman" w:cs="Times New Roman"/>
          <w:color w:val="FF0000"/>
          <w:lang w:eastAsia="pt-BR"/>
        </w:rPr>
        <w:lastRenderedPageBreak/>
        <w:t>divulgação da intenção de registro de preços (fls. SEI n. )</w:t>
      </w:r>
    </w:p>
    <w:p w14:paraId="65FD2159" w14:textId="77777777" w:rsidR="006D1F90" w:rsidRPr="0051439E" w:rsidRDefault="006D1F90" w:rsidP="006D1F90">
      <w:pPr>
        <w:pStyle w:val="PargrafodaLista"/>
        <w:numPr>
          <w:ilvl w:val="0"/>
          <w:numId w:val="3"/>
        </w:numPr>
        <w:spacing w:before="100" w:beforeAutospacing="1" w:after="100" w:afterAutospacing="1" w:line="240" w:lineRule="auto"/>
        <w:ind w:left="1530" w:hanging="270"/>
        <w:jc w:val="both"/>
        <w:rPr>
          <w:rFonts w:ascii="Times New Roman" w:eastAsiaTheme="minorEastAsia" w:hAnsi="Times New Roman" w:cs="Times New Roman"/>
          <w:color w:val="FF0000"/>
          <w:lang w:eastAsia="pt-BR"/>
        </w:rPr>
      </w:pPr>
      <w:r w:rsidRPr="0051439E">
        <w:rPr>
          <w:rFonts w:ascii="Times New Roman" w:eastAsiaTheme="minorEastAsia" w:hAnsi="Times New Roman" w:cs="Times New Roman"/>
          <w:color w:val="FF0000"/>
          <w:lang w:eastAsia="pt-BR"/>
        </w:rPr>
        <w:t>ato de designação do</w:t>
      </w:r>
      <w:r w:rsidRPr="0051439E">
        <w:rPr>
          <w:rFonts w:ascii="Times New Roman" w:eastAsia="Segoe UI" w:hAnsi="Times New Roman" w:cs="Times New Roman"/>
          <w:color w:val="FF0000"/>
          <w:sz w:val="18"/>
          <w:szCs w:val="18"/>
        </w:rPr>
        <w:t xml:space="preserve"> Agente de Contratação/Comissão e equipe de apoio</w:t>
      </w:r>
      <w:r w:rsidRPr="0051439E">
        <w:rPr>
          <w:rFonts w:ascii="Times New Roman" w:eastAsia="Times New Roman" w:hAnsi="Times New Roman" w:cs="Times New Roman"/>
          <w:color w:val="FF0000"/>
          <w:lang w:eastAsia="pt-BR"/>
        </w:rPr>
        <w:t xml:space="preserve"> (fls. SEI n. </w:t>
      </w:r>
    </w:p>
    <w:p w14:paraId="3AF5362A" w14:textId="77777777" w:rsidR="006D1F90" w:rsidRPr="0051439E" w:rsidRDefault="006D1F90" w:rsidP="006D1F90">
      <w:pPr>
        <w:pStyle w:val="PargrafodaLista"/>
        <w:numPr>
          <w:ilvl w:val="0"/>
          <w:numId w:val="3"/>
        </w:numPr>
        <w:spacing w:before="100" w:beforeAutospacing="1" w:after="100" w:afterAutospacing="1" w:line="240" w:lineRule="auto"/>
        <w:ind w:left="1530" w:hanging="270"/>
        <w:jc w:val="both"/>
        <w:rPr>
          <w:rFonts w:ascii="Times New Roman" w:eastAsiaTheme="minorEastAsia" w:hAnsi="Times New Roman" w:cs="Times New Roman"/>
          <w:color w:val="FF0000"/>
          <w:lang w:eastAsia="pt-BR"/>
        </w:rPr>
      </w:pPr>
      <w:r w:rsidRPr="0051439E">
        <w:rPr>
          <w:rFonts w:ascii="Times New Roman" w:eastAsiaTheme="minorEastAsia" w:hAnsi="Times New Roman" w:cs="Times New Roman"/>
          <w:color w:val="FF0000"/>
          <w:lang w:eastAsia="pt-BR"/>
        </w:rPr>
        <w:t>indicação da disponibilidade orçamentária (fls. SEI n. )</w:t>
      </w:r>
    </w:p>
    <w:p w14:paraId="6C2BB322" w14:textId="77777777" w:rsidR="006D1F90" w:rsidRPr="0051439E" w:rsidRDefault="006D1F90" w:rsidP="006D1F90">
      <w:pPr>
        <w:pStyle w:val="PargrafodaLista"/>
        <w:numPr>
          <w:ilvl w:val="0"/>
          <w:numId w:val="3"/>
        </w:numPr>
        <w:spacing w:before="100" w:beforeAutospacing="1" w:after="100" w:afterAutospacing="1" w:line="240" w:lineRule="auto"/>
        <w:ind w:left="1530" w:hanging="270"/>
        <w:jc w:val="both"/>
        <w:rPr>
          <w:rFonts w:ascii="Times New Roman" w:eastAsiaTheme="minorEastAsia" w:hAnsi="Times New Roman" w:cs="Times New Roman"/>
          <w:color w:val="FF0000"/>
          <w:lang w:eastAsia="pt-BR"/>
        </w:rPr>
      </w:pPr>
      <w:r w:rsidRPr="0051439E">
        <w:rPr>
          <w:rFonts w:ascii="Times New Roman" w:eastAsiaTheme="minorEastAsia" w:hAnsi="Times New Roman" w:cs="Times New Roman"/>
          <w:color w:val="FF0000"/>
          <w:lang w:eastAsia="pt-BR"/>
        </w:rPr>
        <w:t>minuta de edital com anexos (fls. SEI n. )</w:t>
      </w:r>
    </w:p>
    <w:p w14:paraId="6384234C" w14:textId="77777777" w:rsidR="006D1F90" w:rsidRPr="0051439E" w:rsidRDefault="006D1F90" w:rsidP="006D1F90">
      <w:pPr>
        <w:pStyle w:val="PargrafodaLista"/>
        <w:numPr>
          <w:ilvl w:val="0"/>
          <w:numId w:val="3"/>
        </w:numPr>
        <w:spacing w:before="100" w:beforeAutospacing="1" w:after="100" w:afterAutospacing="1" w:line="240" w:lineRule="auto"/>
        <w:ind w:left="1530" w:hanging="270"/>
        <w:jc w:val="both"/>
        <w:rPr>
          <w:rFonts w:ascii="Times New Roman" w:eastAsiaTheme="minorEastAsia" w:hAnsi="Times New Roman" w:cs="Times New Roman"/>
          <w:color w:val="FF0000"/>
          <w:lang w:eastAsia="pt-BR"/>
        </w:rPr>
      </w:pPr>
      <w:r w:rsidRPr="0051439E">
        <w:rPr>
          <w:rFonts w:ascii="Times New Roman" w:eastAsiaTheme="minorEastAsia" w:hAnsi="Times New Roman" w:cs="Times New Roman"/>
          <w:color w:val="FF0000"/>
          <w:lang w:eastAsia="pt-BR"/>
        </w:rPr>
        <w:t>lista de verificação da regularidade processual (fls. SEI n. )</w:t>
      </w:r>
    </w:p>
    <w:p w14:paraId="5F4B15DD" w14:textId="77777777" w:rsidR="006D1F90" w:rsidRPr="0051439E" w:rsidRDefault="006D1F90" w:rsidP="006D1F90">
      <w:pPr>
        <w:pStyle w:val="PargrafodaLista"/>
        <w:numPr>
          <w:ilvl w:val="0"/>
          <w:numId w:val="3"/>
        </w:numPr>
        <w:spacing w:before="100" w:beforeAutospacing="1" w:after="100" w:afterAutospacing="1" w:line="240" w:lineRule="auto"/>
        <w:ind w:left="1530" w:hanging="270"/>
        <w:jc w:val="both"/>
        <w:rPr>
          <w:rFonts w:ascii="Times New Roman" w:eastAsiaTheme="minorEastAsia" w:hAnsi="Times New Roman" w:cs="Times New Roman"/>
          <w:color w:val="FF0000"/>
          <w:lang w:eastAsia="pt-BR"/>
        </w:rPr>
      </w:pPr>
      <w:r w:rsidRPr="0051439E">
        <w:rPr>
          <w:rFonts w:ascii="Times New Roman" w:eastAsiaTheme="minorEastAsia" w:hAnsi="Times New Roman" w:cs="Times New Roman"/>
          <w:color w:val="FF0000"/>
          <w:lang w:eastAsia="pt-BR"/>
        </w:rPr>
        <w:t>certificado de adoção das minutas padrão da AGU (fls. SEI n. ).</w:t>
      </w:r>
    </w:p>
    <w:p w14:paraId="5E92B7C5" w14:textId="77777777" w:rsidR="006D1F90" w:rsidRPr="0051439E" w:rsidRDefault="006D1F90" w:rsidP="006D1F90">
      <w:pPr>
        <w:spacing w:after="48" w:line="288" w:lineRule="atLeast"/>
        <w:jc w:val="both"/>
        <w:rPr>
          <w:rFonts w:ascii="Times New Roman" w:eastAsiaTheme="minorEastAsia" w:hAnsi="Times New Roman" w:cs="Times New Roman"/>
          <w:color w:val="000000" w:themeColor="text1"/>
          <w:lang w:eastAsia="pt-BR"/>
        </w:rPr>
      </w:pPr>
    </w:p>
    <w:p w14:paraId="3DA0DD67" w14:textId="77777777" w:rsidR="006D1F90" w:rsidRPr="0051439E" w:rsidRDefault="006D1F90" w:rsidP="006D1F90">
      <w:pPr>
        <w:spacing w:after="48" w:line="288" w:lineRule="atLeast"/>
        <w:jc w:val="both"/>
        <w:rPr>
          <w:rFonts w:ascii="Times New Roman" w:eastAsiaTheme="minorEastAsia" w:hAnsi="Times New Roman" w:cs="Times New Roman"/>
          <w:color w:val="000000"/>
          <w:lang w:eastAsia="pt-BR"/>
        </w:rPr>
      </w:pPr>
      <w:r w:rsidRPr="0051439E">
        <w:rPr>
          <w:rFonts w:ascii="Times New Roman" w:eastAsiaTheme="minorEastAsia" w:hAnsi="Times New Roman" w:cs="Times New Roman"/>
          <w:color w:val="000000" w:themeColor="text1"/>
          <w:lang w:eastAsia="pt-BR"/>
        </w:rPr>
        <w:t>Por razões de economia processual, documentos não mencionados no item anterior serão devidamente referenciados ao longo do parecer.</w:t>
      </w:r>
    </w:p>
    <w:p w14:paraId="5F5A9447" w14:textId="77777777" w:rsidR="006D1F90" w:rsidRPr="0051439E" w:rsidRDefault="006D1F90" w:rsidP="006D1F90">
      <w:pPr>
        <w:spacing w:after="48" w:line="288" w:lineRule="atLeast"/>
        <w:ind w:firstLine="1440"/>
        <w:jc w:val="both"/>
        <w:rPr>
          <w:rFonts w:ascii="Times New Roman" w:eastAsiaTheme="minorEastAsia" w:hAnsi="Times New Roman" w:cs="Times New Roman"/>
          <w:color w:val="000000"/>
          <w:lang w:eastAsia="pt-BR"/>
        </w:rPr>
      </w:pPr>
      <w:r w:rsidRPr="0051439E">
        <w:rPr>
          <w:rFonts w:ascii="Times New Roman" w:eastAsiaTheme="minorEastAsia" w:hAnsi="Times New Roman" w:cs="Times New Roman"/>
          <w:color w:val="000000" w:themeColor="text1"/>
          <w:lang w:eastAsia="pt-BR"/>
        </w:rPr>
        <w:t> </w:t>
      </w:r>
    </w:p>
    <w:p w14:paraId="30F75C28" w14:textId="77777777" w:rsidR="006D1F90" w:rsidRPr="0051439E" w:rsidRDefault="006D1F90" w:rsidP="006D1F90">
      <w:pPr>
        <w:spacing w:after="48" w:line="288" w:lineRule="atLeast"/>
        <w:jc w:val="both"/>
        <w:rPr>
          <w:rFonts w:ascii="Times New Roman" w:eastAsiaTheme="minorEastAsia" w:hAnsi="Times New Roman" w:cs="Times New Roman"/>
          <w:color w:val="000000"/>
          <w:lang w:eastAsia="pt-BR"/>
        </w:rPr>
      </w:pPr>
      <w:r w:rsidRPr="0051439E">
        <w:rPr>
          <w:rFonts w:ascii="Times New Roman" w:eastAsiaTheme="minorEastAsia" w:hAnsi="Times New Roman" w:cs="Times New Roman"/>
          <w:color w:val="000000" w:themeColor="text1"/>
          <w:lang w:eastAsia="pt-BR"/>
        </w:rPr>
        <w:t>É o relatório.</w:t>
      </w:r>
    </w:p>
    <w:p w14:paraId="1C9747BF" w14:textId="77777777" w:rsidR="006D1F90" w:rsidRPr="0051439E" w:rsidRDefault="006D1F90" w:rsidP="006D1F90">
      <w:pPr>
        <w:spacing w:after="48" w:line="288" w:lineRule="atLeast"/>
        <w:ind w:firstLine="1418"/>
        <w:jc w:val="both"/>
        <w:rPr>
          <w:rFonts w:ascii="Times New Roman" w:eastAsiaTheme="minorEastAsia" w:hAnsi="Times New Roman" w:cs="Times New Roman"/>
          <w:color w:val="000000"/>
          <w:lang w:eastAsia="pt-BR"/>
        </w:rPr>
      </w:pPr>
      <w:r w:rsidRPr="0051439E">
        <w:rPr>
          <w:rFonts w:ascii="Times New Roman" w:eastAsiaTheme="minorEastAsia" w:hAnsi="Times New Roman" w:cs="Times New Roman"/>
          <w:color w:val="000000" w:themeColor="text1"/>
          <w:lang w:eastAsia="pt-BR"/>
        </w:rPr>
        <w:t> </w:t>
      </w:r>
    </w:p>
    <w:p w14:paraId="72A81C5C" w14:textId="77777777" w:rsidR="006D1F90" w:rsidRPr="0051439E" w:rsidRDefault="006D1F90" w:rsidP="006D1F90">
      <w:pPr>
        <w:spacing w:after="48" w:line="288" w:lineRule="atLeast"/>
        <w:jc w:val="both"/>
        <w:outlineLvl w:val="0"/>
        <w:rPr>
          <w:rFonts w:ascii="Times New Roman" w:eastAsiaTheme="minorEastAsia" w:hAnsi="Times New Roman" w:cs="Times New Roman"/>
          <w:b/>
          <w:caps/>
          <w:color w:val="000000"/>
          <w:kern w:val="36"/>
          <w:lang w:eastAsia="pt-BR"/>
        </w:rPr>
      </w:pPr>
      <w:r w:rsidRPr="0051439E">
        <w:rPr>
          <w:rFonts w:ascii="Times New Roman" w:eastAsiaTheme="minorEastAsia" w:hAnsi="Times New Roman" w:cs="Times New Roman"/>
          <w:b/>
          <w:caps/>
          <w:color w:val="000000"/>
          <w:kern w:val="36"/>
          <w:lang w:eastAsia="pt-BR"/>
        </w:rPr>
        <w:t>DA FUNDAMENTAÇÃO</w:t>
      </w:r>
    </w:p>
    <w:p w14:paraId="3654FB8B" w14:textId="77777777" w:rsidR="006D1F90" w:rsidRPr="0051439E" w:rsidRDefault="006D1F90" w:rsidP="006D1F90">
      <w:pPr>
        <w:spacing w:after="48" w:line="288" w:lineRule="atLeast"/>
        <w:ind w:firstLine="1440"/>
        <w:jc w:val="both"/>
        <w:rPr>
          <w:rFonts w:ascii="Times New Roman" w:eastAsiaTheme="minorEastAsia" w:hAnsi="Times New Roman" w:cs="Times New Roman"/>
          <w:color w:val="000000"/>
          <w:lang w:eastAsia="pt-BR"/>
        </w:rPr>
      </w:pPr>
      <w:r w:rsidRPr="0051439E">
        <w:rPr>
          <w:rFonts w:ascii="Times New Roman" w:eastAsiaTheme="minorEastAsia" w:hAnsi="Times New Roman" w:cs="Times New Roman"/>
          <w:color w:val="000000" w:themeColor="text1"/>
          <w:lang w:eastAsia="pt-BR"/>
        </w:rPr>
        <w:t> </w:t>
      </w:r>
    </w:p>
    <w:p w14:paraId="7542E2BA" w14:textId="77777777" w:rsidR="006D1F90" w:rsidRPr="0051439E" w:rsidRDefault="006D1F90" w:rsidP="006D1F90">
      <w:pPr>
        <w:spacing w:after="48" w:line="288" w:lineRule="atLeast"/>
        <w:jc w:val="both"/>
        <w:outlineLvl w:val="1"/>
        <w:rPr>
          <w:rFonts w:ascii="Times New Roman" w:eastAsiaTheme="minorEastAsia" w:hAnsi="Times New Roman" w:cs="Times New Roman"/>
          <w:b/>
          <w:color w:val="000000"/>
          <w:lang w:eastAsia="pt-BR"/>
        </w:rPr>
      </w:pPr>
      <w:r w:rsidRPr="0051439E">
        <w:rPr>
          <w:rFonts w:ascii="Times New Roman" w:eastAsiaTheme="minorEastAsia" w:hAnsi="Times New Roman" w:cs="Times New Roman"/>
          <w:b/>
          <w:color w:val="000000" w:themeColor="text1"/>
          <w:lang w:eastAsia="pt-BR"/>
        </w:rPr>
        <w:t>DOS LIMITES DA ANÁLISE JURÍDICA</w:t>
      </w:r>
    </w:p>
    <w:p w14:paraId="2200F49B" w14:textId="77777777" w:rsidR="006D1F90" w:rsidRPr="0051439E" w:rsidRDefault="006D1F90" w:rsidP="006D1F90">
      <w:pPr>
        <w:spacing w:after="48" w:line="288" w:lineRule="atLeast"/>
        <w:ind w:firstLine="1418"/>
        <w:jc w:val="both"/>
        <w:rPr>
          <w:rFonts w:ascii="Times New Roman" w:eastAsiaTheme="minorEastAsia" w:hAnsi="Times New Roman" w:cs="Times New Roman"/>
          <w:color w:val="000000"/>
          <w:lang w:eastAsia="pt-BR"/>
        </w:rPr>
      </w:pPr>
      <w:r w:rsidRPr="0051439E">
        <w:rPr>
          <w:rFonts w:ascii="Times New Roman" w:eastAsiaTheme="minorEastAsia" w:hAnsi="Times New Roman" w:cs="Times New Roman"/>
          <w:color w:val="000000" w:themeColor="text1"/>
          <w:lang w:eastAsia="pt-BR"/>
        </w:rPr>
        <w:t> </w:t>
      </w:r>
    </w:p>
    <w:p w14:paraId="19B49BAD" w14:textId="77777777" w:rsidR="006D1F90" w:rsidRPr="0051439E" w:rsidRDefault="006D1F90" w:rsidP="006D1F90">
      <w:pPr>
        <w:spacing w:after="48" w:line="288" w:lineRule="atLeast"/>
        <w:jc w:val="both"/>
        <w:rPr>
          <w:rFonts w:ascii="Times New Roman" w:eastAsiaTheme="minorEastAsia" w:hAnsi="Times New Roman" w:cs="Times New Roman"/>
          <w:color w:val="000000"/>
          <w:lang w:eastAsia="pt-BR"/>
        </w:rPr>
      </w:pPr>
      <w:r w:rsidRPr="0051439E">
        <w:rPr>
          <w:rFonts w:ascii="Times New Roman" w:eastAsiaTheme="minorEastAsia" w:hAnsi="Times New Roman" w:cs="Times New Roman"/>
          <w:color w:val="000000" w:themeColor="text1"/>
        </w:rPr>
        <w:t>A presente manifestação jurídica tem o escopo de assistir a autoridade assessorada no controle prévio de legalidade, conforme art. 53 da Lei nº 14.133, de 1º de abril de 2021</w:t>
      </w:r>
      <w:r w:rsidRPr="0051439E">
        <w:rPr>
          <w:rFonts w:ascii="Times New Roman" w:eastAsiaTheme="minorEastAsia" w:hAnsi="Times New Roman" w:cs="Times New Roman"/>
          <w:color w:val="000000" w:themeColor="text1"/>
          <w:lang w:eastAsia="pt-BR"/>
        </w:rPr>
        <w:t>. Dessa maneira, não há determinação legal a impor a fiscalização posterior de cumprimento de recomendações feitas pela unidade jurídico-consultiva. Além do mais, na eventualidade de o administrador não atender as orientações do Órgão Consultivo, passa a assumir, inteiramente, a responsabilidade por sua conduta.</w:t>
      </w:r>
    </w:p>
    <w:p w14:paraId="40C50C9F" w14:textId="77777777" w:rsidR="006D1F90" w:rsidRPr="0051439E" w:rsidRDefault="006D1F90" w:rsidP="006D1F90">
      <w:pPr>
        <w:spacing w:after="48" w:line="288" w:lineRule="atLeast"/>
        <w:ind w:firstLine="1440"/>
        <w:jc w:val="both"/>
        <w:rPr>
          <w:rFonts w:ascii="Times New Roman" w:eastAsiaTheme="minorEastAsia" w:hAnsi="Times New Roman" w:cs="Times New Roman"/>
          <w:color w:val="000000"/>
          <w:lang w:eastAsia="pt-BR"/>
        </w:rPr>
      </w:pPr>
      <w:r w:rsidRPr="0051439E">
        <w:rPr>
          <w:rFonts w:ascii="Times New Roman" w:eastAsiaTheme="minorEastAsia" w:hAnsi="Times New Roman" w:cs="Times New Roman"/>
          <w:color w:val="000000" w:themeColor="text1"/>
          <w:lang w:eastAsia="pt-BR"/>
        </w:rPr>
        <w:t> </w:t>
      </w:r>
    </w:p>
    <w:p w14:paraId="62820242" w14:textId="77777777" w:rsidR="006D1F90" w:rsidRPr="0051439E" w:rsidRDefault="006D1F90" w:rsidP="006D1F90">
      <w:pPr>
        <w:spacing w:after="48" w:line="288" w:lineRule="atLeast"/>
        <w:jc w:val="both"/>
        <w:rPr>
          <w:rFonts w:ascii="Times New Roman" w:eastAsiaTheme="minorEastAsia" w:hAnsi="Times New Roman" w:cs="Times New Roman"/>
          <w:color w:val="000000"/>
          <w:lang w:eastAsia="pt-BR"/>
        </w:rPr>
      </w:pPr>
      <w:r w:rsidRPr="0051439E">
        <w:rPr>
          <w:rFonts w:ascii="Times New Roman" w:eastAsiaTheme="minorEastAsia" w:hAnsi="Times New Roman" w:cs="Times New Roman"/>
          <w:color w:val="000000" w:themeColor="text1"/>
          <w:lang w:eastAsia="pt-BR"/>
        </w:rPr>
        <w:t>Ressalte-se que o exame aqui empreendido se restringe aos aspectos jurídicos do procedimento, excluídos, portanto, aqueles de natureza eminentemente técnica, o que inclui o detalhamento do objeto da contratação, suas características, requisitos e especificações. Com relação a esses dados, parte-se da premissa de que a autoridade competente se municiará dos conhecimentos técnicos imprescindíveis para a sua adequação às necessidades da Administração, conforme orientação constante da Boa Prática Consultiva – BPC n° 7, que assim dispõe: </w:t>
      </w:r>
    </w:p>
    <w:p w14:paraId="309D774B" w14:textId="77777777" w:rsidR="006D1F90" w:rsidRPr="0051439E" w:rsidRDefault="006D1F90" w:rsidP="006D1F90">
      <w:pPr>
        <w:spacing w:after="48" w:line="240" w:lineRule="auto"/>
        <w:jc w:val="both"/>
        <w:rPr>
          <w:rFonts w:ascii="Times New Roman" w:eastAsiaTheme="minorEastAsia" w:hAnsi="Times New Roman" w:cs="Times New Roman"/>
          <w:i/>
          <w:color w:val="000000" w:themeColor="text1"/>
          <w:sz w:val="20"/>
          <w:szCs w:val="20"/>
          <w:lang w:eastAsia="pt-BR"/>
        </w:rPr>
      </w:pPr>
    </w:p>
    <w:p w14:paraId="23F63F81" w14:textId="77777777" w:rsidR="006D1F90" w:rsidRPr="0051439E" w:rsidRDefault="006D1F90" w:rsidP="006D1F90">
      <w:pPr>
        <w:spacing w:after="48" w:line="240" w:lineRule="auto"/>
        <w:ind w:left="1350"/>
        <w:jc w:val="both"/>
        <w:rPr>
          <w:rFonts w:ascii="Times New Roman" w:eastAsiaTheme="minorEastAsia" w:hAnsi="Times New Roman" w:cs="Times New Roman"/>
          <w:color w:val="000000"/>
          <w:sz w:val="20"/>
          <w:szCs w:val="20"/>
          <w:lang w:eastAsia="pt-BR"/>
        </w:rPr>
      </w:pPr>
      <w:r w:rsidRPr="0051439E">
        <w:rPr>
          <w:rFonts w:ascii="Times New Roman" w:eastAsiaTheme="minorEastAsia" w:hAnsi="Times New Roman" w:cs="Times New Roman"/>
          <w:i/>
          <w:color w:val="000000" w:themeColor="text1"/>
          <w:sz w:val="20"/>
          <w:szCs w:val="20"/>
          <w:lang w:eastAsia="pt-BR"/>
        </w:rPr>
        <w:t>A manifestação consultiva que adentrar questão jurídica com potencial de significativo reflexo em aspecto técnico deve conter justificativa da necessidade de fazê-lo, evitando-se posicionamentos conclusivos sobre temas não jurídicos, tais como os técnicos, administrativos ou de conveniência ou oportunidade, podendo-se, porém, sobre estes emitir opinião ou formular recomendações, desde que enfatizando o caráter discricionário de seu acatamento.</w:t>
      </w:r>
      <w:r w:rsidRPr="0051439E">
        <w:rPr>
          <w:rFonts w:ascii="Times New Roman" w:eastAsiaTheme="minorEastAsia" w:hAnsi="Times New Roman" w:cs="Times New Roman"/>
          <w:color w:val="000000" w:themeColor="text1"/>
          <w:sz w:val="20"/>
          <w:szCs w:val="20"/>
          <w:lang w:eastAsia="pt-BR"/>
        </w:rPr>
        <w:t> (Manual de Boas Práticas Consultivas aprovado pela Portaria Conjunta nº 01, de 2 de dezembro de 2016)</w:t>
      </w:r>
    </w:p>
    <w:p w14:paraId="38EF07BD" w14:textId="77777777" w:rsidR="006D1F90" w:rsidRPr="0051439E" w:rsidRDefault="006D1F90" w:rsidP="006D1F90">
      <w:pPr>
        <w:spacing w:after="48" w:line="288" w:lineRule="atLeast"/>
        <w:ind w:firstLine="1418"/>
        <w:jc w:val="both"/>
        <w:rPr>
          <w:rFonts w:ascii="Times New Roman" w:eastAsiaTheme="minorEastAsia" w:hAnsi="Times New Roman" w:cs="Times New Roman"/>
          <w:color w:val="000000"/>
          <w:lang w:eastAsia="pt-BR"/>
        </w:rPr>
      </w:pPr>
      <w:r w:rsidRPr="0051439E">
        <w:rPr>
          <w:rFonts w:ascii="Times New Roman" w:eastAsiaTheme="minorEastAsia" w:hAnsi="Times New Roman" w:cs="Times New Roman"/>
          <w:color w:val="000000" w:themeColor="text1"/>
          <w:lang w:eastAsia="pt-BR"/>
        </w:rPr>
        <w:t> </w:t>
      </w:r>
    </w:p>
    <w:p w14:paraId="4508A943" w14:textId="77777777" w:rsidR="006D1F90" w:rsidRPr="0051439E" w:rsidRDefault="006D1F90" w:rsidP="006D1F90">
      <w:pPr>
        <w:spacing w:after="48" w:line="288" w:lineRule="atLeast"/>
        <w:jc w:val="both"/>
        <w:rPr>
          <w:rFonts w:ascii="Times New Roman" w:eastAsiaTheme="minorEastAsia" w:hAnsi="Times New Roman" w:cs="Times New Roman"/>
          <w:color w:val="000000"/>
          <w:lang w:eastAsia="pt-BR"/>
        </w:rPr>
      </w:pPr>
      <w:r w:rsidRPr="0051439E">
        <w:rPr>
          <w:rFonts w:ascii="Times New Roman" w:eastAsiaTheme="minorEastAsia" w:hAnsi="Times New Roman" w:cs="Times New Roman"/>
          <w:color w:val="000000" w:themeColor="text1"/>
          <w:lang w:eastAsia="pt-BR"/>
        </w:rPr>
        <w:t>Feita a ressalva, passamos à análise estritamente jurídica do presente processo.</w:t>
      </w:r>
    </w:p>
    <w:p w14:paraId="785253BE" w14:textId="77777777" w:rsidR="006D1F90" w:rsidRPr="0051439E" w:rsidRDefault="006D1F90" w:rsidP="006D1F90">
      <w:pPr>
        <w:spacing w:after="48" w:line="288" w:lineRule="atLeast"/>
        <w:ind w:firstLine="1418"/>
        <w:jc w:val="both"/>
        <w:rPr>
          <w:rFonts w:ascii="Times New Roman" w:eastAsiaTheme="minorEastAsia" w:hAnsi="Times New Roman" w:cs="Times New Roman"/>
          <w:color w:val="000000"/>
          <w:lang w:eastAsia="pt-BR"/>
        </w:rPr>
      </w:pPr>
      <w:r w:rsidRPr="0051439E">
        <w:rPr>
          <w:rFonts w:ascii="Times New Roman" w:eastAsiaTheme="minorEastAsia" w:hAnsi="Times New Roman" w:cs="Times New Roman"/>
          <w:color w:val="000000" w:themeColor="text1"/>
          <w:lang w:eastAsia="pt-BR"/>
        </w:rPr>
        <w:t>  </w:t>
      </w:r>
    </w:p>
    <w:p w14:paraId="09638927" w14:textId="77777777" w:rsidR="006D1F90" w:rsidRPr="0051439E" w:rsidRDefault="006D1F90" w:rsidP="006D1F90">
      <w:pPr>
        <w:jc w:val="both"/>
        <w:rPr>
          <w:rFonts w:ascii="Times New Roman" w:eastAsiaTheme="minorEastAsia" w:hAnsi="Times New Roman" w:cs="Times New Roman"/>
          <w:b/>
          <w:bCs/>
        </w:rPr>
      </w:pPr>
      <w:r w:rsidRPr="0051439E">
        <w:rPr>
          <w:rFonts w:ascii="Times New Roman" w:eastAsiaTheme="minorEastAsia" w:hAnsi="Times New Roman" w:cs="Times New Roman"/>
          <w:b/>
          <w:bCs/>
        </w:rPr>
        <w:t>DA VEDAÇÃO DA APLICAÇÃO COMBINADA DA LEI N. 14.133, de 2021, COM A LEI N. 8.666, de 1993, A LEI N. 10.520, de 2002, E A LEI N. 12.462, de 2011</w:t>
      </w:r>
    </w:p>
    <w:p w14:paraId="4A914AA6" w14:textId="77777777" w:rsidR="006D1F90" w:rsidRPr="0051439E" w:rsidRDefault="006D1F90" w:rsidP="006D1F90">
      <w:pPr>
        <w:ind w:firstLine="1350"/>
        <w:jc w:val="both"/>
        <w:rPr>
          <w:rFonts w:ascii="Times New Roman" w:eastAsiaTheme="minorEastAsia" w:hAnsi="Times New Roman" w:cs="Times New Roman"/>
        </w:rPr>
      </w:pPr>
    </w:p>
    <w:p w14:paraId="42E9A5F6" w14:textId="77777777" w:rsidR="006D1F90" w:rsidRPr="0051439E" w:rsidRDefault="006D1F90" w:rsidP="006D1F90">
      <w:pPr>
        <w:jc w:val="both"/>
        <w:rPr>
          <w:rFonts w:ascii="Times New Roman" w:eastAsiaTheme="minorEastAsia" w:hAnsi="Times New Roman" w:cs="Times New Roman"/>
        </w:rPr>
      </w:pPr>
      <w:r w:rsidRPr="0051439E">
        <w:rPr>
          <w:rFonts w:ascii="Times New Roman" w:eastAsiaTheme="minorEastAsia" w:hAnsi="Times New Roman" w:cs="Times New Roman"/>
        </w:rPr>
        <w:t>Não é demais destacar a vedação da aplicação combinada da Lei n. 14.133, de 2021 com a Lei n. 8.666, de 1993, Lei n. 10.520, de 2002 e a Lei n. 12.462, de 2011 (art. 191, da Lei n. 14.133, de 2021 e item 217 do PARECER n. 00002/2021/CNMLC/CGU/AGU, NUP: 00688.000716/2019-43, sequencial 460), como se observa a seguir:</w:t>
      </w:r>
    </w:p>
    <w:p w14:paraId="1890982D" w14:textId="77777777" w:rsidR="006D1F90" w:rsidRPr="0051439E" w:rsidRDefault="006D1F90" w:rsidP="006D1F90">
      <w:pPr>
        <w:ind w:left="1350"/>
        <w:jc w:val="both"/>
        <w:rPr>
          <w:rFonts w:ascii="Times New Roman" w:eastAsiaTheme="minorEastAsia" w:hAnsi="Times New Roman" w:cs="Times New Roman"/>
          <w:i/>
        </w:rPr>
      </w:pPr>
    </w:p>
    <w:p w14:paraId="7E2AA699" w14:textId="77777777" w:rsidR="006D1F90" w:rsidRPr="0051439E" w:rsidRDefault="006D1F90" w:rsidP="006D1F90">
      <w:pPr>
        <w:ind w:left="1350"/>
        <w:jc w:val="both"/>
        <w:rPr>
          <w:rFonts w:ascii="Times New Roman" w:eastAsiaTheme="minorEastAsia" w:hAnsi="Times New Roman" w:cs="Times New Roman"/>
          <w:i/>
        </w:rPr>
      </w:pPr>
      <w:r w:rsidRPr="0051439E">
        <w:rPr>
          <w:rFonts w:ascii="Times New Roman" w:eastAsiaTheme="minorEastAsia" w:hAnsi="Times New Roman" w:cs="Times New Roman"/>
          <w:i/>
        </w:rPr>
        <w:t>“217. Ante o exposto, conclui-se que: (...) b) a utilização de mesmos detalhamentos normativos para regimes jurídicos distintos, poderá causar tratamento não isonômico dos administrados e incerteza das consequências jurídicas; c) não é possível que os regulamentos editados na égide das Leis nº 8.666/93, nº 10.520/02 e nº 12.462/11 sejam recepcionados pela Lei nº 14.133, de 2021, enquanto todos esses diplomas continuem em vigor, a luz do art. 191, parte final, da Lei nº 14.133/21 - ressalvada a possibilidade de que um novo ato normativo, editado pela autoridade competente, estabeleça expressamente a aplicação de tais regulamentos para a nova legislação” (PARECER n. 00002/2021/CNMLC/CGU/AGU, NUP: 00688.000716/2019-43, sequencial 460).</w:t>
      </w:r>
    </w:p>
    <w:p w14:paraId="45463AE3" w14:textId="77777777" w:rsidR="006D1F90" w:rsidRPr="0051439E" w:rsidRDefault="006D1F90" w:rsidP="006D1F90">
      <w:pPr>
        <w:ind w:left="1350"/>
        <w:jc w:val="both"/>
        <w:rPr>
          <w:rFonts w:ascii="Times New Roman" w:eastAsiaTheme="minorEastAsia" w:hAnsi="Times New Roman" w:cs="Times New Roman"/>
          <w:i/>
        </w:rPr>
      </w:pPr>
    </w:p>
    <w:p w14:paraId="324DE152"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b/>
          <w:lang w:eastAsia="pt-BR"/>
        </w:rPr>
        <w:t>DA AUTORIZAÇÃO PARA A CELEBRAÇÃO DE NOVOS CONTRATOS E DAS NORMAS DE GOVERNANÇA </w:t>
      </w:r>
    </w:p>
    <w:p w14:paraId="70C9CBDF"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p>
    <w:p w14:paraId="089F15FD"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lang w:eastAsia="pt-BR"/>
        </w:rPr>
        <w:t xml:space="preserve">Para atividades de custeio, deve a Administração Pública comprovar que foi obtida autorização para celebração de contrato prevista no art. 3º do Decreto nº 10.193, de 27 de dezembro de 2019. A </w:t>
      </w:r>
      <w:hyperlink r:id="rId28">
        <w:r w:rsidRPr="0051439E">
          <w:rPr>
            <w:rFonts w:ascii="Times New Roman" w:eastAsiaTheme="minorEastAsia" w:hAnsi="Times New Roman" w:cs="Times New Roman"/>
            <w:u w:val="single"/>
            <w:lang w:eastAsia="pt-BR"/>
          </w:rPr>
          <w:t>PORTARIA ME Nº 7.828, de 30 de agosto de 2022</w:t>
        </w:r>
      </w:hyperlink>
      <w:r w:rsidRPr="0051439E">
        <w:rPr>
          <w:rFonts w:ascii="Times New Roman" w:eastAsiaTheme="minorEastAsia" w:hAnsi="Times New Roman" w:cs="Times New Roman"/>
          <w:lang w:eastAsia="pt-BR"/>
        </w:rPr>
        <w:t>, estabelece normas complementares para o cumprimento do Decreto nº 10.193, de 2019.</w:t>
      </w:r>
    </w:p>
    <w:p w14:paraId="5A1B34A5"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p>
    <w:p w14:paraId="60BF7E73"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shd w:val="clear" w:color="auto" w:fill="00FFFF"/>
          <w:lang w:eastAsia="pt-BR"/>
        </w:rPr>
        <w:t>Tal providência encontra-se atendida às fls. XXX/no doc. SEI n. XXX. </w:t>
      </w:r>
      <w:r w:rsidRPr="0051439E">
        <w:rPr>
          <w:rFonts w:ascii="Times New Roman" w:eastAsiaTheme="minorEastAsia" w:hAnsi="Times New Roman" w:cs="Times New Roman"/>
          <w:lang w:eastAsia="pt-BR"/>
        </w:rPr>
        <w:t> </w:t>
      </w:r>
    </w:p>
    <w:p w14:paraId="2D62D9D2"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b/>
          <w:u w:val="single"/>
          <w:shd w:val="clear" w:color="auto" w:fill="00FFFF"/>
          <w:lang w:eastAsia="pt-BR"/>
        </w:rPr>
        <w:t>OU</w:t>
      </w:r>
      <w:r w:rsidRPr="0051439E">
        <w:rPr>
          <w:rFonts w:ascii="Times New Roman" w:eastAsiaTheme="minorEastAsia" w:hAnsi="Times New Roman" w:cs="Times New Roman"/>
          <w:lang w:eastAsia="pt-BR"/>
        </w:rPr>
        <w:t>  </w:t>
      </w:r>
    </w:p>
    <w:p w14:paraId="444B112D"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shd w:val="clear" w:color="auto" w:fill="00FFFF"/>
          <w:lang w:eastAsia="pt-BR"/>
        </w:rPr>
        <w:t>Tal providência deve ser juntada aos autos até antes da efetiva contratação</w:t>
      </w:r>
      <w:r w:rsidRPr="0051439E">
        <w:rPr>
          <w:rFonts w:ascii="Times New Roman" w:eastAsiaTheme="minorEastAsia" w:hAnsi="Times New Roman" w:cs="Times New Roman"/>
          <w:lang w:eastAsia="pt-BR"/>
        </w:rPr>
        <w:t xml:space="preserve"> </w:t>
      </w:r>
      <w:r w:rsidRPr="0051439E">
        <w:rPr>
          <w:rFonts w:ascii="Times New Roman" w:eastAsiaTheme="minorEastAsia" w:hAnsi="Times New Roman" w:cs="Times New Roman"/>
          <w:shd w:val="clear" w:color="auto" w:fill="00FFFF"/>
          <w:lang w:eastAsia="pt-BR"/>
        </w:rPr>
        <w:t>(Art. 3º, da</w:t>
      </w:r>
      <w:r w:rsidRPr="0051439E">
        <w:rPr>
          <w:rFonts w:ascii="Times New Roman" w:eastAsiaTheme="minorEastAsia" w:hAnsi="Times New Roman" w:cs="Times New Roman"/>
          <w:lang w:eastAsia="pt-BR"/>
        </w:rPr>
        <w:t xml:space="preserve"> </w:t>
      </w:r>
      <w:hyperlink r:id="rId29" w:tgtFrame="_blank" w:history="1">
        <w:r w:rsidRPr="0051439E">
          <w:rPr>
            <w:rFonts w:ascii="Times New Roman" w:eastAsiaTheme="minorEastAsia" w:hAnsi="Times New Roman" w:cs="Times New Roman"/>
            <w:u w:val="single"/>
            <w:shd w:val="clear" w:color="auto" w:fill="00FFFF"/>
            <w:lang w:eastAsia="pt-BR"/>
          </w:rPr>
          <w:t>PORTARIA ME Nº 7.828, de 30 de agosto de 2022</w:t>
        </w:r>
      </w:hyperlink>
      <w:r w:rsidRPr="0051439E">
        <w:rPr>
          <w:rFonts w:ascii="Times New Roman" w:eastAsiaTheme="minorEastAsia" w:hAnsi="Times New Roman" w:cs="Times New Roman"/>
          <w:shd w:val="clear" w:color="auto" w:fill="00FFFF"/>
          <w:lang w:eastAsia="pt-BR"/>
        </w:rPr>
        <w:t>).</w:t>
      </w:r>
      <w:r w:rsidRPr="0051439E">
        <w:rPr>
          <w:rFonts w:ascii="Times New Roman" w:eastAsiaTheme="minorEastAsia" w:hAnsi="Times New Roman" w:cs="Times New Roman"/>
          <w:lang w:eastAsia="pt-BR"/>
        </w:rPr>
        <w:t> </w:t>
      </w:r>
    </w:p>
    <w:p w14:paraId="0EDEB48E" w14:textId="77777777" w:rsidR="006D1F90" w:rsidRPr="0051439E" w:rsidRDefault="006D1F90" w:rsidP="006D1F90">
      <w:pPr>
        <w:spacing w:beforeAutospacing="1" w:afterAutospacing="1" w:line="240" w:lineRule="auto"/>
        <w:jc w:val="both"/>
        <w:rPr>
          <w:rFonts w:ascii="Times New Roman" w:eastAsiaTheme="minorEastAsia" w:hAnsi="Times New Roman" w:cs="Times New Roman"/>
          <w:lang w:eastAsia="pt-BR"/>
        </w:rPr>
      </w:pPr>
    </w:p>
    <w:p w14:paraId="10C170D3"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lang w:eastAsia="pt-BR"/>
        </w:rPr>
        <w:t>Ressalte-se que a Administração deve certificar-se da obediência às regras internas de competência para autorização da presente contratação. </w:t>
      </w:r>
    </w:p>
    <w:p w14:paraId="6811FBD5"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p>
    <w:tbl>
      <w:tblPr>
        <w:tblW w:w="9072" w:type="dxa"/>
        <w:tblCellMar>
          <w:left w:w="0" w:type="dxa"/>
          <w:right w:w="0" w:type="dxa"/>
        </w:tblCellMar>
        <w:tblLook w:val="04A0" w:firstRow="1" w:lastRow="0" w:firstColumn="1" w:lastColumn="0" w:noHBand="0" w:noVBand="1"/>
      </w:tblPr>
      <w:tblGrid>
        <w:gridCol w:w="9072"/>
      </w:tblGrid>
      <w:tr w:rsidR="006D1F90" w:rsidRPr="0051439E" w14:paraId="640ED6F7" w14:textId="77777777" w:rsidTr="00F13739">
        <w:tc>
          <w:tcPr>
            <w:tcW w:w="0" w:type="auto"/>
            <w:tcBorders>
              <w:top w:val="outset" w:sz="6" w:space="0" w:color="auto"/>
              <w:left w:val="outset" w:sz="6" w:space="0" w:color="auto"/>
              <w:bottom w:val="outset" w:sz="6" w:space="0" w:color="auto"/>
              <w:right w:val="outset" w:sz="6" w:space="0" w:color="auto"/>
            </w:tcBorders>
            <w:vAlign w:val="center"/>
            <w:hideMark/>
          </w:tcPr>
          <w:p w14:paraId="14F70887" w14:textId="77777777" w:rsidR="006D1F90" w:rsidRPr="0051439E" w:rsidRDefault="006D1F90" w:rsidP="00F13739">
            <w:pPr>
              <w:spacing w:before="100" w:beforeAutospacing="1" w:after="100" w:afterAutospacing="1" w:line="240" w:lineRule="auto"/>
              <w:jc w:val="both"/>
              <w:rPr>
                <w:rFonts w:ascii="Times New Roman" w:eastAsiaTheme="minorEastAsia" w:hAnsi="Times New Roman" w:cs="Times New Roman"/>
                <w:color w:val="000000"/>
                <w:lang w:eastAsia="pt-BR"/>
              </w:rPr>
            </w:pPr>
            <w:r w:rsidRPr="0051439E">
              <w:rPr>
                <w:rFonts w:ascii="Times New Roman" w:eastAsiaTheme="minorEastAsia" w:hAnsi="Times New Roman" w:cs="Times New Roman"/>
                <w:b/>
                <w:i/>
                <w:color w:val="000000"/>
                <w:shd w:val="clear" w:color="auto" w:fill="FFFF99"/>
                <w:lang w:eastAsia="pt-BR"/>
              </w:rPr>
              <w:t>Nota Explicativa:</w:t>
            </w:r>
            <w:r w:rsidRPr="0051439E">
              <w:rPr>
                <w:rFonts w:ascii="Times New Roman" w:eastAsiaTheme="minorEastAsia" w:hAnsi="Times New Roman" w:cs="Times New Roman"/>
                <w:color w:val="000000"/>
                <w:shd w:val="clear" w:color="auto" w:fill="FFFF99"/>
                <w:lang w:eastAsia="pt-BR"/>
              </w:rPr>
              <w:t xml:space="preserve"> As disposições do Decreto n. 10.193/2019 </w:t>
            </w:r>
            <w:r w:rsidRPr="0051439E">
              <w:rPr>
                <w:rFonts w:ascii="Times New Roman" w:eastAsiaTheme="minorEastAsia" w:hAnsi="Times New Roman" w:cs="Times New Roman"/>
                <w:b/>
                <w:color w:val="000000"/>
                <w:shd w:val="clear" w:color="auto" w:fill="FFFF99"/>
                <w:lang w:eastAsia="pt-BR"/>
              </w:rPr>
              <w:t>não se aplicam</w:t>
            </w:r>
            <w:r w:rsidRPr="0051439E">
              <w:rPr>
                <w:rFonts w:ascii="Times New Roman" w:eastAsiaTheme="minorEastAsia" w:hAnsi="Times New Roman" w:cs="Times New Roman"/>
                <w:color w:val="000000"/>
                <w:shd w:val="clear" w:color="auto" w:fill="FFFF99"/>
                <w:lang w:eastAsia="pt-BR"/>
              </w:rPr>
              <w:t xml:space="preserve"> às agências reguladoras, nos termos do art. 1º, parágrafo único, II.</w:t>
            </w:r>
          </w:p>
        </w:tc>
      </w:tr>
    </w:tbl>
    <w:p w14:paraId="2859BD37"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color w:val="000000"/>
          <w:lang w:eastAsia="pt-BR"/>
        </w:rPr>
      </w:pPr>
    </w:p>
    <w:p w14:paraId="15BCA7A6"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lang w:eastAsia="pt-BR"/>
        </w:rPr>
        <w:t>Deverá ser atestado nos autos que a presente contratação está contemplada no Plano de Contratações Anual da entidade e alinhada com o Plano Diretor de Logística Sustentável, além de outros instrumentos de planejamento da Administração (</w:t>
      </w:r>
      <w:r w:rsidRPr="0051439E">
        <w:rPr>
          <w:rFonts w:ascii="Times New Roman" w:eastAsiaTheme="minorEastAsia" w:hAnsi="Times New Roman" w:cs="Times New Roman"/>
          <w:lang w:eastAsia="pt-BR"/>
        </w:rPr>
        <w:t>Decreto nº 10.947, de 25 de janeiro de 2022,</w:t>
      </w:r>
      <w:r w:rsidRPr="0051439E">
        <w:rPr>
          <w:rFonts w:ascii="Times New Roman" w:eastAsiaTheme="minorEastAsia" w:hAnsi="Times New Roman" w:cs="Times New Roman"/>
          <w:color w:val="000000"/>
          <w:lang w:eastAsia="pt-BR"/>
        </w:rPr>
        <w:t xml:space="preserve"> art. 7º da IN SEGES/ME nº 81, de 25 de novembro de 2022 e Portaria SEGES/ME nº 8.678, de 19 de julho de 2021). </w:t>
      </w:r>
      <w:r w:rsidRPr="0051439E">
        <w:rPr>
          <w:rFonts w:ascii="Times New Roman" w:eastAsiaTheme="minorEastAsia" w:hAnsi="Times New Roman" w:cs="Times New Roman"/>
          <w:color w:val="FF0000"/>
          <w:shd w:val="clear" w:color="auto" w:fill="00FFFF"/>
          <w:lang w:eastAsia="pt-BR"/>
        </w:rPr>
        <w:t>Tal providência encontra-se atendida às fls. XXX/no doc. SEI n. XXX.</w:t>
      </w:r>
      <w:r w:rsidRPr="0051439E">
        <w:rPr>
          <w:rFonts w:ascii="Times New Roman" w:eastAsiaTheme="minorEastAsia" w:hAnsi="Times New Roman" w:cs="Times New Roman"/>
          <w:lang w:eastAsia="pt-BR"/>
        </w:rPr>
        <w:t>  </w:t>
      </w:r>
    </w:p>
    <w:p w14:paraId="0178356B"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b/>
          <w:color w:val="000000"/>
          <w:u w:val="single"/>
          <w:shd w:val="clear" w:color="auto" w:fill="00FFFF"/>
          <w:lang w:eastAsia="pt-BR"/>
        </w:rPr>
        <w:t>OU</w:t>
      </w:r>
      <w:r w:rsidRPr="0051439E">
        <w:rPr>
          <w:rFonts w:ascii="Times New Roman" w:eastAsiaTheme="minorEastAsia" w:hAnsi="Times New Roman" w:cs="Times New Roman"/>
          <w:lang w:eastAsia="pt-BR"/>
        </w:rPr>
        <w:t>  </w:t>
      </w:r>
    </w:p>
    <w:p w14:paraId="7BA6007E"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FF0000"/>
          <w:shd w:val="clear" w:color="auto" w:fill="00FFFF"/>
          <w:lang w:eastAsia="pt-BR"/>
        </w:rPr>
        <w:lastRenderedPageBreak/>
        <w:t xml:space="preserve">Tal providência </w:t>
      </w:r>
      <w:r w:rsidRPr="0051439E">
        <w:rPr>
          <w:rFonts w:ascii="Times New Roman" w:eastAsiaTheme="minorEastAsia" w:hAnsi="Times New Roman" w:cs="Times New Roman"/>
          <w:color w:val="FF0000"/>
          <w:u w:val="single"/>
          <w:shd w:val="clear" w:color="auto" w:fill="00FFFF"/>
          <w:lang w:eastAsia="pt-BR"/>
        </w:rPr>
        <w:t xml:space="preserve">não se encontra completamente atendida </w:t>
      </w:r>
      <w:r w:rsidRPr="0051439E">
        <w:rPr>
          <w:rFonts w:ascii="Times New Roman" w:eastAsiaTheme="minorEastAsia" w:hAnsi="Times New Roman" w:cs="Times New Roman"/>
          <w:color w:val="FF0000"/>
          <w:shd w:val="clear" w:color="auto" w:fill="00FFFF"/>
          <w:lang w:eastAsia="pt-BR"/>
        </w:rPr>
        <w:t xml:space="preserve">nos autos, logo se </w:t>
      </w:r>
      <w:r w:rsidRPr="0051439E">
        <w:rPr>
          <w:rFonts w:ascii="Times New Roman" w:eastAsiaTheme="minorEastAsia" w:hAnsi="Times New Roman" w:cs="Times New Roman"/>
          <w:color w:val="FF0000"/>
          <w:u w:val="single"/>
          <w:shd w:val="clear" w:color="auto" w:fill="00FFFF"/>
          <w:lang w:eastAsia="pt-BR"/>
        </w:rPr>
        <w:t>recomenda</w:t>
      </w:r>
      <w:r w:rsidRPr="0051439E">
        <w:rPr>
          <w:rFonts w:ascii="Times New Roman" w:eastAsiaTheme="minorEastAsia" w:hAnsi="Times New Roman" w:cs="Times New Roman"/>
          <w:color w:val="FF0000"/>
          <w:shd w:val="clear" w:color="auto" w:fill="00FFFF"/>
          <w:lang w:eastAsia="pt-BR"/>
        </w:rPr>
        <w:t xml:space="preserve"> que a Administração ateste que a presente contratação está contemplada no Plano de Contratações Anual do ente </w:t>
      </w:r>
      <w:r w:rsidRPr="0051439E">
        <w:rPr>
          <w:rFonts w:ascii="Times New Roman" w:eastAsiaTheme="minorEastAsia" w:hAnsi="Times New Roman" w:cs="Times New Roman"/>
          <w:b/>
          <w:bCs/>
          <w:color w:val="FF0000"/>
          <w:u w:val="single"/>
          <w:shd w:val="clear" w:color="auto" w:fill="00FFFF"/>
          <w:lang w:eastAsia="pt-BR"/>
        </w:rPr>
        <w:t>E/OU</w:t>
      </w:r>
      <w:r w:rsidRPr="0051439E">
        <w:rPr>
          <w:rFonts w:ascii="Times New Roman" w:eastAsiaTheme="minorEastAsia" w:hAnsi="Times New Roman" w:cs="Times New Roman"/>
          <w:color w:val="FF0000"/>
          <w:shd w:val="clear" w:color="auto" w:fill="00FFFF"/>
          <w:lang w:eastAsia="pt-BR"/>
        </w:rPr>
        <w:t xml:space="preserve"> está alinhada com o Plano Diretor de Logística Sustentável</w:t>
      </w:r>
      <w:r w:rsidRPr="0051439E">
        <w:rPr>
          <w:rFonts w:ascii="Times New Roman" w:eastAsiaTheme="minorEastAsia" w:hAnsi="Times New Roman" w:cs="Times New Roman"/>
          <w:color w:val="FF0000"/>
          <w:lang w:eastAsia="pt-BR"/>
        </w:rPr>
        <w:t>.</w:t>
      </w:r>
      <w:r w:rsidRPr="0051439E">
        <w:rPr>
          <w:rFonts w:ascii="Times New Roman" w:eastAsiaTheme="minorEastAsia" w:hAnsi="Times New Roman" w:cs="Times New Roman"/>
          <w:lang w:eastAsia="pt-BR"/>
        </w:rPr>
        <w:t>  </w:t>
      </w:r>
    </w:p>
    <w:p w14:paraId="2A6DCB93" w14:textId="77777777" w:rsidR="006D1F90" w:rsidRPr="0051439E" w:rsidRDefault="006D1F90" w:rsidP="006D1F90">
      <w:pPr>
        <w:spacing w:beforeAutospacing="1" w:afterAutospacing="1" w:line="240" w:lineRule="auto"/>
        <w:jc w:val="both"/>
        <w:rPr>
          <w:rFonts w:ascii="Times New Roman" w:eastAsiaTheme="minorEastAsia" w:hAnsi="Times New Roman" w:cs="Times New Roman"/>
          <w:color w:val="000000" w:themeColor="text1"/>
          <w:lang w:eastAsia="pt-BR"/>
        </w:rPr>
      </w:pPr>
    </w:p>
    <w:p w14:paraId="512797B3"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shd w:val="clear" w:color="auto" w:fill="00FFFF"/>
          <w:lang w:eastAsia="pt-BR"/>
        </w:rPr>
        <w:t xml:space="preserve">Por fim, deve manifestar-se sobre a essencialidade e o interesse público da contratação, para os fins do previsto no art. 3º do </w:t>
      </w:r>
      <w:r w:rsidRPr="0051439E">
        <w:rPr>
          <w:rFonts w:ascii="Times New Roman" w:eastAsiaTheme="minorEastAsia" w:hAnsi="Times New Roman" w:cs="Times New Roman"/>
          <w:shd w:val="clear" w:color="auto" w:fill="00FFFF"/>
          <w:lang w:eastAsia="pt-BR"/>
        </w:rPr>
        <w:t>Decreto nº 8.540, de 9 de outubro de 2015</w:t>
      </w:r>
      <w:r w:rsidRPr="0051439E">
        <w:rPr>
          <w:rFonts w:ascii="Times New Roman" w:eastAsiaTheme="minorEastAsia" w:hAnsi="Times New Roman" w:cs="Times New Roman"/>
          <w:color w:val="000000"/>
          <w:shd w:val="clear" w:color="auto" w:fill="00FFFF"/>
          <w:lang w:eastAsia="pt-BR"/>
        </w:rPr>
        <w:t>.</w:t>
      </w:r>
      <w:r w:rsidRPr="0051439E">
        <w:rPr>
          <w:rFonts w:ascii="Times New Roman" w:eastAsiaTheme="minorEastAsia" w:hAnsi="Times New Roman" w:cs="Times New Roman"/>
          <w:lang w:eastAsia="pt-BR"/>
        </w:rPr>
        <w:t> </w:t>
      </w:r>
    </w:p>
    <w:p w14:paraId="76F38AEF"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b/>
          <w:color w:val="000000"/>
          <w:u w:val="single"/>
          <w:shd w:val="clear" w:color="auto" w:fill="00FFFF"/>
          <w:lang w:eastAsia="pt-BR"/>
        </w:rPr>
        <w:t>OU</w:t>
      </w:r>
      <w:r w:rsidRPr="0051439E">
        <w:rPr>
          <w:rFonts w:ascii="Times New Roman" w:eastAsiaTheme="minorEastAsia" w:hAnsi="Times New Roman" w:cs="Times New Roman"/>
          <w:b/>
          <w:u w:val="single"/>
          <w:lang w:eastAsia="pt-BR"/>
        </w:rPr>
        <w:t> </w:t>
      </w:r>
    </w:p>
    <w:p w14:paraId="7825FC04"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shd w:val="clear" w:color="auto" w:fill="00FFFF"/>
          <w:lang w:eastAsia="pt-BR"/>
        </w:rPr>
        <w:t xml:space="preserve">Por fim, observa-se que às </w:t>
      </w:r>
      <w:r w:rsidRPr="0051439E">
        <w:rPr>
          <w:rFonts w:ascii="Times New Roman" w:eastAsiaTheme="minorEastAsia" w:hAnsi="Times New Roman" w:cs="Times New Roman"/>
          <w:color w:val="FF0000"/>
          <w:shd w:val="clear" w:color="auto" w:fill="00FFFF"/>
          <w:lang w:eastAsia="pt-BR"/>
        </w:rPr>
        <w:t xml:space="preserve">fls. XXX/no doc. SEI n. XXX </w:t>
      </w:r>
      <w:r w:rsidRPr="0051439E">
        <w:rPr>
          <w:rFonts w:ascii="Times New Roman" w:eastAsiaTheme="minorEastAsia" w:hAnsi="Times New Roman" w:cs="Times New Roman"/>
          <w:color w:val="000000"/>
          <w:shd w:val="clear" w:color="auto" w:fill="00FFFF"/>
          <w:lang w:eastAsia="pt-BR"/>
        </w:rPr>
        <w:t xml:space="preserve">foi demonstrada a essencialidade e o interesse público da contratação, para os fins do previsto no art. 3º do </w:t>
      </w:r>
      <w:r w:rsidRPr="0051439E">
        <w:rPr>
          <w:rFonts w:ascii="Times New Roman" w:eastAsiaTheme="minorEastAsia" w:hAnsi="Times New Roman" w:cs="Times New Roman"/>
          <w:shd w:val="clear" w:color="auto" w:fill="00FFFF"/>
          <w:lang w:eastAsia="pt-BR"/>
        </w:rPr>
        <w:t>Decreto nº 8.540, de 9 de outubro de 2015</w:t>
      </w:r>
      <w:r w:rsidRPr="0051439E">
        <w:rPr>
          <w:rFonts w:ascii="Times New Roman" w:eastAsiaTheme="minorEastAsia" w:hAnsi="Times New Roman" w:cs="Times New Roman"/>
          <w:color w:val="000000"/>
          <w:shd w:val="clear" w:color="auto" w:fill="00FFFF"/>
          <w:lang w:eastAsia="pt-BR"/>
        </w:rPr>
        <w:t>.</w:t>
      </w:r>
      <w:r w:rsidRPr="0051439E">
        <w:rPr>
          <w:rFonts w:ascii="Times New Roman" w:eastAsiaTheme="minorEastAsia" w:hAnsi="Times New Roman" w:cs="Times New Roman"/>
          <w:lang w:eastAsia="pt-BR"/>
        </w:rPr>
        <w:t> </w:t>
      </w:r>
    </w:p>
    <w:p w14:paraId="644215C5"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p>
    <w:tbl>
      <w:tblPr>
        <w:tblW w:w="9000"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000"/>
      </w:tblGrid>
      <w:tr w:rsidR="006D1F90" w:rsidRPr="0051439E" w14:paraId="66959AE7" w14:textId="77777777" w:rsidTr="00F13739">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64A0B32" w14:textId="77777777" w:rsidR="006D1F90" w:rsidRPr="0051439E" w:rsidRDefault="006D1F90" w:rsidP="00F13739">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b/>
                <w:shd w:val="clear" w:color="auto" w:fill="FFFF99"/>
                <w:lang w:eastAsia="pt-BR"/>
              </w:rPr>
              <w:t>Nota Explicativa</w:t>
            </w:r>
            <w:r w:rsidRPr="0051439E">
              <w:rPr>
                <w:rFonts w:ascii="Times New Roman" w:eastAsiaTheme="minorEastAsia" w:hAnsi="Times New Roman" w:cs="Times New Roman"/>
                <w:shd w:val="clear" w:color="auto" w:fill="FFFF99"/>
                <w:lang w:eastAsia="pt-BR"/>
              </w:rPr>
              <w:t>: O Procurador deverá atentar para o disposto na </w:t>
            </w:r>
            <w:hyperlink r:id="rId30" w:tgtFrame="_blank" w:history="1">
              <w:r w:rsidRPr="0051439E">
                <w:rPr>
                  <w:rFonts w:ascii="Times New Roman" w:eastAsiaTheme="minorEastAsia" w:hAnsi="Times New Roman" w:cs="Times New Roman"/>
                  <w:color w:val="0000FF"/>
                  <w:u w:val="single"/>
                  <w:shd w:val="clear" w:color="auto" w:fill="FFFF99"/>
                  <w:lang w:eastAsia="pt-BR"/>
                </w:rPr>
                <w:t>PORTARIA Nº 179, DE 22 DE ABRIL DE 2019</w:t>
              </w:r>
            </w:hyperlink>
            <w:r w:rsidRPr="0051439E">
              <w:rPr>
                <w:rFonts w:ascii="Times New Roman" w:eastAsiaTheme="minorEastAsia" w:hAnsi="Times New Roman" w:cs="Times New Roman"/>
                <w:shd w:val="clear" w:color="auto" w:fill="FFFF99"/>
                <w:lang w:eastAsia="pt-BR"/>
              </w:rPr>
              <w:t xml:space="preserve">, alterada pela Portaria nº 5.168, de 2021 e pela Portaria nº 8.963, de 2022, editadas pelo Ministro da Economia, verificando, à luz dos normativos, se a contratação do objeto escolhido pela Administração encontra-se suspensa. </w:t>
            </w:r>
          </w:p>
          <w:p w14:paraId="719C54D4" w14:textId="77777777" w:rsidR="006D1F90" w:rsidRPr="0051439E" w:rsidRDefault="006D1F90" w:rsidP="00F13739">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shd w:val="clear" w:color="auto" w:fill="FFFF99"/>
                <w:lang w:eastAsia="pt-BR"/>
              </w:rPr>
              <w:t>Por ocasião da análise, deverá ser confirmada a vigência ou alteração da mencionada Portaria Ministerial. </w:t>
            </w:r>
          </w:p>
          <w:p w14:paraId="156F36CA" w14:textId="77777777" w:rsidR="006D1F90" w:rsidRPr="0051439E" w:rsidRDefault="006D1F90" w:rsidP="00F13739">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shd w:val="clear" w:color="auto" w:fill="FFFF99"/>
                <w:lang w:eastAsia="pt-BR"/>
              </w:rPr>
              <w:t>O parágrafo abaixo deverá ser utilizado apenas se incidir, no caso, hipótese de suspensão da contratação do objeto. </w:t>
            </w:r>
          </w:p>
        </w:tc>
      </w:tr>
    </w:tbl>
    <w:p w14:paraId="1464809D"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lang w:eastAsia="pt-BR"/>
        </w:rPr>
        <w:t>​</w:t>
      </w:r>
    </w:p>
    <w:p w14:paraId="6EA6C1B4"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FF0000"/>
          <w:lang w:eastAsia="pt-BR"/>
        </w:rPr>
        <w:t xml:space="preserve">No caso, percebe-se que a contratação do objeto pretendido (por exemplo, a locação de máquinas e equipamentos de engenharia) se encontra suspensa nos termos do art. 1º da </w:t>
      </w:r>
      <w:hyperlink r:id="rId31">
        <w:r w:rsidRPr="0051439E">
          <w:rPr>
            <w:rFonts w:ascii="Times New Roman" w:eastAsiaTheme="minorEastAsia" w:hAnsi="Times New Roman" w:cs="Times New Roman"/>
            <w:color w:val="FF0000"/>
            <w:u w:val="single"/>
            <w:lang w:eastAsia="pt-BR"/>
          </w:rPr>
          <w:t>Portaria ME nº 179, de 22 de abril de 2019</w:t>
        </w:r>
      </w:hyperlink>
      <w:r w:rsidRPr="0051439E">
        <w:rPr>
          <w:rFonts w:ascii="Times New Roman" w:eastAsiaTheme="minorEastAsia" w:hAnsi="Times New Roman" w:cs="Times New Roman"/>
          <w:color w:val="FF0000"/>
          <w:lang w:eastAsia="pt-BR"/>
        </w:rPr>
        <w:t xml:space="preserve">. Desta forma, para que haja o prosseguimento da contratação, torna-se </w:t>
      </w:r>
      <w:r w:rsidRPr="0051439E">
        <w:rPr>
          <w:rFonts w:ascii="Times New Roman" w:eastAsiaTheme="minorEastAsia" w:hAnsi="Times New Roman" w:cs="Times New Roman"/>
          <w:color w:val="FF0000"/>
          <w:u w:val="single"/>
          <w:lang w:eastAsia="pt-BR"/>
        </w:rPr>
        <w:t xml:space="preserve">necessário juntar a autorização </w:t>
      </w:r>
      <w:r w:rsidRPr="0051439E">
        <w:rPr>
          <w:rFonts w:ascii="Times New Roman" w:eastAsiaTheme="minorEastAsia" w:hAnsi="Times New Roman" w:cs="Times New Roman"/>
          <w:color w:val="FF0000"/>
          <w:lang w:eastAsia="pt-BR"/>
        </w:rPr>
        <w:t>prevista no art. 1º, §2º, da mencionada Portaria.</w:t>
      </w:r>
      <w:r w:rsidRPr="0051439E">
        <w:rPr>
          <w:rFonts w:ascii="Times New Roman" w:eastAsiaTheme="minorEastAsia" w:hAnsi="Times New Roman" w:cs="Times New Roman"/>
          <w:lang w:eastAsia="pt-BR"/>
        </w:rPr>
        <w:t> </w:t>
      </w:r>
    </w:p>
    <w:p w14:paraId="0E61F8DA" w14:textId="77777777" w:rsidR="006D1F90" w:rsidRPr="0051439E" w:rsidRDefault="006D1F90" w:rsidP="006D1F90">
      <w:pPr>
        <w:spacing w:after="48" w:line="288" w:lineRule="atLeast"/>
        <w:ind w:firstLine="1418"/>
        <w:jc w:val="both"/>
        <w:rPr>
          <w:rFonts w:ascii="Times New Roman" w:eastAsiaTheme="minorEastAsia" w:hAnsi="Times New Roman" w:cs="Times New Roman"/>
          <w:color w:val="000000"/>
          <w:lang w:eastAsia="pt-BR"/>
        </w:rPr>
      </w:pPr>
      <w:r w:rsidRPr="0051439E">
        <w:rPr>
          <w:rFonts w:ascii="Times New Roman" w:eastAsiaTheme="minorEastAsia" w:hAnsi="Times New Roman" w:cs="Times New Roman"/>
          <w:color w:val="000000" w:themeColor="text1"/>
          <w:lang w:eastAsia="pt-BR"/>
        </w:rPr>
        <w:t> </w:t>
      </w:r>
    </w:p>
    <w:p w14:paraId="5F946A62" w14:textId="77777777" w:rsidR="006D1F90" w:rsidRPr="0051439E" w:rsidRDefault="006D1F90" w:rsidP="006D1F90">
      <w:pPr>
        <w:spacing w:after="48" w:line="288" w:lineRule="atLeast"/>
        <w:jc w:val="both"/>
        <w:outlineLvl w:val="1"/>
        <w:rPr>
          <w:rFonts w:ascii="Times New Roman" w:eastAsiaTheme="minorEastAsia" w:hAnsi="Times New Roman" w:cs="Times New Roman"/>
          <w:b/>
          <w:color w:val="000000"/>
          <w:lang w:eastAsia="pt-BR"/>
        </w:rPr>
      </w:pPr>
      <w:r w:rsidRPr="0051439E">
        <w:rPr>
          <w:rFonts w:ascii="Times New Roman" w:eastAsiaTheme="minorEastAsia" w:hAnsi="Times New Roman" w:cs="Times New Roman"/>
          <w:b/>
          <w:color w:val="000000" w:themeColor="text1"/>
          <w:lang w:eastAsia="pt-BR"/>
        </w:rPr>
        <w:t>DA ADEQUAÇÃO DA MODALIDADE LICITATÓRIA ESCOLHIDA</w:t>
      </w:r>
    </w:p>
    <w:p w14:paraId="5BC20B5D" w14:textId="77777777" w:rsidR="006D1F90" w:rsidRPr="0051439E" w:rsidRDefault="006D1F90" w:rsidP="006D1F90">
      <w:pPr>
        <w:spacing w:after="48" w:line="288" w:lineRule="atLeast"/>
        <w:ind w:firstLine="1418"/>
        <w:jc w:val="both"/>
        <w:rPr>
          <w:rFonts w:ascii="Times New Roman" w:eastAsiaTheme="minorEastAsia" w:hAnsi="Times New Roman" w:cs="Times New Roman"/>
          <w:color w:val="000000"/>
          <w:lang w:eastAsia="pt-BR"/>
        </w:rPr>
      </w:pPr>
      <w:r w:rsidRPr="0051439E">
        <w:rPr>
          <w:rFonts w:ascii="Times New Roman" w:eastAsiaTheme="minorEastAsia" w:hAnsi="Times New Roman" w:cs="Times New Roman"/>
          <w:color w:val="000000" w:themeColor="text1"/>
          <w:lang w:eastAsia="pt-BR"/>
        </w:rPr>
        <w:t> </w:t>
      </w:r>
    </w:p>
    <w:p w14:paraId="3E3ADFDA" w14:textId="77777777" w:rsidR="006D1F90" w:rsidRPr="0051439E" w:rsidRDefault="006D1F90" w:rsidP="006D1F90">
      <w:pPr>
        <w:spacing w:after="48" w:line="288" w:lineRule="atLeast"/>
        <w:jc w:val="both"/>
        <w:rPr>
          <w:rFonts w:ascii="Times New Roman" w:eastAsiaTheme="minorEastAsia" w:hAnsi="Times New Roman" w:cs="Times New Roman"/>
          <w:color w:val="000000" w:themeColor="text1"/>
        </w:rPr>
      </w:pPr>
      <w:r w:rsidRPr="0051439E">
        <w:rPr>
          <w:rFonts w:ascii="Times New Roman" w:eastAsiaTheme="minorEastAsia" w:hAnsi="Times New Roman" w:cs="Times New Roman"/>
          <w:color w:val="000000" w:themeColor="text1"/>
          <w:lang w:eastAsia="pt-BR"/>
        </w:rPr>
        <w:t xml:space="preserve">A Administração instrui o procedimento como concorrência (art. 28, II, da Lei n.º 14.133, de 2021), modalidade </w:t>
      </w:r>
      <w:r w:rsidRPr="0051439E">
        <w:rPr>
          <w:rFonts w:ascii="Times New Roman" w:eastAsiaTheme="minorEastAsia" w:hAnsi="Times New Roman" w:cs="Times New Roman"/>
          <w:color w:val="000000" w:themeColor="text1"/>
        </w:rPr>
        <w:t>de licitação adequada para a contratação de bens e serviços especiais e de obras e serviços comuns e especiais de engenharia, nos termos do art. 6º, XXXVIII, da Lei 14.133, de 2021.</w:t>
      </w:r>
    </w:p>
    <w:p w14:paraId="73AA8BB4" w14:textId="77777777" w:rsidR="006D1F90" w:rsidRPr="0051439E" w:rsidRDefault="006D1F90" w:rsidP="006D1F90">
      <w:pPr>
        <w:spacing w:after="48" w:line="288" w:lineRule="atLeast"/>
        <w:jc w:val="both"/>
        <w:rPr>
          <w:rFonts w:ascii="Times New Roman" w:eastAsiaTheme="minorEastAsia" w:hAnsi="Times New Roman" w:cs="Times New Roman"/>
          <w:color w:val="000000"/>
        </w:rPr>
      </w:pPr>
    </w:p>
    <w:p w14:paraId="70BE6C9A" w14:textId="77777777" w:rsidR="006D1F90" w:rsidRPr="0051439E" w:rsidRDefault="006D1F90" w:rsidP="006D1F90">
      <w:pPr>
        <w:spacing w:after="48" w:line="288" w:lineRule="atLeast"/>
        <w:jc w:val="both"/>
        <w:rPr>
          <w:rFonts w:ascii="Times New Roman" w:eastAsiaTheme="minorEastAsia" w:hAnsi="Times New Roman" w:cs="Times New Roman"/>
        </w:rPr>
      </w:pPr>
      <w:r w:rsidRPr="0051439E">
        <w:rPr>
          <w:rFonts w:ascii="Times New Roman" w:eastAsiaTheme="minorEastAsia" w:hAnsi="Times New Roman" w:cs="Times New Roman"/>
          <w:color w:val="000000" w:themeColor="text1"/>
          <w:lang w:eastAsia="pt-BR"/>
        </w:rPr>
        <w:t xml:space="preserve">Cumpre registrar que tanto a concorrência quanto o pregão seguem o rito procedimental comum a que se refere o art. 17, da Lei 14.133, de 2021, adotando-se o pregão sempre que o objeto possuir padrões de desempenho e qualidade que possam ser objetivamente definidos pelo edital, por meio de especificações usuais de mercado, conforme o art. 29, da </w:t>
      </w:r>
      <w:r w:rsidRPr="0051439E">
        <w:rPr>
          <w:rFonts w:ascii="Times New Roman" w:eastAsia="Calibri" w:hAnsi="Times New Roman" w:cs="Times New Roman"/>
        </w:rPr>
        <w:t>Lei nº 14.133, de 2021.</w:t>
      </w:r>
    </w:p>
    <w:p w14:paraId="545945A8" w14:textId="77777777" w:rsidR="006D1F90" w:rsidRPr="0051439E" w:rsidRDefault="006D1F90" w:rsidP="006D1F90">
      <w:pPr>
        <w:spacing w:after="48" w:line="288" w:lineRule="atLeast"/>
        <w:jc w:val="both"/>
        <w:rPr>
          <w:rFonts w:ascii="Times New Roman" w:eastAsiaTheme="minorEastAsia" w:hAnsi="Times New Roman" w:cs="Times New Roman"/>
        </w:rPr>
      </w:pPr>
    </w:p>
    <w:p w14:paraId="7FD225A7" w14:textId="77777777" w:rsidR="006D1F90" w:rsidRPr="0051439E" w:rsidRDefault="006D1F90" w:rsidP="006D1F90">
      <w:pPr>
        <w:spacing w:after="48" w:line="288" w:lineRule="atLeast"/>
        <w:jc w:val="both"/>
        <w:rPr>
          <w:rStyle w:val="Hyperlink"/>
          <w:rFonts w:ascii="Times New Roman" w:eastAsiaTheme="minorEastAsia" w:hAnsi="Times New Roman" w:cs="Times New Roman"/>
          <w:color w:val="000000" w:themeColor="text1"/>
          <w:u w:val="none"/>
        </w:rPr>
      </w:pPr>
      <w:r w:rsidRPr="0051439E">
        <w:rPr>
          <w:rFonts w:ascii="Times New Roman" w:eastAsia="Calibri" w:hAnsi="Times New Roman" w:cs="Times New Roman"/>
        </w:rPr>
        <w:t xml:space="preserve">Nada obstante, o pregão não se aplica às contratações de serviços técnicos especializados de natureza predominantemente intelectual e de obras e serviços de engenharia, exceto os serviços de engenharia </w:t>
      </w:r>
      <w:r w:rsidRPr="0051439E">
        <w:rPr>
          <w:rFonts w:ascii="Times New Roman" w:eastAsia="Calibri" w:hAnsi="Times New Roman" w:cs="Times New Roman"/>
        </w:rPr>
        <w:lastRenderedPageBreak/>
        <w:t xml:space="preserve">comuns (alínea “a” do inciso XXI do caput do art. 6º, c/c art. 29, parágrafo único, da Lei n.º 14.133, de 2021).  </w:t>
      </w:r>
      <w:r w:rsidRPr="0051439E">
        <w:rPr>
          <w:rStyle w:val="Hyperlink"/>
          <w:rFonts w:ascii="Times New Roman" w:eastAsiaTheme="minorEastAsia" w:hAnsi="Times New Roman" w:cs="Times New Roman"/>
          <w:color w:val="000000" w:themeColor="text1"/>
          <w:u w:val="none"/>
        </w:rPr>
        <w:t xml:space="preserve"> </w:t>
      </w:r>
    </w:p>
    <w:p w14:paraId="3BFB7FE3" w14:textId="77777777" w:rsidR="006D1F90" w:rsidRPr="0051439E" w:rsidRDefault="006D1F90" w:rsidP="006D1F90">
      <w:pPr>
        <w:spacing w:after="48" w:line="288" w:lineRule="atLeast"/>
        <w:jc w:val="both"/>
        <w:rPr>
          <w:rStyle w:val="Hyperlink"/>
          <w:rFonts w:ascii="Times New Roman" w:eastAsiaTheme="minorEastAsia" w:hAnsi="Times New Roman" w:cs="Times New Roman"/>
          <w:color w:val="000000" w:themeColor="text1"/>
          <w:u w:val="none"/>
        </w:rPr>
      </w:pPr>
    </w:p>
    <w:p w14:paraId="3A6609FF" w14:textId="77777777" w:rsidR="006D1F90" w:rsidRPr="0051439E" w:rsidRDefault="006D1F90" w:rsidP="006D1F90">
      <w:pPr>
        <w:spacing w:after="48" w:line="288" w:lineRule="atLeast"/>
        <w:jc w:val="both"/>
        <w:rPr>
          <w:rStyle w:val="Hyperlink"/>
          <w:rFonts w:ascii="Times New Roman" w:eastAsiaTheme="minorEastAsia" w:hAnsi="Times New Roman" w:cs="Times New Roman"/>
          <w:color w:val="000000" w:themeColor="text1"/>
          <w:u w:val="none"/>
        </w:rPr>
      </w:pPr>
      <w:r w:rsidRPr="0051439E">
        <w:rPr>
          <w:rStyle w:val="Hyperlink"/>
          <w:rFonts w:ascii="Times New Roman" w:eastAsiaTheme="minorEastAsia" w:hAnsi="Times New Roman" w:cs="Times New Roman"/>
          <w:color w:val="000000" w:themeColor="text1"/>
          <w:u w:val="none"/>
        </w:rPr>
        <w:t xml:space="preserve">Assim, </w:t>
      </w:r>
      <w:r w:rsidRPr="0051439E">
        <w:rPr>
          <w:rFonts w:ascii="Times New Roman" w:eastAsiaTheme="minorEastAsia" w:hAnsi="Times New Roman" w:cs="Times New Roman"/>
        </w:rPr>
        <w:t>em sentido contrário à</w:t>
      </w:r>
      <w:r w:rsidRPr="0051439E">
        <w:rPr>
          <w:rStyle w:val="Hyperlink"/>
          <w:rFonts w:ascii="Times New Roman" w:eastAsiaTheme="minorEastAsia" w:hAnsi="Times New Roman" w:cs="Times New Roman"/>
          <w:color w:val="000000" w:themeColor="text1"/>
          <w:u w:val="none"/>
        </w:rPr>
        <w:t xml:space="preserve"> proibição da adoção do pregão para os casos estabelecidos no dispositivo legal acima mencionado, tem-se o cabimento da concorrência nas contratações de:</w:t>
      </w:r>
    </w:p>
    <w:p w14:paraId="779A5001" w14:textId="77777777" w:rsidR="006D1F90" w:rsidRPr="0051439E" w:rsidRDefault="006D1F90" w:rsidP="006D1F90">
      <w:pPr>
        <w:spacing w:after="48" w:line="288" w:lineRule="atLeast"/>
        <w:jc w:val="both"/>
        <w:rPr>
          <w:rFonts w:ascii="Times New Roman" w:eastAsiaTheme="minorEastAsia" w:hAnsi="Times New Roman" w:cs="Times New Roman"/>
          <w:color w:val="000000" w:themeColor="text1"/>
          <w:lang w:eastAsia="pt-BR"/>
        </w:rPr>
      </w:pPr>
      <w:r w:rsidRPr="0051439E">
        <w:rPr>
          <w:rStyle w:val="Hyperlink"/>
          <w:rFonts w:ascii="Times New Roman" w:eastAsiaTheme="minorEastAsia" w:hAnsi="Times New Roman" w:cs="Times New Roman"/>
          <w:color w:val="000000" w:themeColor="text1"/>
          <w:u w:val="none"/>
        </w:rPr>
        <w:t xml:space="preserve"> </w:t>
      </w:r>
    </w:p>
    <w:p w14:paraId="75FC246E" w14:textId="77777777" w:rsidR="006D1F90" w:rsidRPr="0051439E" w:rsidRDefault="006D1F90" w:rsidP="006D1F90">
      <w:pPr>
        <w:pStyle w:val="PargrafodaLista"/>
        <w:numPr>
          <w:ilvl w:val="0"/>
          <w:numId w:val="4"/>
        </w:numPr>
        <w:spacing w:after="48" w:line="288" w:lineRule="atLeast"/>
        <w:ind w:left="1710" w:hanging="270"/>
        <w:jc w:val="both"/>
        <w:rPr>
          <w:rFonts w:ascii="Times New Roman" w:eastAsiaTheme="minorEastAsia" w:hAnsi="Times New Roman" w:cs="Times New Roman"/>
          <w:color w:val="000000" w:themeColor="text1"/>
        </w:rPr>
      </w:pPr>
      <w:r w:rsidRPr="0051439E">
        <w:rPr>
          <w:rFonts w:ascii="Times New Roman" w:eastAsiaTheme="minorEastAsia" w:hAnsi="Times New Roman" w:cs="Times New Roman"/>
          <w:b/>
          <w:bCs/>
          <w:color w:val="000000" w:themeColor="text1"/>
          <w:lang w:eastAsia="pt-BR"/>
        </w:rPr>
        <w:t xml:space="preserve">bens e serviços especiais </w:t>
      </w:r>
      <w:r w:rsidRPr="0051439E">
        <w:rPr>
          <w:rFonts w:ascii="Times New Roman" w:eastAsiaTheme="minorEastAsia" w:hAnsi="Times New Roman" w:cs="Times New Roman"/>
          <w:color w:val="000000" w:themeColor="text1"/>
          <w:lang w:eastAsia="pt-BR"/>
        </w:rPr>
        <w:t>(conceituados no art. 6º, inciso XIV, da Lei 14.133, de 2021)</w:t>
      </w:r>
    </w:p>
    <w:p w14:paraId="650E89B8" w14:textId="77777777" w:rsidR="006D1F90" w:rsidRPr="0051439E" w:rsidRDefault="006D1F90" w:rsidP="006D1F90">
      <w:pPr>
        <w:pStyle w:val="PargrafodaLista"/>
        <w:numPr>
          <w:ilvl w:val="0"/>
          <w:numId w:val="4"/>
        </w:numPr>
        <w:spacing w:after="48" w:line="288" w:lineRule="atLeast"/>
        <w:ind w:left="1710" w:hanging="270"/>
        <w:jc w:val="both"/>
        <w:rPr>
          <w:rFonts w:ascii="Times New Roman" w:eastAsiaTheme="minorEastAsia" w:hAnsi="Times New Roman" w:cs="Times New Roman"/>
          <w:color w:val="000000" w:themeColor="text1"/>
        </w:rPr>
      </w:pPr>
      <w:r w:rsidRPr="0051439E">
        <w:rPr>
          <w:rFonts w:ascii="Times New Roman" w:eastAsiaTheme="minorEastAsia" w:hAnsi="Times New Roman" w:cs="Times New Roman"/>
          <w:b/>
          <w:bCs/>
          <w:color w:val="000000" w:themeColor="text1"/>
          <w:lang w:eastAsia="pt-BR"/>
        </w:rPr>
        <w:t>obra</w:t>
      </w:r>
      <w:r w:rsidRPr="0051439E">
        <w:rPr>
          <w:rFonts w:ascii="Times New Roman" w:eastAsiaTheme="minorEastAsia" w:hAnsi="Times New Roman" w:cs="Times New Roman"/>
          <w:color w:val="000000" w:themeColor="text1"/>
          <w:lang w:eastAsia="pt-BR"/>
        </w:rPr>
        <w:t xml:space="preserve"> (definida no art. 6º, inciso XII, da </w:t>
      </w:r>
      <w:r w:rsidRPr="0051439E">
        <w:rPr>
          <w:rFonts w:ascii="Times New Roman" w:eastAsiaTheme="minorEastAsia" w:hAnsi="Times New Roman" w:cs="Times New Roman"/>
        </w:rPr>
        <w:t>Lei nº 14.133, de 2021)</w:t>
      </w:r>
      <w:r w:rsidRPr="0051439E">
        <w:rPr>
          <w:rFonts w:ascii="Times New Roman" w:eastAsiaTheme="minorEastAsia" w:hAnsi="Times New Roman" w:cs="Times New Roman"/>
          <w:color w:val="000000" w:themeColor="text1"/>
          <w:lang w:eastAsia="pt-BR"/>
        </w:rPr>
        <w:t xml:space="preserve">; </w:t>
      </w:r>
    </w:p>
    <w:p w14:paraId="79C63820" w14:textId="77777777" w:rsidR="006D1F90" w:rsidRPr="0051439E" w:rsidRDefault="006D1F90" w:rsidP="006D1F90">
      <w:pPr>
        <w:pStyle w:val="PargrafodaLista"/>
        <w:numPr>
          <w:ilvl w:val="0"/>
          <w:numId w:val="4"/>
        </w:numPr>
        <w:spacing w:after="48" w:line="288" w:lineRule="atLeast"/>
        <w:ind w:left="1710" w:hanging="270"/>
        <w:jc w:val="both"/>
        <w:rPr>
          <w:rFonts w:ascii="Times New Roman" w:eastAsiaTheme="minorEastAsia" w:hAnsi="Times New Roman" w:cs="Times New Roman"/>
          <w:color w:val="000000" w:themeColor="text1"/>
        </w:rPr>
      </w:pPr>
      <w:r w:rsidRPr="0051439E">
        <w:rPr>
          <w:rFonts w:ascii="Times New Roman" w:eastAsiaTheme="minorEastAsia" w:hAnsi="Times New Roman" w:cs="Times New Roman"/>
          <w:b/>
          <w:bCs/>
          <w:color w:val="000000" w:themeColor="text1"/>
        </w:rPr>
        <w:t>serviços técnicos especializados de natureza predominantemente intelectual</w:t>
      </w:r>
      <w:r w:rsidRPr="0051439E">
        <w:rPr>
          <w:rFonts w:ascii="Times New Roman" w:eastAsiaTheme="minorEastAsia" w:hAnsi="Times New Roman" w:cs="Times New Roman"/>
          <w:color w:val="000000" w:themeColor="text1"/>
        </w:rPr>
        <w:t xml:space="preserve"> (descritos no art. 6º, inciso XVIII, da </w:t>
      </w:r>
      <w:r w:rsidRPr="0051439E">
        <w:rPr>
          <w:rFonts w:ascii="Times New Roman" w:eastAsiaTheme="minorEastAsia" w:hAnsi="Times New Roman" w:cs="Times New Roman"/>
        </w:rPr>
        <w:t>Lei nº 14.133, de 2021</w:t>
      </w:r>
      <w:r w:rsidRPr="0051439E">
        <w:rPr>
          <w:rFonts w:ascii="Times New Roman" w:eastAsiaTheme="minorEastAsia" w:hAnsi="Times New Roman" w:cs="Times New Roman"/>
          <w:color w:val="000000" w:themeColor="text1"/>
        </w:rPr>
        <w:t xml:space="preserve">); </w:t>
      </w:r>
      <w:r w:rsidRPr="0051439E">
        <w:rPr>
          <w:rFonts w:ascii="Times New Roman" w:eastAsiaTheme="minorEastAsia" w:hAnsi="Times New Roman" w:cs="Times New Roman"/>
          <w:color w:val="000000" w:themeColor="text1"/>
          <w:lang w:eastAsia="pt-BR"/>
        </w:rPr>
        <w:t>e</w:t>
      </w:r>
    </w:p>
    <w:p w14:paraId="44640D20" w14:textId="77777777" w:rsidR="006D1F90" w:rsidRPr="0051439E" w:rsidRDefault="006D1F90" w:rsidP="006D1F90">
      <w:pPr>
        <w:pStyle w:val="PargrafodaLista"/>
        <w:numPr>
          <w:ilvl w:val="0"/>
          <w:numId w:val="4"/>
        </w:numPr>
        <w:spacing w:after="48" w:line="288" w:lineRule="atLeast"/>
        <w:ind w:left="1710" w:hanging="270"/>
        <w:jc w:val="both"/>
        <w:rPr>
          <w:rFonts w:ascii="Times New Roman" w:eastAsiaTheme="minorEastAsia" w:hAnsi="Times New Roman" w:cs="Times New Roman"/>
          <w:color w:val="000000" w:themeColor="text1"/>
        </w:rPr>
      </w:pPr>
      <w:r w:rsidRPr="0051439E">
        <w:rPr>
          <w:rFonts w:ascii="Times New Roman" w:eastAsiaTheme="minorEastAsia" w:hAnsi="Times New Roman" w:cs="Times New Roman"/>
          <w:b/>
          <w:bCs/>
          <w:color w:val="000000" w:themeColor="text1"/>
          <w:lang w:eastAsia="pt-BR"/>
        </w:rPr>
        <w:t>serviços especiais de engenharia</w:t>
      </w:r>
      <w:r w:rsidRPr="0051439E">
        <w:rPr>
          <w:rFonts w:ascii="Times New Roman" w:eastAsiaTheme="minorEastAsia" w:hAnsi="Times New Roman" w:cs="Times New Roman"/>
          <w:color w:val="000000" w:themeColor="text1"/>
          <w:lang w:eastAsia="pt-BR"/>
        </w:rPr>
        <w:t xml:space="preserve"> (definidos no art. 6º, inciso XXI, alínea “b”, da </w:t>
      </w:r>
      <w:r w:rsidRPr="0051439E">
        <w:rPr>
          <w:rFonts w:ascii="Times New Roman" w:eastAsiaTheme="minorEastAsia" w:hAnsi="Times New Roman" w:cs="Times New Roman"/>
        </w:rPr>
        <w:t>Lei nº 14.133, de 2021</w:t>
      </w:r>
      <w:r w:rsidRPr="0051439E">
        <w:rPr>
          <w:rFonts w:ascii="Times New Roman" w:eastAsiaTheme="minorEastAsia" w:hAnsi="Times New Roman" w:cs="Times New Roman"/>
          <w:color w:val="000000" w:themeColor="text1"/>
          <w:lang w:eastAsia="pt-BR"/>
        </w:rPr>
        <w:t>, isto é, “</w:t>
      </w:r>
      <w:r w:rsidRPr="0051439E">
        <w:rPr>
          <w:rFonts w:ascii="Times New Roman" w:eastAsiaTheme="minorEastAsia" w:hAnsi="Times New Roman" w:cs="Times New Roman"/>
          <w:i/>
          <w:iCs/>
          <w:color w:val="000000" w:themeColor="text1"/>
          <w:lang w:eastAsia="pt-BR"/>
        </w:rPr>
        <w:t>aquele que, por sua alta heterogeneidade ou complexidade, não pode se enquadrar na definição constante da alínea “a” deste inciso</w:t>
      </w:r>
      <w:r w:rsidRPr="0051439E">
        <w:rPr>
          <w:rFonts w:ascii="Times New Roman" w:eastAsiaTheme="minorEastAsia" w:hAnsi="Times New Roman" w:cs="Times New Roman"/>
          <w:color w:val="000000" w:themeColor="text1"/>
        </w:rPr>
        <w:t>”).</w:t>
      </w:r>
    </w:p>
    <w:p w14:paraId="4D5854DF" w14:textId="77777777" w:rsidR="006D1F90" w:rsidRPr="0051439E" w:rsidRDefault="006D1F90" w:rsidP="006D1F90">
      <w:pPr>
        <w:spacing w:after="48" w:line="288" w:lineRule="atLeast"/>
        <w:jc w:val="both"/>
        <w:rPr>
          <w:rFonts w:ascii="Times New Roman" w:eastAsiaTheme="minorEastAsia" w:hAnsi="Times New Roman" w:cs="Times New Roman"/>
          <w:color w:val="000000" w:themeColor="text1"/>
        </w:rPr>
      </w:pPr>
    </w:p>
    <w:p w14:paraId="50BCDD75" w14:textId="77777777" w:rsidR="006D1F90" w:rsidRPr="0051439E" w:rsidRDefault="006D1F90" w:rsidP="006D1F90">
      <w:pPr>
        <w:spacing w:after="48" w:line="288" w:lineRule="atLeast"/>
        <w:jc w:val="both"/>
        <w:rPr>
          <w:rFonts w:ascii="Times New Roman" w:eastAsiaTheme="minorEastAsia" w:hAnsi="Times New Roman" w:cs="Times New Roman"/>
          <w:color w:val="FF0000"/>
        </w:rPr>
      </w:pPr>
      <w:r w:rsidRPr="0051439E">
        <w:rPr>
          <w:rFonts w:ascii="Times New Roman" w:eastAsiaTheme="minorEastAsia" w:hAnsi="Times New Roman" w:cs="Times New Roman"/>
          <w:color w:val="FF0000"/>
        </w:rPr>
        <w:t xml:space="preserve">Nos casos em que se se tratar de obras, serviços e fornecimentos de </w:t>
      </w:r>
      <w:r w:rsidRPr="0051439E">
        <w:rPr>
          <w:rFonts w:ascii="Times New Roman" w:eastAsiaTheme="minorEastAsia" w:hAnsi="Times New Roman" w:cs="Times New Roman"/>
          <w:b/>
          <w:bCs/>
          <w:color w:val="FF0000"/>
        </w:rPr>
        <w:t>grande vulto</w:t>
      </w:r>
      <w:r w:rsidRPr="0051439E">
        <w:rPr>
          <w:rFonts w:ascii="Times New Roman" w:eastAsiaTheme="minorEastAsia" w:hAnsi="Times New Roman" w:cs="Times New Roman"/>
          <w:color w:val="FF0000"/>
        </w:rPr>
        <w:t xml:space="preserve">, conceituados como aqueles cujo valor estimado supera R$ </w:t>
      </w:r>
      <w:r w:rsidRPr="0051439E">
        <w:rPr>
          <w:rFonts w:ascii="Times New Roman" w:eastAsia="Arial" w:hAnsi="Times New Roman" w:cs="Times New Roman"/>
          <w:color w:val="FF0000"/>
          <w:sz w:val="19"/>
          <w:szCs w:val="19"/>
        </w:rPr>
        <w:t xml:space="preserve">228.833.309,04 (duzentos e vinte e oito milhões oitocentos e trinta e três mil trezentos e nove reais e quatro centavos) </w:t>
      </w:r>
      <w:r w:rsidRPr="0051439E">
        <w:rPr>
          <w:rFonts w:ascii="Times New Roman" w:eastAsiaTheme="minorEastAsia" w:hAnsi="Times New Roman" w:cs="Times New Roman"/>
          <w:color w:val="FF0000"/>
        </w:rPr>
        <w:t>conforme art. 6º, XXII, da Lei 14.133, de 2021, e Decreto n º 11.317, de 2022, deve a Administração certificar-se que:</w:t>
      </w:r>
    </w:p>
    <w:p w14:paraId="7888A14D" w14:textId="77777777" w:rsidR="006D1F90" w:rsidRPr="0051439E" w:rsidRDefault="006D1F90" w:rsidP="006D1F90">
      <w:pPr>
        <w:spacing w:after="48" w:line="288" w:lineRule="atLeast"/>
        <w:jc w:val="both"/>
        <w:rPr>
          <w:rFonts w:ascii="Times New Roman" w:eastAsiaTheme="minorEastAsia" w:hAnsi="Times New Roman" w:cs="Times New Roman"/>
          <w:color w:val="FF0000"/>
        </w:rPr>
      </w:pPr>
      <w:r w:rsidRPr="0051439E">
        <w:rPr>
          <w:rFonts w:ascii="Times New Roman" w:eastAsiaTheme="minorEastAsia" w:hAnsi="Times New Roman" w:cs="Times New Roman"/>
          <w:color w:val="FF0000"/>
        </w:rPr>
        <w:t xml:space="preserve"> </w:t>
      </w:r>
    </w:p>
    <w:p w14:paraId="2CA0F1F9" w14:textId="77777777" w:rsidR="006D1F90" w:rsidRPr="0051439E" w:rsidRDefault="006D1F90" w:rsidP="006D1F90">
      <w:pPr>
        <w:pStyle w:val="PargrafodaLista"/>
        <w:numPr>
          <w:ilvl w:val="0"/>
          <w:numId w:val="38"/>
        </w:numPr>
        <w:spacing w:after="0" w:line="240" w:lineRule="auto"/>
        <w:ind w:left="1701" w:hanging="283"/>
        <w:jc w:val="both"/>
        <w:rPr>
          <w:rFonts w:ascii="Times New Roman" w:eastAsiaTheme="minorEastAsia" w:hAnsi="Times New Roman" w:cs="Times New Roman"/>
          <w:color w:val="FF0000"/>
        </w:rPr>
      </w:pPr>
      <w:r w:rsidRPr="0051439E">
        <w:rPr>
          <w:rFonts w:ascii="Times New Roman" w:eastAsiaTheme="minorEastAsia" w:hAnsi="Times New Roman" w:cs="Times New Roman"/>
          <w:color w:val="FF0000"/>
        </w:rPr>
        <w:t xml:space="preserve">o edital obrigatoriamente contemple </w:t>
      </w:r>
      <w:r w:rsidRPr="0051439E">
        <w:rPr>
          <w:rFonts w:ascii="Times New Roman" w:eastAsiaTheme="minorEastAsia" w:hAnsi="Times New Roman" w:cs="Times New Roman"/>
          <w:b/>
          <w:color w:val="FF0000"/>
        </w:rPr>
        <w:t>matriz de alocação de riscos</w:t>
      </w:r>
      <w:r w:rsidRPr="0051439E">
        <w:rPr>
          <w:rFonts w:ascii="Times New Roman" w:eastAsiaTheme="minorEastAsia" w:hAnsi="Times New Roman" w:cs="Times New Roman"/>
          <w:color w:val="FF0000"/>
        </w:rPr>
        <w:t xml:space="preserve"> entre o contratante e o contratado (art. 22, §3º, da Lei 14.133, de 2021);</w:t>
      </w:r>
    </w:p>
    <w:p w14:paraId="356F9F9F" w14:textId="77777777" w:rsidR="006D1F90" w:rsidRPr="0051439E" w:rsidRDefault="006D1F90" w:rsidP="006D1F90">
      <w:pPr>
        <w:pStyle w:val="PargrafodaLista"/>
        <w:spacing w:after="0" w:line="240" w:lineRule="auto"/>
        <w:ind w:left="1701"/>
        <w:jc w:val="both"/>
        <w:rPr>
          <w:rFonts w:ascii="Times New Roman" w:eastAsiaTheme="minorEastAsia" w:hAnsi="Times New Roman" w:cs="Times New Roman"/>
          <w:color w:val="FF0000"/>
        </w:rPr>
      </w:pPr>
    </w:p>
    <w:p w14:paraId="164B5927" w14:textId="77777777" w:rsidR="006D1F90" w:rsidRPr="0051439E" w:rsidRDefault="006D1F90" w:rsidP="006D1F90">
      <w:pPr>
        <w:pStyle w:val="PargrafodaLista"/>
        <w:numPr>
          <w:ilvl w:val="0"/>
          <w:numId w:val="38"/>
        </w:numPr>
        <w:spacing w:after="0" w:line="240" w:lineRule="auto"/>
        <w:ind w:left="1701" w:hanging="283"/>
        <w:jc w:val="both"/>
        <w:rPr>
          <w:rFonts w:ascii="Times New Roman" w:eastAsiaTheme="minorEastAsia" w:hAnsi="Times New Roman" w:cs="Times New Roman"/>
          <w:color w:val="FF0000"/>
        </w:rPr>
      </w:pPr>
      <w:r w:rsidRPr="0051439E">
        <w:rPr>
          <w:rFonts w:ascii="Times New Roman" w:eastAsiaTheme="minorEastAsia" w:hAnsi="Times New Roman" w:cs="Times New Roman"/>
          <w:color w:val="FF0000"/>
        </w:rPr>
        <w:t xml:space="preserve">o edital preveja a obrigatoriedade de </w:t>
      </w:r>
      <w:r w:rsidRPr="0051439E">
        <w:rPr>
          <w:rFonts w:ascii="Times New Roman" w:eastAsiaTheme="minorEastAsia" w:hAnsi="Times New Roman" w:cs="Times New Roman"/>
          <w:b/>
          <w:color w:val="FF0000"/>
        </w:rPr>
        <w:t>implantação de programa de integridade</w:t>
      </w:r>
      <w:r w:rsidRPr="0051439E">
        <w:rPr>
          <w:rFonts w:ascii="Times New Roman" w:eastAsiaTheme="minorEastAsia" w:hAnsi="Times New Roman" w:cs="Times New Roman"/>
          <w:color w:val="FF0000"/>
        </w:rPr>
        <w:t xml:space="preserve"> pelo licitante vencedor, no prazo de 6 (seis) meses, contado da celebração do contrato, conforme regulamento que disporá sobre as medidas a serem adotadas, a forma de comprovação e as penalidades pelo seu descumprimento. (art. 25, §4º, da Lei 14.133, de 2021)</w:t>
      </w:r>
    </w:p>
    <w:p w14:paraId="63A7DE18" w14:textId="77777777" w:rsidR="006D1F90" w:rsidRPr="0051439E" w:rsidRDefault="006D1F90" w:rsidP="006D1F90">
      <w:pPr>
        <w:pStyle w:val="PargrafodaLista"/>
        <w:spacing w:after="0" w:line="240" w:lineRule="auto"/>
        <w:ind w:left="1701"/>
        <w:jc w:val="both"/>
        <w:rPr>
          <w:rFonts w:ascii="Times New Roman" w:eastAsiaTheme="minorEastAsia" w:hAnsi="Times New Roman" w:cs="Times New Roman"/>
          <w:color w:val="FF0000"/>
        </w:rPr>
      </w:pPr>
    </w:p>
    <w:p w14:paraId="3A003003" w14:textId="77777777" w:rsidR="006D1F90" w:rsidRPr="0051439E" w:rsidRDefault="006D1F90" w:rsidP="006D1F90">
      <w:pPr>
        <w:pStyle w:val="PargrafodaLista"/>
        <w:numPr>
          <w:ilvl w:val="0"/>
          <w:numId w:val="38"/>
        </w:numPr>
        <w:spacing w:after="0" w:line="240" w:lineRule="auto"/>
        <w:ind w:left="1701" w:hanging="283"/>
        <w:jc w:val="both"/>
        <w:rPr>
          <w:rFonts w:ascii="Times New Roman" w:eastAsiaTheme="minorEastAsia" w:hAnsi="Times New Roman" w:cs="Times New Roman"/>
          <w:color w:val="FF0000"/>
        </w:rPr>
      </w:pPr>
      <w:r w:rsidRPr="0051439E">
        <w:rPr>
          <w:rFonts w:ascii="Times New Roman" w:eastAsiaTheme="minorEastAsia" w:hAnsi="Times New Roman" w:cs="Times New Roman"/>
          <w:color w:val="FF0000"/>
        </w:rPr>
        <w:t xml:space="preserve">tratando-se de contratações de obras e serviços de engenharia de grande vulto, poderá ser exigida a </w:t>
      </w:r>
      <w:r w:rsidRPr="0051439E">
        <w:rPr>
          <w:rFonts w:ascii="Times New Roman" w:eastAsiaTheme="minorEastAsia" w:hAnsi="Times New Roman" w:cs="Times New Roman"/>
          <w:b/>
          <w:color w:val="FF0000"/>
        </w:rPr>
        <w:t>prestação de garantia</w:t>
      </w:r>
      <w:r w:rsidRPr="0051439E">
        <w:rPr>
          <w:rFonts w:ascii="Times New Roman" w:eastAsiaTheme="minorEastAsia" w:hAnsi="Times New Roman" w:cs="Times New Roman"/>
          <w:color w:val="FF0000"/>
        </w:rPr>
        <w:t>, na modalidade seguro-garantia, com cláusula de retomada prevista no </w:t>
      </w:r>
      <w:hyperlink r:id="rId32" w:anchor="art102">
        <w:r w:rsidRPr="0051439E">
          <w:rPr>
            <w:rStyle w:val="Hyperlink"/>
            <w:rFonts w:ascii="Times New Roman" w:eastAsiaTheme="minorEastAsia" w:hAnsi="Times New Roman" w:cs="Times New Roman"/>
            <w:color w:val="FF0000"/>
          </w:rPr>
          <w:t>art. 102 da</w:t>
        </w:r>
      </w:hyperlink>
      <w:r w:rsidRPr="0051439E">
        <w:rPr>
          <w:rFonts w:ascii="Times New Roman" w:eastAsiaTheme="minorEastAsia" w:hAnsi="Times New Roman" w:cs="Times New Roman"/>
          <w:color w:val="FF0000"/>
        </w:rPr>
        <w:t xml:space="preserve"> Lei 14.133, de 2021, em percentual equivalente a até 30% (trinta por cento) do valor inicial do contrato. (art. 99, da Lei 14.133, de 2021)</w:t>
      </w:r>
    </w:p>
    <w:p w14:paraId="343EAF25" w14:textId="77777777" w:rsidR="006D1F90" w:rsidRPr="0051439E" w:rsidRDefault="006D1F90" w:rsidP="006D1F90">
      <w:pPr>
        <w:spacing w:after="48" w:line="288" w:lineRule="atLeast"/>
        <w:jc w:val="both"/>
        <w:rPr>
          <w:rFonts w:ascii="Times New Roman" w:eastAsiaTheme="minorEastAsia" w:hAnsi="Times New Roman" w:cs="Times New Roman"/>
          <w:color w:val="000000" w:themeColor="text1"/>
        </w:rPr>
      </w:pPr>
      <w:r w:rsidRPr="0051439E">
        <w:rPr>
          <w:rFonts w:ascii="Times New Roman" w:eastAsiaTheme="minorEastAsia" w:hAnsi="Times New Roman" w:cs="Times New Roman"/>
          <w:color w:val="000000" w:themeColor="text1"/>
        </w:rPr>
        <w:t>  </w:t>
      </w:r>
    </w:p>
    <w:p w14:paraId="63D1DFED" w14:textId="77777777" w:rsidR="006D1F90" w:rsidRPr="0051439E" w:rsidRDefault="006D1F90" w:rsidP="006D1F90">
      <w:pPr>
        <w:spacing w:after="48" w:line="288" w:lineRule="atLeast"/>
        <w:jc w:val="both"/>
        <w:rPr>
          <w:rFonts w:ascii="Times New Roman" w:eastAsiaTheme="minorEastAsia" w:hAnsi="Times New Roman" w:cs="Times New Roman"/>
          <w:lang w:eastAsia="pt-BR"/>
        </w:rPr>
      </w:pPr>
      <w:r w:rsidRPr="0051439E">
        <w:rPr>
          <w:rFonts w:ascii="Times New Roman" w:eastAsiaTheme="minorEastAsia" w:hAnsi="Times New Roman" w:cs="Times New Roman"/>
        </w:rPr>
        <w:t>Tais enquadramentos demandam o exame e a manifestação do setor técnico da Administração quanto à natureza e valor do objeto,</w:t>
      </w:r>
      <w:r w:rsidRPr="0051439E">
        <w:rPr>
          <w:rFonts w:ascii="Times New Roman" w:eastAsiaTheme="minorEastAsia" w:hAnsi="Times New Roman" w:cs="Times New Roman"/>
          <w:color w:val="000000" w:themeColor="text1"/>
        </w:rPr>
        <w:t xml:space="preserve"> </w:t>
      </w:r>
      <w:r w:rsidRPr="0051439E">
        <w:rPr>
          <w:rFonts w:ascii="Times New Roman" w:eastAsiaTheme="minorEastAsia" w:hAnsi="Times New Roman" w:cs="Times New Roman"/>
        </w:rPr>
        <w:t>de modo a aferir a adequação da modalidade licitatória.</w:t>
      </w:r>
      <w:r w:rsidRPr="0051439E">
        <w:rPr>
          <w:rFonts w:ascii="Times New Roman" w:eastAsiaTheme="minorEastAsia" w:hAnsi="Times New Roman" w:cs="Times New Roman"/>
          <w:lang w:eastAsia="pt-BR"/>
        </w:rPr>
        <w:t> </w:t>
      </w:r>
    </w:p>
    <w:p w14:paraId="05887DDD" w14:textId="77777777" w:rsidR="006D1F90" w:rsidRPr="0051439E" w:rsidRDefault="006D1F90" w:rsidP="006D1F90">
      <w:pPr>
        <w:spacing w:after="48" w:line="288" w:lineRule="atLeast"/>
        <w:jc w:val="both"/>
        <w:rPr>
          <w:rFonts w:ascii="Times New Roman" w:eastAsiaTheme="minorEastAsia" w:hAnsi="Times New Roman" w:cs="Times New Roman"/>
          <w:color w:val="000000" w:themeColor="text1"/>
        </w:rPr>
      </w:pPr>
    </w:p>
    <w:p w14:paraId="605136F0" w14:textId="77777777" w:rsidR="006D1F90" w:rsidRPr="0051439E" w:rsidRDefault="006D1F90" w:rsidP="006D1F90">
      <w:pPr>
        <w:spacing w:after="48" w:line="288" w:lineRule="atLeast"/>
        <w:jc w:val="both"/>
        <w:rPr>
          <w:rFonts w:ascii="Times New Roman" w:eastAsiaTheme="minorEastAsia" w:hAnsi="Times New Roman" w:cs="Times New Roman"/>
          <w:color w:val="000000" w:themeColor="text1"/>
        </w:rPr>
      </w:pPr>
      <w:r w:rsidRPr="0051439E">
        <w:rPr>
          <w:rFonts w:ascii="Times New Roman" w:eastAsiaTheme="minorEastAsia" w:hAnsi="Times New Roman" w:cs="Times New Roman"/>
          <w:color w:val="000000" w:themeColor="text1"/>
        </w:rPr>
        <w:t xml:space="preserve">No caso, vê-se que a escolha da concorrência, como modalidade de licitação, foi adequada, pois o objeto foi qualificado pela unidade técnica como </w:t>
      </w:r>
      <w:r w:rsidRPr="0051439E">
        <w:rPr>
          <w:rFonts w:ascii="Times New Roman" w:eastAsia="Arial" w:hAnsi="Times New Roman" w:cs="Times New Roman"/>
          <w:color w:val="FF0000"/>
          <w:sz w:val="19"/>
          <w:szCs w:val="19"/>
        </w:rPr>
        <w:t>contratação de obras e serviços especiais de engenharia</w:t>
      </w:r>
      <w:r w:rsidRPr="0051439E">
        <w:rPr>
          <w:rFonts w:ascii="Times New Roman" w:eastAsiaTheme="minorEastAsia" w:hAnsi="Times New Roman" w:cs="Times New Roman"/>
          <w:color w:val="000000" w:themeColor="text1"/>
        </w:rPr>
        <w:t xml:space="preserve"> </w:t>
      </w:r>
      <w:r w:rsidRPr="0051439E">
        <w:rPr>
          <w:rFonts w:ascii="Times New Roman" w:eastAsia="Arial" w:hAnsi="Times New Roman" w:cs="Times New Roman"/>
          <w:color w:val="FF0000"/>
          <w:sz w:val="19"/>
          <w:szCs w:val="19"/>
        </w:rPr>
        <w:t xml:space="preserve">ou serviços técnicos especializados de natureza predominantemente intelectual </w:t>
      </w:r>
      <w:r w:rsidRPr="0051439E">
        <w:rPr>
          <w:rFonts w:ascii="Times New Roman" w:eastAsia="Calibri" w:hAnsi="Times New Roman" w:cs="Times New Roman"/>
          <w:color w:val="000000" w:themeColor="text1"/>
        </w:rPr>
        <w:t>(</w:t>
      </w:r>
      <w:r w:rsidRPr="0051439E">
        <w:rPr>
          <w:rFonts w:ascii="Times New Roman" w:eastAsia="Calibri" w:hAnsi="Times New Roman" w:cs="Times New Roman"/>
          <w:color w:val="FF0000"/>
        </w:rPr>
        <w:t xml:space="preserve">art. 6º, XVIII, XXI, alínea “b”, XXII, e art. 29, parágrafo único, </w:t>
      </w:r>
      <w:r w:rsidRPr="0051439E">
        <w:rPr>
          <w:rFonts w:ascii="Times New Roman" w:eastAsia="Calibri" w:hAnsi="Times New Roman" w:cs="Times New Roman"/>
          <w:color w:val="000000" w:themeColor="text1"/>
        </w:rPr>
        <w:t xml:space="preserve">da Lei nº 14.133, de 2021, </w:t>
      </w:r>
      <w:r w:rsidRPr="0051439E">
        <w:rPr>
          <w:rFonts w:ascii="Times New Roman" w:eastAsia="Calibri" w:hAnsi="Times New Roman" w:cs="Times New Roman"/>
          <w:color w:val="FF0000"/>
        </w:rPr>
        <w:t>item XXX do TR</w:t>
      </w:r>
      <w:r w:rsidRPr="0051439E">
        <w:rPr>
          <w:rFonts w:ascii="Times New Roman" w:eastAsia="Calibri" w:hAnsi="Times New Roman" w:cs="Times New Roman"/>
          <w:color w:val="000000" w:themeColor="text1"/>
        </w:rPr>
        <w:t>)</w:t>
      </w:r>
      <w:r w:rsidRPr="0051439E">
        <w:rPr>
          <w:rFonts w:ascii="Times New Roman" w:eastAsiaTheme="minorEastAsia" w:hAnsi="Times New Roman" w:cs="Times New Roman"/>
          <w:color w:val="000000" w:themeColor="text1"/>
        </w:rPr>
        <w:t>. Destaque-se que, à luz do art. 6º, XXXVIII, da Lei nº 14.133, de 2021, é possível licitar o presente objeto sob o tipo a) menor preço; b) melhor técnica ou conteúdo artístico; c) técnica e preço; d) maior retorno econômico; e) maior desconto;</w:t>
      </w:r>
    </w:p>
    <w:p w14:paraId="26B5831C" w14:textId="77777777" w:rsidR="006D1F90" w:rsidRPr="0051439E" w:rsidRDefault="006D1F90" w:rsidP="006D1F90">
      <w:pPr>
        <w:jc w:val="both"/>
        <w:rPr>
          <w:rFonts w:ascii="Times New Roman" w:eastAsia="Calibri" w:hAnsi="Times New Roman" w:cs="Times New Roman"/>
          <w:color w:val="FF0000"/>
        </w:rPr>
      </w:pPr>
    </w:p>
    <w:p w14:paraId="1C738E8F" w14:textId="77777777" w:rsidR="006D1F90" w:rsidRPr="0051439E" w:rsidRDefault="006D1F90" w:rsidP="006D1F90">
      <w:pPr>
        <w:jc w:val="both"/>
        <w:rPr>
          <w:rFonts w:ascii="Times New Roman" w:eastAsia="Calibri" w:hAnsi="Times New Roman" w:cs="Times New Roman"/>
          <w:color w:val="FF0000"/>
        </w:rPr>
      </w:pPr>
      <w:r w:rsidRPr="0051439E">
        <w:rPr>
          <w:rFonts w:ascii="Times New Roman" w:eastAsia="Calibri" w:hAnsi="Times New Roman" w:cs="Times New Roman"/>
          <w:color w:val="FF0000"/>
        </w:rPr>
        <w:lastRenderedPageBreak/>
        <w:t xml:space="preserve">Na licitação para contratação dos serviços técnicos especializados de natureza predominantemente intelectual previstos nas alíneas “a”, “d” e “h” do inciso XVIII do </w:t>
      </w:r>
      <w:r w:rsidRPr="0051439E">
        <w:rPr>
          <w:rFonts w:ascii="Times New Roman" w:eastAsia="Calibri" w:hAnsi="Times New Roman" w:cs="Times New Roman"/>
          <w:i/>
          <w:iCs/>
          <w:color w:val="FF0000"/>
        </w:rPr>
        <w:t xml:space="preserve">caput </w:t>
      </w:r>
      <w:r w:rsidRPr="0051439E">
        <w:rPr>
          <w:rFonts w:ascii="Times New Roman" w:eastAsia="Calibri" w:hAnsi="Times New Roman" w:cs="Times New Roman"/>
          <w:color w:val="FF0000"/>
        </w:rPr>
        <w:t>do art. 6º desta Lei, cujo valor estimado da contratação seja superior a R$ 343.249,96, o critério de julgamento será por: I - melhor técnica; ou II - técnica e preço, na proporção de 70% (setenta por cento) da valoração da proposta técnica (art. 37, §2º da Lei nº 14.133, de 2021 e Decreto n º 11.317/2022).</w:t>
      </w:r>
    </w:p>
    <w:p w14:paraId="1830BF12" w14:textId="77777777" w:rsidR="006D1F90" w:rsidRPr="0051439E" w:rsidRDefault="006D1F90" w:rsidP="006D1F90">
      <w:pPr>
        <w:spacing w:after="48" w:line="288" w:lineRule="atLeast"/>
        <w:ind w:firstLine="1440"/>
        <w:jc w:val="both"/>
        <w:rPr>
          <w:rFonts w:ascii="Times New Roman" w:eastAsiaTheme="minorEastAsia" w:hAnsi="Times New Roman" w:cs="Times New Roman"/>
          <w:color w:val="000000" w:themeColor="text1"/>
          <w:highlight w:val="cyan"/>
        </w:rPr>
      </w:pPr>
    </w:p>
    <w:p w14:paraId="211ED515" w14:textId="77777777" w:rsidR="006D1F90" w:rsidRPr="0051439E" w:rsidRDefault="006D1F90" w:rsidP="006D1F90">
      <w:pPr>
        <w:spacing w:after="48" w:line="288" w:lineRule="atLeast"/>
        <w:ind w:firstLine="1440"/>
        <w:jc w:val="both"/>
        <w:rPr>
          <w:rFonts w:ascii="Times New Roman" w:eastAsiaTheme="minorEastAsia" w:hAnsi="Times New Roman" w:cs="Times New Roman"/>
          <w:color w:val="000000" w:themeColor="text1"/>
        </w:rPr>
      </w:pPr>
      <w:r w:rsidRPr="0051439E">
        <w:rPr>
          <w:rFonts w:ascii="Times New Roman" w:eastAsiaTheme="minorEastAsia" w:hAnsi="Times New Roman" w:cs="Times New Roman"/>
          <w:color w:val="000000" w:themeColor="text1"/>
          <w:highlight w:val="cyan"/>
        </w:rPr>
        <w:t xml:space="preserve">No caso, para que seja comprovada a adequação da modalidade escolhida para o processamento da licitação, deverá a Administração </w:t>
      </w:r>
      <w:r w:rsidRPr="0051439E">
        <w:rPr>
          <w:rFonts w:ascii="Times New Roman" w:eastAsiaTheme="minorEastAsia" w:hAnsi="Times New Roman" w:cs="Times New Roman"/>
          <w:color w:val="000000" w:themeColor="text1"/>
          <w:highlight w:val="cyan"/>
          <w:u w:val="single"/>
        </w:rPr>
        <w:t xml:space="preserve">declarar expressamente nos autos que o objeto pode ser considerado como a </w:t>
      </w:r>
      <w:r w:rsidRPr="0051439E">
        <w:rPr>
          <w:rFonts w:ascii="Times New Roman" w:eastAsia="Arial" w:hAnsi="Times New Roman" w:cs="Times New Roman"/>
          <w:sz w:val="19"/>
          <w:szCs w:val="19"/>
          <w:highlight w:val="cyan"/>
          <w:u w:val="single"/>
        </w:rPr>
        <w:t>contratação de obras e serviços especiais de engenharia</w:t>
      </w:r>
      <w:r w:rsidRPr="0051439E">
        <w:rPr>
          <w:rFonts w:ascii="Times New Roman" w:eastAsiaTheme="minorEastAsia" w:hAnsi="Times New Roman" w:cs="Times New Roman"/>
          <w:color w:val="000000" w:themeColor="text1"/>
          <w:highlight w:val="cyan"/>
          <w:u w:val="single"/>
        </w:rPr>
        <w:t>,</w:t>
      </w:r>
      <w:r w:rsidRPr="0051439E">
        <w:rPr>
          <w:rFonts w:ascii="Times New Roman" w:eastAsiaTheme="minorEastAsia" w:hAnsi="Times New Roman" w:cs="Times New Roman"/>
          <w:color w:val="000000" w:themeColor="text1"/>
          <w:highlight w:val="cyan"/>
        </w:rPr>
        <w:t xml:space="preserve"> atendendo aos requisitos do art. 6º, XXI, alínea “b”, XXXVIII, e art. 29 da Lei nº 14.133, de 2021.</w:t>
      </w:r>
      <w:r w:rsidRPr="0051439E">
        <w:rPr>
          <w:rFonts w:ascii="Times New Roman" w:eastAsiaTheme="minorEastAsia" w:hAnsi="Times New Roman" w:cs="Times New Roman"/>
          <w:color w:val="000000" w:themeColor="text1"/>
        </w:rPr>
        <w:t xml:space="preserve"> </w:t>
      </w:r>
    </w:p>
    <w:p w14:paraId="36E13B4E" w14:textId="77777777" w:rsidR="006D1F90" w:rsidRPr="0051439E" w:rsidRDefault="006D1F90" w:rsidP="006D1F90">
      <w:pPr>
        <w:pStyle w:val="paragraph"/>
        <w:spacing w:before="0" w:beforeAutospacing="0" w:after="0" w:afterAutospacing="0"/>
        <w:jc w:val="both"/>
        <w:rPr>
          <w:rStyle w:val="normaltextrun"/>
          <w:rFonts w:eastAsiaTheme="minorEastAsia"/>
          <w:b/>
          <w:bCs/>
          <w:color w:val="FF0000"/>
          <w:sz w:val="22"/>
          <w:szCs w:val="22"/>
        </w:rPr>
      </w:pPr>
    </w:p>
    <w:p w14:paraId="79ACED68" w14:textId="77777777" w:rsidR="006D1F90" w:rsidRPr="0051439E" w:rsidRDefault="006D1F90" w:rsidP="006D1F90">
      <w:pPr>
        <w:pStyle w:val="paragraph"/>
        <w:spacing w:before="0" w:beforeAutospacing="0" w:after="0" w:afterAutospacing="0"/>
        <w:jc w:val="both"/>
        <w:textAlignment w:val="baseline"/>
        <w:rPr>
          <w:rFonts w:eastAsiaTheme="minorEastAsia"/>
          <w:sz w:val="22"/>
          <w:szCs w:val="22"/>
        </w:rPr>
      </w:pPr>
      <w:r w:rsidRPr="0051439E">
        <w:rPr>
          <w:rStyle w:val="normaltextrun"/>
          <w:rFonts w:eastAsiaTheme="minorEastAsia"/>
          <w:b/>
          <w:bCs/>
          <w:color w:val="FF0000"/>
          <w:sz w:val="22"/>
          <w:szCs w:val="22"/>
          <w:shd w:val="clear" w:color="auto" w:fill="00FF00"/>
        </w:rPr>
        <w:t>DO SISTEMA DE REGISTRO DE PREÇOS</w:t>
      </w:r>
      <w:r w:rsidRPr="0051439E">
        <w:rPr>
          <w:rStyle w:val="normaltextrun"/>
          <w:rFonts w:eastAsiaTheme="minorEastAsia"/>
          <w:color w:val="FF0000"/>
          <w:sz w:val="22"/>
          <w:szCs w:val="22"/>
          <w:shd w:val="clear" w:color="auto" w:fill="00FF00"/>
        </w:rPr>
        <w:t> </w:t>
      </w:r>
      <w:r w:rsidRPr="0051439E">
        <w:rPr>
          <w:rStyle w:val="eop"/>
          <w:rFonts w:eastAsiaTheme="minorEastAsia"/>
          <w:color w:val="FF0000"/>
          <w:sz w:val="22"/>
          <w:szCs w:val="22"/>
        </w:rPr>
        <w:t> </w:t>
      </w:r>
    </w:p>
    <w:p w14:paraId="7A1CB952" w14:textId="77777777" w:rsidR="006D1F90" w:rsidRPr="0051439E" w:rsidRDefault="006D1F90" w:rsidP="006D1F90">
      <w:pPr>
        <w:pStyle w:val="paragraph"/>
        <w:spacing w:before="0" w:beforeAutospacing="0" w:after="0" w:afterAutospacing="0"/>
        <w:jc w:val="both"/>
        <w:textAlignment w:val="baseline"/>
        <w:rPr>
          <w:rFonts w:eastAsiaTheme="minorEastAsia"/>
          <w:sz w:val="22"/>
          <w:szCs w:val="22"/>
        </w:rPr>
      </w:pPr>
      <w:r w:rsidRPr="0051439E">
        <w:rPr>
          <w:rStyle w:val="eop"/>
          <w:rFonts w:eastAsiaTheme="minorEastAsia"/>
          <w:color w:val="FF0000"/>
          <w:sz w:val="22"/>
          <w:szCs w:val="22"/>
        </w:rPr>
        <w:t> </w:t>
      </w:r>
    </w:p>
    <w:p w14:paraId="3AFE7973" w14:textId="77777777" w:rsidR="006D1F90" w:rsidRPr="0051439E" w:rsidRDefault="006D1F90" w:rsidP="006D1F90">
      <w:pPr>
        <w:pStyle w:val="paragraph"/>
        <w:spacing w:before="0" w:beforeAutospacing="0" w:after="0" w:afterAutospacing="0"/>
        <w:jc w:val="both"/>
        <w:textAlignment w:val="baseline"/>
        <w:rPr>
          <w:rStyle w:val="eop"/>
          <w:rFonts w:eastAsiaTheme="minorEastAsia"/>
          <w:color w:val="FF0000"/>
          <w:sz w:val="22"/>
          <w:szCs w:val="22"/>
        </w:rPr>
      </w:pPr>
      <w:r w:rsidRPr="0051439E">
        <w:rPr>
          <w:rStyle w:val="normaltextrun"/>
          <w:rFonts w:eastAsiaTheme="minorEastAsia"/>
          <w:color w:val="FF0000"/>
          <w:sz w:val="22"/>
          <w:szCs w:val="22"/>
          <w:shd w:val="clear" w:color="auto" w:fill="00FF00"/>
        </w:rPr>
        <w:t xml:space="preserve">O Sistema de Registro de Preços - SRP </w:t>
      </w:r>
      <w:r w:rsidRPr="0051439E">
        <w:rPr>
          <w:rStyle w:val="normaltextrun"/>
          <w:rFonts w:eastAsiaTheme="minorEastAsia"/>
          <w:b/>
          <w:bCs/>
          <w:color w:val="FF0000"/>
          <w:sz w:val="22"/>
          <w:szCs w:val="22"/>
          <w:shd w:val="clear" w:color="auto" w:fill="00FF00"/>
        </w:rPr>
        <w:t>poderá</w:t>
      </w:r>
      <w:r w:rsidRPr="0051439E">
        <w:rPr>
          <w:rStyle w:val="normaltextrun"/>
          <w:rFonts w:eastAsiaTheme="minorEastAsia"/>
          <w:color w:val="FF0000"/>
          <w:sz w:val="22"/>
          <w:szCs w:val="22"/>
          <w:shd w:val="clear" w:color="auto" w:fill="00FF00"/>
        </w:rPr>
        <w:t xml:space="preserve"> ser adotado quando a Administração julgar pertinente, em especial (art. 3º do Decreto nº 11.462, de 31 de março de 2023):</w:t>
      </w:r>
      <w:r w:rsidRPr="0051439E">
        <w:rPr>
          <w:rStyle w:val="eop"/>
          <w:rFonts w:eastAsiaTheme="minorEastAsia"/>
          <w:color w:val="FF0000"/>
          <w:sz w:val="22"/>
          <w:szCs w:val="22"/>
        </w:rPr>
        <w:t> </w:t>
      </w:r>
    </w:p>
    <w:p w14:paraId="4F85F197" w14:textId="77777777" w:rsidR="006D1F90" w:rsidRPr="0051439E" w:rsidRDefault="006D1F90" w:rsidP="006D1F90">
      <w:pPr>
        <w:pStyle w:val="paragraph"/>
        <w:spacing w:before="0" w:beforeAutospacing="0" w:after="0" w:afterAutospacing="0"/>
        <w:ind w:left="1350"/>
        <w:jc w:val="both"/>
        <w:textAlignment w:val="baseline"/>
        <w:rPr>
          <w:rFonts w:eastAsiaTheme="minorEastAsia"/>
          <w:sz w:val="22"/>
          <w:szCs w:val="22"/>
        </w:rPr>
      </w:pPr>
    </w:p>
    <w:p w14:paraId="60920C43" w14:textId="77777777" w:rsidR="006D1F90" w:rsidRPr="0051439E" w:rsidRDefault="006D1F90" w:rsidP="006D1F90">
      <w:pPr>
        <w:pStyle w:val="paragraph"/>
        <w:spacing w:before="0" w:beforeAutospacing="0" w:after="0" w:afterAutospacing="0"/>
        <w:ind w:left="1350"/>
        <w:jc w:val="both"/>
        <w:textAlignment w:val="baseline"/>
        <w:rPr>
          <w:rFonts w:eastAsiaTheme="minorEastAsia"/>
          <w:sz w:val="22"/>
          <w:szCs w:val="22"/>
        </w:rPr>
      </w:pPr>
      <w:r w:rsidRPr="0051439E">
        <w:rPr>
          <w:rStyle w:val="normaltextrun"/>
          <w:rFonts w:eastAsiaTheme="minorEastAsia"/>
          <w:color w:val="FF0000"/>
          <w:sz w:val="22"/>
          <w:szCs w:val="22"/>
          <w:shd w:val="clear" w:color="auto" w:fill="00FF00"/>
        </w:rPr>
        <w:t>I - quando, pelas características do objeto, houver necessidade de contratações permanentes ou frequentes;  </w:t>
      </w:r>
      <w:r w:rsidRPr="0051439E">
        <w:rPr>
          <w:rStyle w:val="eop"/>
          <w:rFonts w:eastAsiaTheme="minorEastAsia"/>
          <w:color w:val="FF0000"/>
          <w:sz w:val="22"/>
          <w:szCs w:val="22"/>
        </w:rPr>
        <w:t> </w:t>
      </w:r>
    </w:p>
    <w:p w14:paraId="5DED6172" w14:textId="77777777" w:rsidR="006D1F90" w:rsidRPr="0051439E" w:rsidRDefault="006D1F90" w:rsidP="006D1F90">
      <w:pPr>
        <w:pStyle w:val="paragraph"/>
        <w:spacing w:before="0" w:beforeAutospacing="0" w:after="0" w:afterAutospacing="0"/>
        <w:ind w:left="1350"/>
        <w:jc w:val="both"/>
        <w:textAlignment w:val="baseline"/>
        <w:rPr>
          <w:rFonts w:eastAsiaTheme="minorEastAsia"/>
          <w:sz w:val="22"/>
          <w:szCs w:val="22"/>
        </w:rPr>
      </w:pPr>
      <w:r w:rsidRPr="0051439E">
        <w:rPr>
          <w:rStyle w:val="normaltextrun"/>
          <w:rFonts w:eastAsiaTheme="minorEastAsia"/>
          <w:color w:val="FF0000"/>
          <w:sz w:val="22"/>
          <w:szCs w:val="22"/>
          <w:shd w:val="clear" w:color="auto" w:fill="00FF00"/>
        </w:rPr>
        <w:t>II - quando for conveniente a aquisição de bens com previsão de entregas parceladas ou contratação de serviços remunerados por unidade de medida, como quantidade de horas de serviço, postos de trabalho ou em regime de tarefa;  </w:t>
      </w:r>
      <w:r w:rsidRPr="0051439E">
        <w:rPr>
          <w:rStyle w:val="eop"/>
          <w:rFonts w:eastAsiaTheme="minorEastAsia"/>
          <w:color w:val="FF0000"/>
          <w:sz w:val="22"/>
          <w:szCs w:val="22"/>
        </w:rPr>
        <w:t> </w:t>
      </w:r>
    </w:p>
    <w:p w14:paraId="76C03CF6" w14:textId="77777777" w:rsidR="006D1F90" w:rsidRPr="0051439E" w:rsidRDefault="006D1F90" w:rsidP="006D1F90">
      <w:pPr>
        <w:pStyle w:val="paragraph"/>
        <w:spacing w:before="0" w:beforeAutospacing="0" w:after="0" w:afterAutospacing="0"/>
        <w:ind w:left="1350"/>
        <w:jc w:val="both"/>
        <w:textAlignment w:val="baseline"/>
        <w:rPr>
          <w:rFonts w:eastAsiaTheme="minorEastAsia"/>
          <w:sz w:val="22"/>
          <w:szCs w:val="22"/>
        </w:rPr>
      </w:pPr>
      <w:r w:rsidRPr="0051439E">
        <w:rPr>
          <w:rStyle w:val="normaltextrun"/>
          <w:rFonts w:eastAsiaTheme="minorEastAsia"/>
          <w:color w:val="FF0000"/>
          <w:sz w:val="22"/>
          <w:szCs w:val="22"/>
          <w:shd w:val="clear" w:color="auto" w:fill="00FF00"/>
        </w:rPr>
        <w:t>III - quando for conveniente para atendimento a mais de um órgão ou a mais de uma entidade, inclusive nas compras centralizadas;  </w:t>
      </w:r>
      <w:r w:rsidRPr="0051439E">
        <w:rPr>
          <w:rStyle w:val="eop"/>
          <w:rFonts w:eastAsiaTheme="minorEastAsia"/>
          <w:color w:val="FF0000"/>
          <w:sz w:val="22"/>
          <w:szCs w:val="22"/>
        </w:rPr>
        <w:t> </w:t>
      </w:r>
    </w:p>
    <w:p w14:paraId="47EF8E72" w14:textId="77777777" w:rsidR="006D1F90" w:rsidRPr="0051439E" w:rsidRDefault="006D1F90" w:rsidP="006D1F90">
      <w:pPr>
        <w:pStyle w:val="paragraph"/>
        <w:spacing w:before="0" w:beforeAutospacing="0" w:after="0" w:afterAutospacing="0"/>
        <w:ind w:left="1350"/>
        <w:jc w:val="both"/>
        <w:textAlignment w:val="baseline"/>
        <w:rPr>
          <w:rFonts w:eastAsiaTheme="minorEastAsia"/>
          <w:sz w:val="22"/>
          <w:szCs w:val="22"/>
        </w:rPr>
      </w:pPr>
      <w:r w:rsidRPr="0051439E">
        <w:rPr>
          <w:rStyle w:val="normaltextrun"/>
          <w:rFonts w:eastAsiaTheme="minorEastAsia"/>
          <w:color w:val="FF0000"/>
          <w:sz w:val="22"/>
          <w:szCs w:val="22"/>
          <w:shd w:val="clear" w:color="auto" w:fill="00FF00"/>
        </w:rPr>
        <w:t>IV - quando for atender a execução descentralizada de programa ou projeto federal, por meio de compra nacional ou da adesão de que trata o § 2º do art. 32; ou  </w:t>
      </w:r>
      <w:r w:rsidRPr="0051439E">
        <w:rPr>
          <w:rStyle w:val="eop"/>
          <w:rFonts w:eastAsiaTheme="minorEastAsia"/>
          <w:color w:val="FF0000"/>
          <w:sz w:val="22"/>
          <w:szCs w:val="22"/>
        </w:rPr>
        <w:t> </w:t>
      </w:r>
    </w:p>
    <w:p w14:paraId="4C38869A" w14:textId="77777777" w:rsidR="006D1F90" w:rsidRPr="0051439E" w:rsidRDefault="006D1F90" w:rsidP="006D1F90">
      <w:pPr>
        <w:pStyle w:val="paragraph"/>
        <w:spacing w:before="0" w:beforeAutospacing="0" w:after="0" w:afterAutospacing="0"/>
        <w:ind w:left="1350"/>
        <w:jc w:val="both"/>
        <w:textAlignment w:val="baseline"/>
        <w:rPr>
          <w:rStyle w:val="normaltextrun"/>
          <w:rFonts w:eastAsiaTheme="minorEastAsia"/>
          <w:color w:val="FF0000"/>
          <w:sz w:val="22"/>
          <w:szCs w:val="22"/>
          <w:shd w:val="clear" w:color="auto" w:fill="00FF00"/>
        </w:rPr>
      </w:pPr>
      <w:r w:rsidRPr="0051439E">
        <w:rPr>
          <w:rStyle w:val="normaltextrun"/>
          <w:rFonts w:eastAsiaTheme="minorEastAsia"/>
          <w:color w:val="FF0000"/>
          <w:sz w:val="22"/>
          <w:szCs w:val="22"/>
          <w:shd w:val="clear" w:color="auto" w:fill="00FF00"/>
        </w:rPr>
        <w:t>V - quando, pela natureza do objeto, não for possível definir previamente o quantitativo a ser demandado pela Administração.</w:t>
      </w:r>
    </w:p>
    <w:p w14:paraId="2F909DF5" w14:textId="77777777" w:rsidR="006D1F90" w:rsidRPr="0051439E" w:rsidRDefault="006D1F90" w:rsidP="006D1F90">
      <w:pPr>
        <w:pStyle w:val="paragraph"/>
        <w:spacing w:before="0" w:beforeAutospacing="0" w:after="0" w:afterAutospacing="0"/>
        <w:ind w:left="1350"/>
        <w:jc w:val="both"/>
        <w:rPr>
          <w:rFonts w:eastAsiaTheme="minorEastAsia"/>
          <w:color w:val="FF0000"/>
          <w:sz w:val="22"/>
          <w:szCs w:val="22"/>
        </w:rPr>
      </w:pPr>
    </w:p>
    <w:p w14:paraId="5A089BF1" w14:textId="77777777" w:rsidR="006D1F90" w:rsidRPr="0051439E" w:rsidRDefault="006D1F90" w:rsidP="006D1F90">
      <w:pPr>
        <w:pStyle w:val="paragraph"/>
        <w:spacing w:before="0" w:beforeAutospacing="0" w:after="0" w:afterAutospacing="0"/>
        <w:ind w:left="1350"/>
        <w:jc w:val="both"/>
        <w:textAlignment w:val="baseline"/>
        <w:rPr>
          <w:rFonts w:eastAsiaTheme="minorEastAsia"/>
          <w:color w:val="FF0000"/>
          <w:sz w:val="22"/>
          <w:szCs w:val="22"/>
        </w:rPr>
      </w:pPr>
      <w:r w:rsidRPr="0051439E">
        <w:rPr>
          <w:rFonts w:eastAsiaTheme="minorEastAsia"/>
          <w:color w:val="FF0000"/>
          <w:sz w:val="22"/>
          <w:szCs w:val="22"/>
        </w:rPr>
        <w:t>Parágrafo único.  </w:t>
      </w:r>
      <w:r w:rsidRPr="0051439E">
        <w:rPr>
          <w:rFonts w:eastAsiaTheme="minorEastAsia"/>
          <w:color w:val="FF0000"/>
          <w:sz w:val="22"/>
          <w:szCs w:val="22"/>
          <w:u w:val="single"/>
        </w:rPr>
        <w:t xml:space="preserve">O SRP poderá ser utilizado para a contratação de execução de </w:t>
      </w:r>
      <w:r w:rsidRPr="0051439E">
        <w:rPr>
          <w:rFonts w:eastAsiaTheme="minorEastAsia"/>
          <w:b/>
          <w:bCs/>
          <w:color w:val="FF0000"/>
          <w:sz w:val="22"/>
          <w:szCs w:val="22"/>
          <w:u w:val="single"/>
        </w:rPr>
        <w:t>obras e serviços de engenharia</w:t>
      </w:r>
      <w:r w:rsidRPr="0051439E">
        <w:rPr>
          <w:rFonts w:eastAsiaTheme="minorEastAsia"/>
          <w:color w:val="FF0000"/>
          <w:sz w:val="22"/>
          <w:szCs w:val="22"/>
          <w:u w:val="single"/>
        </w:rPr>
        <w:t xml:space="preserve">, </w:t>
      </w:r>
      <w:r w:rsidRPr="0051439E">
        <w:rPr>
          <w:rFonts w:eastAsiaTheme="minorEastAsia"/>
          <w:b/>
          <w:bCs/>
          <w:color w:val="FF0000"/>
          <w:sz w:val="22"/>
          <w:szCs w:val="22"/>
          <w:u w:val="single"/>
        </w:rPr>
        <w:t>desde que atendidos os seguintes</w:t>
      </w:r>
      <w:r w:rsidRPr="0051439E">
        <w:rPr>
          <w:rFonts w:eastAsiaTheme="minorEastAsia"/>
          <w:color w:val="FF0000"/>
          <w:sz w:val="22"/>
          <w:szCs w:val="22"/>
          <w:u w:val="single"/>
        </w:rPr>
        <w:t xml:space="preserve"> </w:t>
      </w:r>
      <w:r w:rsidRPr="0051439E">
        <w:rPr>
          <w:rFonts w:eastAsiaTheme="minorEastAsia"/>
          <w:b/>
          <w:bCs/>
          <w:color w:val="FF0000"/>
          <w:sz w:val="22"/>
          <w:szCs w:val="22"/>
          <w:u w:val="single"/>
        </w:rPr>
        <w:t>requisitos</w:t>
      </w:r>
      <w:r w:rsidRPr="0051439E">
        <w:rPr>
          <w:rFonts w:eastAsiaTheme="minorEastAsia"/>
          <w:color w:val="FF0000"/>
          <w:sz w:val="22"/>
          <w:szCs w:val="22"/>
        </w:rPr>
        <w:t>:</w:t>
      </w:r>
    </w:p>
    <w:p w14:paraId="17534186" w14:textId="77777777" w:rsidR="006D1F90" w:rsidRPr="0051439E" w:rsidRDefault="006D1F90" w:rsidP="006D1F90">
      <w:pPr>
        <w:pStyle w:val="paragraph"/>
        <w:spacing w:before="0" w:beforeAutospacing="0" w:after="0" w:afterAutospacing="0"/>
        <w:ind w:left="1350"/>
        <w:jc w:val="both"/>
        <w:textAlignment w:val="baseline"/>
        <w:rPr>
          <w:rFonts w:eastAsiaTheme="minorEastAsia"/>
          <w:b/>
          <w:bCs/>
          <w:color w:val="FF0000"/>
          <w:sz w:val="22"/>
          <w:szCs w:val="22"/>
          <w:u w:val="single"/>
        </w:rPr>
      </w:pPr>
      <w:r w:rsidRPr="0051439E">
        <w:rPr>
          <w:rFonts w:eastAsiaTheme="minorEastAsia"/>
          <w:color w:val="FF0000"/>
          <w:sz w:val="22"/>
          <w:szCs w:val="22"/>
        </w:rPr>
        <w:t xml:space="preserve">I - existência de termo de referência, anteprojeto, projeto básico ou projeto executivo </w:t>
      </w:r>
      <w:r w:rsidRPr="0051439E">
        <w:rPr>
          <w:rFonts w:eastAsiaTheme="minorEastAsia"/>
          <w:b/>
          <w:bCs/>
          <w:color w:val="FF0000"/>
          <w:sz w:val="22"/>
          <w:szCs w:val="22"/>
          <w:u w:val="single"/>
        </w:rPr>
        <w:t>padronizados, sem complexidade técnica e operacional</w:t>
      </w:r>
      <w:r w:rsidRPr="0051439E">
        <w:rPr>
          <w:rFonts w:eastAsiaTheme="minorEastAsia"/>
          <w:color w:val="FF0000"/>
          <w:sz w:val="22"/>
          <w:szCs w:val="22"/>
        </w:rPr>
        <w:t xml:space="preserve">; </w:t>
      </w:r>
      <w:r w:rsidRPr="0051439E">
        <w:rPr>
          <w:rFonts w:eastAsiaTheme="minorEastAsia"/>
          <w:b/>
          <w:bCs/>
          <w:color w:val="FF0000"/>
          <w:sz w:val="22"/>
          <w:szCs w:val="22"/>
          <w:u w:val="single"/>
        </w:rPr>
        <w:t>e</w:t>
      </w:r>
    </w:p>
    <w:p w14:paraId="70056467" w14:textId="77777777" w:rsidR="006D1F90" w:rsidRPr="0051439E" w:rsidRDefault="006D1F90" w:rsidP="006D1F90">
      <w:pPr>
        <w:pStyle w:val="paragraph"/>
        <w:spacing w:before="0" w:beforeAutospacing="0" w:after="0" w:afterAutospacing="0"/>
        <w:ind w:left="1350"/>
        <w:jc w:val="both"/>
        <w:textAlignment w:val="baseline"/>
        <w:rPr>
          <w:rFonts w:eastAsiaTheme="minorEastAsia"/>
          <w:color w:val="FF0000"/>
          <w:sz w:val="22"/>
          <w:szCs w:val="22"/>
          <w:shd w:val="clear" w:color="auto" w:fill="00FF00"/>
        </w:rPr>
      </w:pPr>
      <w:r w:rsidRPr="0051439E">
        <w:rPr>
          <w:rFonts w:eastAsiaTheme="minorEastAsia"/>
          <w:color w:val="FF0000"/>
          <w:sz w:val="22"/>
          <w:szCs w:val="22"/>
        </w:rPr>
        <w:t xml:space="preserve">II - </w:t>
      </w:r>
      <w:r w:rsidRPr="0051439E">
        <w:rPr>
          <w:rFonts w:eastAsiaTheme="minorEastAsia"/>
          <w:b/>
          <w:bCs/>
          <w:color w:val="FF0000"/>
          <w:sz w:val="22"/>
          <w:szCs w:val="22"/>
        </w:rPr>
        <w:t>necessidade permanente ou frequente de obra ou serviço a ser contratado</w:t>
      </w:r>
      <w:r w:rsidRPr="0051439E">
        <w:rPr>
          <w:rFonts w:eastAsiaTheme="minorEastAsia"/>
          <w:color w:val="FF0000"/>
          <w:sz w:val="22"/>
          <w:szCs w:val="22"/>
        </w:rPr>
        <w:t>.</w:t>
      </w:r>
    </w:p>
    <w:p w14:paraId="19E9C280" w14:textId="77777777" w:rsidR="006D1F90" w:rsidRPr="0051439E" w:rsidRDefault="006D1F90" w:rsidP="006D1F90">
      <w:pPr>
        <w:spacing w:after="0"/>
        <w:jc w:val="both"/>
        <w:textAlignment w:val="baseline"/>
        <w:rPr>
          <w:rStyle w:val="eop"/>
          <w:rFonts w:ascii="Times New Roman" w:eastAsiaTheme="minorEastAsia" w:hAnsi="Times New Roman" w:cs="Times New Roman"/>
          <w:color w:val="FF0000"/>
        </w:rPr>
      </w:pPr>
      <w:r w:rsidRPr="0051439E">
        <w:rPr>
          <w:rStyle w:val="eop"/>
          <w:rFonts w:ascii="Times New Roman" w:eastAsiaTheme="minorEastAsia" w:hAnsi="Times New Roman" w:cs="Times New Roman"/>
          <w:color w:val="FF0000"/>
        </w:rPr>
        <w:t> </w:t>
      </w:r>
      <w:r w:rsidRPr="0051439E">
        <w:rPr>
          <w:rFonts w:ascii="Times New Roman" w:eastAsiaTheme="minorEastAsia" w:hAnsi="Times New Roman" w:cs="Times New Roman"/>
          <w:color w:val="FF0000"/>
        </w:rPr>
        <w:t xml:space="preserve"> </w:t>
      </w:r>
    </w:p>
    <w:p w14:paraId="37D75E60" w14:textId="77777777" w:rsidR="006D1F90" w:rsidRPr="0051439E" w:rsidRDefault="006D1F90" w:rsidP="006D1F90">
      <w:pPr>
        <w:spacing w:after="0"/>
        <w:jc w:val="both"/>
        <w:textAlignment w:val="baseline"/>
        <w:rPr>
          <w:rFonts w:ascii="Times New Roman" w:eastAsiaTheme="minorEastAsia" w:hAnsi="Times New Roman" w:cs="Times New Roman"/>
          <w:color w:val="FF0000"/>
        </w:rPr>
      </w:pPr>
      <w:r w:rsidRPr="0051439E">
        <w:rPr>
          <w:rFonts w:ascii="Times New Roman" w:eastAsiaTheme="minorEastAsia" w:hAnsi="Times New Roman" w:cs="Times New Roman"/>
          <w:color w:val="FF0000"/>
        </w:rPr>
        <w:t xml:space="preserve"> </w:t>
      </w:r>
    </w:p>
    <w:p w14:paraId="5C4C535A" w14:textId="77777777" w:rsidR="006D1F90" w:rsidRPr="0051439E" w:rsidRDefault="006D1F90" w:rsidP="006D1F90">
      <w:pPr>
        <w:spacing w:after="0"/>
        <w:jc w:val="both"/>
        <w:textAlignment w:val="baseline"/>
        <w:rPr>
          <w:rFonts w:ascii="Times New Roman" w:eastAsiaTheme="minorEastAsia" w:hAnsi="Times New Roman" w:cs="Times New Roman"/>
          <w:color w:val="FF0000"/>
          <w:highlight w:val="cyan"/>
        </w:rPr>
      </w:pPr>
      <w:r w:rsidRPr="0051439E">
        <w:rPr>
          <w:rFonts w:ascii="Times New Roman" w:eastAsiaTheme="minorEastAsia" w:hAnsi="Times New Roman" w:cs="Times New Roman"/>
          <w:color w:val="FF0000"/>
          <w:highlight w:val="cyan"/>
        </w:rPr>
        <w:t xml:space="preserve">No caso, verifica-se que a Administração indicou, às fls./no doc. SEI n. </w:t>
      </w:r>
      <w:proofErr w:type="spellStart"/>
      <w:r w:rsidRPr="0051439E">
        <w:rPr>
          <w:rFonts w:ascii="Times New Roman" w:eastAsiaTheme="minorEastAsia" w:hAnsi="Times New Roman" w:cs="Times New Roman"/>
          <w:color w:val="FF0000"/>
          <w:highlight w:val="cyan"/>
        </w:rPr>
        <w:t>xxxx</w:t>
      </w:r>
      <w:proofErr w:type="spellEnd"/>
      <w:r w:rsidRPr="0051439E">
        <w:rPr>
          <w:rFonts w:ascii="Times New Roman" w:eastAsiaTheme="minorEastAsia" w:hAnsi="Times New Roman" w:cs="Times New Roman"/>
          <w:color w:val="FF0000"/>
          <w:highlight w:val="cyan"/>
        </w:rPr>
        <w:t xml:space="preserve">, que o SRP foi adotado em razão de </w:t>
      </w:r>
      <w:proofErr w:type="spellStart"/>
      <w:r w:rsidRPr="0051439E">
        <w:rPr>
          <w:rFonts w:ascii="Times New Roman" w:eastAsiaTheme="minorEastAsia" w:hAnsi="Times New Roman" w:cs="Times New Roman"/>
          <w:color w:val="FF0000"/>
          <w:highlight w:val="cyan"/>
        </w:rPr>
        <w:t>xxxxxx</w:t>
      </w:r>
      <w:proofErr w:type="spellEnd"/>
      <w:r w:rsidRPr="0051439E">
        <w:rPr>
          <w:rFonts w:ascii="Times New Roman" w:eastAsiaTheme="minorEastAsia" w:hAnsi="Times New Roman" w:cs="Times New Roman"/>
          <w:color w:val="FF0000"/>
          <w:highlight w:val="cyan"/>
        </w:rPr>
        <w:t xml:space="preserve">, enquadrando a contratação no art. 3º, caput, </w:t>
      </w:r>
      <w:r w:rsidRPr="0051439E">
        <w:rPr>
          <w:rFonts w:ascii="Times New Roman" w:eastAsiaTheme="minorEastAsia" w:hAnsi="Times New Roman" w:cs="Times New Roman"/>
          <w:b/>
          <w:bCs/>
          <w:color w:val="FF0000"/>
          <w:highlight w:val="cyan"/>
          <w:u w:val="single"/>
        </w:rPr>
        <w:t>E/OU</w:t>
      </w:r>
      <w:r w:rsidRPr="0051439E">
        <w:rPr>
          <w:rFonts w:ascii="Times New Roman" w:eastAsiaTheme="minorEastAsia" w:hAnsi="Times New Roman" w:cs="Times New Roman"/>
          <w:color w:val="FF0000"/>
          <w:highlight w:val="cyan"/>
        </w:rPr>
        <w:t xml:space="preserve"> inciso </w:t>
      </w:r>
      <w:proofErr w:type="spellStart"/>
      <w:r w:rsidRPr="0051439E">
        <w:rPr>
          <w:rFonts w:ascii="Times New Roman" w:eastAsiaTheme="minorEastAsia" w:hAnsi="Times New Roman" w:cs="Times New Roman"/>
          <w:color w:val="FF0000"/>
          <w:highlight w:val="cyan"/>
        </w:rPr>
        <w:t>xx</w:t>
      </w:r>
      <w:proofErr w:type="spellEnd"/>
      <w:r w:rsidRPr="0051439E">
        <w:rPr>
          <w:rFonts w:ascii="Times New Roman" w:eastAsiaTheme="minorEastAsia" w:hAnsi="Times New Roman" w:cs="Times New Roman"/>
          <w:color w:val="FF0000"/>
          <w:highlight w:val="cyan"/>
        </w:rPr>
        <w:t>, do Decreto nº 11.462, de 2023. Pelo exposto, considera-se cabível a adoção do SRP.</w:t>
      </w:r>
      <w:r w:rsidRPr="0051439E">
        <w:rPr>
          <w:rFonts w:ascii="Times New Roman" w:eastAsiaTheme="minorEastAsia" w:hAnsi="Times New Roman" w:cs="Times New Roman"/>
          <w:color w:val="FF0000"/>
        </w:rPr>
        <w:t xml:space="preserve"> </w:t>
      </w:r>
    </w:p>
    <w:p w14:paraId="772692A9" w14:textId="77777777" w:rsidR="006D1F90" w:rsidRPr="0051439E" w:rsidRDefault="006D1F90" w:rsidP="006D1F90">
      <w:pPr>
        <w:spacing w:after="0"/>
        <w:ind w:firstLine="1410"/>
        <w:jc w:val="both"/>
        <w:textAlignment w:val="baseline"/>
        <w:rPr>
          <w:rFonts w:ascii="Times New Roman" w:eastAsiaTheme="minorEastAsia" w:hAnsi="Times New Roman" w:cs="Times New Roman"/>
          <w:color w:val="000000" w:themeColor="text1"/>
        </w:rPr>
      </w:pPr>
      <w:r w:rsidRPr="0051439E">
        <w:rPr>
          <w:rFonts w:ascii="Times New Roman" w:eastAsiaTheme="minorEastAsia" w:hAnsi="Times New Roman" w:cs="Times New Roman"/>
          <w:color w:val="000000" w:themeColor="text1"/>
        </w:rPr>
        <w:t xml:space="preserve"> </w:t>
      </w:r>
    </w:p>
    <w:p w14:paraId="1DD55DF9" w14:textId="77777777" w:rsidR="006D1F90" w:rsidRPr="0051439E" w:rsidRDefault="006D1F90" w:rsidP="006D1F90">
      <w:pPr>
        <w:spacing w:after="0"/>
        <w:ind w:firstLine="1410"/>
        <w:jc w:val="both"/>
        <w:textAlignment w:val="baseline"/>
        <w:rPr>
          <w:rFonts w:ascii="Times New Roman" w:eastAsiaTheme="minorEastAsia" w:hAnsi="Times New Roman" w:cs="Times New Roman"/>
          <w:color w:val="FF0000"/>
          <w:highlight w:val="cyan"/>
          <w:u w:val="single"/>
        </w:rPr>
      </w:pPr>
      <w:r w:rsidRPr="0051439E">
        <w:rPr>
          <w:rFonts w:ascii="Times New Roman" w:eastAsiaTheme="minorEastAsia" w:hAnsi="Times New Roman" w:cs="Times New Roman"/>
          <w:color w:val="FF0000"/>
          <w:highlight w:val="cyan"/>
        </w:rPr>
        <w:t xml:space="preserve">Adicionalmente, cabe à Administração </w:t>
      </w:r>
      <w:r w:rsidRPr="0051439E">
        <w:rPr>
          <w:rFonts w:ascii="Times New Roman" w:eastAsiaTheme="minorEastAsia" w:hAnsi="Times New Roman" w:cs="Times New Roman"/>
          <w:b/>
          <w:bCs/>
          <w:color w:val="FF0000"/>
          <w:highlight w:val="cyan"/>
        </w:rPr>
        <w:t>atender aos requisitos do art. 3º,</w:t>
      </w:r>
      <w:r w:rsidRPr="0051439E">
        <w:rPr>
          <w:rFonts w:ascii="Times New Roman" w:eastAsiaTheme="minorEastAsia" w:hAnsi="Times New Roman" w:cs="Times New Roman"/>
          <w:color w:val="FF0000"/>
          <w:highlight w:val="cyan"/>
        </w:rPr>
        <w:t xml:space="preserve"> </w:t>
      </w:r>
      <w:r w:rsidRPr="0051439E">
        <w:rPr>
          <w:rFonts w:ascii="Times New Roman" w:eastAsiaTheme="minorEastAsia" w:hAnsi="Times New Roman" w:cs="Times New Roman"/>
          <w:b/>
          <w:bCs/>
          <w:color w:val="FF0000"/>
          <w:highlight w:val="cyan"/>
        </w:rPr>
        <w:t>parágrafo único,</w:t>
      </w:r>
      <w:r w:rsidRPr="0051439E">
        <w:rPr>
          <w:rFonts w:ascii="Times New Roman" w:eastAsiaTheme="minorEastAsia" w:hAnsi="Times New Roman" w:cs="Times New Roman"/>
          <w:color w:val="FF0000"/>
          <w:highlight w:val="cyan"/>
        </w:rPr>
        <w:t xml:space="preserve"> do Decreto nº 11.462, de 2023, o que restou justificado nos autos (fls. SEI)</w:t>
      </w:r>
      <w:r w:rsidRPr="0051439E">
        <w:rPr>
          <w:rFonts w:ascii="Times New Roman" w:eastAsiaTheme="minorEastAsia" w:hAnsi="Times New Roman" w:cs="Times New Roman"/>
          <w:b/>
          <w:bCs/>
          <w:color w:val="FF0000"/>
          <w:highlight w:val="cyan"/>
        </w:rPr>
        <w:t xml:space="preserve"> </w:t>
      </w:r>
      <w:r w:rsidRPr="0051439E">
        <w:rPr>
          <w:rFonts w:ascii="Times New Roman" w:eastAsiaTheme="minorEastAsia" w:hAnsi="Times New Roman" w:cs="Times New Roman"/>
          <w:b/>
          <w:bCs/>
          <w:color w:val="FF0000"/>
          <w:highlight w:val="cyan"/>
          <w:u w:val="single"/>
        </w:rPr>
        <w:t>OU</w:t>
      </w:r>
      <w:r w:rsidRPr="0051439E">
        <w:rPr>
          <w:rFonts w:ascii="Times New Roman" w:eastAsiaTheme="minorEastAsia" w:hAnsi="Times New Roman" w:cs="Times New Roman"/>
          <w:color w:val="FF0000"/>
          <w:highlight w:val="cyan"/>
        </w:rPr>
        <w:t xml:space="preserve"> </w:t>
      </w:r>
      <w:r w:rsidRPr="0051439E">
        <w:rPr>
          <w:rFonts w:ascii="Times New Roman" w:eastAsiaTheme="minorEastAsia" w:hAnsi="Times New Roman" w:cs="Times New Roman"/>
          <w:b/>
          <w:bCs/>
          <w:color w:val="FF0000"/>
          <w:highlight w:val="cyan"/>
        </w:rPr>
        <w:t xml:space="preserve">o que não restou justificado nos autos, </w:t>
      </w:r>
      <w:r w:rsidRPr="0051439E">
        <w:rPr>
          <w:rFonts w:ascii="Times New Roman" w:eastAsiaTheme="minorEastAsia" w:hAnsi="Times New Roman" w:cs="Times New Roman"/>
          <w:b/>
          <w:bCs/>
          <w:color w:val="FF0000"/>
          <w:highlight w:val="cyan"/>
          <w:u w:val="single"/>
        </w:rPr>
        <w:t>demandando o saneamento da instrução processual</w:t>
      </w:r>
      <w:r w:rsidRPr="0051439E">
        <w:rPr>
          <w:rFonts w:ascii="Times New Roman" w:eastAsiaTheme="minorEastAsia" w:hAnsi="Times New Roman" w:cs="Times New Roman"/>
          <w:color w:val="FF0000"/>
          <w:highlight w:val="cyan"/>
          <w:u w:val="single"/>
        </w:rPr>
        <w:t>.</w:t>
      </w:r>
    </w:p>
    <w:p w14:paraId="1D82E79C" w14:textId="77777777" w:rsidR="006D1F90" w:rsidRPr="0051439E" w:rsidRDefault="006D1F90" w:rsidP="006D1F90">
      <w:pPr>
        <w:spacing w:after="0"/>
        <w:ind w:firstLine="1410"/>
        <w:jc w:val="both"/>
        <w:textAlignment w:val="baseline"/>
        <w:rPr>
          <w:rFonts w:ascii="Times New Roman" w:eastAsiaTheme="minorEastAsia" w:hAnsi="Times New Roman" w:cs="Times New Roman"/>
          <w:color w:val="000000" w:themeColor="text1"/>
          <w:highlight w:val="cyan"/>
        </w:rPr>
      </w:pPr>
      <w:r w:rsidRPr="0051439E">
        <w:rPr>
          <w:rFonts w:ascii="Times New Roman" w:eastAsiaTheme="minorEastAsia" w:hAnsi="Times New Roman" w:cs="Times New Roman"/>
          <w:color w:val="000000" w:themeColor="text1"/>
          <w:highlight w:val="cyan"/>
        </w:rPr>
        <w:t xml:space="preserve"> </w:t>
      </w:r>
    </w:p>
    <w:p w14:paraId="41FC1075" w14:textId="77777777" w:rsidR="006D1F90" w:rsidRPr="0051439E" w:rsidRDefault="006D1F90" w:rsidP="006D1F90">
      <w:pPr>
        <w:spacing w:after="0"/>
        <w:ind w:firstLine="1410"/>
        <w:jc w:val="both"/>
        <w:textAlignment w:val="baseline"/>
        <w:rPr>
          <w:rFonts w:ascii="Times New Roman" w:eastAsiaTheme="minorEastAsia" w:hAnsi="Times New Roman" w:cs="Times New Roman"/>
          <w:color w:val="FF0000"/>
          <w:highlight w:val="cyan"/>
        </w:rPr>
      </w:pPr>
      <w:r w:rsidRPr="0051439E">
        <w:rPr>
          <w:rFonts w:ascii="Times New Roman" w:eastAsiaTheme="minorEastAsia" w:hAnsi="Times New Roman" w:cs="Times New Roman"/>
          <w:b/>
          <w:bCs/>
          <w:color w:val="FF0000"/>
          <w:highlight w:val="cyan"/>
          <w:u w:val="single"/>
        </w:rPr>
        <w:t>OU</w:t>
      </w:r>
      <w:r w:rsidRPr="0051439E">
        <w:rPr>
          <w:rFonts w:ascii="Times New Roman" w:eastAsiaTheme="minorEastAsia" w:hAnsi="Times New Roman" w:cs="Times New Roman"/>
          <w:color w:val="FF0000"/>
        </w:rPr>
        <w:t xml:space="preserve"> </w:t>
      </w:r>
    </w:p>
    <w:p w14:paraId="7E102899" w14:textId="77777777" w:rsidR="006D1F90" w:rsidRPr="0051439E" w:rsidRDefault="006D1F90" w:rsidP="006D1F90">
      <w:pPr>
        <w:spacing w:after="0"/>
        <w:ind w:firstLine="1410"/>
        <w:jc w:val="both"/>
        <w:textAlignment w:val="baseline"/>
        <w:rPr>
          <w:rFonts w:ascii="Times New Roman" w:eastAsiaTheme="minorEastAsia" w:hAnsi="Times New Roman" w:cs="Times New Roman"/>
          <w:color w:val="000000" w:themeColor="text1"/>
          <w:highlight w:val="cyan"/>
        </w:rPr>
      </w:pPr>
      <w:r w:rsidRPr="0051439E">
        <w:rPr>
          <w:rFonts w:ascii="Times New Roman" w:eastAsiaTheme="minorEastAsia" w:hAnsi="Times New Roman" w:cs="Times New Roman"/>
          <w:color w:val="000000" w:themeColor="text1"/>
          <w:highlight w:val="cyan"/>
        </w:rPr>
        <w:t xml:space="preserve"> </w:t>
      </w:r>
    </w:p>
    <w:p w14:paraId="4CF27C74" w14:textId="77777777" w:rsidR="006D1F90" w:rsidRPr="0051439E" w:rsidRDefault="006D1F90" w:rsidP="006D1F90">
      <w:pPr>
        <w:spacing w:after="0"/>
        <w:ind w:firstLine="1410"/>
        <w:jc w:val="both"/>
        <w:textAlignment w:val="baseline"/>
        <w:rPr>
          <w:rFonts w:ascii="Times New Roman" w:eastAsiaTheme="minorEastAsia" w:hAnsi="Times New Roman" w:cs="Times New Roman"/>
          <w:color w:val="000000" w:themeColor="text1"/>
          <w:highlight w:val="cyan"/>
        </w:rPr>
      </w:pPr>
      <w:r w:rsidRPr="0051439E">
        <w:rPr>
          <w:rFonts w:ascii="Times New Roman" w:eastAsiaTheme="minorEastAsia" w:hAnsi="Times New Roman" w:cs="Times New Roman"/>
          <w:color w:val="FF0000"/>
          <w:highlight w:val="cyan"/>
        </w:rPr>
        <w:t xml:space="preserve">No caso, verifica-se que </w:t>
      </w:r>
      <w:r w:rsidRPr="0051439E">
        <w:rPr>
          <w:rFonts w:ascii="Times New Roman" w:eastAsiaTheme="minorEastAsia" w:hAnsi="Times New Roman" w:cs="Times New Roman"/>
          <w:color w:val="FF0000"/>
          <w:highlight w:val="cyan"/>
          <w:u w:val="single"/>
        </w:rPr>
        <w:t xml:space="preserve">a Administração não apresentou justificativa da pertinência de adoção do SRP nem fez o devido enquadramento nas hipóteses previstas, inclusive quanto ao atendimento dos requisitos do </w:t>
      </w:r>
      <w:r w:rsidRPr="0051439E">
        <w:rPr>
          <w:rFonts w:ascii="Times New Roman" w:eastAsiaTheme="minorEastAsia" w:hAnsi="Times New Roman" w:cs="Times New Roman"/>
          <w:b/>
          <w:bCs/>
          <w:color w:val="FF0000"/>
          <w:highlight w:val="cyan"/>
          <w:u w:val="single"/>
        </w:rPr>
        <w:t>art. 3º, parágrafo único</w:t>
      </w:r>
      <w:r w:rsidRPr="0051439E">
        <w:rPr>
          <w:rFonts w:ascii="Times New Roman" w:eastAsiaTheme="minorEastAsia" w:hAnsi="Times New Roman" w:cs="Times New Roman"/>
          <w:color w:val="FF0000"/>
          <w:highlight w:val="cyan"/>
          <w:u w:val="single"/>
        </w:rPr>
        <w:t>, do Decreto nº 11.462, de 2023</w:t>
      </w:r>
      <w:r w:rsidRPr="0051439E">
        <w:rPr>
          <w:rFonts w:ascii="Times New Roman" w:eastAsiaTheme="minorEastAsia" w:hAnsi="Times New Roman" w:cs="Times New Roman"/>
          <w:color w:val="FF0000"/>
          <w:highlight w:val="cyan"/>
        </w:rPr>
        <w:t xml:space="preserve">, razão pela qual não se faz possível conferir a adequação da escolha, </w:t>
      </w:r>
      <w:r w:rsidRPr="0051439E">
        <w:rPr>
          <w:rFonts w:ascii="Times New Roman" w:eastAsiaTheme="minorEastAsia" w:hAnsi="Times New Roman" w:cs="Times New Roman"/>
          <w:b/>
          <w:bCs/>
          <w:color w:val="FF0000"/>
          <w:highlight w:val="cyan"/>
          <w:u w:val="single"/>
        </w:rPr>
        <w:t>devendo tal motivação ser apresentada.</w:t>
      </w:r>
      <w:r w:rsidRPr="0051439E">
        <w:rPr>
          <w:rFonts w:ascii="Times New Roman" w:eastAsiaTheme="minorEastAsia" w:hAnsi="Times New Roman" w:cs="Times New Roman"/>
          <w:b/>
          <w:bCs/>
          <w:color w:val="FF0000"/>
        </w:rPr>
        <w:t xml:space="preserve">  </w:t>
      </w:r>
      <w:r w:rsidRPr="0051439E">
        <w:rPr>
          <w:rFonts w:ascii="Times New Roman" w:eastAsiaTheme="minorEastAsia" w:hAnsi="Times New Roman" w:cs="Times New Roman"/>
          <w:color w:val="000000" w:themeColor="text1"/>
        </w:rPr>
        <w:t xml:space="preserve">  </w:t>
      </w:r>
    </w:p>
    <w:p w14:paraId="0D9D462F" w14:textId="77777777" w:rsidR="006D1F90" w:rsidRPr="0051439E" w:rsidRDefault="006D1F90" w:rsidP="006D1F90">
      <w:pPr>
        <w:spacing w:after="0"/>
        <w:ind w:firstLine="1410"/>
        <w:jc w:val="both"/>
        <w:textAlignment w:val="baseline"/>
        <w:rPr>
          <w:rFonts w:ascii="Times New Roman" w:eastAsiaTheme="minorEastAsia" w:hAnsi="Times New Roman" w:cs="Times New Roman"/>
          <w:color w:val="000000" w:themeColor="text1"/>
        </w:rPr>
      </w:pPr>
      <w:r w:rsidRPr="0051439E">
        <w:rPr>
          <w:rFonts w:ascii="Times New Roman" w:eastAsiaTheme="minorEastAsia" w:hAnsi="Times New Roman" w:cs="Times New Roman"/>
          <w:color w:val="000000" w:themeColor="text1"/>
        </w:rPr>
        <w:t xml:space="preserve"> </w:t>
      </w:r>
    </w:p>
    <w:p w14:paraId="659A3CF5" w14:textId="77777777" w:rsidR="006D1F90" w:rsidRPr="0051439E" w:rsidRDefault="006D1F90" w:rsidP="006D1F90">
      <w:pPr>
        <w:spacing w:after="0"/>
        <w:ind w:firstLine="1410"/>
        <w:jc w:val="both"/>
        <w:textAlignment w:val="baseline"/>
        <w:rPr>
          <w:rFonts w:ascii="Times New Roman" w:eastAsiaTheme="minorEastAsia" w:hAnsi="Times New Roman" w:cs="Times New Roman"/>
          <w:color w:val="000000" w:themeColor="text1"/>
        </w:rPr>
      </w:pPr>
    </w:p>
    <w:p w14:paraId="69217292" w14:textId="77777777" w:rsidR="006D1F90" w:rsidRPr="0051439E" w:rsidRDefault="006D1F90" w:rsidP="006D1F90">
      <w:pPr>
        <w:spacing w:after="0"/>
        <w:ind w:firstLine="1410"/>
        <w:jc w:val="both"/>
        <w:textAlignment w:val="baseline"/>
        <w:rPr>
          <w:rFonts w:ascii="Times New Roman" w:eastAsiaTheme="minorEastAsia" w:hAnsi="Times New Roman" w:cs="Times New Roman"/>
          <w:b/>
          <w:bCs/>
          <w:color w:val="FF0000"/>
        </w:rPr>
      </w:pPr>
      <w:r w:rsidRPr="0051439E">
        <w:rPr>
          <w:rFonts w:ascii="Times New Roman" w:eastAsiaTheme="minorEastAsia" w:hAnsi="Times New Roman" w:cs="Times New Roman"/>
          <w:b/>
          <w:bCs/>
          <w:color w:val="FF0000"/>
        </w:rPr>
        <w:t>DA INTENÇÃO DE REGISTRO DE PREÇOS</w:t>
      </w:r>
    </w:p>
    <w:p w14:paraId="433536A3" w14:textId="77777777" w:rsidR="006D1F90" w:rsidRPr="0051439E" w:rsidRDefault="006D1F90" w:rsidP="006D1F90">
      <w:pPr>
        <w:spacing w:after="0"/>
        <w:ind w:firstLine="1410"/>
        <w:jc w:val="both"/>
        <w:textAlignment w:val="baseline"/>
        <w:rPr>
          <w:rFonts w:ascii="Times New Roman" w:eastAsiaTheme="minorEastAsia" w:hAnsi="Times New Roman" w:cs="Times New Roman"/>
          <w:color w:val="FF0000"/>
        </w:rPr>
      </w:pPr>
      <w:r w:rsidRPr="0051439E">
        <w:rPr>
          <w:rFonts w:ascii="Times New Roman" w:eastAsiaTheme="minorEastAsia" w:hAnsi="Times New Roman" w:cs="Times New Roman"/>
          <w:color w:val="FF0000"/>
        </w:rPr>
        <w:t xml:space="preserve"> </w:t>
      </w:r>
    </w:p>
    <w:p w14:paraId="6B7DDEC2" w14:textId="77777777" w:rsidR="006D1F90" w:rsidRPr="0051439E" w:rsidRDefault="006D1F90" w:rsidP="006D1F90">
      <w:pPr>
        <w:spacing w:after="0"/>
        <w:jc w:val="both"/>
        <w:textAlignment w:val="baseline"/>
        <w:rPr>
          <w:rFonts w:ascii="Times New Roman" w:eastAsiaTheme="minorEastAsia" w:hAnsi="Times New Roman" w:cs="Times New Roman"/>
          <w:color w:val="FF0000"/>
        </w:rPr>
      </w:pPr>
      <w:r w:rsidRPr="0051439E">
        <w:rPr>
          <w:rFonts w:ascii="Times New Roman" w:eastAsiaTheme="minorEastAsia" w:hAnsi="Times New Roman" w:cs="Times New Roman"/>
          <w:color w:val="FF0000"/>
        </w:rPr>
        <w:t xml:space="preserve">Nos termos do art. 86 da Lei nº 14.133, de 2021, e art. 9º do Decreto nº 11.462, de 2023, a adoção do Sistema de Registro de Preços pressupõe, como regra geral, a divulgação da intenção de registro de preços perante possíveis órgãos participantes. </w:t>
      </w:r>
    </w:p>
    <w:p w14:paraId="56D7A69F" w14:textId="77777777" w:rsidR="006D1F90" w:rsidRPr="0051439E" w:rsidRDefault="006D1F90" w:rsidP="006D1F90">
      <w:pPr>
        <w:spacing w:after="0"/>
        <w:jc w:val="both"/>
        <w:textAlignment w:val="baseline"/>
        <w:rPr>
          <w:rFonts w:ascii="Times New Roman" w:eastAsiaTheme="minorEastAsia" w:hAnsi="Times New Roman" w:cs="Times New Roman"/>
          <w:color w:val="FF0000"/>
        </w:rPr>
      </w:pPr>
      <w:r w:rsidRPr="0051439E">
        <w:rPr>
          <w:rFonts w:ascii="Times New Roman" w:eastAsiaTheme="minorEastAsia" w:hAnsi="Times New Roman" w:cs="Times New Roman"/>
          <w:color w:val="FF0000"/>
        </w:rPr>
        <w:t xml:space="preserve"> </w:t>
      </w:r>
    </w:p>
    <w:p w14:paraId="2A1FFC34" w14:textId="77777777" w:rsidR="006D1F90" w:rsidRPr="0051439E" w:rsidRDefault="006D1F90" w:rsidP="006D1F90">
      <w:pPr>
        <w:spacing w:after="0"/>
        <w:jc w:val="both"/>
        <w:textAlignment w:val="baseline"/>
        <w:rPr>
          <w:rFonts w:ascii="Times New Roman" w:eastAsiaTheme="minorEastAsia" w:hAnsi="Times New Roman" w:cs="Times New Roman"/>
          <w:color w:val="FF0000"/>
        </w:rPr>
      </w:pPr>
      <w:r w:rsidRPr="0051439E">
        <w:rPr>
          <w:rFonts w:ascii="Times New Roman" w:eastAsiaTheme="minorEastAsia" w:hAnsi="Times New Roman" w:cs="Times New Roman"/>
          <w:color w:val="FF0000"/>
        </w:rPr>
        <w:t xml:space="preserve">Será dispensável essa divulgação quando o órgão ou a entidade gerenciadora for o único contratante (art. 86, §1º, da Lei nº 14.133, de 2021 e art. 9º, § 2º, do Decreto nº 11.462, de 2023). </w:t>
      </w:r>
    </w:p>
    <w:p w14:paraId="281B1396" w14:textId="77777777" w:rsidR="006D1F90" w:rsidRPr="0051439E" w:rsidRDefault="006D1F90" w:rsidP="006D1F90">
      <w:pPr>
        <w:spacing w:after="0"/>
        <w:jc w:val="both"/>
        <w:textAlignment w:val="baseline"/>
        <w:rPr>
          <w:rFonts w:ascii="Times New Roman" w:eastAsiaTheme="minorEastAsia" w:hAnsi="Times New Roman" w:cs="Times New Roman"/>
          <w:color w:val="FF0000"/>
        </w:rPr>
      </w:pPr>
      <w:r w:rsidRPr="0051439E">
        <w:rPr>
          <w:rFonts w:ascii="Times New Roman" w:eastAsiaTheme="minorEastAsia" w:hAnsi="Times New Roman" w:cs="Times New Roman"/>
          <w:color w:val="FF0000"/>
        </w:rPr>
        <w:t xml:space="preserve"> </w:t>
      </w:r>
    </w:p>
    <w:p w14:paraId="31CB19EA" w14:textId="77777777" w:rsidR="006D1F90" w:rsidRPr="0051439E" w:rsidRDefault="006D1F90" w:rsidP="006D1F90">
      <w:pPr>
        <w:spacing w:after="0"/>
        <w:jc w:val="both"/>
        <w:textAlignment w:val="baseline"/>
        <w:rPr>
          <w:rFonts w:ascii="Times New Roman" w:eastAsiaTheme="minorEastAsia" w:hAnsi="Times New Roman" w:cs="Times New Roman"/>
          <w:color w:val="FF0000"/>
        </w:rPr>
      </w:pPr>
      <w:r w:rsidRPr="0051439E">
        <w:rPr>
          <w:rFonts w:ascii="Times New Roman" w:eastAsiaTheme="minorEastAsia" w:hAnsi="Times New Roman" w:cs="Times New Roman"/>
          <w:color w:val="FF0000"/>
        </w:rPr>
        <w:t xml:space="preserve">Em se tratando de registro de preços com indicação limitada a unidades de contratação, sem indicação do total a ser adquirido, nas hipóteses do art. 4º, do Decreto nº 11.462, de 2023 (item XX do termo de referência), </w:t>
      </w:r>
      <w:r w:rsidRPr="0051439E">
        <w:rPr>
          <w:rFonts w:ascii="Times New Roman" w:eastAsiaTheme="minorEastAsia" w:hAnsi="Times New Roman" w:cs="Times New Roman"/>
          <w:b/>
          <w:bCs/>
          <w:color w:val="FF0000"/>
        </w:rPr>
        <w:t>é vedada a participação</w:t>
      </w:r>
      <w:r w:rsidRPr="0051439E">
        <w:rPr>
          <w:rFonts w:ascii="Times New Roman" w:eastAsiaTheme="minorEastAsia" w:hAnsi="Times New Roman" w:cs="Times New Roman"/>
          <w:color w:val="FF0000"/>
        </w:rPr>
        <w:t xml:space="preserve"> de outro órgão ou entidade na ata (art. 82, § 4º, da Lei nº 14.133, de 2021 e artigo 4º, parágrafo único, do Decreto nº 11.462, de 2023). </w:t>
      </w:r>
    </w:p>
    <w:p w14:paraId="57ADF73B" w14:textId="77777777" w:rsidR="006D1F90" w:rsidRPr="0051439E" w:rsidRDefault="006D1F90" w:rsidP="006D1F90">
      <w:pPr>
        <w:spacing w:after="0"/>
        <w:ind w:firstLine="1410"/>
        <w:jc w:val="both"/>
        <w:textAlignment w:val="baseline"/>
        <w:rPr>
          <w:rFonts w:ascii="Times New Roman" w:eastAsiaTheme="minorEastAsia" w:hAnsi="Times New Roman" w:cs="Times New Roman"/>
          <w:color w:val="FF0000"/>
        </w:rPr>
      </w:pPr>
      <w:r w:rsidRPr="0051439E">
        <w:rPr>
          <w:rFonts w:ascii="Times New Roman" w:eastAsiaTheme="minorEastAsia" w:hAnsi="Times New Roman" w:cs="Times New Roman"/>
          <w:color w:val="FF0000"/>
        </w:rPr>
        <w:t xml:space="preserve"> </w:t>
      </w:r>
    </w:p>
    <w:p w14:paraId="47F26860" w14:textId="77777777" w:rsidR="006D1F90" w:rsidRPr="0051439E" w:rsidRDefault="006D1F90" w:rsidP="006D1F90">
      <w:pPr>
        <w:spacing w:after="0"/>
        <w:jc w:val="both"/>
        <w:textAlignment w:val="baseline"/>
        <w:rPr>
          <w:rFonts w:ascii="Times New Roman" w:eastAsiaTheme="minorEastAsia" w:hAnsi="Times New Roman" w:cs="Times New Roman"/>
          <w:color w:val="FF0000"/>
          <w:highlight w:val="cyan"/>
        </w:rPr>
      </w:pPr>
      <w:r w:rsidRPr="0051439E">
        <w:rPr>
          <w:rFonts w:ascii="Times New Roman" w:eastAsiaTheme="minorEastAsia" w:hAnsi="Times New Roman" w:cs="Times New Roman"/>
          <w:color w:val="FF0000"/>
          <w:highlight w:val="cyan"/>
        </w:rPr>
        <w:t>Às fls. XXX/No doc. SEI n. XXXX, percebe-se que houve a referida divulgação.</w:t>
      </w:r>
      <w:r w:rsidRPr="0051439E">
        <w:rPr>
          <w:rFonts w:ascii="Times New Roman" w:eastAsiaTheme="minorEastAsia" w:hAnsi="Times New Roman" w:cs="Times New Roman"/>
          <w:color w:val="FF0000"/>
        </w:rPr>
        <w:t xml:space="preserve">  </w:t>
      </w:r>
    </w:p>
    <w:p w14:paraId="399B11D4" w14:textId="77777777" w:rsidR="006D1F90" w:rsidRPr="0051439E" w:rsidRDefault="006D1F90" w:rsidP="006D1F90">
      <w:pPr>
        <w:spacing w:after="0"/>
        <w:ind w:firstLine="1350"/>
        <w:jc w:val="both"/>
        <w:textAlignment w:val="baseline"/>
        <w:rPr>
          <w:rFonts w:ascii="Times New Roman" w:eastAsiaTheme="minorEastAsia" w:hAnsi="Times New Roman" w:cs="Times New Roman"/>
          <w:b/>
          <w:color w:val="FF0000"/>
          <w:highlight w:val="cyan"/>
          <w:u w:val="single"/>
        </w:rPr>
      </w:pPr>
      <w:r w:rsidRPr="0051439E">
        <w:rPr>
          <w:rFonts w:ascii="Times New Roman" w:eastAsiaTheme="minorEastAsia" w:hAnsi="Times New Roman" w:cs="Times New Roman"/>
          <w:b/>
          <w:color w:val="FF0000"/>
          <w:highlight w:val="cyan"/>
          <w:u w:val="single"/>
        </w:rPr>
        <w:t>OU</w:t>
      </w:r>
    </w:p>
    <w:p w14:paraId="0D07BB86" w14:textId="77777777" w:rsidR="006D1F90" w:rsidRPr="0051439E" w:rsidRDefault="006D1F90" w:rsidP="006D1F90">
      <w:pPr>
        <w:spacing w:after="0"/>
        <w:ind w:firstLine="1410"/>
        <w:jc w:val="both"/>
        <w:textAlignment w:val="baseline"/>
        <w:rPr>
          <w:rFonts w:ascii="Times New Roman" w:eastAsiaTheme="minorEastAsia" w:hAnsi="Times New Roman" w:cs="Times New Roman"/>
          <w:color w:val="FF0000"/>
          <w:highlight w:val="cyan"/>
        </w:rPr>
      </w:pPr>
      <w:r w:rsidRPr="0051439E">
        <w:rPr>
          <w:rFonts w:ascii="Times New Roman" w:eastAsiaTheme="minorEastAsia" w:hAnsi="Times New Roman" w:cs="Times New Roman"/>
          <w:color w:val="FF0000"/>
          <w:highlight w:val="cyan"/>
        </w:rPr>
        <w:t xml:space="preserve"> </w:t>
      </w:r>
    </w:p>
    <w:p w14:paraId="7CB1BE6C" w14:textId="77777777" w:rsidR="006D1F90" w:rsidRPr="0051439E" w:rsidRDefault="006D1F90" w:rsidP="006D1F90">
      <w:pPr>
        <w:spacing w:after="0"/>
        <w:ind w:firstLine="1410"/>
        <w:jc w:val="both"/>
        <w:textAlignment w:val="baseline"/>
        <w:rPr>
          <w:rFonts w:ascii="Times New Roman" w:eastAsiaTheme="minorEastAsia" w:hAnsi="Times New Roman" w:cs="Times New Roman"/>
          <w:color w:val="FF0000"/>
          <w:highlight w:val="cyan"/>
        </w:rPr>
      </w:pPr>
      <w:r w:rsidRPr="0051439E">
        <w:rPr>
          <w:rFonts w:ascii="Times New Roman" w:eastAsiaTheme="minorEastAsia" w:hAnsi="Times New Roman" w:cs="Times New Roman"/>
          <w:color w:val="FF0000"/>
          <w:highlight w:val="cyan"/>
        </w:rPr>
        <w:t>No caso, apesar de não ter havido a referida divulgação, foi informado que o órgão ou a entidade gerenciadora é o único contratante (fls. XXX/ no doc. SEI n. XXXX ).</w:t>
      </w:r>
      <w:r w:rsidRPr="0051439E">
        <w:rPr>
          <w:rFonts w:ascii="Times New Roman" w:eastAsiaTheme="minorEastAsia" w:hAnsi="Times New Roman" w:cs="Times New Roman"/>
          <w:color w:val="FF0000"/>
        </w:rPr>
        <w:t xml:space="preserve"> </w:t>
      </w:r>
    </w:p>
    <w:p w14:paraId="49E31EA9" w14:textId="77777777" w:rsidR="006D1F90" w:rsidRPr="0051439E" w:rsidRDefault="006D1F90" w:rsidP="006D1F90">
      <w:pPr>
        <w:spacing w:after="0"/>
        <w:ind w:firstLine="1410"/>
        <w:jc w:val="both"/>
        <w:textAlignment w:val="baseline"/>
        <w:rPr>
          <w:rFonts w:ascii="Times New Roman" w:eastAsiaTheme="minorEastAsia" w:hAnsi="Times New Roman" w:cs="Times New Roman"/>
          <w:b/>
          <w:color w:val="FF0000"/>
          <w:highlight w:val="cyan"/>
          <w:u w:val="single"/>
        </w:rPr>
      </w:pPr>
      <w:r w:rsidRPr="0051439E">
        <w:rPr>
          <w:rFonts w:ascii="Times New Roman" w:eastAsiaTheme="minorEastAsia" w:hAnsi="Times New Roman" w:cs="Times New Roman"/>
          <w:b/>
          <w:color w:val="FF0000"/>
          <w:highlight w:val="cyan"/>
          <w:u w:val="single"/>
        </w:rPr>
        <w:t>OU</w:t>
      </w:r>
    </w:p>
    <w:p w14:paraId="291C02C0" w14:textId="77777777" w:rsidR="006D1F90" w:rsidRPr="0051439E" w:rsidRDefault="006D1F90" w:rsidP="006D1F90">
      <w:pPr>
        <w:spacing w:after="0"/>
        <w:ind w:firstLine="1410"/>
        <w:jc w:val="both"/>
        <w:textAlignment w:val="baseline"/>
        <w:rPr>
          <w:rFonts w:ascii="Times New Roman" w:eastAsiaTheme="minorEastAsia" w:hAnsi="Times New Roman" w:cs="Times New Roman"/>
          <w:color w:val="FF0000"/>
          <w:highlight w:val="cyan"/>
        </w:rPr>
      </w:pPr>
      <w:r w:rsidRPr="0051439E">
        <w:rPr>
          <w:rFonts w:ascii="Times New Roman" w:eastAsiaTheme="minorEastAsia" w:hAnsi="Times New Roman" w:cs="Times New Roman"/>
          <w:color w:val="FF0000"/>
          <w:highlight w:val="cyan"/>
        </w:rPr>
        <w:t xml:space="preserve"> </w:t>
      </w:r>
    </w:p>
    <w:p w14:paraId="32A252EC" w14:textId="77777777" w:rsidR="006D1F90" w:rsidRPr="0051439E" w:rsidRDefault="006D1F90" w:rsidP="006D1F90">
      <w:pPr>
        <w:spacing w:after="0"/>
        <w:ind w:firstLine="1410"/>
        <w:jc w:val="both"/>
        <w:textAlignment w:val="baseline"/>
        <w:rPr>
          <w:rFonts w:ascii="Times New Roman" w:eastAsiaTheme="minorEastAsia" w:hAnsi="Times New Roman" w:cs="Times New Roman"/>
          <w:color w:val="FF0000"/>
          <w:highlight w:val="cyan"/>
        </w:rPr>
      </w:pPr>
      <w:r w:rsidRPr="0051439E">
        <w:rPr>
          <w:rFonts w:ascii="Times New Roman" w:eastAsiaTheme="minorEastAsia" w:hAnsi="Times New Roman" w:cs="Times New Roman"/>
          <w:color w:val="FF0000"/>
          <w:highlight w:val="cyan"/>
        </w:rPr>
        <w:t xml:space="preserve">No caso, não consta a divulgação da intenção de registro de preços, nem informação de que o órgão ou a entidade gerenciadora é o único contratante, </w:t>
      </w:r>
      <w:r w:rsidRPr="0051439E">
        <w:rPr>
          <w:rFonts w:ascii="Times New Roman" w:eastAsiaTheme="minorEastAsia" w:hAnsi="Times New Roman" w:cs="Times New Roman"/>
          <w:b/>
          <w:bCs/>
          <w:color w:val="FF0000"/>
          <w:highlight w:val="cyan"/>
          <w:u w:val="single"/>
        </w:rPr>
        <w:t>razão pela qual deve ser realizada a intenção de registro de preços ou justificada a não divulgação do ato</w:t>
      </w:r>
      <w:r w:rsidRPr="0051439E">
        <w:rPr>
          <w:rFonts w:ascii="Times New Roman" w:eastAsiaTheme="minorEastAsia" w:hAnsi="Times New Roman" w:cs="Times New Roman"/>
          <w:color w:val="FF0000"/>
          <w:highlight w:val="cyan"/>
        </w:rPr>
        <w:t>, na forma art. 86, § 1º, da Lei nº 14.133, de 2021 e art. 9º, § 2º, do Decreto nº 11.462, de 2023.</w:t>
      </w:r>
    </w:p>
    <w:p w14:paraId="1853F30A" w14:textId="77777777" w:rsidR="006D1F90" w:rsidRPr="0051439E" w:rsidRDefault="006D1F90" w:rsidP="006D1F90">
      <w:pPr>
        <w:spacing w:after="48" w:line="288" w:lineRule="atLeast"/>
        <w:jc w:val="both"/>
        <w:outlineLvl w:val="1"/>
        <w:rPr>
          <w:rFonts w:ascii="Times New Roman" w:eastAsiaTheme="minorEastAsia" w:hAnsi="Times New Roman" w:cs="Times New Roman"/>
          <w:b/>
          <w:bCs/>
          <w:color w:val="FF0000"/>
          <w:lang w:eastAsia="pt-BR"/>
        </w:rPr>
      </w:pPr>
    </w:p>
    <w:p w14:paraId="679F8F29" w14:textId="77777777" w:rsidR="006D1F90" w:rsidRPr="0051439E" w:rsidRDefault="006D1F90" w:rsidP="006D1F90">
      <w:pPr>
        <w:jc w:val="both"/>
        <w:rPr>
          <w:rFonts w:ascii="Times New Roman" w:eastAsia="Calibri" w:hAnsi="Times New Roman" w:cs="Times New Roman"/>
        </w:rPr>
      </w:pPr>
      <w:r w:rsidRPr="0051439E">
        <w:rPr>
          <w:rFonts w:ascii="Times New Roman" w:eastAsia="Calibri" w:hAnsi="Times New Roman" w:cs="Times New Roman"/>
          <w:b/>
          <w:bCs/>
          <w:color w:val="000000" w:themeColor="text1"/>
        </w:rPr>
        <w:t xml:space="preserve">TITULARIDADE DO IMÓVEL </w:t>
      </w:r>
      <w:r w:rsidRPr="0051439E">
        <w:rPr>
          <w:rFonts w:ascii="Times New Roman" w:eastAsia="Calibri" w:hAnsi="Times New Roman" w:cs="Times New Roman"/>
        </w:rPr>
        <w:t xml:space="preserve">  </w:t>
      </w:r>
    </w:p>
    <w:p w14:paraId="6F441180" w14:textId="77777777" w:rsidR="006D1F90" w:rsidRPr="0051439E" w:rsidRDefault="006D1F90" w:rsidP="006D1F90">
      <w:pPr>
        <w:jc w:val="both"/>
        <w:rPr>
          <w:rFonts w:ascii="Times New Roman" w:eastAsia="Calibri" w:hAnsi="Times New Roman" w:cs="Times New Roman"/>
          <w:color w:val="000000" w:themeColor="text1"/>
        </w:rPr>
      </w:pPr>
      <w:r w:rsidRPr="0051439E">
        <w:rPr>
          <w:rFonts w:ascii="Times New Roman" w:eastAsia="Calibri" w:hAnsi="Times New Roman" w:cs="Times New Roman"/>
          <w:color w:val="000000" w:themeColor="text1"/>
        </w:rPr>
        <w:t>Constitui medida de precaução, na fase de planejamento da contratação, verificar a titularidade do bem. Significa dizer, é importante perquirir se a entidade é a legítima proprietária do imóvel onde se pretende realizar a obra ou serviço de engenharia, o que se dá por meio da certidão atualizada emitida pelo competente Registro de Imóveis, relativa à matrícula do imóvel. Afora isso, é necessário que a entidade verifique se a propriedade/posse do bem lhe foi devidamente transferida, por exemplo, pela Superintendência do Patrimônio da União, a quem incumbe gerenciar o patrimônio da União.  </w:t>
      </w:r>
    </w:p>
    <w:p w14:paraId="21605423" w14:textId="77777777" w:rsidR="006D1F90" w:rsidRPr="0051439E" w:rsidRDefault="006D1F90" w:rsidP="006D1F90">
      <w:pPr>
        <w:jc w:val="both"/>
        <w:rPr>
          <w:rFonts w:ascii="Times New Roman" w:eastAsia="Calibri" w:hAnsi="Times New Roman" w:cs="Times New Roman"/>
        </w:rPr>
      </w:pPr>
      <w:r w:rsidRPr="0051439E">
        <w:rPr>
          <w:rFonts w:ascii="Times New Roman" w:eastAsia="Calibri" w:hAnsi="Times New Roman" w:cs="Times New Roman"/>
          <w:color w:val="000000" w:themeColor="text1"/>
        </w:rPr>
        <w:t>Portanto, deve a Administração atestar expressamente nos autos a titularidade e regularidade da posse do imóvel em que será executada a obra ou serviço, com base em certidão atualizada do Registro Imobiliário.  </w:t>
      </w:r>
      <w:r w:rsidRPr="0051439E">
        <w:rPr>
          <w:rFonts w:ascii="Times New Roman" w:eastAsia="Calibri" w:hAnsi="Times New Roman" w:cs="Times New Roman"/>
        </w:rPr>
        <w:t xml:space="preserve"> </w:t>
      </w:r>
    </w:p>
    <w:p w14:paraId="07888747" w14:textId="77777777" w:rsidR="006D1F90" w:rsidRPr="0051439E" w:rsidRDefault="006D1F90" w:rsidP="006D1F90">
      <w:pPr>
        <w:jc w:val="both"/>
        <w:rPr>
          <w:rFonts w:ascii="Times New Roman" w:eastAsia="Calibri" w:hAnsi="Times New Roman" w:cs="Times New Roman"/>
          <w:highlight w:val="cyan"/>
        </w:rPr>
      </w:pPr>
      <w:r w:rsidRPr="0051439E">
        <w:rPr>
          <w:rFonts w:ascii="Times New Roman" w:eastAsia="Calibri" w:hAnsi="Times New Roman" w:cs="Times New Roman"/>
          <w:color w:val="FF0000"/>
          <w:highlight w:val="cyan"/>
        </w:rPr>
        <w:t xml:space="preserve">No caso, foi juntada </w:t>
      </w:r>
      <w:proofErr w:type="spellStart"/>
      <w:r w:rsidRPr="0051439E">
        <w:rPr>
          <w:rFonts w:ascii="Times New Roman" w:eastAsia="Calibri" w:hAnsi="Times New Roman" w:cs="Times New Roman"/>
          <w:color w:val="FF0000"/>
          <w:highlight w:val="cyan"/>
        </w:rPr>
        <w:t>xxxxxxxxxxxxxx</w:t>
      </w:r>
      <w:proofErr w:type="spellEnd"/>
      <w:r w:rsidRPr="0051439E">
        <w:rPr>
          <w:rFonts w:ascii="Times New Roman" w:eastAsia="Calibri" w:hAnsi="Times New Roman" w:cs="Times New Roman"/>
          <w:color w:val="FF0000"/>
          <w:highlight w:val="cyan"/>
        </w:rPr>
        <w:t>, o que presume a titularidade/ocupação regular do imóvel objeto da intervenção.  </w:t>
      </w:r>
      <w:r w:rsidRPr="0051439E">
        <w:rPr>
          <w:rFonts w:ascii="Times New Roman" w:eastAsia="Calibri" w:hAnsi="Times New Roman" w:cs="Times New Roman"/>
        </w:rPr>
        <w:t xml:space="preserve"> </w:t>
      </w:r>
    </w:p>
    <w:p w14:paraId="1BBA69FD" w14:textId="77777777" w:rsidR="006D1F90" w:rsidRPr="0051439E" w:rsidRDefault="006D1F90" w:rsidP="006D1F90">
      <w:pPr>
        <w:jc w:val="both"/>
        <w:rPr>
          <w:rFonts w:ascii="Times New Roman" w:eastAsia="Calibri" w:hAnsi="Times New Roman" w:cs="Times New Roman"/>
          <w:highlight w:val="cyan"/>
        </w:rPr>
      </w:pPr>
      <w:r w:rsidRPr="0051439E">
        <w:rPr>
          <w:rFonts w:ascii="Times New Roman" w:eastAsia="Calibri" w:hAnsi="Times New Roman" w:cs="Times New Roman"/>
          <w:color w:val="FF0000"/>
          <w:highlight w:val="cyan"/>
        </w:rPr>
        <w:t>OU  </w:t>
      </w:r>
      <w:r w:rsidRPr="0051439E">
        <w:rPr>
          <w:rFonts w:ascii="Times New Roman" w:eastAsia="Calibri" w:hAnsi="Times New Roman" w:cs="Times New Roman"/>
        </w:rPr>
        <w:t xml:space="preserve"> </w:t>
      </w:r>
    </w:p>
    <w:p w14:paraId="5980D56B" w14:textId="77777777" w:rsidR="006D1F90" w:rsidRPr="0051439E" w:rsidRDefault="006D1F90" w:rsidP="006D1F90">
      <w:pPr>
        <w:jc w:val="both"/>
        <w:rPr>
          <w:rFonts w:ascii="Times New Roman" w:eastAsia="Calibri" w:hAnsi="Times New Roman" w:cs="Times New Roman"/>
          <w:color w:val="FF0000"/>
          <w:highlight w:val="cyan"/>
        </w:rPr>
      </w:pPr>
      <w:r w:rsidRPr="0051439E">
        <w:rPr>
          <w:rFonts w:ascii="Times New Roman" w:eastAsia="Calibri" w:hAnsi="Times New Roman" w:cs="Times New Roman"/>
          <w:color w:val="FF0000"/>
          <w:highlight w:val="cyan"/>
        </w:rPr>
        <w:t>No presente caso, não consta dos autos qualquer documentação pertinente à titularidade do imóvel onde será executada a obra ou serviço de engenharia, cabendo a complementação do feito.</w:t>
      </w:r>
      <w:r w:rsidRPr="0051439E">
        <w:rPr>
          <w:rFonts w:ascii="Times New Roman" w:eastAsia="Calibri" w:hAnsi="Times New Roman" w:cs="Times New Roman"/>
          <w:color w:val="FF0000"/>
        </w:rPr>
        <w:t xml:space="preserve"> </w:t>
      </w:r>
    </w:p>
    <w:p w14:paraId="3E8840CA" w14:textId="77777777" w:rsidR="006D1F90" w:rsidRPr="0051439E" w:rsidRDefault="006D1F90" w:rsidP="006D1F90">
      <w:pPr>
        <w:spacing w:beforeAutospacing="1" w:afterAutospacing="1" w:line="240" w:lineRule="auto"/>
        <w:jc w:val="both"/>
        <w:rPr>
          <w:rFonts w:ascii="Times New Roman" w:eastAsiaTheme="minorEastAsia" w:hAnsi="Times New Roman" w:cs="Times New Roman"/>
          <w:b/>
          <w:bCs/>
          <w:color w:val="000000" w:themeColor="text1"/>
          <w:lang w:eastAsia="pt-BR"/>
        </w:rPr>
      </w:pPr>
    </w:p>
    <w:p w14:paraId="0C2A53D6"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b/>
          <w:bCs/>
          <w:color w:val="000000" w:themeColor="text1"/>
          <w:lang w:eastAsia="pt-BR"/>
        </w:rPr>
        <w:t>PLANEJAMENTO DA CONTRATAÇÃO</w:t>
      </w:r>
      <w:r w:rsidRPr="0051439E">
        <w:rPr>
          <w:rFonts w:ascii="Times New Roman" w:eastAsiaTheme="minorEastAsia" w:hAnsi="Times New Roman" w:cs="Times New Roman"/>
          <w:b/>
          <w:bCs/>
          <w:lang w:eastAsia="pt-BR"/>
        </w:rPr>
        <w:t> </w:t>
      </w:r>
    </w:p>
    <w:p w14:paraId="4EDEF309" w14:textId="77777777" w:rsidR="006D1F90" w:rsidRPr="0051439E" w:rsidRDefault="006D1F90" w:rsidP="006D1F90">
      <w:pPr>
        <w:spacing w:beforeAutospacing="1" w:afterAutospacing="1" w:line="240" w:lineRule="auto"/>
        <w:jc w:val="both"/>
        <w:rPr>
          <w:rFonts w:ascii="Times New Roman" w:eastAsiaTheme="minorEastAsia" w:hAnsi="Times New Roman" w:cs="Times New Roman"/>
          <w:b/>
          <w:bCs/>
          <w:color w:val="000000" w:themeColor="text1"/>
          <w:lang w:eastAsia="pt-BR"/>
        </w:rPr>
      </w:pPr>
    </w:p>
    <w:p w14:paraId="5A1E863F" w14:textId="77777777" w:rsidR="006D1F90" w:rsidRPr="0051439E" w:rsidRDefault="006D1F90" w:rsidP="006D1F90">
      <w:pPr>
        <w:jc w:val="both"/>
        <w:rPr>
          <w:rFonts w:ascii="Times New Roman" w:eastAsia="Calibri" w:hAnsi="Times New Roman" w:cs="Times New Roman"/>
          <w:b/>
          <w:bCs/>
        </w:rPr>
      </w:pPr>
      <w:r w:rsidRPr="0051439E">
        <w:rPr>
          <w:rFonts w:ascii="Times New Roman" w:eastAsia="Calibri" w:hAnsi="Times New Roman" w:cs="Times New Roman"/>
          <w:b/>
          <w:bCs/>
        </w:rPr>
        <w:t>Da recomendação para adoção do Instrumento de Padronização dos Procedimentos de Contratação (IPP)</w:t>
      </w:r>
    </w:p>
    <w:p w14:paraId="601100E4" w14:textId="77777777" w:rsidR="006D1F90" w:rsidRPr="0051439E" w:rsidRDefault="006D1F90" w:rsidP="006D1F90">
      <w:pPr>
        <w:jc w:val="both"/>
        <w:rPr>
          <w:rFonts w:ascii="Times New Roman" w:eastAsia="Calibri" w:hAnsi="Times New Roman" w:cs="Times New Roman"/>
        </w:rPr>
      </w:pPr>
      <w:r w:rsidRPr="0051439E">
        <w:rPr>
          <w:rFonts w:ascii="Times New Roman" w:eastAsia="Calibri" w:hAnsi="Times New Roman" w:cs="Times New Roman"/>
        </w:rPr>
        <w:t xml:space="preserve">A Advocacia-Geral da União elaborou, em parceria com o Ministério da Gestão e da Inovação em Serviços Públicos (MGI), o </w:t>
      </w:r>
      <w:r w:rsidRPr="0051439E">
        <w:rPr>
          <w:rFonts w:ascii="Times New Roman" w:eastAsia="Calibri" w:hAnsi="Times New Roman" w:cs="Times New Roman"/>
          <w:sz w:val="24"/>
          <w:szCs w:val="24"/>
        </w:rPr>
        <w:t>Instrumento de Padronização dos Procedimentos de Contratação (IPP)</w:t>
      </w:r>
      <w:r w:rsidRPr="0051439E">
        <w:rPr>
          <w:rFonts w:ascii="Times New Roman" w:eastAsia="Calibri" w:hAnsi="Times New Roman" w:cs="Times New Roman"/>
        </w:rPr>
        <w:t>, que se caracteriza como um guia destinado a orientar gestores públicos em procedimentos de contratação.</w:t>
      </w:r>
    </w:p>
    <w:p w14:paraId="075C1B26" w14:textId="77777777" w:rsidR="006D1F90" w:rsidRPr="0051439E" w:rsidRDefault="006D1F90" w:rsidP="006D1F90">
      <w:pPr>
        <w:jc w:val="both"/>
        <w:rPr>
          <w:rStyle w:val="Hyperlink"/>
          <w:rFonts w:ascii="Times New Roman" w:eastAsia="Calibri" w:hAnsi="Times New Roman" w:cs="Times New Roman"/>
        </w:rPr>
      </w:pPr>
      <w:r w:rsidRPr="0051439E">
        <w:rPr>
          <w:rFonts w:ascii="Times New Roman" w:eastAsia="Calibri" w:hAnsi="Times New Roman" w:cs="Times New Roman"/>
        </w:rPr>
        <w:t>Recomenda-se que o planejamento da contratação seja realizado em conformidade com as diretrizes constantes do referido instrumento.</w:t>
      </w:r>
    </w:p>
    <w:p w14:paraId="738A3EFE" w14:textId="77777777" w:rsidR="006D1F90" w:rsidRPr="0051439E" w:rsidRDefault="006D1F90" w:rsidP="006D1F90">
      <w:pPr>
        <w:spacing w:beforeAutospacing="1" w:afterAutospacing="1" w:line="240" w:lineRule="auto"/>
        <w:jc w:val="both"/>
        <w:rPr>
          <w:rFonts w:ascii="Times New Roman" w:eastAsia="Calibri" w:hAnsi="Times New Roman" w:cs="Times New Roman"/>
          <w:sz w:val="24"/>
          <w:szCs w:val="24"/>
        </w:rPr>
      </w:pPr>
      <w:r w:rsidRPr="0051439E">
        <w:rPr>
          <w:rFonts w:ascii="Times New Roman" w:eastAsiaTheme="minorEastAsia" w:hAnsi="Times New Roman" w:cs="Times New Roman"/>
          <w:lang w:eastAsia="pt-BR"/>
        </w:rPr>
        <w:t xml:space="preserve">Cabe à Administração, portanto, observar o </w:t>
      </w:r>
      <w:r w:rsidRPr="0051439E">
        <w:rPr>
          <w:rFonts w:ascii="Times New Roman" w:eastAsia="Calibri" w:hAnsi="Times New Roman" w:cs="Times New Roman"/>
          <w:sz w:val="24"/>
          <w:szCs w:val="24"/>
        </w:rPr>
        <w:t>IPP, que vai servir como referência para as contratações públicas em todo o país. O documento está em formato de um verdadeiro manual, cujo objetivo central é facilitar e, ao mesmo tempo, dar maior segurança à atuação dos administradores públicos, de modo a prevenir eventuais riscos e conferir economia de tempo e de recursos nos processos licitatórios e nas contratações diretas.</w:t>
      </w:r>
    </w:p>
    <w:p w14:paraId="199F8D56" w14:textId="77777777" w:rsidR="006D1F90" w:rsidRPr="0051439E" w:rsidRDefault="006D1F90" w:rsidP="006D1F90">
      <w:pPr>
        <w:spacing w:beforeAutospacing="1" w:afterAutospacing="1" w:line="240" w:lineRule="auto"/>
        <w:jc w:val="both"/>
        <w:rPr>
          <w:rFonts w:ascii="Times New Roman" w:eastAsia="Calibri" w:hAnsi="Times New Roman" w:cs="Times New Roman"/>
          <w:sz w:val="24"/>
          <w:szCs w:val="24"/>
        </w:rPr>
      </w:pPr>
    </w:p>
    <w:p w14:paraId="18FDE7D9" w14:textId="77777777" w:rsidR="006D1F90" w:rsidRPr="0051439E" w:rsidRDefault="006D1F90" w:rsidP="006D1F90">
      <w:pPr>
        <w:spacing w:beforeAutospacing="1" w:afterAutospacing="1" w:line="240" w:lineRule="auto"/>
        <w:jc w:val="both"/>
        <w:rPr>
          <w:rFonts w:ascii="Times New Roman" w:eastAsiaTheme="minorEastAsia" w:hAnsi="Times New Roman" w:cs="Times New Roman"/>
          <w:b/>
          <w:bCs/>
          <w:color w:val="000000" w:themeColor="text1"/>
          <w:lang w:eastAsia="pt-BR"/>
        </w:rPr>
      </w:pPr>
    </w:p>
    <w:p w14:paraId="5FB42DDF"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b/>
          <w:bCs/>
          <w:color w:val="000000" w:themeColor="text1"/>
          <w:lang w:eastAsia="pt-BR"/>
        </w:rPr>
        <w:t>Documentos necessários ao planejamento da contratação</w:t>
      </w:r>
      <w:r w:rsidRPr="0051439E">
        <w:rPr>
          <w:rFonts w:ascii="Times New Roman" w:eastAsiaTheme="minorEastAsia" w:hAnsi="Times New Roman" w:cs="Times New Roman"/>
          <w:b/>
          <w:bCs/>
          <w:lang w:eastAsia="pt-BR"/>
        </w:rPr>
        <w:t> </w:t>
      </w:r>
    </w:p>
    <w:p w14:paraId="1E50AD23" w14:textId="77777777" w:rsidR="006D1F90" w:rsidRPr="0051439E" w:rsidRDefault="006D1F90" w:rsidP="006D1F90">
      <w:pPr>
        <w:spacing w:beforeAutospacing="1" w:afterAutospacing="1" w:line="240" w:lineRule="auto"/>
        <w:jc w:val="both"/>
        <w:rPr>
          <w:rFonts w:ascii="Times New Roman" w:eastAsiaTheme="minorEastAsia" w:hAnsi="Times New Roman" w:cs="Times New Roman"/>
          <w:color w:val="000000" w:themeColor="text1"/>
          <w:lang w:eastAsia="pt-BR"/>
        </w:rPr>
      </w:pPr>
    </w:p>
    <w:p w14:paraId="180EEB7D"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themeColor="text1"/>
          <w:lang w:eastAsia="pt-BR"/>
        </w:rPr>
        <w:t xml:space="preserve">De acordo com a Lei nº 14.133, de 2021, </w:t>
      </w:r>
      <w:r w:rsidRPr="0051439E">
        <w:rPr>
          <w:rFonts w:ascii="Times New Roman" w:eastAsiaTheme="minorEastAsia" w:hAnsi="Times New Roman" w:cs="Times New Roman"/>
          <w:color w:val="333333"/>
          <w:lang w:eastAsia="pt-BR"/>
        </w:rPr>
        <w:t xml:space="preserve">a </w:t>
      </w:r>
      <w:r w:rsidRPr="0051439E">
        <w:rPr>
          <w:rFonts w:ascii="Times New Roman" w:eastAsiaTheme="minorEastAsia" w:hAnsi="Times New Roman" w:cs="Times New Roman"/>
          <w:color w:val="000000" w:themeColor="text1"/>
          <w:lang w:eastAsia="pt-BR"/>
        </w:rPr>
        <w:t>IN SEGES Nº 58, de 08 de agosto de 2022,</w:t>
      </w:r>
      <w:r w:rsidRPr="0051439E">
        <w:rPr>
          <w:rFonts w:ascii="Times New Roman" w:eastAsiaTheme="minorEastAsia" w:hAnsi="Times New Roman" w:cs="Times New Roman"/>
          <w:color w:val="333333"/>
          <w:lang w:eastAsia="pt-BR"/>
        </w:rPr>
        <w:t xml:space="preserve"> a </w:t>
      </w:r>
      <w:r w:rsidRPr="0051439E">
        <w:rPr>
          <w:rFonts w:ascii="Times New Roman" w:eastAsiaTheme="minorEastAsia" w:hAnsi="Times New Roman" w:cs="Times New Roman"/>
          <w:color w:val="000000" w:themeColor="text1"/>
          <w:lang w:eastAsia="pt-BR"/>
        </w:rPr>
        <w:t>IN SEGES/ME Nº 81, de 2022 e a IN SEGES/MP nº 05, de 26 de maio de 2017, aplicável, no que couber, por força da IN SEGES/ME Nº 98, de 26 de dezembro de 2022, a Administração Pública deverá produzir os documentos abaixo durante a fase de planejamento da contratação:</w:t>
      </w:r>
      <w:r w:rsidRPr="0051439E">
        <w:rPr>
          <w:rFonts w:ascii="Times New Roman" w:eastAsiaTheme="minorEastAsia" w:hAnsi="Times New Roman" w:cs="Times New Roman"/>
          <w:lang w:eastAsia="pt-BR"/>
        </w:rPr>
        <w:t> </w:t>
      </w:r>
    </w:p>
    <w:p w14:paraId="0F6CD0BD" w14:textId="77777777" w:rsidR="006D1F90" w:rsidRPr="0051439E" w:rsidRDefault="006D1F90" w:rsidP="006D1F90">
      <w:pPr>
        <w:spacing w:beforeAutospacing="1" w:afterAutospacing="1" w:line="240" w:lineRule="auto"/>
        <w:jc w:val="both"/>
        <w:rPr>
          <w:rFonts w:ascii="Times New Roman" w:eastAsiaTheme="minorEastAsia" w:hAnsi="Times New Roman" w:cs="Times New Roman"/>
          <w:color w:val="000000" w:themeColor="text1"/>
          <w:lang w:eastAsia="pt-BR"/>
        </w:rPr>
      </w:pPr>
    </w:p>
    <w:p w14:paraId="5C908A39" w14:textId="77777777" w:rsidR="006D1F90" w:rsidRPr="0051439E" w:rsidRDefault="006D1F90" w:rsidP="006D1F90">
      <w:pPr>
        <w:spacing w:before="100" w:beforeAutospacing="1" w:after="100" w:afterAutospacing="1" w:line="240" w:lineRule="auto"/>
        <w:ind w:left="1350"/>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themeColor="text1"/>
          <w:lang w:eastAsia="pt-BR"/>
        </w:rPr>
        <w:t>a) documento para formalização da demanda;</w:t>
      </w:r>
      <w:r w:rsidRPr="0051439E">
        <w:rPr>
          <w:rFonts w:ascii="Times New Roman" w:eastAsiaTheme="minorEastAsia" w:hAnsi="Times New Roman" w:cs="Times New Roman"/>
          <w:lang w:eastAsia="pt-BR"/>
        </w:rPr>
        <w:t> </w:t>
      </w:r>
    </w:p>
    <w:p w14:paraId="301382F3" w14:textId="77777777" w:rsidR="006D1F90" w:rsidRPr="0051439E" w:rsidRDefault="006D1F90" w:rsidP="006D1F90">
      <w:pPr>
        <w:spacing w:before="100" w:beforeAutospacing="1" w:after="100" w:afterAutospacing="1" w:line="240" w:lineRule="auto"/>
        <w:ind w:left="1350"/>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themeColor="text1"/>
          <w:lang w:eastAsia="pt-BR"/>
        </w:rPr>
        <w:t>b) estudo técnico preliminar;</w:t>
      </w:r>
      <w:r w:rsidRPr="0051439E">
        <w:rPr>
          <w:rFonts w:ascii="Times New Roman" w:eastAsiaTheme="minorEastAsia" w:hAnsi="Times New Roman" w:cs="Times New Roman"/>
          <w:lang w:eastAsia="pt-BR"/>
        </w:rPr>
        <w:t> </w:t>
      </w:r>
    </w:p>
    <w:p w14:paraId="779380BC" w14:textId="77777777" w:rsidR="006D1F90" w:rsidRPr="0051439E" w:rsidRDefault="006D1F90" w:rsidP="006D1F90">
      <w:pPr>
        <w:spacing w:before="100" w:beforeAutospacing="1" w:after="100" w:afterAutospacing="1" w:line="240" w:lineRule="auto"/>
        <w:ind w:left="1350"/>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themeColor="text1"/>
          <w:lang w:eastAsia="pt-BR"/>
        </w:rPr>
        <w:t>c) mapa de risco;</w:t>
      </w:r>
      <w:r w:rsidRPr="0051439E">
        <w:rPr>
          <w:rFonts w:ascii="Times New Roman" w:eastAsiaTheme="minorEastAsia" w:hAnsi="Times New Roman" w:cs="Times New Roman"/>
          <w:lang w:eastAsia="pt-BR"/>
        </w:rPr>
        <w:t> </w:t>
      </w:r>
    </w:p>
    <w:p w14:paraId="70BEB20B" w14:textId="77777777" w:rsidR="006D1F90" w:rsidRPr="0051439E" w:rsidRDefault="006D1F90" w:rsidP="006D1F90">
      <w:pPr>
        <w:spacing w:before="100" w:beforeAutospacing="1" w:after="100" w:afterAutospacing="1" w:line="240" w:lineRule="auto"/>
        <w:ind w:left="1350"/>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themeColor="text1"/>
          <w:lang w:eastAsia="pt-BR"/>
        </w:rPr>
        <w:t>d) termo de referência.</w:t>
      </w:r>
      <w:r w:rsidRPr="0051439E">
        <w:rPr>
          <w:rFonts w:ascii="Times New Roman" w:eastAsiaTheme="minorEastAsia" w:hAnsi="Times New Roman" w:cs="Times New Roman"/>
          <w:lang w:eastAsia="pt-BR"/>
        </w:rPr>
        <w:t>  </w:t>
      </w:r>
    </w:p>
    <w:p w14:paraId="5EC132AD" w14:textId="77777777" w:rsidR="006D1F90" w:rsidRPr="0051439E" w:rsidRDefault="006D1F90" w:rsidP="006D1F90">
      <w:pPr>
        <w:spacing w:beforeAutospacing="1" w:afterAutospacing="1" w:line="240" w:lineRule="auto"/>
        <w:jc w:val="both"/>
        <w:rPr>
          <w:rFonts w:ascii="Times New Roman" w:eastAsiaTheme="minorEastAsia" w:hAnsi="Times New Roman" w:cs="Times New Roman"/>
          <w:lang w:eastAsia="pt-BR"/>
        </w:rPr>
      </w:pPr>
    </w:p>
    <w:p w14:paraId="34C1F93B"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lang w:eastAsia="pt-BR"/>
        </w:rPr>
        <w:t xml:space="preserve">Dito isso, percebemos que os documentos foram juntados ao processo, </w:t>
      </w:r>
      <w:r w:rsidRPr="0051439E">
        <w:rPr>
          <w:rFonts w:ascii="Times New Roman" w:eastAsiaTheme="minorEastAsia" w:hAnsi="Times New Roman" w:cs="Times New Roman"/>
          <w:color w:val="FF0000"/>
          <w:lang w:eastAsia="pt-BR"/>
        </w:rPr>
        <w:t xml:space="preserve">conforme relatado na parte inicial deste opinativo </w:t>
      </w:r>
      <w:r w:rsidRPr="0051439E">
        <w:rPr>
          <w:rFonts w:ascii="Times New Roman" w:eastAsiaTheme="minorEastAsia" w:hAnsi="Times New Roman" w:cs="Times New Roman"/>
          <w:b/>
          <w:bCs/>
          <w:color w:val="FF0000"/>
          <w:lang w:eastAsia="pt-BR"/>
        </w:rPr>
        <w:t>OU</w:t>
      </w:r>
      <w:r w:rsidRPr="0051439E">
        <w:rPr>
          <w:rFonts w:ascii="Times New Roman" w:eastAsiaTheme="minorEastAsia" w:hAnsi="Times New Roman" w:cs="Times New Roman"/>
          <w:color w:val="FF0000"/>
          <w:lang w:eastAsia="pt-BR"/>
        </w:rPr>
        <w:t> sob SEI nº XX.</w:t>
      </w:r>
    </w:p>
    <w:p w14:paraId="108312DF" w14:textId="77777777" w:rsidR="006D1F90" w:rsidRPr="0051439E" w:rsidRDefault="006D1F90" w:rsidP="006D1F90">
      <w:pPr>
        <w:spacing w:beforeAutospacing="1" w:afterAutospacing="1" w:line="240" w:lineRule="auto"/>
        <w:jc w:val="both"/>
        <w:rPr>
          <w:rFonts w:ascii="Times New Roman" w:eastAsiaTheme="minorEastAsia" w:hAnsi="Times New Roman" w:cs="Times New Roman"/>
          <w:color w:val="000000" w:themeColor="text1"/>
          <w:lang w:eastAsia="pt-BR"/>
        </w:rPr>
      </w:pPr>
    </w:p>
    <w:p w14:paraId="0F779E9A"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themeColor="text1"/>
          <w:lang w:eastAsia="pt-BR"/>
        </w:rPr>
        <w:t>Embora sejam documentos de natureza essencialmente técnica, faremos algumas observações a título de orientação jurídica.</w:t>
      </w:r>
      <w:r w:rsidRPr="0051439E">
        <w:rPr>
          <w:rFonts w:ascii="Times New Roman" w:eastAsiaTheme="minorEastAsia" w:hAnsi="Times New Roman" w:cs="Times New Roman"/>
          <w:lang w:eastAsia="pt-BR"/>
        </w:rPr>
        <w:t> </w:t>
      </w:r>
    </w:p>
    <w:p w14:paraId="7B0C2626"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lang w:eastAsia="pt-BR"/>
        </w:rPr>
        <w:lastRenderedPageBreak/>
        <w:t>  </w:t>
      </w:r>
    </w:p>
    <w:p w14:paraId="1C208674"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b/>
          <w:color w:val="000000" w:themeColor="text1"/>
          <w:lang w:eastAsia="pt-BR"/>
        </w:rPr>
        <w:t>Documento para formalização da demanda e estudos preliminares: principais elementos</w:t>
      </w:r>
      <w:r w:rsidRPr="0051439E">
        <w:rPr>
          <w:rFonts w:ascii="Times New Roman" w:eastAsiaTheme="minorEastAsia" w:hAnsi="Times New Roman" w:cs="Times New Roman"/>
          <w:b/>
          <w:lang w:eastAsia="pt-BR"/>
        </w:rPr>
        <w:t> </w:t>
      </w:r>
    </w:p>
    <w:p w14:paraId="26D2D35A"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lang w:eastAsia="pt-BR"/>
        </w:rPr>
        <w:t> </w:t>
      </w:r>
    </w:p>
    <w:p w14:paraId="0102FAEA"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shd w:val="clear" w:color="auto" w:fill="00FFFF"/>
          <w:lang w:eastAsia="pt-BR"/>
        </w:rPr>
        <w:t xml:space="preserve">Da análise do documento de formalização da demanda, percebe-se que foram previstos os conteúdos do art. 8º do </w:t>
      </w:r>
      <w:r w:rsidRPr="0051439E">
        <w:rPr>
          <w:rFonts w:ascii="Times New Roman" w:eastAsiaTheme="minorEastAsia" w:hAnsi="Times New Roman" w:cs="Times New Roman"/>
          <w:shd w:val="clear" w:color="auto" w:fill="00FFFF"/>
          <w:lang w:eastAsia="pt-BR"/>
        </w:rPr>
        <w:t>Decreto nº 10.947, de 2022</w:t>
      </w:r>
      <w:r w:rsidRPr="0051439E">
        <w:rPr>
          <w:rFonts w:ascii="Times New Roman" w:eastAsiaTheme="minorEastAsia" w:hAnsi="Times New Roman" w:cs="Times New Roman"/>
          <w:color w:val="000000"/>
          <w:shd w:val="clear" w:color="auto" w:fill="00FFFF"/>
          <w:lang w:eastAsia="pt-BR"/>
        </w:rPr>
        <w:t>, especialmente a justificativa da necessidade da contratação, o nome da área requisitante ou técnica com a identificação do responsável e a indicação da data pretendida para a conclusão da contratação.</w:t>
      </w:r>
      <w:r w:rsidRPr="0051439E">
        <w:rPr>
          <w:rFonts w:ascii="Times New Roman" w:eastAsiaTheme="minorEastAsia" w:hAnsi="Times New Roman" w:cs="Times New Roman"/>
          <w:lang w:eastAsia="pt-BR"/>
        </w:rPr>
        <w:t> </w:t>
      </w:r>
    </w:p>
    <w:p w14:paraId="6A60A6F7"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b/>
          <w:color w:val="000000"/>
          <w:u w:val="single"/>
          <w:shd w:val="clear" w:color="auto" w:fill="00FFFF"/>
          <w:lang w:eastAsia="pt-BR"/>
        </w:rPr>
        <w:t>OU</w:t>
      </w:r>
    </w:p>
    <w:p w14:paraId="18F24845"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shd w:val="clear" w:color="auto" w:fill="00FFFF"/>
          <w:lang w:eastAsia="pt-BR"/>
        </w:rPr>
        <w:t xml:space="preserve">Da análise do documento de formalização da demanda, percebe-se que </w:t>
      </w:r>
      <w:r w:rsidRPr="0051439E">
        <w:rPr>
          <w:rFonts w:ascii="Times New Roman" w:eastAsiaTheme="minorEastAsia" w:hAnsi="Times New Roman" w:cs="Times New Roman"/>
          <w:color w:val="000000"/>
          <w:u w:val="single"/>
          <w:shd w:val="clear" w:color="auto" w:fill="00FFFF"/>
          <w:lang w:eastAsia="pt-BR"/>
        </w:rPr>
        <w:t>não foram previstos</w:t>
      </w:r>
      <w:r w:rsidRPr="0051439E">
        <w:rPr>
          <w:rFonts w:ascii="Times New Roman" w:eastAsiaTheme="minorEastAsia" w:hAnsi="Times New Roman" w:cs="Times New Roman"/>
          <w:color w:val="000000"/>
          <w:shd w:val="clear" w:color="auto" w:fill="00FFFF"/>
          <w:lang w:eastAsia="pt-BR"/>
        </w:rPr>
        <w:t xml:space="preserve"> todos os conteúdos do art. 8º do </w:t>
      </w:r>
      <w:r w:rsidRPr="0051439E">
        <w:rPr>
          <w:rFonts w:ascii="Times New Roman" w:eastAsiaTheme="minorEastAsia" w:hAnsi="Times New Roman" w:cs="Times New Roman"/>
          <w:shd w:val="clear" w:color="auto" w:fill="00FFFF"/>
          <w:lang w:eastAsia="pt-BR"/>
        </w:rPr>
        <w:t>Decreto nº 10.947, de 2022</w:t>
      </w:r>
      <w:r w:rsidRPr="0051439E">
        <w:rPr>
          <w:rFonts w:ascii="Times New Roman" w:eastAsiaTheme="minorEastAsia" w:hAnsi="Times New Roman" w:cs="Times New Roman"/>
          <w:color w:val="000000"/>
          <w:shd w:val="clear" w:color="auto" w:fill="00FFFF"/>
          <w:lang w:eastAsia="pt-BR"/>
        </w:rPr>
        <w:t xml:space="preserve">. Pelo exposto, </w:t>
      </w:r>
      <w:r w:rsidRPr="0051439E">
        <w:rPr>
          <w:rFonts w:ascii="Times New Roman" w:eastAsiaTheme="minorEastAsia" w:hAnsi="Times New Roman" w:cs="Times New Roman"/>
          <w:color w:val="000000"/>
          <w:u w:val="single"/>
          <w:shd w:val="clear" w:color="auto" w:fill="00FFFF"/>
          <w:lang w:eastAsia="pt-BR"/>
        </w:rPr>
        <w:t>deverá a Administração</w:t>
      </w:r>
      <w:r w:rsidRPr="0051439E">
        <w:rPr>
          <w:rFonts w:ascii="Times New Roman" w:eastAsiaTheme="minorEastAsia" w:hAnsi="Times New Roman" w:cs="Times New Roman"/>
          <w:color w:val="FF0000"/>
          <w:shd w:val="clear" w:color="auto" w:fill="00FFFF"/>
          <w:lang w:eastAsia="pt-BR"/>
        </w:rPr>
        <w:t xml:space="preserve"> justificar a necessidade da contratação / indicar a data pretendida para a conclusão da contratação / informar o nome da área requisitante ou técnica com a identificação do responsável.</w:t>
      </w:r>
      <w:r w:rsidRPr="0051439E">
        <w:rPr>
          <w:rFonts w:ascii="Times New Roman" w:eastAsiaTheme="minorEastAsia" w:hAnsi="Times New Roman" w:cs="Times New Roman"/>
          <w:lang w:eastAsia="pt-BR"/>
        </w:rPr>
        <w:t> </w:t>
      </w:r>
    </w:p>
    <w:p w14:paraId="21CB4BA5" w14:textId="77777777" w:rsidR="006D1F90" w:rsidRPr="0051439E" w:rsidRDefault="006D1F90" w:rsidP="006D1F90">
      <w:pPr>
        <w:spacing w:beforeAutospacing="1" w:afterAutospacing="1" w:line="240" w:lineRule="auto"/>
        <w:jc w:val="both"/>
        <w:rPr>
          <w:rFonts w:ascii="Times New Roman" w:eastAsiaTheme="minorEastAsia" w:hAnsi="Times New Roman" w:cs="Times New Roman"/>
          <w:color w:val="000000" w:themeColor="text1"/>
          <w:lang w:eastAsia="pt-BR"/>
        </w:rPr>
      </w:pPr>
    </w:p>
    <w:p w14:paraId="0F21C4D9"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themeColor="text1"/>
          <w:lang w:eastAsia="pt-BR"/>
        </w:rPr>
        <w:t>Quanto aos estudos preliminares, a equipe de planejamento deverá certificar-se de que trazem os conteúdos previstos no art. 9º, da IN SEGES nº 58, de 2022. Tal dispositivo estabelece que os estudos preliminares, obrigatoriamente, deverão conter:</w:t>
      </w:r>
      <w:r w:rsidRPr="0051439E">
        <w:rPr>
          <w:rFonts w:ascii="Times New Roman" w:eastAsiaTheme="minorEastAsia" w:hAnsi="Times New Roman" w:cs="Times New Roman"/>
          <w:lang w:eastAsia="pt-BR"/>
        </w:rPr>
        <w:t> </w:t>
      </w:r>
    </w:p>
    <w:p w14:paraId="1D896C63" w14:textId="77777777" w:rsidR="006D1F90" w:rsidRPr="0051439E" w:rsidRDefault="006D1F90" w:rsidP="006D1F90">
      <w:pPr>
        <w:spacing w:after="100" w:line="240" w:lineRule="auto"/>
        <w:ind w:left="1350"/>
        <w:jc w:val="both"/>
        <w:rPr>
          <w:rFonts w:ascii="Times New Roman" w:eastAsiaTheme="minorEastAsia" w:hAnsi="Times New Roman" w:cs="Times New Roman"/>
          <w:color w:val="000000" w:themeColor="text1"/>
          <w:lang w:eastAsia="pt-BR"/>
        </w:rPr>
      </w:pPr>
    </w:p>
    <w:p w14:paraId="3C0FC43E" w14:textId="77777777" w:rsidR="006D1F90" w:rsidRPr="0051439E" w:rsidRDefault="006D1F90" w:rsidP="006D1F90">
      <w:pPr>
        <w:spacing w:after="100" w:line="240" w:lineRule="auto"/>
        <w:ind w:left="1350"/>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themeColor="text1"/>
          <w:lang w:eastAsia="pt-BR"/>
        </w:rPr>
        <w:t> - descrição da necessidade da contratação, considerado o problema a ser resolvido sob a perspectiva do interesse público (inc. I); </w:t>
      </w:r>
      <w:r w:rsidRPr="0051439E">
        <w:rPr>
          <w:rFonts w:ascii="Times New Roman" w:eastAsiaTheme="minorEastAsia" w:hAnsi="Times New Roman" w:cs="Times New Roman"/>
          <w:lang w:eastAsia="pt-BR"/>
        </w:rPr>
        <w:t> </w:t>
      </w:r>
    </w:p>
    <w:p w14:paraId="43E853CB" w14:textId="77777777" w:rsidR="006D1F90" w:rsidRPr="0051439E" w:rsidRDefault="006D1F90" w:rsidP="006D1F90">
      <w:pPr>
        <w:spacing w:after="100" w:line="240" w:lineRule="auto"/>
        <w:ind w:left="1350"/>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themeColor="text1"/>
          <w:lang w:eastAsia="pt-BR"/>
        </w:rPr>
        <w:t>- estimativa das quantidades a serem contratadas, acompanhada das memórias de cálculo e dos documentos que lhe dão suporte, considerando a interdependência com outras contratações, de modo a possibilitar economia de escala (inc. V); </w:t>
      </w:r>
      <w:r w:rsidRPr="0051439E">
        <w:rPr>
          <w:rFonts w:ascii="Times New Roman" w:eastAsiaTheme="minorEastAsia" w:hAnsi="Times New Roman" w:cs="Times New Roman"/>
          <w:lang w:eastAsia="pt-BR"/>
        </w:rPr>
        <w:t> </w:t>
      </w:r>
    </w:p>
    <w:p w14:paraId="42E36159" w14:textId="77777777" w:rsidR="006D1F90" w:rsidRPr="0051439E" w:rsidRDefault="006D1F90" w:rsidP="006D1F90">
      <w:pPr>
        <w:spacing w:after="100" w:line="240" w:lineRule="auto"/>
        <w:ind w:left="1350"/>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themeColor="text1"/>
          <w:lang w:eastAsia="pt-BR"/>
        </w:rPr>
        <w:t>- estimativa do valor da contratação, acompanhada dos preços unitários referenciais, das memórias de cálculo e dos documentos que lhe dão suporte, que poderão constar de anexo classificado, se a Administração optar por preservar o seu sigilo até a conclusão da licitação (inc. VI); </w:t>
      </w:r>
      <w:r w:rsidRPr="0051439E">
        <w:rPr>
          <w:rFonts w:ascii="Times New Roman" w:eastAsiaTheme="minorEastAsia" w:hAnsi="Times New Roman" w:cs="Times New Roman"/>
          <w:lang w:eastAsia="pt-BR"/>
        </w:rPr>
        <w:t> </w:t>
      </w:r>
    </w:p>
    <w:p w14:paraId="281A5B91" w14:textId="77777777" w:rsidR="006D1F90" w:rsidRPr="0051439E" w:rsidRDefault="006D1F90" w:rsidP="006D1F90">
      <w:pPr>
        <w:spacing w:after="100" w:line="240" w:lineRule="auto"/>
        <w:ind w:left="1350"/>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themeColor="text1"/>
          <w:lang w:eastAsia="pt-BR"/>
        </w:rPr>
        <w:t>- justificativas para o parcelamento ou não da solução (inc. VII); </w:t>
      </w:r>
      <w:r w:rsidRPr="0051439E">
        <w:rPr>
          <w:rFonts w:ascii="Times New Roman" w:eastAsiaTheme="minorEastAsia" w:hAnsi="Times New Roman" w:cs="Times New Roman"/>
          <w:lang w:eastAsia="pt-BR"/>
        </w:rPr>
        <w:t> </w:t>
      </w:r>
    </w:p>
    <w:p w14:paraId="1637810D" w14:textId="77777777" w:rsidR="006D1F90" w:rsidRPr="0051439E" w:rsidRDefault="006D1F90" w:rsidP="006D1F90">
      <w:pPr>
        <w:spacing w:after="100" w:line="240" w:lineRule="auto"/>
        <w:ind w:left="1350"/>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themeColor="text1"/>
          <w:lang w:eastAsia="pt-BR"/>
        </w:rPr>
        <w:t>- posicionamento conclusivo sobre a adequação da contratação para o atendimento da necessidade a que se destina (inc. XIII).</w:t>
      </w:r>
      <w:r w:rsidRPr="0051439E">
        <w:rPr>
          <w:rFonts w:ascii="Times New Roman" w:eastAsiaTheme="minorEastAsia" w:hAnsi="Times New Roman" w:cs="Times New Roman"/>
          <w:lang w:eastAsia="pt-BR"/>
        </w:rPr>
        <w:t> </w:t>
      </w:r>
    </w:p>
    <w:p w14:paraId="6A5E8C1D"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p>
    <w:p w14:paraId="48321DCF"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lang w:eastAsia="pt-BR"/>
        </w:rPr>
        <w:t xml:space="preserve">Eventual não previsão de qualquer dos conteúdos descritos </w:t>
      </w:r>
      <w:r w:rsidRPr="0051439E">
        <w:rPr>
          <w:rFonts w:ascii="Times New Roman" w:eastAsiaTheme="minorEastAsia" w:hAnsi="Times New Roman" w:cs="Times New Roman"/>
          <w:color w:val="000000" w:themeColor="text1"/>
          <w:lang w:eastAsia="pt-BR"/>
        </w:rPr>
        <w:t>art. 9º, da IN SEGES nº 58, de 2022</w:t>
      </w:r>
      <w:r w:rsidRPr="0051439E">
        <w:rPr>
          <w:rFonts w:ascii="Times New Roman" w:eastAsiaTheme="minorEastAsia" w:hAnsi="Times New Roman" w:cs="Times New Roman"/>
          <w:lang w:eastAsia="pt-BR"/>
        </w:rPr>
        <w:t>, deverá ser devidamente justificada no próprio documento, consoante</w:t>
      </w:r>
      <w:r w:rsidRPr="0051439E">
        <w:rPr>
          <w:rFonts w:ascii="Times New Roman" w:eastAsiaTheme="minorEastAsia" w:hAnsi="Times New Roman" w:cs="Times New Roman"/>
          <w:color w:val="000000" w:themeColor="text1"/>
          <w:lang w:eastAsia="pt-BR"/>
        </w:rPr>
        <w:t xml:space="preserve"> art. 9º, § 1º, da IN SEGES nº 58, de 2022</w:t>
      </w:r>
      <w:r w:rsidRPr="0051439E">
        <w:rPr>
          <w:rFonts w:ascii="Times New Roman" w:eastAsiaTheme="minorEastAsia" w:hAnsi="Times New Roman" w:cs="Times New Roman"/>
          <w:lang w:eastAsia="pt-BR"/>
        </w:rPr>
        <w:t>.    </w:t>
      </w:r>
    </w:p>
    <w:p w14:paraId="45AE6FE8" w14:textId="77777777" w:rsidR="006D1F90" w:rsidRPr="0051439E" w:rsidRDefault="006D1F90" w:rsidP="006D1F90">
      <w:pPr>
        <w:spacing w:beforeAutospacing="1" w:afterAutospacing="1" w:line="240" w:lineRule="auto"/>
        <w:jc w:val="both"/>
        <w:rPr>
          <w:rFonts w:ascii="Times New Roman" w:eastAsiaTheme="minorEastAsia" w:hAnsi="Times New Roman" w:cs="Times New Roman"/>
          <w:color w:val="FF0000"/>
          <w:lang w:eastAsia="pt-BR"/>
        </w:rPr>
      </w:pPr>
    </w:p>
    <w:p w14:paraId="5007EBBA"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color w:val="FF0000"/>
          <w:lang w:eastAsia="pt-BR"/>
        </w:rPr>
      </w:pPr>
      <w:r w:rsidRPr="0051439E">
        <w:rPr>
          <w:rFonts w:ascii="Times New Roman" w:eastAsiaTheme="minorEastAsia" w:hAnsi="Times New Roman" w:cs="Times New Roman"/>
          <w:color w:val="FF0000"/>
          <w:lang w:eastAsia="pt-BR"/>
        </w:rPr>
        <w:t>No estudo técnico preliminar para contratação de obras e serviços comuns de engenharia, se demonstrada a inexistência de prejuízo para a aferição dos padrões de desempenho e qualidade almejados, a especificação do objeto poderá ser realizada apenas em termo de referência, dispensada a elaboração de projetos (art., 18, § 3º, da Lei nº 14.133, de 2021). </w:t>
      </w:r>
    </w:p>
    <w:p w14:paraId="5AEB0D3E" w14:textId="77777777" w:rsidR="006D1F90" w:rsidRPr="0051439E" w:rsidRDefault="006D1F90" w:rsidP="006D1F90">
      <w:pPr>
        <w:spacing w:beforeAutospacing="1" w:afterAutospacing="1" w:line="240" w:lineRule="auto"/>
        <w:jc w:val="both"/>
        <w:rPr>
          <w:rFonts w:ascii="Times New Roman" w:eastAsiaTheme="minorEastAsia" w:hAnsi="Times New Roman" w:cs="Times New Roman"/>
          <w:color w:val="FF0000"/>
          <w:lang w:eastAsia="pt-BR"/>
        </w:rPr>
      </w:pPr>
    </w:p>
    <w:p w14:paraId="0667F917"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FF0000"/>
          <w:lang w:eastAsia="pt-BR"/>
        </w:rPr>
        <w:t>Em se tratando de</w:t>
      </w:r>
      <w:r w:rsidRPr="0051439E">
        <w:rPr>
          <w:rFonts w:ascii="Times New Roman" w:eastAsiaTheme="minorEastAsia" w:hAnsi="Times New Roman" w:cs="Times New Roman"/>
          <w:lang w:eastAsia="pt-BR"/>
        </w:rPr>
        <w:t xml:space="preserve"> </w:t>
      </w:r>
      <w:r w:rsidRPr="0051439E">
        <w:rPr>
          <w:rFonts w:ascii="Times New Roman" w:eastAsiaTheme="minorEastAsia" w:hAnsi="Times New Roman" w:cs="Times New Roman"/>
          <w:color w:val="FF0000"/>
          <w:lang w:eastAsia="pt-BR"/>
        </w:rPr>
        <w:t>serviços de manutenção e assistência técnica, durante a elaboração do ETP, deverá ser avaliada a necessidade de ser exigido que tais serviços sejam prestados mediante deslocamento de técnico ou disponibilizados em unidade de prestação de serviços localizada em distância compatível com suas necessidades, conforme dispõe o § 4º do art. 40 da Lei nº 14.133, de 2021 (art. 10, inc. II, da IN SEGES nº 58, de 2022).</w:t>
      </w:r>
      <w:r w:rsidRPr="0051439E">
        <w:rPr>
          <w:rFonts w:ascii="Times New Roman" w:eastAsiaTheme="minorEastAsia" w:hAnsi="Times New Roman" w:cs="Times New Roman"/>
          <w:lang w:eastAsia="pt-BR"/>
        </w:rPr>
        <w:t> </w:t>
      </w:r>
    </w:p>
    <w:p w14:paraId="5DCB9A9B" w14:textId="77777777" w:rsidR="006D1F90" w:rsidRPr="0051439E" w:rsidRDefault="006D1F90" w:rsidP="006D1F90">
      <w:pPr>
        <w:spacing w:beforeAutospacing="1" w:afterAutospacing="1" w:line="240" w:lineRule="auto"/>
        <w:jc w:val="both"/>
        <w:rPr>
          <w:rFonts w:ascii="Times New Roman" w:eastAsiaTheme="minorEastAsia" w:hAnsi="Times New Roman" w:cs="Times New Roman"/>
          <w:color w:val="000000" w:themeColor="text1"/>
          <w:lang w:eastAsia="pt-BR"/>
        </w:rPr>
      </w:pPr>
    </w:p>
    <w:p w14:paraId="66F70F70"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themeColor="text1"/>
          <w:lang w:eastAsia="pt-BR"/>
        </w:rPr>
        <w:t xml:space="preserve">No caso, verifica-se que a Administração juntou o estudo técnico preliminar </w:t>
      </w:r>
      <w:r w:rsidRPr="0051439E">
        <w:rPr>
          <w:rFonts w:ascii="Times New Roman" w:eastAsiaTheme="minorEastAsia" w:hAnsi="Times New Roman" w:cs="Times New Roman"/>
          <w:color w:val="FF0000"/>
          <w:lang w:eastAsia="pt-BR"/>
        </w:rPr>
        <w:t>às</w:t>
      </w:r>
      <w:r w:rsidRPr="0051439E">
        <w:rPr>
          <w:rFonts w:ascii="Times New Roman" w:eastAsiaTheme="minorEastAsia" w:hAnsi="Times New Roman" w:cs="Times New Roman"/>
          <w:lang w:eastAsia="pt-BR"/>
        </w:rPr>
        <w:t xml:space="preserve"> </w:t>
      </w:r>
      <w:r w:rsidRPr="0051439E">
        <w:rPr>
          <w:rFonts w:ascii="Times New Roman" w:eastAsiaTheme="minorEastAsia" w:hAnsi="Times New Roman" w:cs="Times New Roman"/>
          <w:color w:val="FF0000"/>
          <w:lang w:eastAsia="pt-BR"/>
        </w:rPr>
        <w:t>fls. XXX/ao doc. SEI n. XXXX.</w:t>
      </w:r>
      <w:r w:rsidRPr="0051439E">
        <w:rPr>
          <w:rFonts w:ascii="Times New Roman" w:eastAsiaTheme="minorEastAsia" w:hAnsi="Times New Roman" w:cs="Times New Roman"/>
          <w:lang w:eastAsia="pt-BR"/>
        </w:rPr>
        <w:t> </w:t>
      </w:r>
    </w:p>
    <w:p w14:paraId="2F182171" w14:textId="77777777" w:rsidR="006D1F90" w:rsidRPr="0051439E" w:rsidRDefault="006D1F90" w:rsidP="006D1F90">
      <w:pPr>
        <w:spacing w:beforeAutospacing="1" w:afterAutospacing="1" w:line="240" w:lineRule="auto"/>
        <w:jc w:val="both"/>
        <w:rPr>
          <w:rFonts w:ascii="Times New Roman" w:eastAsiaTheme="minorEastAsia" w:hAnsi="Times New Roman" w:cs="Times New Roman"/>
          <w:color w:val="000000" w:themeColor="text1"/>
          <w:lang w:eastAsia="pt-BR"/>
        </w:rPr>
      </w:pPr>
    </w:p>
    <w:p w14:paraId="4BC7B927"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shd w:val="clear" w:color="auto" w:fill="00FFFF"/>
          <w:lang w:eastAsia="pt-BR"/>
        </w:rPr>
        <w:t>Percebe-se que referido documento contém, em geral, os elementos exigidos pela IN SEGES nº 58, de 2022.</w:t>
      </w:r>
      <w:r w:rsidRPr="0051439E">
        <w:rPr>
          <w:rFonts w:ascii="Times New Roman" w:eastAsiaTheme="minorEastAsia" w:hAnsi="Times New Roman" w:cs="Times New Roman"/>
          <w:lang w:eastAsia="pt-BR"/>
        </w:rPr>
        <w:t> </w:t>
      </w:r>
    </w:p>
    <w:p w14:paraId="4816E37C"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b/>
          <w:color w:val="000000"/>
          <w:u w:val="single"/>
          <w:shd w:val="clear" w:color="auto" w:fill="00FFFF"/>
          <w:lang w:eastAsia="pt-BR"/>
        </w:rPr>
        <w:t>OU</w:t>
      </w:r>
    </w:p>
    <w:p w14:paraId="3121EF7A" w14:textId="77777777" w:rsidR="006D1F90" w:rsidRPr="0051439E" w:rsidRDefault="006D1F90" w:rsidP="006D1F90">
      <w:pPr>
        <w:spacing w:beforeAutospacing="1" w:afterAutospacing="1" w:line="240" w:lineRule="auto"/>
        <w:jc w:val="both"/>
        <w:rPr>
          <w:rFonts w:ascii="Times New Roman" w:eastAsiaTheme="minorEastAsia" w:hAnsi="Times New Roman" w:cs="Times New Roman"/>
          <w:color w:val="000000" w:themeColor="text1"/>
          <w:lang w:eastAsia="pt-BR"/>
        </w:rPr>
      </w:pPr>
    </w:p>
    <w:p w14:paraId="7DECF694"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shd w:val="clear" w:color="auto" w:fill="00FFFF"/>
          <w:lang w:eastAsia="pt-BR"/>
        </w:rPr>
        <w:t xml:space="preserve">Percebe-se, entretanto, que referido documento </w:t>
      </w:r>
      <w:r w:rsidRPr="0051439E">
        <w:rPr>
          <w:rFonts w:ascii="Times New Roman" w:eastAsiaTheme="minorEastAsia" w:hAnsi="Times New Roman" w:cs="Times New Roman"/>
          <w:color w:val="000000"/>
          <w:u w:val="single"/>
          <w:shd w:val="clear" w:color="auto" w:fill="00FFFF"/>
          <w:lang w:eastAsia="pt-BR"/>
        </w:rPr>
        <w:t>não contempla todos os elementos</w:t>
      </w:r>
      <w:r w:rsidRPr="0051439E">
        <w:rPr>
          <w:rFonts w:ascii="Times New Roman" w:eastAsiaTheme="minorEastAsia" w:hAnsi="Times New Roman" w:cs="Times New Roman"/>
          <w:color w:val="000000"/>
          <w:shd w:val="clear" w:color="auto" w:fill="00FFFF"/>
          <w:lang w:eastAsia="pt-BR"/>
        </w:rPr>
        <w:t xml:space="preserve"> exigidos pelo art. 9º, da IN SEGES nº 58, de 2022. Dessa forma, </w:t>
      </w:r>
      <w:r w:rsidRPr="0051439E">
        <w:rPr>
          <w:rFonts w:ascii="Times New Roman" w:eastAsiaTheme="minorEastAsia" w:hAnsi="Times New Roman" w:cs="Times New Roman"/>
          <w:color w:val="000000"/>
          <w:u w:val="single"/>
          <w:shd w:val="clear" w:color="auto" w:fill="00FFFF"/>
          <w:lang w:eastAsia="pt-BR"/>
        </w:rPr>
        <w:t>o documento deverá ser ajustado</w:t>
      </w:r>
      <w:r w:rsidRPr="0051439E">
        <w:rPr>
          <w:rFonts w:ascii="Times New Roman" w:eastAsiaTheme="minorEastAsia" w:hAnsi="Times New Roman" w:cs="Times New Roman"/>
          <w:color w:val="000000"/>
          <w:shd w:val="clear" w:color="auto" w:fill="00FFFF"/>
          <w:lang w:eastAsia="pt-BR"/>
        </w:rPr>
        <w:t xml:space="preserve">, para que passe a tratar dos conteúdos exigíveis, sendo que os elementos obrigatórios devem ser necessariamente contemplados, ao passo que eventual </w:t>
      </w:r>
      <w:r w:rsidRPr="0051439E">
        <w:rPr>
          <w:rFonts w:ascii="Times New Roman" w:eastAsiaTheme="minorEastAsia" w:hAnsi="Times New Roman" w:cs="Times New Roman"/>
          <w:color w:val="000000"/>
          <w:u w:val="single"/>
          <w:shd w:val="clear" w:color="auto" w:fill="00FFFF"/>
          <w:lang w:eastAsia="pt-BR"/>
        </w:rPr>
        <w:t>ausência dos demais elementos deve ser devidamente justificada</w:t>
      </w:r>
      <w:r w:rsidRPr="0051439E">
        <w:rPr>
          <w:rFonts w:ascii="Times New Roman" w:eastAsiaTheme="minorEastAsia" w:hAnsi="Times New Roman" w:cs="Times New Roman"/>
          <w:color w:val="000000"/>
          <w:shd w:val="clear" w:color="auto" w:fill="00FFFF"/>
          <w:lang w:eastAsia="pt-BR"/>
        </w:rPr>
        <w:t xml:space="preserve"> (art. 9º, § 1º, da IN SEGES nº 58, de 2022).</w:t>
      </w:r>
      <w:r w:rsidRPr="0051439E">
        <w:rPr>
          <w:rFonts w:ascii="Times New Roman" w:eastAsiaTheme="minorEastAsia" w:hAnsi="Times New Roman" w:cs="Times New Roman"/>
          <w:lang w:eastAsia="pt-BR"/>
        </w:rPr>
        <w:t> </w:t>
      </w:r>
    </w:p>
    <w:p w14:paraId="06BC951D"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p>
    <w:tbl>
      <w:tblPr>
        <w:tblW w:w="9000"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000"/>
      </w:tblGrid>
      <w:tr w:rsidR="006D1F90" w:rsidRPr="0051439E" w14:paraId="26CDE120" w14:textId="77777777" w:rsidTr="00F13739">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BB12B11" w14:textId="77777777" w:rsidR="006D1F90" w:rsidRPr="0051439E" w:rsidRDefault="006D1F90" w:rsidP="00F13739">
            <w:pPr>
              <w:spacing w:after="0"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b/>
                <w:color w:val="000000"/>
                <w:shd w:val="clear" w:color="auto" w:fill="FFFF99"/>
                <w:lang w:eastAsia="pt-BR"/>
              </w:rPr>
              <w:t>Nota Explicativa:</w:t>
            </w:r>
            <w:r w:rsidRPr="0051439E">
              <w:rPr>
                <w:rFonts w:ascii="Times New Roman" w:eastAsiaTheme="minorEastAsia" w:hAnsi="Times New Roman" w:cs="Times New Roman"/>
                <w:color w:val="000000"/>
                <w:shd w:val="clear" w:color="auto" w:fill="FFFF99"/>
                <w:lang w:eastAsia="pt-BR"/>
              </w:rPr>
              <w:t xml:space="preserve"> Caso não conste ETP dos autos, deve-se utilizar o item abaixo:</w:t>
            </w:r>
            <w:r w:rsidRPr="0051439E">
              <w:rPr>
                <w:rFonts w:ascii="Times New Roman" w:eastAsiaTheme="minorEastAsia" w:hAnsi="Times New Roman" w:cs="Times New Roman"/>
                <w:lang w:eastAsia="pt-BR"/>
              </w:rPr>
              <w:t>  </w:t>
            </w:r>
          </w:p>
        </w:tc>
      </w:tr>
    </w:tbl>
    <w:p w14:paraId="43425A12"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p>
    <w:p w14:paraId="63864F63"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FF0000"/>
          <w:lang w:eastAsia="pt-BR"/>
        </w:rPr>
        <w:t xml:space="preserve">Verifica-se que a Administração </w:t>
      </w:r>
      <w:r w:rsidRPr="0051439E">
        <w:rPr>
          <w:rFonts w:ascii="Times New Roman" w:eastAsiaTheme="minorEastAsia" w:hAnsi="Times New Roman" w:cs="Times New Roman"/>
          <w:color w:val="FF0000"/>
          <w:u w:val="single"/>
          <w:lang w:eastAsia="pt-BR"/>
        </w:rPr>
        <w:t>não apresentou o estudo técnico preliminar</w:t>
      </w:r>
      <w:r w:rsidRPr="0051439E">
        <w:rPr>
          <w:rFonts w:ascii="Times New Roman" w:eastAsiaTheme="minorEastAsia" w:hAnsi="Times New Roman" w:cs="Times New Roman"/>
          <w:color w:val="FF0000"/>
          <w:lang w:eastAsia="pt-BR"/>
        </w:rPr>
        <w:t xml:space="preserve"> e a </w:t>
      </w:r>
      <w:r w:rsidRPr="0051439E">
        <w:rPr>
          <w:rFonts w:ascii="Times New Roman" w:eastAsiaTheme="minorEastAsia" w:hAnsi="Times New Roman" w:cs="Times New Roman"/>
          <w:color w:val="FF0000"/>
          <w:u w:val="single"/>
          <w:lang w:eastAsia="pt-BR"/>
        </w:rPr>
        <w:t>hipótese não se enquadra nas exceções</w:t>
      </w:r>
      <w:r w:rsidRPr="0051439E">
        <w:rPr>
          <w:rFonts w:ascii="Times New Roman" w:eastAsiaTheme="minorEastAsia" w:hAnsi="Times New Roman" w:cs="Times New Roman"/>
          <w:color w:val="FF0000"/>
          <w:lang w:eastAsia="pt-BR"/>
        </w:rPr>
        <w:t xml:space="preserve"> do art. 14, da IN SEGES nº 58, de 2022. </w:t>
      </w:r>
      <w:r w:rsidRPr="0051439E">
        <w:rPr>
          <w:rFonts w:ascii="Times New Roman" w:eastAsiaTheme="minorEastAsia" w:hAnsi="Times New Roman" w:cs="Times New Roman"/>
          <w:color w:val="FF0000"/>
          <w:u w:val="single"/>
          <w:lang w:eastAsia="pt-BR"/>
        </w:rPr>
        <w:t xml:space="preserve">Deverá, portanto, sanar a irregularidade, </w:t>
      </w:r>
      <w:r w:rsidRPr="0051439E">
        <w:rPr>
          <w:rFonts w:ascii="Times New Roman" w:eastAsiaTheme="minorEastAsia" w:hAnsi="Times New Roman" w:cs="Times New Roman"/>
          <w:color w:val="FF0000"/>
          <w:lang w:eastAsia="pt-BR"/>
        </w:rPr>
        <w:t>elaborando o documento conforme as orientações traçadas acima, nos termos da Lei nº 14.133, de 2021 (art. 18, inciso I, e § 1º) e da IN SEGES nº 58, de 2022.</w:t>
      </w:r>
      <w:r w:rsidRPr="0051439E">
        <w:rPr>
          <w:rFonts w:ascii="Times New Roman" w:eastAsiaTheme="minorEastAsia" w:hAnsi="Times New Roman" w:cs="Times New Roman"/>
          <w:lang w:eastAsia="pt-BR"/>
        </w:rPr>
        <w:t>  </w:t>
      </w:r>
    </w:p>
    <w:p w14:paraId="32A0638E"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p>
    <w:p w14:paraId="4E180937"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b/>
          <w:color w:val="000000" w:themeColor="text1"/>
          <w:lang w:eastAsia="pt-BR"/>
        </w:rPr>
        <w:t>Gerenciamento de riscos </w:t>
      </w:r>
      <w:r w:rsidRPr="0051439E">
        <w:rPr>
          <w:rFonts w:ascii="Times New Roman" w:eastAsiaTheme="minorEastAsia" w:hAnsi="Times New Roman" w:cs="Times New Roman"/>
          <w:b/>
          <w:lang w:eastAsia="pt-BR"/>
        </w:rPr>
        <w:t> </w:t>
      </w:r>
    </w:p>
    <w:p w14:paraId="0B265987" w14:textId="77777777" w:rsidR="006D1F90" w:rsidRPr="0051439E" w:rsidRDefault="006D1F90" w:rsidP="006D1F90">
      <w:pPr>
        <w:spacing w:beforeAutospacing="1" w:afterAutospacing="1" w:line="240" w:lineRule="auto"/>
        <w:jc w:val="both"/>
        <w:rPr>
          <w:rFonts w:ascii="Times New Roman" w:eastAsiaTheme="minorEastAsia" w:hAnsi="Times New Roman" w:cs="Times New Roman"/>
          <w:b/>
          <w:bCs/>
          <w:lang w:eastAsia="pt-BR"/>
        </w:rPr>
      </w:pPr>
    </w:p>
    <w:p w14:paraId="59453BA6" w14:textId="77777777" w:rsidR="006D1F90" w:rsidRPr="0051439E" w:rsidRDefault="006D1F90" w:rsidP="006D1F90">
      <w:pPr>
        <w:spacing w:beforeAutospacing="1" w:afterAutospacing="1" w:line="240" w:lineRule="auto"/>
        <w:jc w:val="both"/>
        <w:rPr>
          <w:rFonts w:ascii="Times New Roman" w:eastAsia="Times New Roman" w:hAnsi="Times New Roman" w:cs="Times New Roman"/>
          <w:sz w:val="24"/>
          <w:szCs w:val="24"/>
          <w:lang w:eastAsia="pt-BR"/>
        </w:rPr>
      </w:pPr>
      <w:r w:rsidRPr="0051439E">
        <w:rPr>
          <w:rFonts w:ascii="Times New Roman" w:eastAsia="Times New Roman" w:hAnsi="Times New Roman" w:cs="Times New Roman"/>
          <w:sz w:val="24"/>
          <w:szCs w:val="24"/>
          <w:lang w:eastAsia="pt-BR"/>
        </w:rPr>
        <w:t xml:space="preserve">Cabe pontuar que </w:t>
      </w:r>
      <w:r w:rsidRPr="0051439E">
        <w:rPr>
          <w:rFonts w:ascii="Times New Roman" w:eastAsia="Times New Roman" w:hAnsi="Times New Roman" w:cs="Times New Roman"/>
          <w:b/>
          <w:bCs/>
          <w:sz w:val="24"/>
          <w:szCs w:val="24"/>
          <w:lang w:eastAsia="pt-BR"/>
        </w:rPr>
        <w:t>“Mapa de Riscos” não se confunde com</w:t>
      </w:r>
      <w:r w:rsidRPr="0051439E">
        <w:rPr>
          <w:rFonts w:ascii="Times New Roman" w:eastAsia="Times New Roman" w:hAnsi="Times New Roman" w:cs="Times New Roman"/>
          <w:sz w:val="24"/>
          <w:szCs w:val="24"/>
          <w:lang w:eastAsia="pt-BR"/>
        </w:rPr>
        <w:t xml:space="preserve"> </w:t>
      </w:r>
      <w:r w:rsidRPr="0051439E">
        <w:rPr>
          <w:rFonts w:ascii="Times New Roman" w:eastAsia="Times New Roman" w:hAnsi="Times New Roman" w:cs="Times New Roman"/>
          <w:b/>
          <w:bCs/>
          <w:sz w:val="24"/>
          <w:szCs w:val="24"/>
          <w:lang w:eastAsia="pt-BR"/>
        </w:rPr>
        <w:t>cláusula de matriz de risco</w:t>
      </w:r>
      <w:r w:rsidRPr="0051439E">
        <w:rPr>
          <w:rFonts w:ascii="Times New Roman" w:eastAsia="Times New Roman" w:hAnsi="Times New Roman" w:cs="Times New Roman"/>
          <w:sz w:val="24"/>
          <w:szCs w:val="24"/>
          <w:lang w:eastAsia="pt-BR"/>
        </w:rPr>
        <w:t xml:space="preserve">, a qual será tratada quando da minuta de contrato e é considerada como a caracterizadora do equilíbrio econômico-financeiro inicial do contrato, em que se aloca, de forma prévia e acertada, a responsabilidade das partes por possível ônus financeiro decorrente de eventos supervenientes à contratação. Assim, a idealização e elaboração do “Mapa de Riscos” não supre a necessidade da Administração Pública, em momento oportuno, discutir </w:t>
      </w:r>
      <w:r w:rsidRPr="0051439E">
        <w:rPr>
          <w:rFonts w:ascii="Times New Roman" w:eastAsia="Times New Roman" w:hAnsi="Times New Roman" w:cs="Times New Roman"/>
          <w:b/>
          <w:bCs/>
          <w:sz w:val="24"/>
          <w:szCs w:val="24"/>
          <w:lang w:eastAsia="pt-BR"/>
        </w:rPr>
        <w:t xml:space="preserve">a matriz de riscos a </w:t>
      </w:r>
      <w:r w:rsidRPr="0051439E">
        <w:rPr>
          <w:rFonts w:ascii="Times New Roman" w:eastAsia="Times New Roman" w:hAnsi="Times New Roman" w:cs="Times New Roman"/>
          <w:b/>
          <w:bCs/>
          <w:sz w:val="24"/>
          <w:szCs w:val="24"/>
          <w:lang w:eastAsia="pt-BR"/>
        </w:rPr>
        <w:lastRenderedPageBreak/>
        <w:t>ser estabelecida no instrumento contratual</w:t>
      </w:r>
      <w:r w:rsidRPr="0051439E">
        <w:rPr>
          <w:rFonts w:ascii="Times New Roman" w:eastAsia="Times New Roman" w:hAnsi="Times New Roman" w:cs="Times New Roman"/>
          <w:sz w:val="24"/>
          <w:szCs w:val="24"/>
          <w:lang w:eastAsia="pt-BR"/>
        </w:rPr>
        <w:t xml:space="preserve"> (Instrumento de Padronização dos Procedimentos de Contratação: Advocacia-Geral da União: Ministério da Gestão e Inovação em Serviços Públicos, 2023).</w:t>
      </w:r>
    </w:p>
    <w:p w14:paraId="500E4491" w14:textId="77777777" w:rsidR="006D1F90" w:rsidRPr="0051439E" w:rsidRDefault="006D1F90" w:rsidP="006D1F90">
      <w:pPr>
        <w:spacing w:before="100" w:beforeAutospacing="1" w:after="100" w:afterAutospacing="1" w:line="240" w:lineRule="auto"/>
        <w:jc w:val="both"/>
        <w:rPr>
          <w:rFonts w:ascii="Times New Roman" w:eastAsia="Times New Roman" w:hAnsi="Times New Roman" w:cs="Times New Roman"/>
          <w:sz w:val="24"/>
          <w:szCs w:val="24"/>
          <w:lang w:eastAsia="pt-BR"/>
        </w:rPr>
      </w:pPr>
      <w:r w:rsidRPr="0051439E">
        <w:rPr>
          <w:rFonts w:ascii="Times New Roman" w:eastAsia="Times New Roman" w:hAnsi="Times New Roman" w:cs="Times New Roman"/>
          <w:sz w:val="24"/>
          <w:szCs w:val="24"/>
          <w:lang w:eastAsia="pt-BR"/>
        </w:rPr>
        <w:t> </w:t>
      </w:r>
    </w:p>
    <w:p w14:paraId="4E6952C8" w14:textId="77777777" w:rsidR="006D1F90" w:rsidRPr="0051439E" w:rsidRDefault="006D1F90" w:rsidP="006D1F90">
      <w:pPr>
        <w:spacing w:beforeAutospacing="1" w:afterAutospacing="1" w:line="240" w:lineRule="auto"/>
        <w:jc w:val="both"/>
        <w:rPr>
          <w:rFonts w:ascii="Times New Roman" w:eastAsia="Times New Roman" w:hAnsi="Times New Roman" w:cs="Times New Roman"/>
          <w:sz w:val="24"/>
          <w:szCs w:val="24"/>
          <w:lang w:eastAsia="pt-BR"/>
        </w:rPr>
      </w:pPr>
      <w:r w:rsidRPr="0051439E">
        <w:rPr>
          <w:rFonts w:ascii="Times New Roman" w:eastAsia="Times New Roman" w:hAnsi="Times New Roman" w:cs="Times New Roman"/>
          <w:sz w:val="24"/>
          <w:szCs w:val="24"/>
          <w:lang w:eastAsia="pt-BR"/>
        </w:rPr>
        <w:t xml:space="preserve">O Gerenciamento de Risco se materializa pelo denominado “Mapa de Riscos” e deverá ser confeccionado no módulo de Gestão de Riscos Digital, consoante o Instrumento de Padronização dos Procedimentos de Contratação: Advocacia-Geral da União: Ministério da Gestão e Inovação em Serviços Públicos, 2023.  </w:t>
      </w:r>
    </w:p>
    <w:p w14:paraId="39998FE8" w14:textId="77777777" w:rsidR="006D1F90" w:rsidRPr="0051439E" w:rsidRDefault="006D1F90" w:rsidP="006D1F90">
      <w:pPr>
        <w:spacing w:before="100" w:beforeAutospacing="1" w:after="100" w:afterAutospacing="1" w:line="240" w:lineRule="auto"/>
        <w:jc w:val="both"/>
        <w:rPr>
          <w:rFonts w:ascii="Times New Roman" w:eastAsia="Times New Roman" w:hAnsi="Times New Roman" w:cs="Times New Roman"/>
          <w:sz w:val="24"/>
          <w:szCs w:val="24"/>
          <w:lang w:eastAsia="pt-BR"/>
        </w:rPr>
      </w:pPr>
      <w:r w:rsidRPr="0051439E">
        <w:rPr>
          <w:rFonts w:ascii="Times New Roman" w:eastAsia="Times New Roman" w:hAnsi="Times New Roman" w:cs="Times New Roman"/>
          <w:sz w:val="24"/>
          <w:szCs w:val="24"/>
          <w:lang w:eastAsia="pt-BR"/>
        </w:rPr>
        <w:t> </w:t>
      </w:r>
    </w:p>
    <w:p w14:paraId="53329B89" w14:textId="77777777" w:rsidR="006D1F90" w:rsidRPr="0051439E" w:rsidRDefault="006D1F90" w:rsidP="006D1F90">
      <w:pPr>
        <w:spacing w:before="100" w:beforeAutospacing="1" w:after="100" w:afterAutospacing="1" w:line="240" w:lineRule="auto"/>
        <w:jc w:val="both"/>
        <w:rPr>
          <w:rFonts w:ascii="Times New Roman" w:eastAsia="Times New Roman" w:hAnsi="Times New Roman" w:cs="Times New Roman"/>
          <w:sz w:val="24"/>
          <w:szCs w:val="24"/>
          <w:lang w:eastAsia="pt-BR"/>
        </w:rPr>
      </w:pPr>
      <w:r w:rsidRPr="0051439E">
        <w:rPr>
          <w:rFonts w:ascii="Times New Roman" w:eastAsia="Times New Roman" w:hAnsi="Times New Roman" w:cs="Times New Roman"/>
          <w:color w:val="000000"/>
          <w:sz w:val="24"/>
          <w:szCs w:val="24"/>
          <w:shd w:val="clear" w:color="auto" w:fill="00FFFF"/>
          <w:lang w:eastAsia="pt-BR"/>
        </w:rPr>
        <w:t>Quanto ao mapa de riscos (art. 18, inciso X, da Lei nº 14.133, de 2021), percebe-se que fo</w:t>
      </w:r>
      <w:r w:rsidRPr="0051439E">
        <w:rPr>
          <w:rFonts w:ascii="Times New Roman" w:eastAsia="Times New Roman" w:hAnsi="Times New Roman" w:cs="Times New Roman"/>
          <w:color w:val="000000"/>
          <w:sz w:val="24"/>
          <w:szCs w:val="24"/>
          <w:highlight w:val="cyan"/>
          <w:shd w:val="clear" w:color="auto" w:fill="00FFFF"/>
          <w:lang w:eastAsia="pt-BR"/>
        </w:rPr>
        <w:t xml:space="preserve">i </w:t>
      </w:r>
      <w:r w:rsidRPr="0051439E">
        <w:rPr>
          <w:rFonts w:ascii="Times New Roman" w:eastAsia="Times New Roman" w:hAnsi="Times New Roman" w:cs="Times New Roman"/>
          <w:sz w:val="24"/>
          <w:szCs w:val="24"/>
          <w:highlight w:val="cyan"/>
          <w:lang w:eastAsia="pt-BR"/>
        </w:rPr>
        <w:t>confeccionado no módulo de Gestão de Riscos Digital, consoante o Instrumento de Padronização dos Procedimentos de Contratação</w:t>
      </w:r>
      <w:r w:rsidRPr="0051439E">
        <w:rPr>
          <w:rFonts w:ascii="Times New Roman" w:eastAsia="Times New Roman" w:hAnsi="Times New Roman" w:cs="Times New Roman"/>
          <w:color w:val="000000" w:themeColor="text1"/>
          <w:sz w:val="24"/>
          <w:szCs w:val="24"/>
          <w:highlight w:val="cyan"/>
          <w:lang w:eastAsia="pt-BR"/>
        </w:rPr>
        <w:t xml:space="preserve">, com indicação do risco, da probabilidade, do impacto, do responsável e das ações preventiva e de contingência </w:t>
      </w:r>
      <w:r w:rsidRPr="0051439E">
        <w:rPr>
          <w:rFonts w:ascii="Times New Roman" w:eastAsia="Times New Roman" w:hAnsi="Times New Roman" w:cs="Times New Roman"/>
          <w:color w:val="FF0000"/>
          <w:sz w:val="24"/>
          <w:szCs w:val="24"/>
          <w:highlight w:val="cyan"/>
          <w:lang w:eastAsia="pt-BR"/>
        </w:rPr>
        <w:t>(fls. XXX/SEI n. XXX).</w:t>
      </w:r>
      <w:r w:rsidRPr="0051439E">
        <w:rPr>
          <w:rFonts w:ascii="Times New Roman" w:eastAsia="Times New Roman" w:hAnsi="Times New Roman" w:cs="Times New Roman"/>
          <w:sz w:val="24"/>
          <w:szCs w:val="24"/>
          <w:highlight w:val="cyan"/>
          <w:lang w:eastAsia="pt-BR"/>
        </w:rPr>
        <w:t> </w:t>
      </w:r>
    </w:p>
    <w:p w14:paraId="5785B1F5" w14:textId="77777777" w:rsidR="006D1F90" w:rsidRPr="0051439E" w:rsidRDefault="006D1F90" w:rsidP="006D1F90">
      <w:pPr>
        <w:spacing w:before="100" w:beforeAutospacing="1" w:after="100" w:afterAutospacing="1" w:line="240" w:lineRule="auto"/>
        <w:jc w:val="both"/>
        <w:rPr>
          <w:rFonts w:ascii="Times New Roman" w:eastAsia="Times New Roman" w:hAnsi="Times New Roman" w:cs="Times New Roman"/>
          <w:sz w:val="24"/>
          <w:szCs w:val="24"/>
          <w:lang w:eastAsia="pt-BR"/>
        </w:rPr>
      </w:pPr>
      <w:r w:rsidRPr="0051439E">
        <w:rPr>
          <w:rFonts w:ascii="Times New Roman" w:eastAsia="Times New Roman" w:hAnsi="Times New Roman" w:cs="Times New Roman"/>
          <w:b/>
          <w:bCs/>
          <w:color w:val="000000"/>
          <w:sz w:val="24"/>
          <w:szCs w:val="24"/>
          <w:u w:val="single"/>
          <w:shd w:val="clear" w:color="auto" w:fill="00FFFF"/>
          <w:lang w:eastAsia="pt-BR"/>
        </w:rPr>
        <w:t>OU</w:t>
      </w:r>
      <w:r w:rsidRPr="0051439E">
        <w:rPr>
          <w:rFonts w:ascii="Times New Roman" w:eastAsia="Times New Roman" w:hAnsi="Times New Roman" w:cs="Times New Roman"/>
          <w:b/>
          <w:bCs/>
          <w:sz w:val="24"/>
          <w:szCs w:val="24"/>
          <w:u w:val="single"/>
          <w:lang w:eastAsia="pt-BR"/>
        </w:rPr>
        <w:t> </w:t>
      </w:r>
    </w:p>
    <w:p w14:paraId="3F08E004" w14:textId="77777777" w:rsidR="006D1F90" w:rsidRPr="0051439E" w:rsidRDefault="006D1F90" w:rsidP="006D1F90">
      <w:pPr>
        <w:spacing w:before="100" w:beforeAutospacing="1" w:after="100" w:afterAutospacing="1" w:line="240" w:lineRule="auto"/>
        <w:jc w:val="both"/>
        <w:rPr>
          <w:rFonts w:ascii="Times New Roman" w:eastAsia="Times New Roman" w:hAnsi="Times New Roman" w:cs="Times New Roman"/>
          <w:sz w:val="24"/>
          <w:szCs w:val="24"/>
          <w:lang w:eastAsia="pt-BR"/>
        </w:rPr>
      </w:pPr>
      <w:r w:rsidRPr="0051439E">
        <w:rPr>
          <w:rFonts w:ascii="Times New Roman" w:eastAsia="Times New Roman" w:hAnsi="Times New Roman" w:cs="Times New Roman"/>
          <w:color w:val="000000"/>
          <w:sz w:val="24"/>
          <w:szCs w:val="24"/>
          <w:shd w:val="clear" w:color="auto" w:fill="00FFFF"/>
          <w:lang w:eastAsia="pt-BR"/>
        </w:rPr>
        <w:t>Quanto ao mapa de riscos, percebe-se que</w:t>
      </w:r>
      <w:r w:rsidRPr="0051439E">
        <w:rPr>
          <w:rFonts w:ascii="Times New Roman" w:eastAsia="Times New Roman" w:hAnsi="Times New Roman" w:cs="Times New Roman"/>
          <w:color w:val="000000"/>
          <w:sz w:val="24"/>
          <w:szCs w:val="24"/>
          <w:u w:val="single"/>
          <w:shd w:val="clear" w:color="auto" w:fill="00FFFF"/>
          <w:lang w:eastAsia="pt-BR"/>
        </w:rPr>
        <w:t xml:space="preserve"> não foi juntado aos autos</w:t>
      </w:r>
      <w:r w:rsidRPr="0051439E">
        <w:rPr>
          <w:rFonts w:ascii="Times New Roman" w:eastAsia="Times New Roman" w:hAnsi="Times New Roman" w:cs="Times New Roman"/>
          <w:color w:val="000000"/>
          <w:sz w:val="24"/>
          <w:szCs w:val="24"/>
          <w:shd w:val="clear" w:color="auto" w:fill="00FFFF"/>
          <w:lang w:eastAsia="pt-BR"/>
        </w:rPr>
        <w:t>,</w:t>
      </w:r>
      <w:r w:rsidRPr="0051439E">
        <w:rPr>
          <w:rFonts w:ascii="Times New Roman" w:eastAsia="Times New Roman" w:hAnsi="Times New Roman" w:cs="Times New Roman"/>
          <w:sz w:val="24"/>
          <w:szCs w:val="24"/>
          <w:lang w:eastAsia="pt-BR"/>
        </w:rPr>
        <w:t xml:space="preserve"> </w:t>
      </w:r>
      <w:r w:rsidRPr="0051439E">
        <w:rPr>
          <w:rFonts w:ascii="Times New Roman" w:eastAsia="Times New Roman" w:hAnsi="Times New Roman" w:cs="Times New Roman"/>
          <w:color w:val="000000"/>
          <w:sz w:val="24"/>
          <w:szCs w:val="24"/>
          <w:u w:val="single"/>
          <w:shd w:val="clear" w:color="auto" w:fill="00FFFF"/>
          <w:lang w:eastAsia="pt-BR"/>
        </w:rPr>
        <w:t xml:space="preserve">o que deve ser providenciado </w:t>
      </w:r>
      <w:r w:rsidRPr="0051439E">
        <w:rPr>
          <w:rFonts w:ascii="Times New Roman" w:eastAsia="Times New Roman" w:hAnsi="Times New Roman" w:cs="Times New Roman"/>
          <w:color w:val="000000"/>
          <w:sz w:val="24"/>
          <w:szCs w:val="24"/>
          <w:shd w:val="clear" w:color="auto" w:fill="00FFFF"/>
          <w:lang w:eastAsia="pt-BR"/>
        </w:rPr>
        <w:t xml:space="preserve">(art. 18, inciso X, da Lei nº 14.133, de 2021), adotando-se, para todas as fases da contratação, o modelo </w:t>
      </w:r>
      <w:r w:rsidRPr="0051439E">
        <w:rPr>
          <w:rFonts w:ascii="Times New Roman" w:eastAsia="Times New Roman" w:hAnsi="Times New Roman" w:cs="Times New Roman"/>
          <w:sz w:val="24"/>
          <w:szCs w:val="24"/>
          <w:highlight w:val="cyan"/>
          <w:lang w:eastAsia="pt-BR"/>
        </w:rPr>
        <w:t>disponível no módulo de Gestão de Riscos Digital, consoante o Instrumento de Padronização dos Procedimentos de Contratação</w:t>
      </w:r>
      <w:r w:rsidRPr="0051439E">
        <w:rPr>
          <w:rFonts w:ascii="Times New Roman" w:eastAsia="Times New Roman" w:hAnsi="Times New Roman" w:cs="Times New Roman"/>
          <w:color w:val="000000"/>
          <w:sz w:val="24"/>
          <w:szCs w:val="24"/>
          <w:highlight w:val="cyan"/>
          <w:shd w:val="clear" w:color="auto" w:fill="00FFFF"/>
          <w:lang w:eastAsia="pt-BR"/>
        </w:rPr>
        <w:t>.</w:t>
      </w:r>
      <w:r w:rsidRPr="0051439E">
        <w:rPr>
          <w:rFonts w:ascii="Times New Roman" w:eastAsia="Times New Roman" w:hAnsi="Times New Roman" w:cs="Times New Roman"/>
          <w:color w:val="000000"/>
          <w:sz w:val="24"/>
          <w:szCs w:val="24"/>
          <w:shd w:val="clear" w:color="auto" w:fill="00FFFF"/>
          <w:lang w:eastAsia="pt-BR"/>
        </w:rPr>
        <w:t> </w:t>
      </w:r>
      <w:r w:rsidRPr="0051439E">
        <w:rPr>
          <w:rFonts w:ascii="Times New Roman" w:eastAsia="Times New Roman" w:hAnsi="Times New Roman" w:cs="Times New Roman"/>
          <w:sz w:val="24"/>
          <w:szCs w:val="24"/>
          <w:lang w:eastAsia="pt-BR"/>
        </w:rPr>
        <w:t> </w:t>
      </w:r>
    </w:p>
    <w:p w14:paraId="5286D564" w14:textId="77777777" w:rsidR="006D1F90" w:rsidRPr="0051439E" w:rsidRDefault="006D1F90" w:rsidP="006D1F90">
      <w:pPr>
        <w:spacing w:before="100" w:beforeAutospacing="1" w:after="100" w:afterAutospacing="1" w:line="240" w:lineRule="auto"/>
        <w:jc w:val="both"/>
        <w:rPr>
          <w:rFonts w:ascii="Times New Roman" w:eastAsia="Times New Roman" w:hAnsi="Times New Roman" w:cs="Times New Roman"/>
          <w:sz w:val="24"/>
          <w:szCs w:val="24"/>
          <w:lang w:eastAsia="pt-BR"/>
        </w:rPr>
      </w:pPr>
      <w:r w:rsidRPr="0051439E">
        <w:rPr>
          <w:rFonts w:ascii="Times New Roman" w:eastAsia="Times New Roman" w:hAnsi="Times New Roman" w:cs="Times New Roman"/>
          <w:b/>
          <w:bCs/>
          <w:color w:val="000000"/>
          <w:sz w:val="24"/>
          <w:szCs w:val="24"/>
          <w:u w:val="single"/>
          <w:shd w:val="clear" w:color="auto" w:fill="00FFFF"/>
          <w:lang w:eastAsia="pt-BR"/>
        </w:rPr>
        <w:t>OU</w:t>
      </w:r>
      <w:r w:rsidRPr="0051439E">
        <w:rPr>
          <w:rFonts w:ascii="Times New Roman" w:eastAsia="Times New Roman" w:hAnsi="Times New Roman" w:cs="Times New Roman"/>
          <w:b/>
          <w:bCs/>
          <w:sz w:val="24"/>
          <w:szCs w:val="24"/>
          <w:u w:val="single"/>
          <w:lang w:eastAsia="pt-BR"/>
        </w:rPr>
        <w:t> </w:t>
      </w:r>
    </w:p>
    <w:p w14:paraId="19B5324D" w14:textId="77777777" w:rsidR="006D1F90" w:rsidRPr="0051439E" w:rsidRDefault="006D1F90" w:rsidP="006D1F90">
      <w:pPr>
        <w:spacing w:before="100" w:beforeAutospacing="1" w:after="100" w:afterAutospacing="1" w:line="240" w:lineRule="auto"/>
        <w:jc w:val="both"/>
        <w:rPr>
          <w:rFonts w:ascii="Times New Roman" w:eastAsia="Times New Roman" w:hAnsi="Times New Roman" w:cs="Times New Roman"/>
          <w:sz w:val="24"/>
          <w:szCs w:val="24"/>
          <w:lang w:eastAsia="pt-BR"/>
        </w:rPr>
      </w:pPr>
      <w:r w:rsidRPr="0051439E">
        <w:rPr>
          <w:rFonts w:ascii="Times New Roman" w:eastAsia="Times New Roman" w:hAnsi="Times New Roman" w:cs="Times New Roman"/>
          <w:color w:val="000000"/>
          <w:sz w:val="24"/>
          <w:szCs w:val="24"/>
          <w:shd w:val="clear" w:color="auto" w:fill="00FFFF"/>
          <w:lang w:eastAsia="pt-BR"/>
        </w:rPr>
        <w:t xml:space="preserve">Quanto ao mapa de riscos (art. 18, inciso X, da Lei nº 14.133, de 2021), percebe-se que foi juntado aos autos, mas </w:t>
      </w:r>
      <w:r w:rsidRPr="0051439E">
        <w:rPr>
          <w:rFonts w:ascii="Times New Roman" w:eastAsia="Times New Roman" w:hAnsi="Times New Roman" w:cs="Times New Roman"/>
          <w:color w:val="000000"/>
          <w:sz w:val="24"/>
          <w:szCs w:val="24"/>
          <w:u w:val="single"/>
          <w:shd w:val="clear" w:color="auto" w:fill="00FFFF"/>
          <w:lang w:eastAsia="pt-BR"/>
        </w:rPr>
        <w:t>não está de acordo com o modelo</w:t>
      </w:r>
      <w:r w:rsidRPr="0051439E">
        <w:rPr>
          <w:rFonts w:ascii="Times New Roman" w:eastAsia="Times New Roman" w:hAnsi="Times New Roman" w:cs="Times New Roman"/>
          <w:color w:val="000000"/>
          <w:sz w:val="24"/>
          <w:szCs w:val="24"/>
          <w:shd w:val="clear" w:color="auto" w:fill="00FFFF"/>
          <w:lang w:eastAsia="pt-BR"/>
        </w:rPr>
        <w:t xml:space="preserve"> </w:t>
      </w:r>
      <w:r w:rsidRPr="0051439E">
        <w:rPr>
          <w:rFonts w:ascii="Times New Roman" w:eastAsia="Times New Roman" w:hAnsi="Times New Roman" w:cs="Times New Roman"/>
          <w:sz w:val="24"/>
          <w:szCs w:val="24"/>
          <w:highlight w:val="cyan"/>
          <w:lang w:eastAsia="pt-BR"/>
        </w:rPr>
        <w:t>disponível no módulo de Gestão de Riscos Digital, consoante o Instrumento de Padronização dos Procedimentos de Contratação</w:t>
      </w:r>
      <w:r w:rsidRPr="0051439E">
        <w:rPr>
          <w:rFonts w:ascii="Times New Roman" w:eastAsia="Times New Roman" w:hAnsi="Times New Roman" w:cs="Times New Roman"/>
          <w:color w:val="000000"/>
          <w:sz w:val="24"/>
          <w:szCs w:val="24"/>
          <w:highlight w:val="cyan"/>
          <w:shd w:val="clear" w:color="auto" w:fill="00FFFF"/>
          <w:lang w:eastAsia="pt-BR"/>
        </w:rPr>
        <w:t>,</w:t>
      </w:r>
      <w:r w:rsidRPr="0051439E">
        <w:rPr>
          <w:rFonts w:ascii="Times New Roman" w:eastAsia="Times New Roman" w:hAnsi="Times New Roman" w:cs="Times New Roman"/>
          <w:color w:val="000000"/>
          <w:sz w:val="24"/>
          <w:szCs w:val="24"/>
          <w:shd w:val="clear" w:color="auto" w:fill="00FFFF"/>
          <w:lang w:eastAsia="pt-BR"/>
        </w:rPr>
        <w:t xml:space="preserve"> pois falta </w:t>
      </w:r>
      <w:r w:rsidRPr="0051439E">
        <w:rPr>
          <w:rFonts w:ascii="Times New Roman" w:eastAsia="Times New Roman" w:hAnsi="Times New Roman" w:cs="Times New Roman"/>
          <w:color w:val="FF0000"/>
          <w:sz w:val="24"/>
          <w:szCs w:val="24"/>
          <w:shd w:val="clear" w:color="auto" w:fill="00FFFF"/>
          <w:lang w:eastAsia="pt-BR"/>
        </w:rPr>
        <w:t>a indicação, para cada risco, da probabilidade, do impacto, do responsável e das ações preventiva e de contingência</w:t>
      </w:r>
      <w:r w:rsidRPr="0051439E">
        <w:rPr>
          <w:rFonts w:ascii="Times New Roman" w:eastAsia="Times New Roman" w:hAnsi="Times New Roman" w:cs="Times New Roman"/>
          <w:color w:val="000000"/>
          <w:sz w:val="24"/>
          <w:szCs w:val="24"/>
          <w:shd w:val="clear" w:color="auto" w:fill="00FFFF"/>
          <w:lang w:eastAsia="pt-BR"/>
        </w:rPr>
        <w:t xml:space="preserve">, </w:t>
      </w:r>
      <w:r w:rsidRPr="0051439E">
        <w:rPr>
          <w:rFonts w:ascii="Times New Roman" w:eastAsia="Times New Roman" w:hAnsi="Times New Roman" w:cs="Times New Roman"/>
          <w:color w:val="000000"/>
          <w:sz w:val="24"/>
          <w:szCs w:val="24"/>
          <w:u w:val="single"/>
          <w:shd w:val="clear" w:color="auto" w:fill="00FFFF"/>
          <w:lang w:eastAsia="pt-BR"/>
        </w:rPr>
        <w:t>devendo tal vício ser sanado</w:t>
      </w:r>
      <w:r w:rsidRPr="0051439E">
        <w:rPr>
          <w:rFonts w:ascii="Times New Roman" w:eastAsia="Times New Roman" w:hAnsi="Times New Roman" w:cs="Times New Roman"/>
          <w:color w:val="000000"/>
          <w:sz w:val="24"/>
          <w:szCs w:val="24"/>
          <w:shd w:val="clear" w:color="auto" w:fill="00FFFF"/>
          <w:lang w:eastAsia="pt-BR"/>
        </w:rPr>
        <w:t>.</w:t>
      </w:r>
      <w:r w:rsidRPr="0051439E">
        <w:rPr>
          <w:rFonts w:ascii="Times New Roman" w:eastAsia="Times New Roman" w:hAnsi="Times New Roman" w:cs="Times New Roman"/>
          <w:sz w:val="24"/>
          <w:szCs w:val="24"/>
          <w:lang w:eastAsia="pt-BR"/>
        </w:rPr>
        <w:t>  </w:t>
      </w:r>
    </w:p>
    <w:p w14:paraId="575766B3"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lang w:eastAsia="pt-BR"/>
        </w:rPr>
        <w:t>  </w:t>
      </w:r>
    </w:p>
    <w:p w14:paraId="4F0BB9BE"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b/>
          <w:bCs/>
          <w:color w:val="000000" w:themeColor="text1"/>
          <w:lang w:eastAsia="pt-BR"/>
        </w:rPr>
        <w:t>Termo de referência</w:t>
      </w:r>
      <w:r w:rsidRPr="0051439E">
        <w:rPr>
          <w:rFonts w:ascii="Times New Roman" w:eastAsiaTheme="minorEastAsia" w:hAnsi="Times New Roman" w:cs="Times New Roman"/>
          <w:color w:val="000000" w:themeColor="text1"/>
          <w:lang w:eastAsia="pt-BR"/>
        </w:rPr>
        <w:t> </w:t>
      </w:r>
      <w:r w:rsidRPr="0051439E">
        <w:rPr>
          <w:rFonts w:ascii="Times New Roman" w:eastAsiaTheme="minorEastAsia" w:hAnsi="Times New Roman" w:cs="Times New Roman"/>
          <w:lang w:eastAsia="pt-BR"/>
        </w:rPr>
        <w:t> </w:t>
      </w:r>
    </w:p>
    <w:p w14:paraId="0FE18A43"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lang w:eastAsia="pt-BR"/>
        </w:rPr>
        <w:t>  </w:t>
      </w:r>
    </w:p>
    <w:p w14:paraId="5A81F6D1"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themeColor="text1"/>
          <w:lang w:eastAsia="pt-BR"/>
        </w:rPr>
        <w:t>O Termo de Referência é o documento que deverá conter a</w:t>
      </w:r>
      <w:r w:rsidRPr="0051439E">
        <w:rPr>
          <w:rFonts w:ascii="Times New Roman" w:eastAsiaTheme="minorEastAsia" w:hAnsi="Times New Roman" w:cs="Times New Roman"/>
          <w:lang w:eastAsia="pt-BR"/>
        </w:rPr>
        <w:t xml:space="preserve"> definição do objeto, incluídos sua natureza, os quantitativos, o prazo do contrato e, se for o caso, a possibilidade de sua prorrogação, a fundamentação da contratação, a descrição da solução, os requisitos da contratação, o modelo de execução do objeto, o modelo de gestão do contrato, os critérios de medição e de pagamento, a forma e critérios de seleção do fornecedor, as estimativas do valor da contratação, acompanhadas dos preços unitários referenciais, das memórias de cálculo e dos documentos que lhe dão suporte, com os parâmetros utilizados para a obtenção dos preços e para os respectivos cálculos, que devem constar de documento separado e classificado e a adequação orçamentária (art. 6º, inciso XXIII, da</w:t>
      </w:r>
      <w:r w:rsidRPr="0051439E">
        <w:rPr>
          <w:rFonts w:ascii="Times New Roman" w:eastAsiaTheme="minorEastAsia" w:hAnsi="Times New Roman" w:cs="Times New Roman"/>
          <w:color w:val="000000" w:themeColor="text1"/>
          <w:lang w:eastAsia="pt-BR"/>
        </w:rPr>
        <w:t xml:space="preserve"> Lei nº 14.133, de 2021).</w:t>
      </w:r>
      <w:r w:rsidRPr="0051439E">
        <w:rPr>
          <w:rFonts w:ascii="Times New Roman" w:eastAsiaTheme="minorEastAsia" w:hAnsi="Times New Roman" w:cs="Times New Roman"/>
          <w:lang w:eastAsia="pt-BR"/>
        </w:rPr>
        <w:t> </w:t>
      </w:r>
    </w:p>
    <w:p w14:paraId="46E69EE5" w14:textId="77777777" w:rsidR="006D1F90" w:rsidRPr="0051439E" w:rsidRDefault="006D1F90" w:rsidP="006D1F90">
      <w:pPr>
        <w:spacing w:beforeAutospacing="1" w:afterAutospacing="1" w:line="240" w:lineRule="auto"/>
        <w:jc w:val="both"/>
        <w:rPr>
          <w:rFonts w:ascii="Times New Roman" w:eastAsiaTheme="minorEastAsia" w:hAnsi="Times New Roman" w:cs="Times New Roman"/>
          <w:color w:val="000000" w:themeColor="text1"/>
          <w:lang w:eastAsia="pt-BR"/>
        </w:rPr>
      </w:pPr>
    </w:p>
    <w:p w14:paraId="186A9168"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lang w:eastAsia="pt-BR"/>
        </w:rPr>
        <w:lastRenderedPageBreak/>
        <w:t>Cumpre lembrar que é recomendável a utilização do modelo de termo de referência disponibilizado pela Advocacia-Geral da União, a fim de garantir o conteúdo mínimo necessário, bem como a padronização e a celeridade na análise (art. 19, IV, da Lei nº 14.133, de 2021). </w:t>
      </w:r>
    </w:p>
    <w:p w14:paraId="4B5910EE" w14:textId="77777777" w:rsidR="006D1F90" w:rsidRPr="0051439E" w:rsidRDefault="006D1F90" w:rsidP="006D1F90">
      <w:pPr>
        <w:spacing w:beforeAutospacing="1" w:afterAutospacing="1" w:line="240" w:lineRule="auto"/>
        <w:jc w:val="both"/>
        <w:rPr>
          <w:rFonts w:ascii="Times New Roman" w:eastAsiaTheme="minorEastAsia" w:hAnsi="Times New Roman" w:cs="Times New Roman"/>
          <w:color w:val="000000" w:themeColor="text1"/>
          <w:u w:val="single"/>
          <w:lang w:eastAsia="pt-BR"/>
        </w:rPr>
      </w:pPr>
    </w:p>
    <w:p w14:paraId="32EB659C"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u w:val="single"/>
          <w:lang w:eastAsia="pt-BR"/>
        </w:rPr>
        <w:t>Recomenda-se</w:t>
      </w:r>
      <w:r w:rsidRPr="0051439E">
        <w:rPr>
          <w:rFonts w:ascii="Times New Roman" w:eastAsiaTheme="minorEastAsia" w:hAnsi="Times New Roman" w:cs="Times New Roman"/>
          <w:lang w:eastAsia="pt-BR"/>
        </w:rPr>
        <w:t>, ainda, que as alterações realizadas no modelo padronizado de termo de referência sejam destacadas visualmente e justificadas por escrito no processo (art. 19, § 2º, da Lei nº 14.133, de 2021).     </w:t>
      </w:r>
    </w:p>
    <w:p w14:paraId="0BA5E1C6" w14:textId="77777777" w:rsidR="006D1F90" w:rsidRPr="0051439E" w:rsidRDefault="006D1F90" w:rsidP="006D1F90">
      <w:pPr>
        <w:spacing w:beforeAutospacing="1" w:afterAutospacing="1" w:line="240" w:lineRule="auto"/>
        <w:jc w:val="both"/>
        <w:rPr>
          <w:rFonts w:ascii="Times New Roman" w:eastAsiaTheme="minorEastAsia" w:hAnsi="Times New Roman" w:cs="Times New Roman"/>
          <w:color w:val="000000" w:themeColor="text1"/>
          <w:lang w:eastAsia="pt-BR"/>
        </w:rPr>
      </w:pPr>
    </w:p>
    <w:p w14:paraId="75D32312"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themeColor="text1"/>
          <w:lang w:eastAsia="pt-BR"/>
        </w:rPr>
        <w:t>No caso, consta dos autos o Termo de Referência,</w:t>
      </w:r>
      <w:r w:rsidRPr="0051439E">
        <w:rPr>
          <w:rFonts w:ascii="Times New Roman" w:eastAsiaTheme="minorEastAsia" w:hAnsi="Times New Roman" w:cs="Times New Roman"/>
          <w:lang w:eastAsia="pt-BR"/>
        </w:rPr>
        <w:t xml:space="preserve"> </w:t>
      </w:r>
      <w:r w:rsidRPr="0051439E">
        <w:rPr>
          <w:rFonts w:ascii="Times New Roman" w:eastAsiaTheme="minorEastAsia" w:hAnsi="Times New Roman" w:cs="Times New Roman"/>
          <w:color w:val="000000" w:themeColor="text1"/>
          <w:lang w:eastAsia="pt-BR"/>
        </w:rPr>
        <w:t xml:space="preserve">elaborado pela área requisitante, datado e assinado </w:t>
      </w:r>
      <w:r w:rsidRPr="0051439E">
        <w:rPr>
          <w:rFonts w:ascii="Times New Roman" w:eastAsiaTheme="minorEastAsia" w:hAnsi="Times New Roman" w:cs="Times New Roman"/>
          <w:color w:val="FF0000"/>
          <w:lang w:eastAsia="pt-BR"/>
        </w:rPr>
        <w:t>(fls. XXX/doc. SEI n. XXX).</w:t>
      </w:r>
      <w:r w:rsidRPr="0051439E">
        <w:rPr>
          <w:rFonts w:ascii="Times New Roman" w:eastAsiaTheme="minorEastAsia" w:hAnsi="Times New Roman" w:cs="Times New Roman"/>
          <w:lang w:eastAsia="pt-BR"/>
        </w:rPr>
        <w:t> </w:t>
      </w:r>
    </w:p>
    <w:p w14:paraId="3FF567F2" w14:textId="77777777" w:rsidR="006D1F90" w:rsidRPr="0051439E" w:rsidRDefault="006D1F90" w:rsidP="006D1F90">
      <w:pPr>
        <w:spacing w:beforeAutospacing="1" w:afterAutospacing="1" w:line="240" w:lineRule="auto"/>
        <w:jc w:val="both"/>
        <w:rPr>
          <w:rFonts w:ascii="Times New Roman" w:eastAsiaTheme="minorEastAsia" w:hAnsi="Times New Roman" w:cs="Times New Roman"/>
          <w:color w:val="000000" w:themeColor="text1"/>
          <w:lang w:eastAsia="pt-BR"/>
        </w:rPr>
      </w:pPr>
    </w:p>
    <w:p w14:paraId="44A172E0"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shd w:val="clear" w:color="auto" w:fill="00FFFF"/>
          <w:lang w:eastAsia="pt-BR"/>
        </w:rPr>
        <w:t xml:space="preserve">Além disso, foi juntada declaração da área técnica informando sobre a adoção, na espécie, do modelo de minuta </w:t>
      </w:r>
      <w:r w:rsidRPr="0051439E">
        <w:rPr>
          <w:rFonts w:ascii="Times New Roman" w:eastAsiaTheme="minorEastAsia" w:hAnsi="Times New Roman" w:cs="Times New Roman"/>
          <w:color w:val="000000" w:themeColor="text1"/>
          <w:shd w:val="clear" w:color="auto" w:fill="00FFFF"/>
          <w:lang w:eastAsia="pt-BR"/>
        </w:rPr>
        <w:t>padronizada</w:t>
      </w:r>
      <w:r w:rsidRPr="0051439E">
        <w:rPr>
          <w:rFonts w:ascii="Times New Roman" w:eastAsiaTheme="minorEastAsia" w:hAnsi="Times New Roman" w:cs="Times New Roman"/>
          <w:color w:val="000000"/>
          <w:shd w:val="clear" w:color="auto" w:fill="00FFFF"/>
          <w:lang w:eastAsia="pt-BR"/>
        </w:rPr>
        <w:t xml:space="preserve"> de Termo de Referência </w:t>
      </w:r>
      <w:r w:rsidRPr="0051439E">
        <w:rPr>
          <w:rFonts w:ascii="Times New Roman" w:eastAsiaTheme="minorEastAsia" w:hAnsi="Times New Roman" w:cs="Times New Roman"/>
          <w:shd w:val="clear" w:color="auto" w:fill="00FFFF"/>
          <w:lang w:eastAsia="pt-BR"/>
        </w:rPr>
        <w:t>disponibilizado pela AGU</w:t>
      </w:r>
      <w:r w:rsidRPr="0051439E">
        <w:rPr>
          <w:rFonts w:ascii="Times New Roman" w:eastAsiaTheme="minorEastAsia" w:hAnsi="Times New Roman" w:cs="Times New Roman"/>
          <w:color w:val="000000"/>
          <w:shd w:val="clear" w:color="auto" w:fill="00FFFF"/>
          <w:lang w:eastAsia="pt-BR"/>
        </w:rPr>
        <w:t xml:space="preserve"> (</w:t>
      </w:r>
      <w:r w:rsidRPr="0051439E">
        <w:rPr>
          <w:rFonts w:ascii="Times New Roman" w:eastAsiaTheme="minorEastAsia" w:hAnsi="Times New Roman" w:cs="Times New Roman"/>
          <w:color w:val="FF0000"/>
          <w:shd w:val="clear" w:color="auto" w:fill="00FFFF"/>
          <w:lang w:eastAsia="pt-BR"/>
        </w:rPr>
        <w:t>fls. XXX/doc. SEI n. XXX)</w:t>
      </w:r>
      <w:r w:rsidRPr="0051439E">
        <w:rPr>
          <w:rFonts w:ascii="Times New Roman" w:eastAsiaTheme="minorEastAsia" w:hAnsi="Times New Roman" w:cs="Times New Roman"/>
          <w:color w:val="000000"/>
          <w:shd w:val="clear" w:color="auto" w:fill="00FFFF"/>
          <w:lang w:eastAsia="pt-BR"/>
        </w:rPr>
        <w:t>.</w:t>
      </w:r>
      <w:r w:rsidRPr="0051439E">
        <w:rPr>
          <w:rFonts w:ascii="Times New Roman" w:eastAsiaTheme="minorEastAsia" w:hAnsi="Times New Roman" w:cs="Times New Roman"/>
          <w:lang w:eastAsia="pt-BR"/>
        </w:rPr>
        <w:t> </w:t>
      </w:r>
    </w:p>
    <w:p w14:paraId="00C0CB8D"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color w:val="FF0000"/>
          <w:lang w:eastAsia="pt-BR"/>
        </w:rPr>
      </w:pPr>
      <w:r w:rsidRPr="0051439E">
        <w:rPr>
          <w:rFonts w:ascii="Times New Roman" w:eastAsiaTheme="minorEastAsia" w:hAnsi="Times New Roman" w:cs="Times New Roman"/>
          <w:b/>
          <w:color w:val="FF0000"/>
          <w:u w:val="single"/>
          <w:shd w:val="clear" w:color="auto" w:fill="00FFFF"/>
          <w:lang w:eastAsia="pt-BR"/>
        </w:rPr>
        <w:t>OU</w:t>
      </w:r>
      <w:r w:rsidRPr="0051439E">
        <w:rPr>
          <w:rFonts w:ascii="Times New Roman" w:eastAsiaTheme="minorEastAsia" w:hAnsi="Times New Roman" w:cs="Times New Roman"/>
          <w:color w:val="FF0000"/>
          <w:lang w:eastAsia="pt-BR"/>
        </w:rPr>
        <w:t> </w:t>
      </w:r>
    </w:p>
    <w:p w14:paraId="7F4DA155"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shd w:val="clear" w:color="auto" w:fill="00FFFF"/>
          <w:lang w:eastAsia="pt-BR"/>
        </w:rPr>
        <w:t>Além disso, muito embora não tenha sido juntada ao feito declaração da área técnica sobre o assunto, verifica-se que, aparentemente, o Termo de Referência se baseou no respectivo modelo de minuta padronizada disponibilizado pela AGU.</w:t>
      </w:r>
      <w:r w:rsidRPr="0051439E">
        <w:rPr>
          <w:rFonts w:ascii="Times New Roman" w:eastAsiaTheme="minorEastAsia" w:hAnsi="Times New Roman" w:cs="Times New Roman"/>
          <w:lang w:eastAsia="pt-BR"/>
        </w:rPr>
        <w:t>  </w:t>
      </w:r>
    </w:p>
    <w:p w14:paraId="60333429" w14:textId="77777777" w:rsidR="006D1F90" w:rsidRPr="0051439E" w:rsidRDefault="006D1F90" w:rsidP="006D1F90">
      <w:pPr>
        <w:spacing w:beforeAutospacing="1" w:afterAutospacing="1" w:line="240" w:lineRule="auto"/>
        <w:jc w:val="both"/>
        <w:rPr>
          <w:rFonts w:ascii="Times New Roman" w:eastAsiaTheme="minorEastAsia" w:hAnsi="Times New Roman" w:cs="Times New Roman"/>
          <w:lang w:eastAsia="pt-BR"/>
        </w:rPr>
      </w:pPr>
    </w:p>
    <w:p w14:paraId="2764FF0F"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lang w:eastAsia="pt-BR"/>
        </w:rPr>
        <w:t>A não utilização do catálogo eletrônico de padronização é situação excepcional, devendo ser justificada por escrito e anexada ao respectivo processo de contratação (art. 6º, inciso LI, c/c art. 19, inciso II, § 2º, da Lei nº 14.133, de 2021 c/c art. 10, parágrafo único, da PORTARIA SEGES/ME Nº 938, de 2 de fevereiro de 2022).  </w:t>
      </w:r>
    </w:p>
    <w:p w14:paraId="6899A715" w14:textId="77777777" w:rsidR="006D1F90" w:rsidRPr="0051439E" w:rsidRDefault="006D1F90" w:rsidP="006D1F90">
      <w:pPr>
        <w:spacing w:beforeAutospacing="1" w:afterAutospacing="1" w:line="240" w:lineRule="auto"/>
        <w:jc w:val="both"/>
        <w:rPr>
          <w:rFonts w:ascii="Times New Roman" w:eastAsia="Times New Roman" w:hAnsi="Times New Roman" w:cs="Times New Roman"/>
          <w:color w:val="333333"/>
          <w:sz w:val="24"/>
          <w:szCs w:val="24"/>
          <w:highlight w:val="green"/>
        </w:rPr>
      </w:pPr>
    </w:p>
    <w:p w14:paraId="69ABB927" w14:textId="77777777" w:rsidR="006D1F90" w:rsidRPr="0051439E" w:rsidRDefault="006D1F90" w:rsidP="006D1F90">
      <w:pPr>
        <w:spacing w:beforeAutospacing="1" w:afterAutospacing="1" w:line="240" w:lineRule="auto"/>
        <w:jc w:val="both"/>
        <w:rPr>
          <w:rFonts w:ascii="Times New Roman" w:eastAsia="Times New Roman" w:hAnsi="Times New Roman" w:cs="Times New Roman"/>
          <w:sz w:val="24"/>
          <w:szCs w:val="24"/>
          <w:lang w:eastAsia="pt-BR"/>
        </w:rPr>
      </w:pPr>
      <w:r w:rsidRPr="0051439E">
        <w:rPr>
          <w:rFonts w:ascii="Times New Roman" w:eastAsia="Times New Roman" w:hAnsi="Times New Roman" w:cs="Times New Roman"/>
          <w:sz w:val="24"/>
          <w:szCs w:val="24"/>
        </w:rPr>
        <w:t xml:space="preserve">Nas licitações de obras e serviços de engenharia e arquitetura, sempre que adequada ao objeto da licitação, será preferencialmente adotada a Modelagem da Informação da Construção </w:t>
      </w:r>
      <w:r w:rsidRPr="0051439E">
        <w:rPr>
          <w:rFonts w:ascii="Times New Roman" w:eastAsia="Times New Roman" w:hAnsi="Times New Roman" w:cs="Times New Roman"/>
          <w:i/>
          <w:iCs/>
          <w:sz w:val="24"/>
          <w:szCs w:val="24"/>
        </w:rPr>
        <w:t>(</w:t>
      </w:r>
      <w:proofErr w:type="spellStart"/>
      <w:r w:rsidRPr="0051439E">
        <w:rPr>
          <w:rFonts w:ascii="Times New Roman" w:eastAsia="Times New Roman" w:hAnsi="Times New Roman" w:cs="Times New Roman"/>
          <w:i/>
          <w:iCs/>
          <w:sz w:val="24"/>
          <w:szCs w:val="24"/>
        </w:rPr>
        <w:t>Building</w:t>
      </w:r>
      <w:proofErr w:type="spellEnd"/>
      <w:r w:rsidRPr="0051439E">
        <w:rPr>
          <w:rFonts w:ascii="Times New Roman" w:eastAsia="Times New Roman" w:hAnsi="Times New Roman" w:cs="Times New Roman"/>
          <w:i/>
          <w:iCs/>
          <w:sz w:val="24"/>
          <w:szCs w:val="24"/>
        </w:rPr>
        <w:t xml:space="preserve"> </w:t>
      </w:r>
      <w:proofErr w:type="spellStart"/>
      <w:r w:rsidRPr="0051439E">
        <w:rPr>
          <w:rFonts w:ascii="Times New Roman" w:eastAsia="Times New Roman" w:hAnsi="Times New Roman" w:cs="Times New Roman"/>
          <w:i/>
          <w:iCs/>
          <w:sz w:val="24"/>
          <w:szCs w:val="24"/>
        </w:rPr>
        <w:t>Information</w:t>
      </w:r>
      <w:proofErr w:type="spellEnd"/>
      <w:r w:rsidRPr="0051439E">
        <w:rPr>
          <w:rFonts w:ascii="Times New Roman" w:eastAsia="Times New Roman" w:hAnsi="Times New Roman" w:cs="Times New Roman"/>
          <w:i/>
          <w:iCs/>
          <w:sz w:val="24"/>
          <w:szCs w:val="24"/>
        </w:rPr>
        <w:t xml:space="preserve"> </w:t>
      </w:r>
      <w:proofErr w:type="spellStart"/>
      <w:r w:rsidRPr="0051439E">
        <w:rPr>
          <w:rFonts w:ascii="Times New Roman" w:eastAsia="Times New Roman" w:hAnsi="Times New Roman" w:cs="Times New Roman"/>
          <w:i/>
          <w:iCs/>
          <w:sz w:val="24"/>
          <w:szCs w:val="24"/>
        </w:rPr>
        <w:t>Modelling</w:t>
      </w:r>
      <w:proofErr w:type="spellEnd"/>
      <w:r w:rsidRPr="0051439E">
        <w:rPr>
          <w:rFonts w:ascii="Times New Roman" w:eastAsia="Times New Roman" w:hAnsi="Times New Roman" w:cs="Times New Roman"/>
          <w:i/>
          <w:iCs/>
          <w:sz w:val="24"/>
          <w:szCs w:val="24"/>
        </w:rPr>
        <w:t xml:space="preserve"> </w:t>
      </w:r>
      <w:r w:rsidRPr="0051439E">
        <w:rPr>
          <w:rFonts w:ascii="Times New Roman" w:eastAsia="Times New Roman" w:hAnsi="Times New Roman" w:cs="Times New Roman"/>
          <w:sz w:val="24"/>
          <w:szCs w:val="24"/>
        </w:rPr>
        <w:t xml:space="preserve">- BIM) ou tecnologias e processos integrados similares ou mais avançados que venham a substituí-la </w:t>
      </w:r>
      <w:r w:rsidRPr="0051439E">
        <w:rPr>
          <w:rFonts w:ascii="Times New Roman" w:eastAsia="Times New Roman" w:hAnsi="Times New Roman" w:cs="Times New Roman"/>
          <w:sz w:val="24"/>
          <w:szCs w:val="24"/>
          <w:lang w:eastAsia="pt-BR"/>
        </w:rPr>
        <w:t xml:space="preserve">(art. 19, § 3º, da Lei nº 14.133, de 2021), </w:t>
      </w:r>
      <w:r w:rsidRPr="0051439E">
        <w:rPr>
          <w:rFonts w:ascii="Times New Roman" w:eastAsia="Times New Roman" w:hAnsi="Times New Roman" w:cs="Times New Roman"/>
          <w:b/>
          <w:bCs/>
          <w:sz w:val="24"/>
          <w:szCs w:val="24"/>
          <w:lang w:eastAsia="pt-BR"/>
        </w:rPr>
        <w:t>que deverá ser atendida ou justificada pela Administração.</w:t>
      </w:r>
    </w:p>
    <w:p w14:paraId="7BEAF5EA" w14:textId="77777777" w:rsidR="006D1F90" w:rsidRPr="0051439E" w:rsidRDefault="006D1F90" w:rsidP="006D1F90">
      <w:pPr>
        <w:spacing w:before="100" w:beforeAutospacing="1" w:after="100" w:afterAutospacing="1" w:line="240" w:lineRule="auto"/>
        <w:jc w:val="both"/>
        <w:rPr>
          <w:rFonts w:ascii="Times New Roman" w:eastAsia="Times New Roman" w:hAnsi="Times New Roman" w:cs="Times New Roman"/>
          <w:sz w:val="24"/>
          <w:szCs w:val="24"/>
          <w:highlight w:val="green"/>
          <w:lang w:eastAsia="pt-BR"/>
        </w:rPr>
      </w:pPr>
      <w:r w:rsidRPr="0051439E">
        <w:rPr>
          <w:rFonts w:ascii="Times New Roman" w:eastAsiaTheme="minorEastAsia" w:hAnsi="Times New Roman" w:cs="Times New Roman"/>
          <w:lang w:eastAsia="pt-BR"/>
        </w:rPr>
        <w:t xml:space="preserve"> </w:t>
      </w:r>
    </w:p>
    <w:p w14:paraId="7FE90FA9"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themeColor="text1"/>
          <w:lang w:eastAsia="pt-BR"/>
        </w:rPr>
        <w:t>Ademais, a IN SEGES/ME nº 81, de 2022, dispõe sobre a elaboração do Termo de Referência – TR, para a aquisição de bens e a contratação de serviços, e sobre o Sistema TR digital. A Administração deve cuidar para que suas exigências sejam atendidas no caso concreto</w:t>
      </w:r>
      <w:r w:rsidRPr="0051439E">
        <w:rPr>
          <w:rFonts w:ascii="Times New Roman" w:eastAsiaTheme="minorEastAsia" w:hAnsi="Times New Roman" w:cs="Times New Roman"/>
          <w:color w:val="0000FF"/>
          <w:lang w:eastAsia="pt-BR"/>
        </w:rPr>
        <w:t>.</w:t>
      </w:r>
      <w:r w:rsidRPr="0051439E">
        <w:rPr>
          <w:rFonts w:ascii="Times New Roman" w:eastAsiaTheme="minorEastAsia" w:hAnsi="Times New Roman" w:cs="Times New Roman"/>
          <w:lang w:eastAsia="pt-BR"/>
        </w:rPr>
        <w:t>   </w:t>
      </w:r>
    </w:p>
    <w:p w14:paraId="2B0AB7C3" w14:textId="77777777" w:rsidR="006D1F90" w:rsidRPr="0051439E" w:rsidRDefault="006D1F90" w:rsidP="006D1F90">
      <w:pPr>
        <w:spacing w:beforeAutospacing="1" w:afterAutospacing="1" w:line="240" w:lineRule="auto"/>
        <w:jc w:val="both"/>
        <w:rPr>
          <w:rFonts w:ascii="Times New Roman" w:eastAsiaTheme="minorEastAsia" w:hAnsi="Times New Roman" w:cs="Times New Roman"/>
          <w:color w:val="000000" w:themeColor="text1"/>
          <w:lang w:eastAsia="pt-BR"/>
        </w:rPr>
      </w:pPr>
    </w:p>
    <w:p w14:paraId="553886EF"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themeColor="text1"/>
          <w:lang w:eastAsia="pt-BR"/>
        </w:rPr>
        <w:lastRenderedPageBreak/>
        <w:t>Nesse contexto, em análise eminentemente formal, verifica-se que o termo de referência contemplou todas as exigências contidas nos normativos acima citados.</w:t>
      </w:r>
      <w:r w:rsidRPr="0051439E">
        <w:rPr>
          <w:rFonts w:ascii="Times New Roman" w:eastAsiaTheme="minorEastAsia" w:hAnsi="Times New Roman" w:cs="Times New Roman"/>
          <w:lang w:eastAsia="pt-BR"/>
        </w:rPr>
        <w:t> </w:t>
      </w:r>
    </w:p>
    <w:p w14:paraId="749D6985"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p>
    <w:tbl>
      <w:tblPr>
        <w:tblW w:w="9000"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000"/>
      </w:tblGrid>
      <w:tr w:rsidR="006D1F90" w:rsidRPr="0051439E" w14:paraId="748DBDD2" w14:textId="77777777" w:rsidTr="00F13739">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5E60655" w14:textId="77777777" w:rsidR="006D1F90" w:rsidRPr="0051439E" w:rsidRDefault="006D1F90" w:rsidP="00F13739">
            <w:pPr>
              <w:spacing w:after="0"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b/>
                <w:bCs/>
                <w:color w:val="000000"/>
                <w:shd w:val="clear" w:color="auto" w:fill="FFFF99"/>
                <w:lang w:eastAsia="pt-BR"/>
              </w:rPr>
              <w:t>Nota Explicativa:</w:t>
            </w:r>
            <w:r w:rsidRPr="0051439E">
              <w:rPr>
                <w:rFonts w:ascii="Times New Roman" w:eastAsiaTheme="minorEastAsia" w:hAnsi="Times New Roman" w:cs="Times New Roman"/>
                <w:lang w:eastAsia="pt-BR"/>
              </w:rPr>
              <w:t xml:space="preserve"> </w:t>
            </w:r>
            <w:r w:rsidRPr="0051439E">
              <w:rPr>
                <w:rFonts w:ascii="Times New Roman" w:eastAsiaTheme="minorEastAsia" w:hAnsi="Times New Roman" w:cs="Times New Roman"/>
                <w:color w:val="000000"/>
                <w:shd w:val="clear" w:color="auto" w:fill="FFFF99"/>
                <w:lang w:eastAsia="pt-BR"/>
              </w:rPr>
              <w:t xml:space="preserve">O apontamento de eventuais falhas, retificações e esclarecimentos no conteúdo do Termo de Referência, se for o caso, deverá ser feito de acordo com a situação concreta a ser analisada, tomando-se por base, inclusive, </w:t>
            </w:r>
            <w:r w:rsidRPr="0051439E">
              <w:rPr>
                <w:rFonts w:ascii="Times New Roman" w:eastAsiaTheme="minorEastAsia" w:hAnsi="Times New Roman" w:cs="Times New Roman"/>
                <w:color w:val="000000"/>
                <w:highlight w:val="green"/>
                <w:shd w:val="clear" w:color="auto" w:fill="FFFF99"/>
                <w:lang w:eastAsia="pt-BR"/>
              </w:rPr>
              <w:t xml:space="preserve">as orientações constantes no modelo de minuta de Termo de Referência elaborado pela </w:t>
            </w:r>
            <w:r w:rsidRPr="0051439E">
              <w:rPr>
                <w:rFonts w:ascii="Times New Roman" w:eastAsiaTheme="minorEastAsia" w:hAnsi="Times New Roman" w:cs="Times New Roman"/>
                <w:color w:val="000000" w:themeColor="text1"/>
                <w:highlight w:val="green"/>
                <w:lang w:eastAsia="pt-BR"/>
              </w:rPr>
              <w:t>AGU.</w:t>
            </w:r>
            <w:r w:rsidRPr="0051439E">
              <w:rPr>
                <w:rFonts w:ascii="Times New Roman" w:eastAsiaTheme="minorEastAsia" w:hAnsi="Times New Roman" w:cs="Times New Roman"/>
                <w:color w:val="000000"/>
                <w:shd w:val="clear" w:color="auto" w:fill="FFFF99"/>
                <w:lang w:eastAsia="pt-BR"/>
              </w:rPr>
              <w:t xml:space="preserve"> Nesse caso, deverá ser utilizado o texto abaixo colacionado, com indicação das recomendações consideradas necessárias pelo órgão consultivo, de acordo com as peculiaridades de cada caso concreto.</w:t>
            </w:r>
            <w:r w:rsidRPr="0051439E">
              <w:rPr>
                <w:rFonts w:ascii="Times New Roman" w:eastAsiaTheme="minorEastAsia" w:hAnsi="Times New Roman" w:cs="Times New Roman"/>
                <w:shd w:val="clear" w:color="auto" w:fill="FFFF99"/>
                <w:lang w:eastAsia="pt-BR"/>
              </w:rPr>
              <w:t>  </w:t>
            </w:r>
          </w:p>
        </w:tc>
      </w:tr>
    </w:tbl>
    <w:p w14:paraId="7CB82469"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p>
    <w:p w14:paraId="3F59CB8D"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themeColor="text1"/>
          <w:lang w:eastAsia="pt-BR"/>
        </w:rPr>
        <w:t>Sem embargo disso, e apesar de se tratar de documento extremamente técnico, cuja avaliação cabe, em última instância, à própria Administração,</w:t>
      </w:r>
      <w:r w:rsidRPr="0051439E">
        <w:rPr>
          <w:rFonts w:ascii="Times New Roman" w:eastAsiaTheme="minorEastAsia" w:hAnsi="Times New Roman" w:cs="Times New Roman"/>
          <w:lang w:eastAsia="pt-BR"/>
        </w:rPr>
        <w:t> </w:t>
      </w:r>
      <w:r w:rsidRPr="0051439E">
        <w:rPr>
          <w:rFonts w:ascii="Times New Roman" w:eastAsiaTheme="minorEastAsia" w:hAnsi="Times New Roman" w:cs="Times New Roman"/>
          <w:b/>
          <w:color w:val="FF0000"/>
          <w:u w:val="single"/>
          <w:lang w:eastAsia="pt-BR"/>
        </w:rPr>
        <w:t>constata-se a necessidade de atendimento adicional às recomendações abaixo, a saber</w:t>
      </w:r>
      <w:r w:rsidRPr="0051439E">
        <w:rPr>
          <w:rFonts w:ascii="Times New Roman" w:eastAsiaTheme="minorEastAsia" w:hAnsi="Times New Roman" w:cs="Times New Roman"/>
          <w:color w:val="FF0000"/>
          <w:lang w:eastAsia="pt-BR"/>
        </w:rPr>
        <w:t>: </w:t>
      </w:r>
    </w:p>
    <w:p w14:paraId="72E2C05A" w14:textId="77777777" w:rsidR="006D1F90" w:rsidRPr="0051439E" w:rsidRDefault="006D1F90" w:rsidP="006D1F90">
      <w:pPr>
        <w:spacing w:after="100" w:line="240" w:lineRule="auto"/>
        <w:jc w:val="both"/>
        <w:rPr>
          <w:rFonts w:ascii="Times New Roman" w:eastAsiaTheme="minorEastAsia" w:hAnsi="Times New Roman" w:cs="Times New Roman"/>
          <w:color w:val="FF0000"/>
          <w:lang w:eastAsia="pt-BR"/>
        </w:rPr>
      </w:pPr>
    </w:p>
    <w:p w14:paraId="7FFA3E9E" w14:textId="77777777" w:rsidR="006D1F90" w:rsidRPr="0051439E" w:rsidRDefault="006D1F90" w:rsidP="006D1F90">
      <w:pPr>
        <w:spacing w:after="100"/>
        <w:jc w:val="both"/>
        <w:rPr>
          <w:rFonts w:ascii="Times New Roman" w:eastAsiaTheme="minorEastAsia" w:hAnsi="Times New Roman" w:cs="Times New Roman"/>
          <w:color w:val="FF0000"/>
          <w:u w:val="single"/>
        </w:rPr>
      </w:pPr>
      <w:r w:rsidRPr="0051439E">
        <w:rPr>
          <w:rFonts w:ascii="Times New Roman" w:eastAsiaTheme="minorEastAsia" w:hAnsi="Times New Roman" w:cs="Times New Roman"/>
          <w:color w:val="FF0000"/>
          <w:lang w:eastAsia="pt-BR"/>
        </w:rPr>
        <w:t>) e</w:t>
      </w:r>
      <w:r w:rsidRPr="0051439E">
        <w:rPr>
          <w:rFonts w:ascii="Times New Roman" w:eastAsiaTheme="minorEastAsia" w:hAnsi="Times New Roman" w:cs="Times New Roman"/>
          <w:color w:val="FF0000"/>
        </w:rPr>
        <w:t xml:space="preserve">m se tratando de registro de preços com indicação limitada a unidades de contratação, sem indicação do total a ser adquirido, nas hipóteses do art. 4º, do Decreto nº 11.462, de 2023 (item XX do termo de referência), </w:t>
      </w:r>
      <w:r w:rsidRPr="0051439E">
        <w:rPr>
          <w:rFonts w:ascii="Times New Roman" w:eastAsiaTheme="minorEastAsia" w:hAnsi="Times New Roman" w:cs="Times New Roman"/>
          <w:b/>
          <w:bCs/>
          <w:color w:val="FF0000"/>
        </w:rPr>
        <w:t>é obrigatória a indicação do valor máximo da despesa</w:t>
      </w:r>
      <w:r w:rsidRPr="0051439E">
        <w:rPr>
          <w:rFonts w:ascii="Times New Roman" w:eastAsiaTheme="minorEastAsia" w:hAnsi="Times New Roman" w:cs="Times New Roman"/>
          <w:color w:val="FF0000"/>
        </w:rPr>
        <w:t xml:space="preserve"> (art. 82, § 4º, da Lei nº 14.133, de 2021 e artigo 4º, parágrafo único, do Decreto nº 11.462, de 2023), </w:t>
      </w:r>
      <w:r w:rsidRPr="0051439E">
        <w:rPr>
          <w:rFonts w:ascii="Times New Roman" w:eastAsiaTheme="minorEastAsia" w:hAnsi="Times New Roman" w:cs="Times New Roman"/>
          <w:b/>
          <w:bCs/>
          <w:color w:val="FF0000"/>
          <w:u w:val="single"/>
        </w:rPr>
        <w:t>o que demanda ajustes no termo de referência</w:t>
      </w:r>
      <w:r w:rsidRPr="0051439E">
        <w:rPr>
          <w:rFonts w:ascii="Times New Roman" w:eastAsiaTheme="minorEastAsia" w:hAnsi="Times New Roman" w:cs="Times New Roman"/>
          <w:color w:val="FF0000"/>
          <w:u w:val="single"/>
        </w:rPr>
        <w:t>.</w:t>
      </w:r>
    </w:p>
    <w:p w14:paraId="3E413267" w14:textId="77777777" w:rsidR="006D1F90" w:rsidRPr="0051439E" w:rsidRDefault="006D1F90" w:rsidP="006D1F90">
      <w:pPr>
        <w:spacing w:after="100" w:line="240" w:lineRule="auto"/>
        <w:jc w:val="both"/>
        <w:rPr>
          <w:rFonts w:ascii="Times New Roman" w:eastAsiaTheme="minorEastAsia" w:hAnsi="Times New Roman" w:cs="Times New Roman"/>
          <w:color w:val="FF0000"/>
          <w:lang w:eastAsia="pt-BR"/>
        </w:rPr>
      </w:pPr>
    </w:p>
    <w:p w14:paraId="66376EC2" w14:textId="77777777" w:rsidR="006D1F90" w:rsidRPr="0051439E" w:rsidRDefault="006D1F90" w:rsidP="006D1F90">
      <w:pPr>
        <w:spacing w:after="100"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FF0000"/>
          <w:lang w:eastAsia="pt-BR"/>
        </w:rPr>
        <w:t xml:space="preserve">) de acordo com o art. 46, § 1º, da Lei n. 14.133, de 2021, </w:t>
      </w:r>
      <w:r w:rsidRPr="0051439E">
        <w:rPr>
          <w:rFonts w:ascii="Times New Roman" w:eastAsiaTheme="minorEastAsia" w:hAnsi="Times New Roman" w:cs="Times New Roman"/>
          <w:color w:val="FF0000"/>
          <w:u w:val="single"/>
          <w:lang w:eastAsia="pt-BR"/>
        </w:rPr>
        <w:t>é vedada a realização de serviços de engenharia sem projeto executivo,</w:t>
      </w:r>
      <w:r w:rsidRPr="0051439E">
        <w:rPr>
          <w:rFonts w:ascii="Times New Roman" w:eastAsiaTheme="minorEastAsia" w:hAnsi="Times New Roman" w:cs="Times New Roman"/>
          <w:color w:val="FF0000"/>
          <w:lang w:eastAsia="pt-BR"/>
        </w:rPr>
        <w:t xml:space="preserve"> ressalvadas as hipóteses previstas no art. 18, § 3º ou no art. 14, § 4º da Lei nº 14.133, de 2021, </w:t>
      </w:r>
      <w:r w:rsidRPr="0051439E">
        <w:rPr>
          <w:rFonts w:ascii="Times New Roman" w:eastAsiaTheme="minorEastAsia" w:hAnsi="Times New Roman" w:cs="Times New Roman"/>
          <w:color w:val="FF0000"/>
          <w:u w:val="single"/>
          <w:lang w:eastAsia="pt-BR"/>
        </w:rPr>
        <w:t>o que demanda saneamento da instrução processual</w:t>
      </w:r>
      <w:r w:rsidRPr="0051439E">
        <w:rPr>
          <w:rFonts w:ascii="Times New Roman" w:eastAsiaTheme="minorEastAsia" w:hAnsi="Times New Roman" w:cs="Times New Roman"/>
          <w:color w:val="FF0000"/>
          <w:lang w:eastAsia="pt-BR"/>
        </w:rPr>
        <w:t>, mediante a juntada do projeto executivo ao edital, a justificativa técnica de sua desnecessidade ou a justificativa para atribuir a obrigação de sua elaboração pelo contratado.</w:t>
      </w:r>
      <w:r w:rsidRPr="0051439E">
        <w:rPr>
          <w:rFonts w:ascii="Times New Roman" w:eastAsiaTheme="minorEastAsia" w:hAnsi="Times New Roman" w:cs="Times New Roman"/>
          <w:lang w:eastAsia="pt-BR"/>
        </w:rPr>
        <w:t> </w:t>
      </w:r>
    </w:p>
    <w:p w14:paraId="77A10468" w14:textId="77777777" w:rsidR="006D1F90" w:rsidRPr="0051439E" w:rsidRDefault="006D1F90" w:rsidP="006D1F90">
      <w:pPr>
        <w:spacing w:after="100" w:line="240" w:lineRule="auto"/>
        <w:jc w:val="both"/>
        <w:rPr>
          <w:rFonts w:ascii="Times New Roman" w:eastAsiaTheme="minorEastAsia" w:hAnsi="Times New Roman" w:cs="Times New Roman"/>
          <w:lang w:eastAsia="pt-BR"/>
        </w:rPr>
      </w:pPr>
    </w:p>
    <w:p w14:paraId="7732F440" w14:textId="77777777" w:rsidR="006D1F90" w:rsidRPr="0051439E" w:rsidRDefault="006D1F90" w:rsidP="006D1F90">
      <w:pPr>
        <w:spacing w:after="100"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FF0000"/>
          <w:lang w:eastAsia="pt-BR"/>
        </w:rPr>
        <w:t xml:space="preserve">) </w:t>
      </w:r>
      <w:r w:rsidRPr="0051439E">
        <w:rPr>
          <w:rFonts w:ascii="Times New Roman" w:eastAsiaTheme="minorEastAsia" w:hAnsi="Times New Roman" w:cs="Times New Roman"/>
          <w:color w:val="FF0000"/>
          <w:u w:val="single"/>
          <w:lang w:eastAsia="pt-BR"/>
        </w:rPr>
        <w:t>caso seja escolhido o regime de execução de empreitada por preço global,</w:t>
      </w:r>
      <w:r w:rsidRPr="0051439E">
        <w:rPr>
          <w:rFonts w:ascii="Times New Roman" w:eastAsiaTheme="minorEastAsia" w:hAnsi="Times New Roman" w:cs="Times New Roman"/>
          <w:lang w:eastAsia="pt-BR"/>
        </w:rPr>
        <w:t xml:space="preserve"> </w:t>
      </w:r>
      <w:r w:rsidRPr="0051439E">
        <w:rPr>
          <w:rFonts w:ascii="Times New Roman" w:eastAsiaTheme="minorEastAsia" w:hAnsi="Times New Roman" w:cs="Times New Roman"/>
          <w:color w:val="FF0000"/>
          <w:lang w:eastAsia="pt-BR"/>
        </w:rPr>
        <w:t>deve ser licitado por preço global, com a sistemática de medição e pagamento associada à execução de etapas do cronograma físico-financeiro vinculadas ao cumprimento de metas de resultado, vedada a adoção de remuneração por preços unitários ou referenciada pela execução de quantidades de itens unitários (art. 46, § 9º, da Lei n. 14.133, de 2021), o que deve ser observado pela Administração tanto na fase da seleção do fornecedor, bem como durante a execução contratual, com os decorrentes ajustes que se fizerem necessários.</w:t>
      </w:r>
      <w:r w:rsidRPr="0051439E">
        <w:rPr>
          <w:rFonts w:ascii="Times New Roman" w:eastAsiaTheme="minorEastAsia" w:hAnsi="Times New Roman" w:cs="Times New Roman"/>
          <w:lang w:eastAsia="pt-BR"/>
        </w:rPr>
        <w:t> </w:t>
      </w:r>
    </w:p>
    <w:p w14:paraId="78D13FCC" w14:textId="77777777" w:rsidR="006D1F90" w:rsidRPr="0051439E" w:rsidRDefault="006D1F90" w:rsidP="006D1F90">
      <w:pPr>
        <w:spacing w:after="100" w:line="240" w:lineRule="auto"/>
        <w:jc w:val="both"/>
        <w:rPr>
          <w:rFonts w:ascii="Times New Roman" w:eastAsiaTheme="minorEastAsia" w:hAnsi="Times New Roman" w:cs="Times New Roman"/>
          <w:lang w:eastAsia="pt-BR"/>
        </w:rPr>
      </w:pPr>
    </w:p>
    <w:p w14:paraId="0E895B64" w14:textId="77777777" w:rsidR="006D1F90" w:rsidRPr="0051439E" w:rsidRDefault="006D1F90" w:rsidP="006D1F90">
      <w:pPr>
        <w:spacing w:after="100"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FF0000"/>
          <w:lang w:eastAsia="pt-BR"/>
        </w:rPr>
        <w:t>) no caso de serviço continuado, item XXX: a respeito da fixação da vigência em 05 (cinco) anos, o art. 106 da Lei n. 14.133, de 2021, estabelece as seguintes diretrizes, que devem ser observadas pelo gestor:</w:t>
      </w:r>
      <w:r w:rsidRPr="0051439E">
        <w:rPr>
          <w:rFonts w:ascii="Times New Roman" w:eastAsiaTheme="minorEastAsia" w:hAnsi="Times New Roman" w:cs="Times New Roman"/>
          <w:lang w:eastAsia="pt-BR"/>
        </w:rPr>
        <w:t> </w:t>
      </w:r>
    </w:p>
    <w:p w14:paraId="4683BC8E" w14:textId="77777777" w:rsidR="006D1F90" w:rsidRPr="0051439E" w:rsidRDefault="006D1F90" w:rsidP="006D1F90">
      <w:pPr>
        <w:spacing w:after="100" w:line="240" w:lineRule="auto"/>
        <w:ind w:left="1080"/>
        <w:jc w:val="both"/>
        <w:rPr>
          <w:rFonts w:ascii="Times New Roman" w:eastAsiaTheme="minorEastAsia" w:hAnsi="Times New Roman" w:cs="Times New Roman"/>
          <w:lang w:eastAsia="pt-BR"/>
        </w:rPr>
      </w:pPr>
    </w:p>
    <w:p w14:paraId="46E57A63" w14:textId="77777777" w:rsidR="006D1F90" w:rsidRPr="0051439E" w:rsidRDefault="006D1F90" w:rsidP="006D1F90">
      <w:pPr>
        <w:spacing w:after="100" w:line="240" w:lineRule="auto"/>
        <w:ind w:left="1080"/>
        <w:jc w:val="both"/>
        <w:rPr>
          <w:rFonts w:ascii="Times New Roman" w:eastAsiaTheme="minorEastAsia" w:hAnsi="Times New Roman" w:cs="Times New Roman"/>
          <w:lang w:eastAsia="pt-BR"/>
        </w:rPr>
      </w:pPr>
      <w:r w:rsidRPr="0051439E">
        <w:rPr>
          <w:rFonts w:ascii="Times New Roman" w:eastAsiaTheme="minorEastAsia" w:hAnsi="Times New Roman" w:cs="Times New Roman"/>
          <w:i/>
          <w:iCs/>
          <w:color w:val="FF0000"/>
          <w:lang w:eastAsia="pt-BR"/>
        </w:rPr>
        <w:t>I - a autoridade competente do órgão ou entidade contratante deverá atestar a maior vantagem econômica vislumbrada em razão da contratação plurianual;</w:t>
      </w:r>
      <w:r w:rsidRPr="0051439E">
        <w:rPr>
          <w:rFonts w:ascii="Times New Roman" w:eastAsiaTheme="minorEastAsia" w:hAnsi="Times New Roman" w:cs="Times New Roman"/>
          <w:i/>
          <w:iCs/>
          <w:lang w:eastAsia="pt-BR"/>
        </w:rPr>
        <w:t> </w:t>
      </w:r>
    </w:p>
    <w:p w14:paraId="6C9509E5" w14:textId="77777777" w:rsidR="006D1F90" w:rsidRPr="0051439E" w:rsidRDefault="006D1F90" w:rsidP="006D1F90">
      <w:pPr>
        <w:spacing w:after="100" w:line="240" w:lineRule="auto"/>
        <w:ind w:left="1080"/>
        <w:jc w:val="both"/>
        <w:rPr>
          <w:rFonts w:ascii="Times New Roman" w:eastAsiaTheme="minorEastAsia" w:hAnsi="Times New Roman" w:cs="Times New Roman"/>
          <w:lang w:eastAsia="pt-BR"/>
        </w:rPr>
      </w:pPr>
      <w:r w:rsidRPr="0051439E">
        <w:rPr>
          <w:rFonts w:ascii="Times New Roman" w:eastAsiaTheme="minorEastAsia" w:hAnsi="Times New Roman" w:cs="Times New Roman"/>
          <w:i/>
          <w:iCs/>
          <w:color w:val="FF0000"/>
          <w:lang w:eastAsia="pt-BR"/>
        </w:rPr>
        <w:t>II - a Administração deverá atestar, no início da contratação e de cada exercício, a existência de créditos orçamentários vinculados à contratação e a vantagem em sua manutenção;</w:t>
      </w:r>
      <w:r w:rsidRPr="0051439E">
        <w:rPr>
          <w:rFonts w:ascii="Times New Roman" w:eastAsiaTheme="minorEastAsia" w:hAnsi="Times New Roman" w:cs="Times New Roman"/>
          <w:i/>
          <w:iCs/>
          <w:lang w:eastAsia="pt-BR"/>
        </w:rPr>
        <w:t> </w:t>
      </w:r>
    </w:p>
    <w:p w14:paraId="2CA97F8B" w14:textId="77777777" w:rsidR="006D1F90" w:rsidRPr="0051439E" w:rsidRDefault="006D1F90" w:rsidP="006D1F90">
      <w:pPr>
        <w:spacing w:after="100" w:line="240" w:lineRule="auto"/>
        <w:ind w:left="1080"/>
        <w:jc w:val="both"/>
        <w:rPr>
          <w:rFonts w:ascii="Times New Roman" w:eastAsiaTheme="minorEastAsia" w:hAnsi="Times New Roman" w:cs="Times New Roman"/>
          <w:lang w:eastAsia="pt-BR"/>
        </w:rPr>
      </w:pPr>
      <w:r w:rsidRPr="0051439E">
        <w:rPr>
          <w:rFonts w:ascii="Times New Roman" w:eastAsiaTheme="minorEastAsia" w:hAnsi="Times New Roman" w:cs="Times New Roman"/>
          <w:i/>
          <w:iCs/>
          <w:color w:val="FF0000"/>
          <w:lang w:eastAsia="pt-BR"/>
        </w:rPr>
        <w:lastRenderedPageBreak/>
        <w:t>III - a Administração terá a opção de extinguir o contrato, sem ônus, quando não dispuser de créditos orçamentários para sua continuidade ou quando entender que o contrato não mais lhe oferece vantagem.</w:t>
      </w:r>
      <w:r w:rsidRPr="0051439E">
        <w:rPr>
          <w:rFonts w:ascii="Times New Roman" w:eastAsiaTheme="minorEastAsia" w:hAnsi="Times New Roman" w:cs="Times New Roman"/>
          <w:i/>
          <w:iCs/>
          <w:lang w:eastAsia="pt-BR"/>
        </w:rPr>
        <w:t> </w:t>
      </w:r>
    </w:p>
    <w:p w14:paraId="7D8EB9F4" w14:textId="77777777" w:rsidR="006D1F90" w:rsidRPr="0051439E" w:rsidRDefault="006D1F90" w:rsidP="006D1F90">
      <w:pPr>
        <w:spacing w:after="100" w:line="240" w:lineRule="auto"/>
        <w:jc w:val="both"/>
        <w:rPr>
          <w:rFonts w:ascii="Times New Roman" w:eastAsiaTheme="minorEastAsia" w:hAnsi="Times New Roman" w:cs="Times New Roman"/>
          <w:lang w:eastAsia="pt-BR"/>
        </w:rPr>
      </w:pPr>
    </w:p>
    <w:p w14:paraId="6780CA43" w14:textId="77777777" w:rsidR="006D1F90" w:rsidRPr="0051439E" w:rsidRDefault="006D1F90" w:rsidP="006D1F90">
      <w:pPr>
        <w:spacing w:after="100"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FF0000"/>
          <w:lang w:eastAsia="pt-BR"/>
        </w:rPr>
        <w:t>) deve haver indicação de qual será o regime de execução do contrato, cláusula obrigatória, nos termos do art. 92, inciso IV, da Lei n. 14.133, de 2021. Recomenda-se, assim, utilizar a seguinte redação, fazendo-se a adaptação necessária conforme o caso concreto:</w:t>
      </w:r>
      <w:r w:rsidRPr="0051439E">
        <w:rPr>
          <w:rFonts w:ascii="Times New Roman" w:eastAsiaTheme="minorEastAsia" w:hAnsi="Times New Roman" w:cs="Times New Roman"/>
          <w:lang w:eastAsia="pt-BR"/>
        </w:rPr>
        <w:t> </w:t>
      </w:r>
    </w:p>
    <w:p w14:paraId="52DC59A9" w14:textId="77777777" w:rsidR="006D1F90" w:rsidRPr="0051439E" w:rsidRDefault="006D1F90" w:rsidP="006D1F90">
      <w:pPr>
        <w:spacing w:after="100" w:line="240" w:lineRule="auto"/>
        <w:ind w:left="900"/>
        <w:jc w:val="both"/>
        <w:rPr>
          <w:rFonts w:ascii="Times New Roman" w:eastAsiaTheme="minorEastAsia" w:hAnsi="Times New Roman" w:cs="Times New Roman"/>
          <w:lang w:eastAsia="pt-BR"/>
        </w:rPr>
      </w:pPr>
    </w:p>
    <w:p w14:paraId="6A6882C1" w14:textId="77777777" w:rsidR="006D1F90" w:rsidRPr="0051439E" w:rsidRDefault="006D1F90" w:rsidP="006D1F90">
      <w:pPr>
        <w:spacing w:after="100" w:line="240" w:lineRule="auto"/>
        <w:ind w:left="900"/>
        <w:jc w:val="both"/>
        <w:rPr>
          <w:rFonts w:ascii="Times New Roman" w:eastAsiaTheme="minorEastAsia" w:hAnsi="Times New Roman" w:cs="Times New Roman"/>
          <w:lang w:eastAsia="pt-BR"/>
        </w:rPr>
      </w:pPr>
      <w:r w:rsidRPr="0051439E">
        <w:rPr>
          <w:rFonts w:ascii="Times New Roman" w:eastAsiaTheme="minorEastAsia" w:hAnsi="Times New Roman" w:cs="Times New Roman"/>
          <w:i/>
          <w:iCs/>
          <w:color w:val="FF0000"/>
          <w:lang w:eastAsia="pt-BR"/>
        </w:rPr>
        <w:t>“</w:t>
      </w:r>
      <w:proofErr w:type="spellStart"/>
      <w:r w:rsidRPr="0051439E">
        <w:rPr>
          <w:rFonts w:ascii="Times New Roman" w:eastAsiaTheme="minorEastAsia" w:hAnsi="Times New Roman" w:cs="Times New Roman"/>
          <w:i/>
          <w:iCs/>
          <w:color w:val="FF0000"/>
          <w:lang w:eastAsia="pt-BR"/>
        </w:rPr>
        <w:t>x.X</w:t>
      </w:r>
      <w:proofErr w:type="spellEnd"/>
      <w:r w:rsidRPr="0051439E">
        <w:rPr>
          <w:rFonts w:ascii="Times New Roman" w:eastAsiaTheme="minorEastAsia" w:hAnsi="Times New Roman" w:cs="Times New Roman"/>
          <w:i/>
          <w:iCs/>
          <w:color w:val="FF0000"/>
          <w:lang w:eastAsia="pt-BR"/>
        </w:rPr>
        <w:t>. A presente contratação adotará como regime de execução a ................. (Empreitada por Preço Unitário/Empreitada por Preço Global)</w:t>
      </w:r>
      <w:r w:rsidRPr="0051439E">
        <w:rPr>
          <w:rFonts w:ascii="Times New Roman" w:eastAsiaTheme="minorEastAsia" w:hAnsi="Times New Roman" w:cs="Times New Roman"/>
          <w:color w:val="FF0000"/>
          <w:lang w:eastAsia="pt-BR"/>
        </w:rPr>
        <w:t>”</w:t>
      </w:r>
      <w:r w:rsidRPr="0051439E">
        <w:rPr>
          <w:rFonts w:ascii="Times New Roman" w:eastAsiaTheme="minorEastAsia" w:hAnsi="Times New Roman" w:cs="Times New Roman"/>
          <w:lang w:eastAsia="pt-BR"/>
        </w:rPr>
        <w:t> </w:t>
      </w:r>
    </w:p>
    <w:p w14:paraId="466D2890" w14:textId="77777777" w:rsidR="006D1F90" w:rsidRPr="0051439E" w:rsidRDefault="006D1F90" w:rsidP="006D1F90">
      <w:pPr>
        <w:spacing w:after="100" w:line="240" w:lineRule="auto"/>
        <w:jc w:val="both"/>
        <w:rPr>
          <w:rFonts w:ascii="Times New Roman" w:eastAsiaTheme="minorEastAsia" w:hAnsi="Times New Roman" w:cs="Times New Roman"/>
          <w:lang w:eastAsia="pt-BR"/>
        </w:rPr>
      </w:pPr>
    </w:p>
    <w:p w14:paraId="64B9FF37" w14:textId="77777777" w:rsidR="006D1F90" w:rsidRPr="0051439E" w:rsidRDefault="006D1F90" w:rsidP="006D1F90">
      <w:pPr>
        <w:spacing w:after="100"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FF0000"/>
          <w:lang w:eastAsia="pt-BR"/>
        </w:rPr>
        <w:t>) a escolha do regime de execução deverá ser justificada, conforme será abordado em tópico específico deste parecer.</w:t>
      </w:r>
      <w:r w:rsidRPr="0051439E">
        <w:rPr>
          <w:rFonts w:ascii="Times New Roman" w:eastAsiaTheme="minorEastAsia" w:hAnsi="Times New Roman" w:cs="Times New Roman"/>
          <w:lang w:eastAsia="pt-BR"/>
        </w:rPr>
        <w:t> </w:t>
      </w:r>
    </w:p>
    <w:p w14:paraId="4E80D831" w14:textId="77777777" w:rsidR="006D1F90" w:rsidRPr="0051439E" w:rsidRDefault="006D1F90" w:rsidP="006D1F90">
      <w:pPr>
        <w:spacing w:after="100" w:line="240" w:lineRule="auto"/>
        <w:jc w:val="both"/>
        <w:rPr>
          <w:rFonts w:ascii="Times New Roman" w:eastAsiaTheme="minorEastAsia" w:hAnsi="Times New Roman" w:cs="Times New Roman"/>
          <w:lang w:eastAsia="pt-BR"/>
        </w:rPr>
      </w:pPr>
    </w:p>
    <w:p w14:paraId="3FF2A944" w14:textId="77777777" w:rsidR="006D1F90" w:rsidRPr="0051439E" w:rsidRDefault="006D1F90" w:rsidP="006D1F90">
      <w:pPr>
        <w:spacing w:after="100"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FF0000"/>
          <w:lang w:eastAsia="pt-BR"/>
        </w:rPr>
        <w:t>) recomenda-se que a Administração analise se as exigências de qualificação técnica/econômico-financeira dos itens XXX, guardam compatibilidade e proporcionalidade com as peculiaridades do objeto contratual a ser executado, aferidas por meio da análise da complexidade do objeto, da essencialidade do serviço e dos riscos decorrentes de sua paralisação em função da eventual incapacidade econômica/técnica da contratada em suportar as obrigações contratuais (art. 37, inc. XXI, da Constituição Federal e art. 70, inciso III, da Lei nº 14.133, de 2021). Alerta-se que exigências de qualificação técnica/econômico-financeira excessivas vêm sendo reputadas como ilícitas pelos órgãos de controle, pois tendem a restringir a competitividade. Desse modo, sugere-se que seja detidamente avaliada e motivada essa exigência.</w:t>
      </w:r>
      <w:r w:rsidRPr="0051439E">
        <w:rPr>
          <w:rFonts w:ascii="Times New Roman" w:eastAsiaTheme="minorEastAsia" w:hAnsi="Times New Roman" w:cs="Times New Roman"/>
          <w:lang w:eastAsia="pt-BR"/>
        </w:rPr>
        <w:t> </w:t>
      </w:r>
    </w:p>
    <w:p w14:paraId="5B546AE5" w14:textId="77777777" w:rsidR="006D1F90" w:rsidRPr="0051439E" w:rsidRDefault="006D1F90" w:rsidP="006D1F90">
      <w:pPr>
        <w:spacing w:after="100" w:line="240" w:lineRule="auto"/>
        <w:jc w:val="both"/>
        <w:rPr>
          <w:rFonts w:ascii="Times New Roman" w:eastAsiaTheme="minorEastAsia" w:hAnsi="Times New Roman" w:cs="Times New Roman"/>
          <w:lang w:eastAsia="pt-BR"/>
        </w:rPr>
      </w:pPr>
    </w:p>
    <w:p w14:paraId="5095C12F" w14:textId="77777777" w:rsidR="006D1F90" w:rsidRPr="0051439E" w:rsidRDefault="006D1F90" w:rsidP="006D1F90">
      <w:pPr>
        <w:spacing w:after="100"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FF0000"/>
          <w:lang w:eastAsia="pt-BR"/>
        </w:rPr>
        <w:t>) a exigência de atestados deve ser restrita às parcelas de maior relevância ou valor significativo do objeto da licitação, assim consideradas as que tenham valor individual igual ou superior a 4% (quatro por cento) do valor total estimado da contratação (art. 67, § 1º, da Lei nº 14.133, de 2021).</w:t>
      </w:r>
      <w:r w:rsidRPr="0051439E">
        <w:rPr>
          <w:rFonts w:ascii="Times New Roman" w:eastAsiaTheme="minorEastAsia" w:hAnsi="Times New Roman" w:cs="Times New Roman"/>
          <w:lang w:eastAsia="pt-BR"/>
        </w:rPr>
        <w:t> </w:t>
      </w:r>
    </w:p>
    <w:p w14:paraId="1C211ACB" w14:textId="77777777" w:rsidR="006D1F90" w:rsidRPr="0051439E" w:rsidRDefault="006D1F90" w:rsidP="006D1F90">
      <w:pPr>
        <w:spacing w:after="100" w:line="240" w:lineRule="auto"/>
        <w:jc w:val="both"/>
        <w:rPr>
          <w:rFonts w:ascii="Times New Roman" w:eastAsiaTheme="minorEastAsia" w:hAnsi="Times New Roman" w:cs="Times New Roman"/>
          <w:lang w:eastAsia="pt-BR"/>
        </w:rPr>
      </w:pPr>
    </w:p>
    <w:p w14:paraId="3D0D94BE" w14:textId="77777777" w:rsidR="006D1F90" w:rsidRPr="0051439E" w:rsidRDefault="006D1F90" w:rsidP="006D1F90">
      <w:pPr>
        <w:spacing w:after="100"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FF0000"/>
          <w:lang w:eastAsia="pt-BR"/>
        </w:rPr>
        <w:t>) será admitida a exigência de atestados com quantidades mínimas de até 50% (cinquenta por cento) das parcelas de maior relevância ou valor significativo do objeto da licitação, vedadas limitações de tempo e de locais específicos relativas aos atestados (art. 67, § 2º, da Lei nº 14.133, de 2021).</w:t>
      </w:r>
      <w:r w:rsidRPr="0051439E">
        <w:rPr>
          <w:rFonts w:ascii="Times New Roman" w:eastAsiaTheme="minorEastAsia" w:hAnsi="Times New Roman" w:cs="Times New Roman"/>
          <w:lang w:eastAsia="pt-BR"/>
        </w:rPr>
        <w:t> </w:t>
      </w:r>
    </w:p>
    <w:p w14:paraId="4D10234D" w14:textId="77777777" w:rsidR="006D1F90" w:rsidRPr="0051439E" w:rsidRDefault="006D1F90" w:rsidP="006D1F90">
      <w:pPr>
        <w:spacing w:after="100" w:line="240" w:lineRule="auto"/>
        <w:jc w:val="both"/>
        <w:rPr>
          <w:rFonts w:ascii="Times New Roman" w:eastAsiaTheme="minorEastAsia" w:hAnsi="Times New Roman" w:cs="Times New Roman"/>
          <w:lang w:eastAsia="pt-BR"/>
        </w:rPr>
      </w:pPr>
    </w:p>
    <w:p w14:paraId="7F27187C" w14:textId="77777777" w:rsidR="006D1F90" w:rsidRPr="0051439E" w:rsidRDefault="006D1F90" w:rsidP="006D1F90">
      <w:pPr>
        <w:spacing w:after="100"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FF0000"/>
          <w:lang w:eastAsia="pt-BR"/>
        </w:rPr>
        <w:t xml:space="preserve">) </w:t>
      </w:r>
      <w:r w:rsidRPr="0051439E">
        <w:rPr>
          <w:rFonts w:ascii="Times New Roman" w:eastAsiaTheme="minorEastAsia" w:hAnsi="Times New Roman" w:cs="Times New Roman"/>
          <w:color w:val="FF0000"/>
          <w:u w:val="single"/>
          <w:lang w:eastAsia="pt-BR"/>
        </w:rPr>
        <w:t>em se tratando de serviços contínuos</w:t>
      </w:r>
      <w:r w:rsidRPr="0051439E">
        <w:rPr>
          <w:rFonts w:ascii="Times New Roman" w:eastAsiaTheme="minorEastAsia" w:hAnsi="Times New Roman" w:cs="Times New Roman"/>
          <w:color w:val="FF0000"/>
          <w:lang w:eastAsia="pt-BR"/>
        </w:rPr>
        <w:t>, o edital poderá exigir certidão ou atestado que demonstre que o licitante tenha executado serviços similares ao objeto da licitação, em períodos sucessivos ou não, por um prazo mínimo, que não poderá ser superior a 3 (três) anos (art. 67, § 5º, da Lei nº 14.133, de 2021). O prazo de exigência de experiência mínima deve ser justificado no estudo técnico preliminar e compatível com o objeto e prazo da presente contratação, não podendo ser superior a 3 (três) anos. Deve a Administração considerar a experiência pretérita do órgão contratante, que indique ser tal lapso indispensável para assegurar prestação do serviço em conformidade com as necessidades específicas do órgão, por força da sua essencialidade, quantitativo, risco, complexidade ou qualquer outra particularidade. Convém, também, que o órgão contratante sopese os reflexos da restrição no desenvolvimento do setor do serviço pretendido. </w:t>
      </w:r>
      <w:r w:rsidRPr="0051439E">
        <w:rPr>
          <w:rFonts w:ascii="Times New Roman" w:eastAsiaTheme="minorEastAsia" w:hAnsi="Times New Roman" w:cs="Times New Roman"/>
          <w:lang w:eastAsia="pt-BR"/>
        </w:rPr>
        <w:t> </w:t>
      </w:r>
    </w:p>
    <w:p w14:paraId="19E3533F" w14:textId="77777777" w:rsidR="006D1F90" w:rsidRPr="0051439E" w:rsidRDefault="006D1F90" w:rsidP="006D1F90">
      <w:pPr>
        <w:spacing w:after="100" w:line="240" w:lineRule="auto"/>
        <w:jc w:val="both"/>
        <w:rPr>
          <w:rFonts w:ascii="Times New Roman" w:eastAsiaTheme="minorEastAsia" w:hAnsi="Times New Roman" w:cs="Times New Roman"/>
          <w:lang w:eastAsia="pt-BR"/>
        </w:rPr>
      </w:pPr>
    </w:p>
    <w:p w14:paraId="40FD57A7" w14:textId="77777777" w:rsidR="006D1F90" w:rsidRPr="0051439E" w:rsidRDefault="006D1F90" w:rsidP="006D1F90">
      <w:pPr>
        <w:spacing w:after="100"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FF0000"/>
          <w:lang w:eastAsia="pt-BR"/>
        </w:rPr>
        <w:t>) a exigência de habilitação do subitem XXX deve ser considerada indevida, pois não está contemplada como documento de habilitação nos artigos 62 a 69 da Lei nº 14.133, de 2021.</w:t>
      </w:r>
      <w:r w:rsidRPr="0051439E">
        <w:rPr>
          <w:rFonts w:ascii="Times New Roman" w:eastAsiaTheme="minorEastAsia" w:hAnsi="Times New Roman" w:cs="Times New Roman"/>
          <w:lang w:eastAsia="pt-BR"/>
        </w:rPr>
        <w:t> </w:t>
      </w:r>
    </w:p>
    <w:p w14:paraId="52186B3F" w14:textId="77777777" w:rsidR="006D1F90" w:rsidRPr="0051439E" w:rsidRDefault="006D1F90" w:rsidP="006D1F90">
      <w:pPr>
        <w:spacing w:after="100" w:line="240" w:lineRule="auto"/>
        <w:jc w:val="both"/>
        <w:rPr>
          <w:rFonts w:ascii="Times New Roman" w:eastAsiaTheme="minorEastAsia" w:hAnsi="Times New Roman" w:cs="Times New Roman"/>
          <w:lang w:eastAsia="pt-BR"/>
        </w:rPr>
      </w:pPr>
    </w:p>
    <w:p w14:paraId="0DD737F7" w14:textId="77777777" w:rsidR="006D1F90" w:rsidRPr="0051439E" w:rsidRDefault="006D1F90" w:rsidP="006D1F90">
      <w:pPr>
        <w:spacing w:after="100"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FF0000"/>
          <w:lang w:eastAsia="pt-BR"/>
        </w:rPr>
        <w:lastRenderedPageBreak/>
        <w:t>) com relação à capacidade técnico-profissional (item XXX do TR), esclareça que a jurisprudência do TCU entende ser indevida a exigência de vínculo empregatício, para fins de comprovação da responsabilidade técnica pelo acompanhamento do serviço (capacidade técnico-profissional).</w:t>
      </w:r>
      <w:r w:rsidRPr="0051439E">
        <w:rPr>
          <w:rFonts w:ascii="Times New Roman" w:eastAsiaTheme="minorEastAsia" w:hAnsi="Times New Roman" w:cs="Times New Roman"/>
          <w:lang w:eastAsia="pt-BR"/>
        </w:rPr>
        <w:t> </w:t>
      </w:r>
    </w:p>
    <w:p w14:paraId="148ABDAC" w14:textId="77777777" w:rsidR="006D1F90" w:rsidRPr="0051439E" w:rsidRDefault="006D1F90" w:rsidP="006D1F90">
      <w:pPr>
        <w:spacing w:after="100" w:line="240" w:lineRule="auto"/>
        <w:jc w:val="both"/>
        <w:rPr>
          <w:rFonts w:ascii="Times New Roman" w:eastAsiaTheme="minorEastAsia" w:hAnsi="Times New Roman" w:cs="Times New Roman"/>
          <w:lang w:eastAsia="pt-BR"/>
        </w:rPr>
      </w:pPr>
    </w:p>
    <w:p w14:paraId="299B3924" w14:textId="77777777" w:rsidR="006D1F90" w:rsidRPr="0051439E" w:rsidRDefault="006D1F90" w:rsidP="006D1F90">
      <w:pPr>
        <w:spacing w:after="100"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FF0000"/>
          <w:lang w:eastAsia="pt-BR"/>
        </w:rPr>
        <w:t>) de acordo com o TCU, a exigência de comprovação de capacidade técnico-profissional deve estar associada à experiência na execução prévia de quantitativos dos itens de maior relevância e valor significativo da obra ou serviço do certame (Acórdão nº 1.229/2008-Plenário, Acórdão nº 2.303/2015 - Plenário). Pelo exposto, adverte-se que a Administração deverá limitar as exigências de capacidade técnico-profissional aos itens de maior relevância e valor significativo da planilha (art. 67, §§ 1º e 2º, da Lei nº 14.133, de 2021) (E/OU justificar as parcelas de maior relevância e valor significativo definidas no termo de referência, para os fins do art. 67, §§ 1º e 2º, da Lei nº 14.133, de 2021).</w:t>
      </w:r>
      <w:r w:rsidRPr="0051439E">
        <w:rPr>
          <w:rFonts w:ascii="Times New Roman" w:eastAsiaTheme="minorEastAsia" w:hAnsi="Times New Roman" w:cs="Times New Roman"/>
          <w:lang w:eastAsia="pt-BR"/>
        </w:rPr>
        <w:t> </w:t>
      </w:r>
    </w:p>
    <w:p w14:paraId="42EBE2C2" w14:textId="77777777" w:rsidR="006D1F90" w:rsidRPr="0051439E" w:rsidRDefault="006D1F90" w:rsidP="006D1F90">
      <w:pPr>
        <w:spacing w:after="100" w:line="240" w:lineRule="auto"/>
        <w:jc w:val="both"/>
        <w:rPr>
          <w:rFonts w:ascii="Times New Roman" w:eastAsiaTheme="minorEastAsia" w:hAnsi="Times New Roman" w:cs="Times New Roman"/>
          <w:lang w:eastAsia="pt-BR"/>
        </w:rPr>
      </w:pPr>
    </w:p>
    <w:p w14:paraId="6E670DA8" w14:textId="77777777" w:rsidR="006D1F90" w:rsidRPr="0051439E" w:rsidRDefault="006D1F90" w:rsidP="006D1F90">
      <w:pPr>
        <w:spacing w:after="100"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FF0000"/>
          <w:lang w:eastAsia="pt-BR"/>
        </w:rPr>
        <w:t>) suprimir o tempo mínimo de experiência exigido no subitem XXX, para fins de comprovação da capacidade técnico-profissional, pois, de acordo com o TCU, "É ilegal a exigência de comprovação, para fim de qualificação técnico-profissional, de tempo de experiência ou de exercício em função dos profissionais a serem disponibilizados pela licitante para a execução do objeto, porquanto o rol de exigências de habilitação previsto na Lei 8.666/1993 é taxativo"  (Enunciado da Jurisprudência Selecionada, cf. Acórdão nº 134/2017 - Plenário).</w:t>
      </w:r>
      <w:r w:rsidRPr="0051439E">
        <w:rPr>
          <w:rFonts w:ascii="Times New Roman" w:eastAsiaTheme="minorEastAsia" w:hAnsi="Times New Roman" w:cs="Times New Roman"/>
          <w:lang w:eastAsia="pt-BR"/>
        </w:rPr>
        <w:t> </w:t>
      </w:r>
    </w:p>
    <w:p w14:paraId="0283D66E"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p>
    <w:tbl>
      <w:tblPr>
        <w:tblW w:w="9000"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000"/>
      </w:tblGrid>
      <w:tr w:rsidR="006D1F90" w:rsidRPr="0051439E" w14:paraId="4A2D96FE" w14:textId="77777777" w:rsidTr="00F13739">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6C5D8C2" w14:textId="77777777" w:rsidR="006D1F90" w:rsidRPr="0051439E" w:rsidRDefault="006D1F90" w:rsidP="00F13739">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b/>
                <w:color w:val="000000"/>
                <w:shd w:val="clear" w:color="auto" w:fill="FFFF99"/>
                <w:lang w:eastAsia="pt-BR"/>
              </w:rPr>
              <w:t xml:space="preserve">Nota Explicativa: </w:t>
            </w:r>
            <w:r w:rsidRPr="0051439E">
              <w:rPr>
                <w:rFonts w:ascii="Times New Roman" w:eastAsiaTheme="minorEastAsia" w:hAnsi="Times New Roman" w:cs="Times New Roman"/>
                <w:color w:val="000000"/>
                <w:shd w:val="clear" w:color="auto" w:fill="FFFF99"/>
                <w:lang w:eastAsia="pt-BR"/>
              </w:rPr>
              <w:t>O Procurador deverá atentar para a formulação de exigências abusivas, tais como: certificações não obrigatórias por lei; certificação de qualidade de café (serviço com fornecimento); certificações ABNT; registro ou inscrição em entidades de fiscalização, sem previsão legal; apresentação de nota fiscal de prestação de serviços, por ausência de amparo legal e por restringir a competitividade da licitação.</w:t>
            </w:r>
            <w:r w:rsidRPr="0051439E">
              <w:rPr>
                <w:rFonts w:ascii="Times New Roman" w:eastAsiaTheme="minorEastAsia" w:hAnsi="Times New Roman" w:cs="Times New Roman"/>
                <w:lang w:eastAsia="pt-BR"/>
              </w:rPr>
              <w:t> </w:t>
            </w:r>
          </w:p>
          <w:p w14:paraId="3F19570E" w14:textId="77777777" w:rsidR="006D1F90" w:rsidRPr="0051439E" w:rsidRDefault="006D1F90" w:rsidP="00F13739">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shd w:val="clear" w:color="auto" w:fill="FFFF99"/>
                <w:lang w:eastAsia="pt-BR"/>
              </w:rPr>
              <w:t>Acerca das exigências de qualificação técnica, sugere-se a consulta aos seguintes acórdãos prolatados pelo Plenário do Tribunal de Contas da União, a saber: Acórdão 1095/2018, Acórdão 891/2018, </w:t>
            </w:r>
            <w:hyperlink r:id="rId33" w:anchor="/detalhamento/11/%252a/NUMACORDAO%253A134%2520ANOACORDAO%253A2017%2520COLEGIADO%253A%2522Plen%25C3%25A1rio%2522/DTRELEVANCIA%2520desc/false/1" w:tgtFrame="_blank" w:history="1">
              <w:r w:rsidRPr="0051439E">
                <w:rPr>
                  <w:rFonts w:ascii="Times New Roman" w:eastAsiaTheme="minorEastAsia" w:hAnsi="Times New Roman" w:cs="Times New Roman"/>
                  <w:color w:val="0000FF"/>
                  <w:u w:val="single"/>
                  <w:shd w:val="clear" w:color="auto" w:fill="FFFF99"/>
                  <w:lang w:eastAsia="pt-BR"/>
                </w:rPr>
                <w:t>Acórdão 134/2017</w:t>
              </w:r>
            </w:hyperlink>
            <w:r w:rsidRPr="0051439E">
              <w:rPr>
                <w:rFonts w:ascii="Times New Roman" w:eastAsiaTheme="minorEastAsia" w:hAnsi="Times New Roman" w:cs="Times New Roman"/>
                <w:color w:val="000000"/>
                <w:shd w:val="clear" w:color="auto" w:fill="FFFF99"/>
                <w:lang w:eastAsia="pt-BR"/>
              </w:rPr>
              <w:t>, </w:t>
            </w:r>
            <w:r w:rsidRPr="0051439E">
              <w:rPr>
                <w:rFonts w:ascii="Times New Roman" w:eastAsiaTheme="minorEastAsia" w:hAnsi="Times New Roman" w:cs="Times New Roman"/>
                <w:shd w:val="clear" w:color="auto" w:fill="FFFF99"/>
                <w:lang w:eastAsia="pt-BR"/>
              </w:rPr>
              <w:t>Acórdão 2066/2016</w:t>
            </w:r>
            <w:r w:rsidRPr="0051439E">
              <w:rPr>
                <w:rFonts w:ascii="Times New Roman" w:eastAsiaTheme="minorEastAsia" w:hAnsi="Times New Roman" w:cs="Times New Roman"/>
                <w:color w:val="000000"/>
                <w:shd w:val="clear" w:color="auto" w:fill="FFFF99"/>
                <w:lang w:eastAsia="pt-BR"/>
              </w:rPr>
              <w:t>, </w:t>
            </w:r>
            <w:hyperlink r:id="rId34" w:tgtFrame="_blank" w:history="1">
              <w:r w:rsidRPr="0051439E">
                <w:rPr>
                  <w:rFonts w:ascii="Times New Roman" w:eastAsiaTheme="minorEastAsia" w:hAnsi="Times New Roman" w:cs="Times New Roman"/>
                  <w:color w:val="0000FF"/>
                  <w:u w:val="single"/>
                  <w:shd w:val="clear" w:color="auto" w:fill="FFFF99"/>
                  <w:lang w:eastAsia="pt-BR"/>
                </w:rPr>
                <w:t>Acórdão 2769/2014</w:t>
              </w:r>
            </w:hyperlink>
            <w:r w:rsidRPr="0051439E">
              <w:rPr>
                <w:rFonts w:ascii="Times New Roman" w:eastAsiaTheme="minorEastAsia" w:hAnsi="Times New Roman" w:cs="Times New Roman"/>
                <w:color w:val="000000"/>
                <w:shd w:val="clear" w:color="auto" w:fill="FFFF99"/>
                <w:lang w:eastAsia="pt-BR"/>
              </w:rPr>
              <w:t> e Acórdão 2914/2013</w:t>
            </w:r>
            <w:r w:rsidRPr="0051439E">
              <w:rPr>
                <w:rFonts w:ascii="Times New Roman" w:eastAsiaTheme="minorEastAsia" w:hAnsi="Times New Roman" w:cs="Times New Roman"/>
                <w:color w:val="000000"/>
                <w:lang w:eastAsia="pt-BR"/>
              </w:rPr>
              <w:t>. </w:t>
            </w:r>
            <w:r w:rsidRPr="0051439E">
              <w:rPr>
                <w:rFonts w:ascii="Times New Roman" w:eastAsiaTheme="minorEastAsia" w:hAnsi="Times New Roman" w:cs="Times New Roman"/>
                <w:lang w:eastAsia="pt-BR"/>
              </w:rPr>
              <w:t> </w:t>
            </w:r>
          </w:p>
        </w:tc>
      </w:tr>
    </w:tbl>
    <w:p w14:paraId="52065F1F"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p>
    <w:p w14:paraId="597C01BA" w14:textId="77777777" w:rsidR="006D1F90" w:rsidRPr="0051439E" w:rsidRDefault="006D1F90" w:rsidP="006D1F90">
      <w:pPr>
        <w:spacing w:after="100"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FF0000"/>
          <w:lang w:eastAsia="pt-BR"/>
        </w:rPr>
        <w:t>) juntar, como anexo ao termo de referência, os "estudos preliminares" (subitem 2.2, a, do anexo V da IN SEGES/MP nº 05, de 2017);</w:t>
      </w:r>
      <w:r w:rsidRPr="0051439E">
        <w:rPr>
          <w:rFonts w:ascii="Times New Roman" w:eastAsiaTheme="minorEastAsia" w:hAnsi="Times New Roman" w:cs="Times New Roman"/>
          <w:lang w:eastAsia="pt-BR"/>
        </w:rPr>
        <w:t> </w:t>
      </w:r>
    </w:p>
    <w:p w14:paraId="055B11C5" w14:textId="77777777" w:rsidR="006D1F90" w:rsidRPr="0051439E" w:rsidRDefault="006D1F90" w:rsidP="006D1F90">
      <w:pPr>
        <w:spacing w:after="100" w:line="240" w:lineRule="auto"/>
        <w:jc w:val="both"/>
        <w:rPr>
          <w:rFonts w:ascii="Times New Roman" w:eastAsiaTheme="minorEastAsia" w:hAnsi="Times New Roman" w:cs="Times New Roman"/>
          <w:lang w:eastAsia="pt-BR"/>
        </w:rPr>
      </w:pPr>
    </w:p>
    <w:p w14:paraId="11C553D6" w14:textId="77777777" w:rsidR="006D1F90" w:rsidRPr="0051439E" w:rsidRDefault="006D1F90" w:rsidP="006D1F90">
      <w:pPr>
        <w:spacing w:after="100"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FF0000"/>
          <w:lang w:eastAsia="pt-BR"/>
        </w:rPr>
        <w:t>) compatibilizar o conteúdo dos estudos preliminares com o termo de referência revisado à luz das orientações dos itens XXX deste parecer, de modo que não existam contradições entre os documentos, tais quais XXX;</w:t>
      </w:r>
      <w:r w:rsidRPr="0051439E">
        <w:rPr>
          <w:rFonts w:ascii="Times New Roman" w:eastAsiaTheme="minorEastAsia" w:hAnsi="Times New Roman" w:cs="Times New Roman"/>
          <w:lang w:eastAsia="pt-BR"/>
        </w:rPr>
        <w:t> </w:t>
      </w:r>
    </w:p>
    <w:p w14:paraId="5A2E0518" w14:textId="77777777" w:rsidR="006D1F90" w:rsidRPr="0051439E" w:rsidRDefault="006D1F90" w:rsidP="006D1F90">
      <w:pPr>
        <w:spacing w:after="100" w:line="240" w:lineRule="auto"/>
        <w:jc w:val="both"/>
        <w:rPr>
          <w:rFonts w:ascii="Times New Roman" w:eastAsiaTheme="minorEastAsia" w:hAnsi="Times New Roman" w:cs="Times New Roman"/>
          <w:lang w:eastAsia="pt-BR"/>
        </w:rPr>
      </w:pPr>
    </w:p>
    <w:p w14:paraId="32864715" w14:textId="77777777" w:rsidR="006D1F90" w:rsidRPr="0051439E" w:rsidRDefault="006D1F90" w:rsidP="006D1F90">
      <w:pPr>
        <w:spacing w:after="100"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FF0000"/>
          <w:lang w:eastAsia="pt-BR"/>
        </w:rPr>
        <w:t>) em razão das peculiaridades do objeto, a equipe de planejamento deve ter integrante com formação em engenharia e/ou arquitetura e/ou técnica industrial. Confira-se, nesse sentido, os ditames abaixo da IN SEGES/MP nº 05, de 2017: "</w:t>
      </w:r>
      <w:r w:rsidRPr="0051439E">
        <w:rPr>
          <w:rFonts w:ascii="Times New Roman" w:eastAsiaTheme="minorEastAsia" w:hAnsi="Times New Roman" w:cs="Times New Roman"/>
          <w:i/>
          <w:iCs/>
          <w:color w:val="FF0000"/>
          <w:lang w:eastAsia="pt-BR"/>
        </w:rPr>
        <w:t>Art. 22, § 1º A equipe de Planejamento da Contratação é o conjunto de servidores, que reúnem as competências necessárias à completa execução das etapas de Planejamento da Contratação, o que inclui conhecimentos sobre aspectos técnicos e de uso do objeto, licitações e contratos, dentre outros." </w:t>
      </w:r>
    </w:p>
    <w:p w14:paraId="6461B08A" w14:textId="77777777" w:rsidR="006D1F90" w:rsidRPr="0051439E" w:rsidRDefault="006D1F90" w:rsidP="006D1F90">
      <w:pPr>
        <w:spacing w:after="100" w:line="240" w:lineRule="auto"/>
        <w:jc w:val="both"/>
        <w:rPr>
          <w:rFonts w:ascii="Times New Roman" w:eastAsiaTheme="minorEastAsia" w:hAnsi="Times New Roman" w:cs="Times New Roman"/>
          <w:lang w:eastAsia="pt-BR"/>
        </w:rPr>
      </w:pPr>
    </w:p>
    <w:p w14:paraId="12BE9C04" w14:textId="77777777" w:rsidR="006D1F90" w:rsidRPr="0051439E" w:rsidRDefault="006D1F90" w:rsidP="006D1F90">
      <w:pPr>
        <w:spacing w:after="100"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FF0000"/>
          <w:lang w:eastAsia="pt-BR"/>
        </w:rPr>
        <w:t xml:space="preserve">) a área técnica deverá certificar-se de que todos os elementos do art. 6º, XXV, da Lei nº 14.133, de 2021 foram contemplados no termo de referência (Súmula TCU nº 261). Recomenda-se ainda a consulta </w:t>
      </w:r>
      <w:r w:rsidRPr="0051439E">
        <w:rPr>
          <w:rFonts w:ascii="Times New Roman" w:eastAsiaTheme="minorEastAsia" w:hAnsi="Times New Roman" w:cs="Times New Roman"/>
          <w:color w:val="FF0000"/>
          <w:lang w:eastAsia="pt-BR"/>
        </w:rPr>
        <w:lastRenderedPageBreak/>
        <w:t>à Decisão Normativa CONFEA nº 106/2015 e à OT - IBR 001/2006, do Instituto Brasileiro de Auditoria de Obras Pública - IBRAOP. Tais documentos trazem orientações específicas sobre o conteúdo de projetos básicos para obras e serviços de engenharia planejados pela Administração Pública.</w:t>
      </w:r>
      <w:r w:rsidRPr="0051439E">
        <w:rPr>
          <w:rFonts w:ascii="Times New Roman" w:eastAsiaTheme="minorEastAsia" w:hAnsi="Times New Roman" w:cs="Times New Roman"/>
          <w:lang w:eastAsia="pt-BR"/>
        </w:rPr>
        <w:t> </w:t>
      </w:r>
    </w:p>
    <w:p w14:paraId="3573FEED" w14:textId="77777777" w:rsidR="006D1F90" w:rsidRPr="0051439E" w:rsidRDefault="006D1F90" w:rsidP="006D1F90">
      <w:pPr>
        <w:spacing w:after="100" w:line="240" w:lineRule="auto"/>
        <w:jc w:val="both"/>
        <w:rPr>
          <w:rFonts w:ascii="Times New Roman" w:eastAsiaTheme="minorEastAsia" w:hAnsi="Times New Roman" w:cs="Times New Roman"/>
          <w:lang w:eastAsia="pt-BR"/>
        </w:rPr>
      </w:pPr>
    </w:p>
    <w:p w14:paraId="3E0789CA" w14:textId="77777777" w:rsidR="006D1F90" w:rsidRPr="0051439E" w:rsidRDefault="006D1F90" w:rsidP="006D1F90">
      <w:pPr>
        <w:spacing w:after="100"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FF0000"/>
          <w:lang w:eastAsia="pt-BR"/>
        </w:rPr>
        <w:t>) os responsáveis pela produção dos elementos e/ou peças técnicas exclusivamente relacionados com engenharia e/ou arquitetura e/ou técnica industrial devem ser identificados nos autos (art. 2º, I, da IN Conjunta MP/CGU nº 01/2016).</w:t>
      </w:r>
      <w:r w:rsidRPr="0051439E">
        <w:rPr>
          <w:rFonts w:ascii="Times New Roman" w:eastAsiaTheme="minorEastAsia" w:hAnsi="Times New Roman" w:cs="Times New Roman"/>
          <w:lang w:eastAsia="pt-BR"/>
        </w:rPr>
        <w:t>  </w:t>
      </w:r>
    </w:p>
    <w:p w14:paraId="423DCCFF" w14:textId="77777777" w:rsidR="006D1F90" w:rsidRPr="0051439E" w:rsidRDefault="006D1F90" w:rsidP="006D1F90">
      <w:pPr>
        <w:spacing w:after="100"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FF0000"/>
          <w:lang w:eastAsia="pt-BR"/>
        </w:rPr>
        <w:t>(...)</w:t>
      </w:r>
      <w:r w:rsidRPr="0051439E">
        <w:rPr>
          <w:rFonts w:ascii="Times New Roman" w:eastAsiaTheme="minorEastAsia" w:hAnsi="Times New Roman" w:cs="Times New Roman"/>
          <w:lang w:eastAsia="pt-BR"/>
        </w:rPr>
        <w:t> </w:t>
      </w:r>
    </w:p>
    <w:p w14:paraId="57EE1878"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p>
    <w:p w14:paraId="642D9885"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shd w:val="clear" w:color="auto" w:fill="00FFFF"/>
          <w:lang w:eastAsia="pt-BR"/>
        </w:rPr>
        <w:t xml:space="preserve">Apenas para registro formal, destacamos que foram fixados preços unitários máximos para cada item do termo de referência (art. 6º, inciso XXIII, alínea "i", art. 23, § 2º, inciso I, da Lei nº 14.133, de 2021 c/c art. 2º, IX, do </w:t>
      </w:r>
      <w:r w:rsidRPr="0051439E">
        <w:rPr>
          <w:rFonts w:ascii="Times New Roman" w:eastAsiaTheme="minorEastAsia" w:hAnsi="Times New Roman" w:cs="Times New Roman"/>
          <w:shd w:val="clear" w:color="auto" w:fill="00FFFF"/>
          <w:lang w:eastAsia="pt-BR"/>
        </w:rPr>
        <w:t>Decreto nº 7.983, de 8 de abril de 2013</w:t>
      </w:r>
      <w:r w:rsidRPr="0051439E">
        <w:rPr>
          <w:rFonts w:ascii="Times New Roman" w:eastAsiaTheme="minorEastAsia" w:hAnsi="Times New Roman" w:cs="Times New Roman"/>
          <w:color w:val="000000"/>
          <w:shd w:val="clear" w:color="auto" w:fill="00FFFF"/>
          <w:lang w:eastAsia="pt-BR"/>
        </w:rPr>
        <w:t>, e Súmula TCU nº 259.</w:t>
      </w:r>
      <w:r w:rsidRPr="0051439E">
        <w:rPr>
          <w:rFonts w:ascii="Times New Roman" w:eastAsiaTheme="minorEastAsia" w:hAnsi="Times New Roman" w:cs="Times New Roman"/>
          <w:lang w:eastAsia="pt-BR"/>
        </w:rPr>
        <w:t> </w:t>
      </w:r>
    </w:p>
    <w:p w14:paraId="444119DB"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b/>
          <w:color w:val="000000"/>
          <w:u w:val="single"/>
          <w:shd w:val="clear" w:color="auto" w:fill="00FFFF"/>
          <w:lang w:eastAsia="pt-BR"/>
        </w:rPr>
        <w:t>OU</w:t>
      </w:r>
      <w:r w:rsidRPr="0051439E">
        <w:rPr>
          <w:rFonts w:ascii="Times New Roman" w:eastAsiaTheme="minorEastAsia" w:hAnsi="Times New Roman" w:cs="Times New Roman"/>
          <w:lang w:eastAsia="pt-BR"/>
        </w:rPr>
        <w:t> </w:t>
      </w:r>
    </w:p>
    <w:p w14:paraId="1089C3D9"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shd w:val="clear" w:color="auto" w:fill="00FFFF"/>
          <w:lang w:eastAsia="pt-BR"/>
        </w:rPr>
        <w:t>Destaca-se que</w:t>
      </w:r>
      <w:r w:rsidRPr="0051439E">
        <w:rPr>
          <w:rFonts w:ascii="Times New Roman" w:eastAsiaTheme="minorEastAsia" w:hAnsi="Times New Roman" w:cs="Times New Roman"/>
          <w:color w:val="000000"/>
          <w:u w:val="single"/>
          <w:shd w:val="clear" w:color="auto" w:fill="00FFFF"/>
          <w:lang w:eastAsia="pt-BR"/>
        </w:rPr>
        <w:t xml:space="preserve"> não foram fixados preços unitários máximos</w:t>
      </w:r>
      <w:r w:rsidRPr="0051439E">
        <w:rPr>
          <w:rFonts w:ascii="Times New Roman" w:eastAsiaTheme="minorEastAsia" w:hAnsi="Times New Roman" w:cs="Times New Roman"/>
          <w:color w:val="000000"/>
          <w:shd w:val="clear" w:color="auto" w:fill="00FFFF"/>
          <w:lang w:eastAsia="pt-BR"/>
        </w:rPr>
        <w:t xml:space="preserve"> para cada item do termo de referência (art. 6º, inciso XXIII, alínea "i", art. 23, § 2º, inciso I, da Lei nº 14.133, de 2021 c/c art. 2º, IX, do </w:t>
      </w:r>
      <w:r w:rsidRPr="0051439E">
        <w:rPr>
          <w:rFonts w:ascii="Times New Roman" w:eastAsiaTheme="minorEastAsia" w:hAnsi="Times New Roman" w:cs="Times New Roman"/>
          <w:shd w:val="clear" w:color="auto" w:fill="00FFFF"/>
          <w:lang w:eastAsia="pt-BR"/>
        </w:rPr>
        <w:t>Decreto nº 7.983, de 8 de abril de 2013</w:t>
      </w:r>
      <w:r w:rsidRPr="0051439E">
        <w:rPr>
          <w:rFonts w:ascii="Times New Roman" w:eastAsiaTheme="minorEastAsia" w:hAnsi="Times New Roman" w:cs="Times New Roman"/>
          <w:color w:val="000000"/>
          <w:shd w:val="clear" w:color="auto" w:fill="00FFFF"/>
          <w:lang w:eastAsia="pt-BR"/>
        </w:rPr>
        <w:t xml:space="preserve">, e Súmula TCU nº 259), </w:t>
      </w:r>
      <w:r w:rsidRPr="0051439E">
        <w:rPr>
          <w:rFonts w:ascii="Times New Roman" w:eastAsiaTheme="minorEastAsia" w:hAnsi="Times New Roman" w:cs="Times New Roman"/>
          <w:color w:val="000000"/>
          <w:u w:val="single"/>
          <w:shd w:val="clear" w:color="auto" w:fill="00FFFF"/>
          <w:lang w:eastAsia="pt-BR"/>
        </w:rPr>
        <w:t>o que deve ser providenciado.</w:t>
      </w:r>
      <w:r w:rsidRPr="0051439E">
        <w:rPr>
          <w:rFonts w:ascii="Times New Roman" w:eastAsiaTheme="minorEastAsia" w:hAnsi="Times New Roman" w:cs="Times New Roman"/>
          <w:u w:val="single"/>
          <w:lang w:eastAsia="pt-BR"/>
        </w:rPr>
        <w:t> </w:t>
      </w:r>
    </w:p>
    <w:p w14:paraId="102B14C8"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b/>
          <w:color w:val="000000"/>
          <w:u w:val="single"/>
          <w:shd w:val="clear" w:color="auto" w:fill="00FFFF"/>
          <w:lang w:eastAsia="pt-BR"/>
        </w:rPr>
        <w:t>OU</w:t>
      </w:r>
      <w:r w:rsidRPr="0051439E">
        <w:rPr>
          <w:rFonts w:ascii="Times New Roman" w:eastAsiaTheme="minorEastAsia" w:hAnsi="Times New Roman" w:cs="Times New Roman"/>
          <w:b/>
          <w:lang w:eastAsia="pt-BR"/>
        </w:rPr>
        <w:t> </w:t>
      </w:r>
    </w:p>
    <w:p w14:paraId="5FC8F1EE"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shd w:val="clear" w:color="auto" w:fill="00FFFF"/>
          <w:lang w:eastAsia="pt-BR"/>
        </w:rPr>
        <w:t>Destaca-se que a Administração optou pela não divulgação do orçamento, tornando-o sigiloso, conforme permissão do art. 24 da Lei nº 14.133, de 2021. Vale observar que, ainda assim, o orçamento deverá ser disponibilizado exclusiva e permanentemente aos órgãos de controle externo e interno.</w:t>
      </w:r>
      <w:r w:rsidRPr="0051439E">
        <w:rPr>
          <w:rFonts w:ascii="Times New Roman" w:eastAsiaTheme="minorEastAsia" w:hAnsi="Times New Roman" w:cs="Times New Roman"/>
          <w:lang w:eastAsia="pt-BR"/>
        </w:rPr>
        <w:t> </w:t>
      </w:r>
    </w:p>
    <w:p w14:paraId="3AF616EC"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b/>
          <w:color w:val="000000"/>
          <w:u w:val="single"/>
          <w:shd w:val="clear" w:color="auto" w:fill="00FFFF"/>
          <w:lang w:eastAsia="pt-BR"/>
        </w:rPr>
        <w:t>OU</w:t>
      </w:r>
      <w:r w:rsidRPr="0051439E">
        <w:rPr>
          <w:rFonts w:ascii="Times New Roman" w:eastAsiaTheme="minorEastAsia" w:hAnsi="Times New Roman" w:cs="Times New Roman"/>
          <w:b/>
          <w:lang w:eastAsia="pt-BR"/>
        </w:rPr>
        <w:t> </w:t>
      </w:r>
    </w:p>
    <w:p w14:paraId="0DDA1EF3"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shd w:val="clear" w:color="auto" w:fill="00FFFF"/>
          <w:lang w:eastAsia="pt-BR"/>
        </w:rPr>
        <w:t xml:space="preserve">Considerando que a presente licitação tem como critério de julgamento o maior desconto, o </w:t>
      </w:r>
      <w:r w:rsidRPr="0051439E">
        <w:rPr>
          <w:rFonts w:ascii="Times New Roman" w:eastAsiaTheme="minorEastAsia" w:hAnsi="Times New Roman" w:cs="Times New Roman"/>
          <w:shd w:val="clear" w:color="auto" w:fill="00FFFF"/>
          <w:lang w:eastAsia="pt-BR"/>
        </w:rPr>
        <w:t>preço estimado ou o máximo aceitável</w:t>
      </w:r>
      <w:r w:rsidRPr="0051439E">
        <w:rPr>
          <w:rFonts w:ascii="Times New Roman" w:eastAsiaTheme="minorEastAsia" w:hAnsi="Times New Roman" w:cs="Times New Roman"/>
          <w:color w:val="000000"/>
          <w:shd w:val="clear" w:color="auto" w:fill="00FFFF"/>
          <w:lang w:eastAsia="pt-BR"/>
        </w:rPr>
        <w:t xml:space="preserve"> para a aplicação do desconto devem constar obrigatoriamente do instrumento convocatório, nos termos do art. 24, parágrafo único, da Lei nº 14.133, de 2021, </w:t>
      </w:r>
      <w:r w:rsidRPr="0051439E">
        <w:rPr>
          <w:rFonts w:ascii="Times New Roman" w:eastAsiaTheme="minorEastAsia" w:hAnsi="Times New Roman" w:cs="Times New Roman"/>
          <w:color w:val="FF0000"/>
          <w:shd w:val="clear" w:color="auto" w:fill="00FFFF"/>
          <w:lang w:eastAsia="pt-BR"/>
        </w:rPr>
        <w:t>o que foi observado no presente caso (OU</w:t>
      </w:r>
      <w:r w:rsidRPr="0051439E">
        <w:rPr>
          <w:rFonts w:ascii="Times New Roman" w:eastAsiaTheme="minorEastAsia" w:hAnsi="Times New Roman" w:cs="Times New Roman"/>
          <w:lang w:eastAsia="pt-BR"/>
        </w:rPr>
        <w:t xml:space="preserve"> </w:t>
      </w:r>
      <w:r w:rsidRPr="0051439E">
        <w:rPr>
          <w:rFonts w:ascii="Times New Roman" w:eastAsiaTheme="minorEastAsia" w:hAnsi="Times New Roman" w:cs="Times New Roman"/>
          <w:color w:val="FF0000"/>
          <w:shd w:val="clear" w:color="auto" w:fill="00FFFF"/>
          <w:lang w:eastAsia="pt-BR"/>
        </w:rPr>
        <w:t>o que deve ser regularizado no presente caso).</w:t>
      </w:r>
      <w:r w:rsidRPr="0051439E">
        <w:rPr>
          <w:rFonts w:ascii="Times New Roman" w:eastAsiaTheme="minorEastAsia" w:hAnsi="Times New Roman" w:cs="Times New Roman"/>
          <w:lang w:eastAsia="pt-BR"/>
        </w:rPr>
        <w:t>   </w:t>
      </w:r>
    </w:p>
    <w:p w14:paraId="03E20122" w14:textId="77777777" w:rsidR="006D1F90" w:rsidRPr="0051439E" w:rsidRDefault="006D1F90" w:rsidP="006D1F90">
      <w:pPr>
        <w:spacing w:beforeAutospacing="1" w:afterAutospacing="1" w:line="240" w:lineRule="auto"/>
        <w:jc w:val="both"/>
        <w:rPr>
          <w:rFonts w:ascii="Times New Roman" w:eastAsiaTheme="minorEastAsia" w:hAnsi="Times New Roman" w:cs="Times New Roman"/>
          <w:color w:val="000000" w:themeColor="text1"/>
          <w:lang w:eastAsia="pt-BR"/>
        </w:rPr>
      </w:pPr>
    </w:p>
    <w:p w14:paraId="10523951"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themeColor="text1"/>
          <w:lang w:eastAsia="pt-BR"/>
        </w:rPr>
        <w:t>Dito isto, passaremos a destacar, nos tópicos seguintes, pontos específicos do planejamento da contratação, considerados essenciais à avaliação da regularidade geral do presente procedimento.</w:t>
      </w:r>
      <w:r w:rsidRPr="0051439E">
        <w:rPr>
          <w:rFonts w:ascii="Times New Roman" w:eastAsiaTheme="minorEastAsia" w:hAnsi="Times New Roman" w:cs="Times New Roman"/>
          <w:lang w:eastAsia="pt-BR"/>
        </w:rPr>
        <w:t> </w:t>
      </w:r>
    </w:p>
    <w:p w14:paraId="3D6D823C"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p>
    <w:p w14:paraId="04EFD951" w14:textId="77777777" w:rsidR="006D1F90" w:rsidRDefault="006D1F90">
      <w:pPr>
        <w:rPr>
          <w:rFonts w:ascii="Times New Roman" w:eastAsia="Times New Roman" w:hAnsi="Times New Roman" w:cs="Times New Roman"/>
          <w:b/>
          <w:bCs/>
          <w:color w:val="000000" w:themeColor="text1"/>
          <w:sz w:val="24"/>
          <w:szCs w:val="24"/>
          <w:lang w:eastAsia="pt-BR"/>
        </w:rPr>
      </w:pPr>
      <w:r>
        <w:rPr>
          <w:rFonts w:ascii="Times New Roman" w:eastAsia="Times New Roman" w:hAnsi="Times New Roman" w:cs="Times New Roman"/>
          <w:b/>
          <w:bCs/>
          <w:color w:val="000000" w:themeColor="text1"/>
          <w:sz w:val="24"/>
          <w:szCs w:val="24"/>
          <w:lang w:eastAsia="pt-BR"/>
        </w:rPr>
        <w:br w:type="page"/>
      </w:r>
    </w:p>
    <w:p w14:paraId="2D2A1F46" w14:textId="4C416C98" w:rsidR="006D1F90" w:rsidRPr="0051439E" w:rsidRDefault="006D1F90" w:rsidP="006D1F90">
      <w:pPr>
        <w:spacing w:beforeAutospacing="1" w:afterAutospacing="1" w:line="240" w:lineRule="auto"/>
        <w:jc w:val="both"/>
        <w:rPr>
          <w:rFonts w:ascii="Times New Roman" w:eastAsia="Times New Roman" w:hAnsi="Times New Roman" w:cs="Times New Roman"/>
          <w:sz w:val="24"/>
          <w:szCs w:val="24"/>
          <w:lang w:eastAsia="pt-BR"/>
        </w:rPr>
      </w:pPr>
      <w:r w:rsidRPr="0051439E">
        <w:rPr>
          <w:rFonts w:ascii="Times New Roman" w:eastAsia="Times New Roman" w:hAnsi="Times New Roman" w:cs="Times New Roman"/>
          <w:b/>
          <w:bCs/>
          <w:color w:val="000000" w:themeColor="text1"/>
          <w:sz w:val="24"/>
          <w:szCs w:val="24"/>
          <w:lang w:eastAsia="pt-BR"/>
        </w:rPr>
        <w:lastRenderedPageBreak/>
        <w:t>Projeto Básico</w:t>
      </w:r>
    </w:p>
    <w:p w14:paraId="188E04F5" w14:textId="77777777" w:rsidR="006D1F90" w:rsidRPr="0051439E" w:rsidRDefault="006D1F90" w:rsidP="006D1F90">
      <w:pPr>
        <w:spacing w:beforeAutospacing="1" w:afterAutospacing="1" w:line="240" w:lineRule="auto"/>
        <w:jc w:val="both"/>
        <w:rPr>
          <w:rFonts w:ascii="Times New Roman" w:eastAsia="Times New Roman" w:hAnsi="Times New Roman" w:cs="Times New Roman"/>
          <w:sz w:val="24"/>
          <w:szCs w:val="24"/>
          <w:lang w:eastAsia="pt-BR"/>
        </w:rPr>
      </w:pPr>
    </w:p>
    <w:p w14:paraId="1B60F0B1" w14:textId="77777777" w:rsidR="006D1F90" w:rsidRPr="0051439E" w:rsidRDefault="006D1F90" w:rsidP="006D1F90">
      <w:pPr>
        <w:jc w:val="both"/>
        <w:rPr>
          <w:rFonts w:ascii="Times New Roman" w:eastAsia="Arial" w:hAnsi="Times New Roman" w:cs="Times New Roman"/>
          <w:color w:val="000000" w:themeColor="text1"/>
          <w:sz w:val="20"/>
          <w:szCs w:val="20"/>
        </w:rPr>
      </w:pPr>
      <w:r w:rsidRPr="0051439E">
        <w:rPr>
          <w:rFonts w:ascii="Times New Roman" w:eastAsia="Arial" w:hAnsi="Times New Roman" w:cs="Times New Roman"/>
          <w:color w:val="000000" w:themeColor="text1"/>
          <w:sz w:val="20"/>
          <w:szCs w:val="20"/>
        </w:rPr>
        <w:t>O projeto básico constitui um conjunto de elementos necessários e suficientes, com nível de precisão adequado para definir e dimensionar a obra ou o serviço, ou o complexo de obras ou de serviços objeto da licitação, elaborado com base nas indicações dos estudos técnicos preliminares, que assegure a viabilidade técnica e o adequado tratamento do impacto ambiental do empreendimento e que possibilite a avaliação do custo da obra e a definição dos métodos e do prazo de execução, devendo conter os seguintes elementos (</w:t>
      </w:r>
      <w:r w:rsidRPr="0051439E">
        <w:rPr>
          <w:rFonts w:ascii="Times New Roman" w:eastAsia="Arial" w:hAnsi="Times New Roman" w:cs="Times New Roman"/>
          <w:color w:val="000000" w:themeColor="text1"/>
          <w:sz w:val="19"/>
          <w:szCs w:val="19"/>
        </w:rPr>
        <w:t>Art. 6º ,</w:t>
      </w:r>
      <w:r w:rsidRPr="0051439E">
        <w:rPr>
          <w:rFonts w:ascii="Times New Roman" w:eastAsia="Arial" w:hAnsi="Times New Roman" w:cs="Times New Roman"/>
          <w:sz w:val="20"/>
          <w:szCs w:val="20"/>
        </w:rPr>
        <w:t xml:space="preserve"> </w:t>
      </w:r>
      <w:r w:rsidRPr="0051439E">
        <w:rPr>
          <w:rFonts w:ascii="Times New Roman" w:eastAsia="Arial" w:hAnsi="Times New Roman" w:cs="Times New Roman"/>
          <w:color w:val="000000" w:themeColor="text1"/>
          <w:sz w:val="20"/>
          <w:szCs w:val="20"/>
        </w:rPr>
        <w:t>XXV, da Lei n. 14.133/2021):</w:t>
      </w:r>
    </w:p>
    <w:p w14:paraId="70FE66ED" w14:textId="77777777" w:rsidR="006D1F90" w:rsidRPr="0051439E" w:rsidRDefault="006D1F90" w:rsidP="006D1F90">
      <w:pPr>
        <w:ind w:left="1701"/>
        <w:jc w:val="both"/>
        <w:rPr>
          <w:rFonts w:ascii="Times New Roman" w:eastAsia="Arial" w:hAnsi="Times New Roman" w:cs="Times New Roman"/>
          <w:color w:val="000000" w:themeColor="text1"/>
          <w:sz w:val="20"/>
          <w:szCs w:val="20"/>
        </w:rPr>
      </w:pPr>
      <w:r w:rsidRPr="0051439E">
        <w:rPr>
          <w:rFonts w:ascii="Times New Roman" w:eastAsia="Arial" w:hAnsi="Times New Roman" w:cs="Times New Roman"/>
          <w:color w:val="000000" w:themeColor="text1"/>
          <w:sz w:val="20"/>
          <w:szCs w:val="20"/>
        </w:rPr>
        <w:t>a) levantamentos topográficos e cadastrais, sondagens e ensaios geotécnicos, ensaios e análises laboratoriais, estudos socioambientais e demais dados e levantamentos necessários para execução da solução escolhida;</w:t>
      </w:r>
    </w:p>
    <w:p w14:paraId="6ABF8DE0" w14:textId="77777777" w:rsidR="006D1F90" w:rsidRPr="0051439E" w:rsidRDefault="006D1F90" w:rsidP="006D1F90">
      <w:pPr>
        <w:ind w:left="1701"/>
        <w:jc w:val="both"/>
        <w:rPr>
          <w:rFonts w:ascii="Times New Roman" w:eastAsia="Arial" w:hAnsi="Times New Roman" w:cs="Times New Roman"/>
          <w:color w:val="000000" w:themeColor="text1"/>
          <w:sz w:val="20"/>
          <w:szCs w:val="20"/>
        </w:rPr>
      </w:pPr>
      <w:r w:rsidRPr="0051439E">
        <w:rPr>
          <w:rFonts w:ascii="Times New Roman" w:eastAsia="Arial" w:hAnsi="Times New Roman" w:cs="Times New Roman"/>
          <w:color w:val="000000" w:themeColor="text1"/>
          <w:sz w:val="20"/>
          <w:szCs w:val="20"/>
        </w:rPr>
        <w:t>b) soluções técnicas globais e localizadas, suficientemente detalhadas, de forma a evitar, por ocasião da elaboração do projeto executivo e da realização das obras e montagem, a necessidade de reformulações ou variantes quanto à qualidade, ao preço e ao prazo inicialmente definidos;</w:t>
      </w:r>
    </w:p>
    <w:p w14:paraId="51B2CD46" w14:textId="77777777" w:rsidR="006D1F90" w:rsidRPr="0051439E" w:rsidRDefault="006D1F90" w:rsidP="006D1F90">
      <w:pPr>
        <w:ind w:left="1701"/>
        <w:jc w:val="both"/>
        <w:rPr>
          <w:rFonts w:ascii="Times New Roman" w:eastAsia="Arial" w:hAnsi="Times New Roman" w:cs="Times New Roman"/>
          <w:color w:val="000000" w:themeColor="text1"/>
          <w:sz w:val="20"/>
          <w:szCs w:val="20"/>
        </w:rPr>
      </w:pPr>
      <w:r w:rsidRPr="0051439E">
        <w:rPr>
          <w:rFonts w:ascii="Times New Roman" w:eastAsia="Arial" w:hAnsi="Times New Roman" w:cs="Times New Roman"/>
          <w:color w:val="000000" w:themeColor="text1"/>
          <w:sz w:val="20"/>
          <w:szCs w:val="20"/>
        </w:rPr>
        <w:t>c) identificação dos tipos de serviços a executar e dos materiais e equipamentos a incorporar à obra, bem como das suas especificações, de modo a assegurar os melhores resultados para o empreendimento e a segurança executiva na utilização do objeto, para os fins a que se destina, considerados os riscos e os perigos identificáveis, sem frustrar o caráter competitivo para a sua execução;</w:t>
      </w:r>
    </w:p>
    <w:p w14:paraId="5379DCC8" w14:textId="77777777" w:rsidR="006D1F90" w:rsidRPr="0051439E" w:rsidRDefault="006D1F90" w:rsidP="006D1F90">
      <w:pPr>
        <w:ind w:left="1701"/>
        <w:jc w:val="both"/>
        <w:rPr>
          <w:rFonts w:ascii="Times New Roman" w:eastAsia="Arial" w:hAnsi="Times New Roman" w:cs="Times New Roman"/>
          <w:color w:val="000000" w:themeColor="text1"/>
          <w:sz w:val="20"/>
          <w:szCs w:val="20"/>
        </w:rPr>
      </w:pPr>
      <w:r w:rsidRPr="0051439E">
        <w:rPr>
          <w:rFonts w:ascii="Times New Roman" w:eastAsia="Arial" w:hAnsi="Times New Roman" w:cs="Times New Roman"/>
          <w:color w:val="000000" w:themeColor="text1"/>
          <w:sz w:val="20"/>
          <w:szCs w:val="20"/>
        </w:rPr>
        <w:t>d) informações que possibilitem o estudo e a definição de métodos construtivos, de instalações provisórias e de condições organizacionais para a obra, sem frustrar o caráter competitivo para a sua execução;</w:t>
      </w:r>
    </w:p>
    <w:p w14:paraId="0517C325" w14:textId="77777777" w:rsidR="006D1F90" w:rsidRPr="0051439E" w:rsidRDefault="006D1F90" w:rsidP="006D1F90">
      <w:pPr>
        <w:ind w:left="1701"/>
        <w:jc w:val="both"/>
        <w:rPr>
          <w:rFonts w:ascii="Times New Roman" w:eastAsia="Arial" w:hAnsi="Times New Roman" w:cs="Times New Roman"/>
          <w:color w:val="000000" w:themeColor="text1"/>
          <w:sz w:val="20"/>
          <w:szCs w:val="20"/>
        </w:rPr>
      </w:pPr>
      <w:r w:rsidRPr="0051439E">
        <w:rPr>
          <w:rFonts w:ascii="Times New Roman" w:eastAsia="Arial" w:hAnsi="Times New Roman" w:cs="Times New Roman"/>
          <w:color w:val="000000" w:themeColor="text1"/>
          <w:sz w:val="20"/>
          <w:szCs w:val="20"/>
        </w:rPr>
        <w:t>e) subsídios para montagem do plano de licitação e gestão da obra, compreendidos a sua programação, a estratégia de suprimentos, as normas de fiscalização e outros dados necessários em cada caso;</w:t>
      </w:r>
    </w:p>
    <w:p w14:paraId="7BA617C9" w14:textId="77777777" w:rsidR="006D1F90" w:rsidRPr="0051439E" w:rsidRDefault="006D1F90" w:rsidP="006D1F90">
      <w:pPr>
        <w:spacing w:beforeAutospacing="1" w:afterAutospacing="1" w:line="240" w:lineRule="auto"/>
        <w:ind w:left="1701"/>
        <w:jc w:val="both"/>
        <w:rPr>
          <w:rFonts w:ascii="Times New Roman" w:eastAsia="Arial" w:hAnsi="Times New Roman" w:cs="Times New Roman"/>
          <w:color w:val="000000" w:themeColor="text1"/>
          <w:sz w:val="20"/>
          <w:szCs w:val="20"/>
          <w:lang w:eastAsia="pt-BR"/>
        </w:rPr>
      </w:pPr>
      <w:r w:rsidRPr="0051439E">
        <w:rPr>
          <w:rFonts w:ascii="Times New Roman" w:eastAsia="Arial" w:hAnsi="Times New Roman" w:cs="Times New Roman"/>
          <w:color w:val="000000" w:themeColor="text1"/>
          <w:sz w:val="20"/>
          <w:szCs w:val="20"/>
        </w:rPr>
        <w:t>f) orçamento detalhado do custo global da obra, fundamentado em quantitativos de serviços e fornecimentos propriamente avaliados, obrigatório exclusivamente para os regimes de execução de empreitada por preço unitário, empreitada por preço global, empreitada integral, contratação por tarefa e fornecimento e prestação de serviço associado.</w:t>
      </w:r>
    </w:p>
    <w:p w14:paraId="2DEB86D0" w14:textId="77777777" w:rsidR="006D1F90" w:rsidRPr="0051439E" w:rsidRDefault="006D1F90" w:rsidP="006D1F90">
      <w:pPr>
        <w:ind w:left="1701" w:firstLine="570"/>
        <w:jc w:val="both"/>
        <w:rPr>
          <w:rFonts w:ascii="Times New Roman" w:eastAsia="Arial" w:hAnsi="Times New Roman" w:cs="Times New Roman"/>
          <w:color w:val="000000" w:themeColor="text1"/>
          <w:sz w:val="20"/>
          <w:szCs w:val="20"/>
        </w:rPr>
      </w:pPr>
    </w:p>
    <w:p w14:paraId="3F9F98BA" w14:textId="77777777" w:rsidR="006D1F90" w:rsidRPr="0051439E" w:rsidRDefault="006D1F90" w:rsidP="006D1F90">
      <w:pPr>
        <w:spacing w:beforeAutospacing="1" w:afterAutospacing="1" w:line="240" w:lineRule="auto"/>
        <w:jc w:val="both"/>
        <w:rPr>
          <w:rFonts w:ascii="Times New Roman" w:eastAsia="Times New Roman" w:hAnsi="Times New Roman" w:cs="Times New Roman"/>
          <w:sz w:val="24"/>
          <w:szCs w:val="24"/>
        </w:rPr>
      </w:pPr>
      <w:r w:rsidRPr="0051439E">
        <w:rPr>
          <w:rFonts w:ascii="Times New Roman" w:eastAsia="Times New Roman" w:hAnsi="Times New Roman" w:cs="Times New Roman"/>
          <w:sz w:val="24"/>
          <w:szCs w:val="24"/>
        </w:rPr>
        <w:t xml:space="preserve">Em se tratando de estudo técnico preliminar para contratação de </w:t>
      </w:r>
      <w:r w:rsidRPr="0051439E">
        <w:rPr>
          <w:rFonts w:ascii="Times New Roman" w:eastAsia="Times New Roman" w:hAnsi="Times New Roman" w:cs="Times New Roman"/>
          <w:b/>
          <w:bCs/>
          <w:sz w:val="24"/>
          <w:szCs w:val="24"/>
        </w:rPr>
        <w:t>obras</w:t>
      </w:r>
      <w:r w:rsidRPr="0051439E">
        <w:rPr>
          <w:rFonts w:ascii="Times New Roman" w:eastAsia="Times New Roman" w:hAnsi="Times New Roman" w:cs="Times New Roman"/>
          <w:sz w:val="24"/>
          <w:szCs w:val="24"/>
        </w:rPr>
        <w:t xml:space="preserve"> e serviços comuns de engenharia, se demonstrada a inexistência de prejuízo para a aferição dos padrões de desempenho e qualidade almejados, a especificação do objeto poderá ser realizada apenas em termo de referência ou em projeto básico, dispensada a elaboração de projetos (art. 18, § 3º, da Lei n. 14.133/2021).</w:t>
      </w:r>
    </w:p>
    <w:p w14:paraId="68B2F621" w14:textId="77777777" w:rsidR="006D1F90" w:rsidRPr="0051439E" w:rsidRDefault="006D1F90" w:rsidP="006D1F90">
      <w:pPr>
        <w:spacing w:beforeAutospacing="1" w:afterAutospacing="1" w:line="240" w:lineRule="auto"/>
        <w:jc w:val="both"/>
        <w:rPr>
          <w:rFonts w:ascii="Times New Roman" w:eastAsia="Times New Roman" w:hAnsi="Times New Roman" w:cs="Times New Roman"/>
          <w:color w:val="FF0000"/>
          <w:sz w:val="24"/>
          <w:szCs w:val="24"/>
          <w:highlight w:val="green"/>
        </w:rPr>
      </w:pPr>
    </w:p>
    <w:p w14:paraId="349932AB" w14:textId="77777777" w:rsidR="006D1F90" w:rsidRPr="0051439E" w:rsidRDefault="006D1F90" w:rsidP="006D1F90">
      <w:pPr>
        <w:spacing w:beforeAutospacing="1" w:afterAutospacing="1" w:line="240" w:lineRule="auto"/>
        <w:jc w:val="both"/>
        <w:rPr>
          <w:rFonts w:ascii="Times New Roman" w:eastAsia="Times New Roman" w:hAnsi="Times New Roman" w:cs="Times New Roman"/>
          <w:color w:val="FF0000"/>
          <w:sz w:val="24"/>
          <w:szCs w:val="24"/>
          <w:highlight w:val="yellow"/>
        </w:rPr>
      </w:pPr>
      <w:r w:rsidRPr="0051439E">
        <w:rPr>
          <w:rFonts w:ascii="Times New Roman" w:eastAsia="Times New Roman" w:hAnsi="Times New Roman" w:cs="Times New Roman"/>
          <w:color w:val="FF0000"/>
          <w:sz w:val="24"/>
          <w:szCs w:val="24"/>
          <w:highlight w:val="yellow"/>
        </w:rPr>
        <w:t xml:space="preserve">A Administração é dispensada da elaboração de projeto básico nos casos de contratação integrada, hipótese em que deverá ser elaborado anteprojeto de acordo com metodologia definida em ato do órgão competente, observados os requisitos estabelecidos no </w:t>
      </w:r>
      <w:hyperlink r:id="rId35" w:anchor="art6xxiv">
        <w:r w:rsidRPr="0051439E">
          <w:rPr>
            <w:rStyle w:val="Hyperlink"/>
            <w:rFonts w:ascii="Times New Roman" w:eastAsia="Times New Roman" w:hAnsi="Times New Roman" w:cs="Times New Roman"/>
            <w:color w:val="FF0000"/>
            <w:sz w:val="24"/>
            <w:szCs w:val="24"/>
            <w:highlight w:val="yellow"/>
          </w:rPr>
          <w:t>inciso XXIV do art. 6º da Lei n. 14.133/2021.</w:t>
        </w:r>
      </w:hyperlink>
      <w:r w:rsidRPr="0051439E">
        <w:rPr>
          <w:rFonts w:ascii="Times New Roman" w:eastAsia="Times New Roman" w:hAnsi="Times New Roman" w:cs="Times New Roman"/>
          <w:color w:val="FF0000"/>
          <w:sz w:val="24"/>
          <w:szCs w:val="24"/>
          <w:highlight w:val="yellow"/>
        </w:rPr>
        <w:t xml:space="preserve"> (art. 46, § 2º, da Lei n. 14.133/2021).</w:t>
      </w:r>
      <w:r w:rsidRPr="0051439E">
        <w:rPr>
          <w:rFonts w:ascii="Times New Roman" w:eastAsia="Times New Roman" w:hAnsi="Times New Roman" w:cs="Times New Roman"/>
          <w:color w:val="FF0000"/>
          <w:sz w:val="24"/>
          <w:szCs w:val="24"/>
        </w:rPr>
        <w:t xml:space="preserve"> </w:t>
      </w:r>
    </w:p>
    <w:p w14:paraId="7439AC6D" w14:textId="77777777" w:rsidR="006D1F90" w:rsidRPr="0051439E" w:rsidRDefault="006D1F90" w:rsidP="006D1F90">
      <w:pPr>
        <w:spacing w:beforeAutospacing="1" w:afterAutospacing="1" w:line="240" w:lineRule="auto"/>
        <w:jc w:val="both"/>
        <w:rPr>
          <w:rFonts w:ascii="Times New Roman" w:eastAsia="Times New Roman" w:hAnsi="Times New Roman" w:cs="Times New Roman"/>
          <w:color w:val="FF0000"/>
          <w:sz w:val="24"/>
          <w:szCs w:val="24"/>
        </w:rPr>
      </w:pPr>
    </w:p>
    <w:p w14:paraId="6398B76C" w14:textId="77777777" w:rsidR="006D1F90" w:rsidRPr="0051439E" w:rsidRDefault="006D1F90" w:rsidP="006D1F90">
      <w:pPr>
        <w:spacing w:beforeAutospacing="1" w:afterAutospacing="1" w:line="240" w:lineRule="auto"/>
        <w:jc w:val="both"/>
        <w:rPr>
          <w:rFonts w:ascii="Times New Roman" w:eastAsia="Times New Roman" w:hAnsi="Times New Roman" w:cs="Times New Roman"/>
          <w:sz w:val="24"/>
          <w:szCs w:val="24"/>
          <w:highlight w:val="cyan"/>
          <w:lang w:eastAsia="pt-BR"/>
        </w:rPr>
      </w:pPr>
      <w:r w:rsidRPr="0051439E">
        <w:rPr>
          <w:rFonts w:ascii="Times New Roman" w:eastAsia="Times New Roman" w:hAnsi="Times New Roman" w:cs="Times New Roman"/>
          <w:color w:val="000000" w:themeColor="text1"/>
          <w:sz w:val="24"/>
          <w:szCs w:val="24"/>
          <w:highlight w:val="cyan"/>
          <w:lang w:eastAsia="pt-BR"/>
        </w:rPr>
        <w:t>No caso, consta nos autos projeto básico elaborado pelo setor técnico competente (</w:t>
      </w:r>
      <w:r w:rsidRPr="0051439E">
        <w:rPr>
          <w:rFonts w:ascii="Times New Roman" w:eastAsia="Times New Roman" w:hAnsi="Times New Roman" w:cs="Times New Roman"/>
          <w:color w:val="FF0000"/>
          <w:sz w:val="24"/>
          <w:szCs w:val="24"/>
          <w:highlight w:val="cyan"/>
          <w:lang w:eastAsia="pt-BR"/>
        </w:rPr>
        <w:t>fls. XXX/doc. SEI n. XXX)</w:t>
      </w:r>
      <w:r w:rsidRPr="0051439E">
        <w:rPr>
          <w:rFonts w:ascii="Times New Roman" w:eastAsia="Times New Roman" w:hAnsi="Times New Roman" w:cs="Times New Roman"/>
          <w:color w:val="000000" w:themeColor="text1"/>
          <w:sz w:val="24"/>
          <w:szCs w:val="24"/>
          <w:highlight w:val="cyan"/>
          <w:lang w:eastAsia="pt-BR"/>
        </w:rPr>
        <w:t>.</w:t>
      </w:r>
      <w:r w:rsidRPr="0051439E">
        <w:rPr>
          <w:rFonts w:ascii="Times New Roman" w:eastAsia="Times New Roman" w:hAnsi="Times New Roman" w:cs="Times New Roman"/>
          <w:sz w:val="24"/>
          <w:szCs w:val="24"/>
          <w:highlight w:val="cyan"/>
          <w:lang w:eastAsia="pt-BR"/>
        </w:rPr>
        <w:t> </w:t>
      </w:r>
    </w:p>
    <w:p w14:paraId="74C1A4BD" w14:textId="77777777" w:rsidR="006D1F90" w:rsidRPr="0051439E" w:rsidRDefault="006D1F90" w:rsidP="006D1F90">
      <w:pPr>
        <w:spacing w:beforeAutospacing="1" w:afterAutospacing="1" w:line="240" w:lineRule="auto"/>
        <w:jc w:val="both"/>
        <w:rPr>
          <w:rFonts w:ascii="Times New Roman" w:eastAsia="Times New Roman" w:hAnsi="Times New Roman" w:cs="Times New Roman"/>
          <w:sz w:val="24"/>
          <w:szCs w:val="24"/>
          <w:highlight w:val="cyan"/>
          <w:lang w:eastAsia="pt-BR"/>
        </w:rPr>
      </w:pPr>
      <w:r w:rsidRPr="0051439E">
        <w:rPr>
          <w:rFonts w:ascii="Times New Roman" w:eastAsia="Times New Roman" w:hAnsi="Times New Roman" w:cs="Times New Roman"/>
          <w:b/>
          <w:color w:val="000000" w:themeColor="text1"/>
          <w:sz w:val="24"/>
          <w:szCs w:val="24"/>
          <w:highlight w:val="cyan"/>
          <w:u w:val="single"/>
          <w:lang w:eastAsia="pt-BR"/>
        </w:rPr>
        <w:t>OU</w:t>
      </w:r>
      <w:r w:rsidRPr="0051439E">
        <w:rPr>
          <w:rFonts w:ascii="Times New Roman" w:eastAsia="Times New Roman" w:hAnsi="Times New Roman" w:cs="Times New Roman"/>
          <w:sz w:val="24"/>
          <w:szCs w:val="24"/>
          <w:highlight w:val="cyan"/>
          <w:lang w:eastAsia="pt-BR"/>
        </w:rPr>
        <w:t> </w:t>
      </w:r>
    </w:p>
    <w:p w14:paraId="43D9E630" w14:textId="77777777" w:rsidR="006D1F90" w:rsidRPr="0051439E" w:rsidRDefault="006D1F90" w:rsidP="006D1F90">
      <w:pPr>
        <w:spacing w:beforeAutospacing="1" w:afterAutospacing="1" w:line="240" w:lineRule="auto"/>
        <w:jc w:val="both"/>
        <w:rPr>
          <w:rFonts w:ascii="Times New Roman" w:eastAsia="Times New Roman" w:hAnsi="Times New Roman" w:cs="Times New Roman"/>
          <w:sz w:val="24"/>
          <w:szCs w:val="24"/>
          <w:lang w:eastAsia="pt-BR"/>
        </w:rPr>
      </w:pPr>
      <w:r w:rsidRPr="0051439E">
        <w:rPr>
          <w:rFonts w:ascii="Times New Roman" w:eastAsia="Times New Roman" w:hAnsi="Times New Roman" w:cs="Times New Roman"/>
          <w:color w:val="000000" w:themeColor="text1"/>
          <w:sz w:val="24"/>
          <w:szCs w:val="24"/>
          <w:highlight w:val="cyan"/>
          <w:lang w:eastAsia="pt-BR"/>
        </w:rPr>
        <w:t xml:space="preserve">No caso, não restou localizado nos autos projeto básico elaborado pelo setor técnico competente e nem justificada eventual dispensa do referido instrumento </w:t>
      </w:r>
      <w:r w:rsidRPr="0051439E">
        <w:rPr>
          <w:rFonts w:ascii="Times New Roman" w:eastAsia="Times New Roman" w:hAnsi="Times New Roman" w:cs="Times New Roman"/>
          <w:sz w:val="24"/>
          <w:szCs w:val="24"/>
          <w:highlight w:val="cyan"/>
        </w:rPr>
        <w:t>(art. 46, § 2º, da Lei n. 14.133, de 2021)</w:t>
      </w:r>
      <w:r w:rsidRPr="0051439E">
        <w:rPr>
          <w:rFonts w:ascii="Times New Roman" w:eastAsia="Times New Roman" w:hAnsi="Times New Roman" w:cs="Times New Roman"/>
          <w:sz w:val="24"/>
          <w:szCs w:val="24"/>
          <w:highlight w:val="cyan"/>
          <w:lang w:eastAsia="pt-BR"/>
        </w:rPr>
        <w:t>,</w:t>
      </w:r>
      <w:r w:rsidRPr="0051439E">
        <w:rPr>
          <w:rFonts w:ascii="Times New Roman" w:eastAsia="Times New Roman" w:hAnsi="Times New Roman" w:cs="Times New Roman"/>
          <w:color w:val="000000" w:themeColor="text1"/>
          <w:sz w:val="24"/>
          <w:szCs w:val="24"/>
          <w:highlight w:val="cyan"/>
          <w:lang w:eastAsia="pt-BR"/>
        </w:rPr>
        <w:t xml:space="preserve"> </w:t>
      </w:r>
      <w:r w:rsidRPr="0051439E">
        <w:rPr>
          <w:rFonts w:ascii="Times New Roman" w:eastAsia="Times New Roman" w:hAnsi="Times New Roman" w:cs="Times New Roman"/>
          <w:color w:val="000000" w:themeColor="text1"/>
          <w:sz w:val="24"/>
          <w:szCs w:val="24"/>
          <w:highlight w:val="cyan"/>
          <w:u w:val="single"/>
          <w:lang w:eastAsia="pt-BR"/>
        </w:rPr>
        <w:t>o que demanda o saneamento da instrução processual</w:t>
      </w:r>
      <w:r w:rsidRPr="0051439E">
        <w:rPr>
          <w:rFonts w:ascii="Times New Roman" w:eastAsia="Times New Roman" w:hAnsi="Times New Roman" w:cs="Times New Roman"/>
          <w:color w:val="000000" w:themeColor="text1"/>
          <w:sz w:val="24"/>
          <w:szCs w:val="24"/>
          <w:highlight w:val="cyan"/>
          <w:lang w:eastAsia="pt-BR"/>
        </w:rPr>
        <w:t xml:space="preserve"> (</w:t>
      </w:r>
      <w:r w:rsidRPr="0051439E">
        <w:rPr>
          <w:rFonts w:ascii="Times New Roman" w:eastAsia="Times New Roman" w:hAnsi="Times New Roman" w:cs="Times New Roman"/>
          <w:color w:val="FF0000"/>
          <w:sz w:val="24"/>
          <w:szCs w:val="24"/>
          <w:highlight w:val="cyan"/>
          <w:lang w:eastAsia="pt-BR"/>
        </w:rPr>
        <w:t>fls. XXX/doc. SEI n. XXX)</w:t>
      </w:r>
      <w:r w:rsidRPr="0051439E">
        <w:rPr>
          <w:rFonts w:ascii="Times New Roman" w:eastAsia="Times New Roman" w:hAnsi="Times New Roman" w:cs="Times New Roman"/>
          <w:color w:val="000000" w:themeColor="text1"/>
          <w:sz w:val="24"/>
          <w:szCs w:val="24"/>
          <w:highlight w:val="cyan"/>
          <w:lang w:eastAsia="pt-BR"/>
        </w:rPr>
        <w:t>.</w:t>
      </w:r>
      <w:r w:rsidRPr="0051439E">
        <w:rPr>
          <w:rFonts w:ascii="Times New Roman" w:eastAsia="Times New Roman" w:hAnsi="Times New Roman" w:cs="Times New Roman"/>
          <w:sz w:val="24"/>
          <w:szCs w:val="24"/>
          <w:highlight w:val="cyan"/>
          <w:lang w:eastAsia="pt-BR"/>
        </w:rPr>
        <w:t> </w:t>
      </w:r>
    </w:p>
    <w:p w14:paraId="19609F46" w14:textId="77777777" w:rsidR="006D1F90" w:rsidRPr="0051439E" w:rsidRDefault="006D1F90" w:rsidP="006D1F90">
      <w:pPr>
        <w:spacing w:beforeAutospacing="1" w:afterAutospacing="1" w:line="240" w:lineRule="auto"/>
        <w:jc w:val="both"/>
        <w:rPr>
          <w:rFonts w:ascii="Times New Roman" w:eastAsia="Times New Roman" w:hAnsi="Times New Roman" w:cs="Times New Roman"/>
          <w:b/>
          <w:bCs/>
          <w:color w:val="000000" w:themeColor="text1"/>
          <w:sz w:val="24"/>
          <w:szCs w:val="24"/>
          <w:highlight w:val="green"/>
          <w:lang w:eastAsia="pt-BR"/>
        </w:rPr>
      </w:pPr>
    </w:p>
    <w:p w14:paraId="2ACB001F" w14:textId="77777777" w:rsidR="006D1F90" w:rsidRPr="0051439E" w:rsidRDefault="006D1F90" w:rsidP="006D1F90">
      <w:pPr>
        <w:spacing w:beforeAutospacing="1" w:afterAutospacing="1" w:line="240" w:lineRule="auto"/>
        <w:jc w:val="both"/>
        <w:rPr>
          <w:rFonts w:ascii="Times New Roman" w:eastAsia="Times New Roman" w:hAnsi="Times New Roman" w:cs="Times New Roman"/>
          <w:sz w:val="24"/>
          <w:szCs w:val="24"/>
          <w:lang w:eastAsia="pt-BR"/>
        </w:rPr>
      </w:pPr>
      <w:r w:rsidRPr="0051439E">
        <w:rPr>
          <w:rFonts w:ascii="Times New Roman" w:eastAsia="Times New Roman" w:hAnsi="Times New Roman" w:cs="Times New Roman"/>
          <w:b/>
          <w:bCs/>
          <w:color w:val="000000" w:themeColor="text1"/>
          <w:sz w:val="24"/>
          <w:szCs w:val="24"/>
          <w:lang w:eastAsia="pt-BR"/>
        </w:rPr>
        <w:t xml:space="preserve">Projeto Executivo </w:t>
      </w:r>
    </w:p>
    <w:p w14:paraId="48D067DF" w14:textId="77777777" w:rsidR="006D1F90" w:rsidRPr="0051439E" w:rsidRDefault="006D1F90" w:rsidP="006D1F90">
      <w:pPr>
        <w:spacing w:beforeAutospacing="1" w:afterAutospacing="1" w:line="240" w:lineRule="auto"/>
        <w:jc w:val="both"/>
        <w:rPr>
          <w:rFonts w:ascii="Times New Roman" w:eastAsia="Times New Roman" w:hAnsi="Times New Roman" w:cs="Times New Roman"/>
          <w:color w:val="FF0000"/>
          <w:sz w:val="24"/>
          <w:szCs w:val="24"/>
        </w:rPr>
      </w:pPr>
    </w:p>
    <w:p w14:paraId="7E2DC234" w14:textId="77777777" w:rsidR="006D1F90" w:rsidRPr="0051439E" w:rsidRDefault="006D1F90" w:rsidP="006D1F90">
      <w:pPr>
        <w:spacing w:beforeAutospacing="1" w:afterAutospacing="1" w:line="240" w:lineRule="auto"/>
        <w:jc w:val="both"/>
        <w:rPr>
          <w:rFonts w:ascii="Times New Roman" w:eastAsia="Times New Roman" w:hAnsi="Times New Roman" w:cs="Times New Roman"/>
          <w:color w:val="000000" w:themeColor="text1"/>
          <w:sz w:val="24"/>
          <w:szCs w:val="24"/>
        </w:rPr>
      </w:pPr>
      <w:r w:rsidRPr="0051439E">
        <w:rPr>
          <w:rFonts w:ascii="Times New Roman" w:eastAsia="Times New Roman" w:hAnsi="Times New Roman" w:cs="Times New Roman"/>
          <w:sz w:val="24"/>
          <w:szCs w:val="24"/>
        </w:rPr>
        <w:t>O projeto executivo constitui o conjunto de elementos necessários e suficientes à execução completa da obra, com o detalhamento das soluções previstas no projeto básico, a identificação de serviços, de materiais e de equipamentos a serem incorporados à obra, bem como suas especificações técnicas, de acordo com as normas técnicas pertinentes (Art. 6º, XXVI, da Lei n. 14.133/2021).</w:t>
      </w:r>
    </w:p>
    <w:p w14:paraId="3C80502F" w14:textId="77777777" w:rsidR="006D1F90" w:rsidRPr="0051439E" w:rsidRDefault="006D1F90" w:rsidP="006D1F90">
      <w:pPr>
        <w:spacing w:beforeAutospacing="1" w:afterAutospacing="1" w:line="240" w:lineRule="auto"/>
        <w:jc w:val="both"/>
        <w:rPr>
          <w:rFonts w:ascii="Times New Roman" w:eastAsia="Times New Roman" w:hAnsi="Times New Roman" w:cs="Times New Roman"/>
          <w:sz w:val="24"/>
          <w:szCs w:val="24"/>
          <w:lang w:eastAsia="pt-BR"/>
        </w:rPr>
      </w:pPr>
    </w:p>
    <w:p w14:paraId="2190E854" w14:textId="77777777" w:rsidR="006D1F90" w:rsidRPr="0051439E" w:rsidRDefault="006D1F90" w:rsidP="006D1F90">
      <w:pPr>
        <w:spacing w:beforeAutospacing="1" w:afterAutospacing="1" w:line="240" w:lineRule="auto"/>
        <w:jc w:val="both"/>
        <w:rPr>
          <w:rFonts w:ascii="Times New Roman" w:eastAsia="Times New Roman" w:hAnsi="Times New Roman" w:cs="Times New Roman"/>
          <w:color w:val="000000" w:themeColor="text1"/>
          <w:sz w:val="24"/>
          <w:szCs w:val="24"/>
        </w:rPr>
      </w:pPr>
      <w:r w:rsidRPr="0051439E">
        <w:rPr>
          <w:rFonts w:ascii="Times New Roman" w:eastAsia="Times New Roman" w:hAnsi="Times New Roman" w:cs="Times New Roman"/>
          <w:color w:val="000000" w:themeColor="text1"/>
          <w:sz w:val="24"/>
          <w:szCs w:val="24"/>
        </w:rPr>
        <w:t xml:space="preserve">É vedada a realização de obras e serviços de engenharia sem projeto executivo, ressalvada a hipótese prevista no </w:t>
      </w:r>
      <w:hyperlink r:id="rId36" w:anchor="art18%C2%A73">
        <w:r w:rsidRPr="0051439E">
          <w:rPr>
            <w:rStyle w:val="Hyperlink"/>
            <w:rFonts w:ascii="Times New Roman" w:eastAsia="Times New Roman" w:hAnsi="Times New Roman" w:cs="Times New Roman"/>
            <w:sz w:val="24"/>
            <w:szCs w:val="24"/>
          </w:rPr>
          <w:t>§ 3º do art. 18 da Lei</w:t>
        </w:r>
      </w:hyperlink>
      <w:r w:rsidRPr="0051439E">
        <w:rPr>
          <w:rFonts w:ascii="Times New Roman" w:eastAsia="Times New Roman" w:hAnsi="Times New Roman" w:cs="Times New Roman"/>
          <w:color w:val="000000" w:themeColor="text1"/>
          <w:sz w:val="24"/>
          <w:szCs w:val="24"/>
        </w:rPr>
        <w:t xml:space="preserve"> n. 14.133, de 2021 </w:t>
      </w:r>
      <w:r w:rsidRPr="0051439E">
        <w:rPr>
          <w:rFonts w:ascii="Times New Roman" w:eastAsia="Times New Roman" w:hAnsi="Times New Roman" w:cs="Times New Roman"/>
          <w:sz w:val="24"/>
          <w:szCs w:val="24"/>
        </w:rPr>
        <w:t xml:space="preserve">(art. 46, </w:t>
      </w:r>
      <w:r w:rsidRPr="0051439E">
        <w:rPr>
          <w:rFonts w:ascii="Times New Roman" w:eastAsia="Times New Roman" w:hAnsi="Times New Roman" w:cs="Times New Roman"/>
          <w:color w:val="000000" w:themeColor="text1"/>
          <w:sz w:val="24"/>
          <w:szCs w:val="24"/>
        </w:rPr>
        <w:t>§ 1º</w:t>
      </w:r>
      <w:r w:rsidRPr="0051439E">
        <w:rPr>
          <w:rFonts w:ascii="Times New Roman" w:eastAsia="Times New Roman" w:hAnsi="Times New Roman" w:cs="Times New Roman"/>
          <w:sz w:val="24"/>
          <w:szCs w:val="24"/>
        </w:rPr>
        <w:t>, da Lei n. 14.133/2021).</w:t>
      </w:r>
    </w:p>
    <w:p w14:paraId="4F2D9C68" w14:textId="77777777" w:rsidR="006D1F90" w:rsidRPr="0051439E" w:rsidRDefault="006D1F90" w:rsidP="006D1F90">
      <w:pPr>
        <w:spacing w:beforeAutospacing="1" w:afterAutospacing="1" w:line="240" w:lineRule="auto"/>
        <w:jc w:val="both"/>
        <w:rPr>
          <w:rFonts w:ascii="Times New Roman" w:eastAsia="Times New Roman" w:hAnsi="Times New Roman" w:cs="Times New Roman"/>
          <w:sz w:val="24"/>
          <w:szCs w:val="24"/>
          <w:lang w:eastAsia="pt-BR"/>
        </w:rPr>
      </w:pPr>
    </w:p>
    <w:p w14:paraId="23D61CF9" w14:textId="77777777" w:rsidR="006D1F90" w:rsidRPr="0051439E" w:rsidRDefault="006D1F90" w:rsidP="006D1F90">
      <w:pPr>
        <w:spacing w:beforeAutospacing="1" w:afterAutospacing="1" w:line="240" w:lineRule="auto"/>
        <w:jc w:val="both"/>
        <w:rPr>
          <w:rFonts w:ascii="Times New Roman" w:eastAsia="Times New Roman" w:hAnsi="Times New Roman" w:cs="Times New Roman"/>
          <w:color w:val="000000" w:themeColor="text1"/>
          <w:sz w:val="24"/>
          <w:szCs w:val="24"/>
        </w:rPr>
      </w:pPr>
      <w:r w:rsidRPr="0051439E">
        <w:rPr>
          <w:rFonts w:ascii="Times New Roman" w:eastAsia="Times New Roman" w:hAnsi="Times New Roman" w:cs="Times New Roman"/>
          <w:color w:val="000000" w:themeColor="text1"/>
          <w:sz w:val="24"/>
          <w:szCs w:val="24"/>
        </w:rPr>
        <w:t>Por outro dado, é possível que haja a previsão de que a elaboração de projeto executivo constitua encargo do contratado, consoante preço previamente fixado pela administração pública (art. 14, § 4, da NLLC).</w:t>
      </w:r>
    </w:p>
    <w:p w14:paraId="6822321B" w14:textId="77777777" w:rsidR="006D1F90" w:rsidRPr="0051439E" w:rsidRDefault="006D1F90" w:rsidP="006D1F90">
      <w:pPr>
        <w:spacing w:beforeAutospacing="1" w:afterAutospacing="1" w:line="240" w:lineRule="auto"/>
        <w:jc w:val="both"/>
        <w:rPr>
          <w:rFonts w:ascii="Times New Roman" w:eastAsia="Times New Roman" w:hAnsi="Times New Roman" w:cs="Times New Roman"/>
          <w:sz w:val="24"/>
          <w:szCs w:val="24"/>
          <w:lang w:eastAsia="pt-BR"/>
        </w:rPr>
      </w:pPr>
    </w:p>
    <w:p w14:paraId="02E911C0" w14:textId="77777777" w:rsidR="006D1F90" w:rsidRPr="0051439E" w:rsidRDefault="006D1F90" w:rsidP="006D1F90">
      <w:pPr>
        <w:spacing w:beforeAutospacing="1" w:afterAutospacing="1" w:line="240" w:lineRule="auto"/>
        <w:jc w:val="both"/>
        <w:rPr>
          <w:rFonts w:ascii="Times New Roman" w:eastAsia="Times New Roman" w:hAnsi="Times New Roman" w:cs="Times New Roman"/>
          <w:sz w:val="24"/>
          <w:szCs w:val="24"/>
          <w:highlight w:val="cyan"/>
          <w:lang w:eastAsia="pt-BR"/>
        </w:rPr>
      </w:pPr>
      <w:r w:rsidRPr="0051439E">
        <w:rPr>
          <w:rFonts w:ascii="Times New Roman" w:eastAsia="Times New Roman" w:hAnsi="Times New Roman" w:cs="Times New Roman"/>
          <w:color w:val="000000" w:themeColor="text1"/>
          <w:sz w:val="24"/>
          <w:szCs w:val="24"/>
          <w:highlight w:val="cyan"/>
          <w:lang w:eastAsia="pt-BR"/>
        </w:rPr>
        <w:t>No caso, consta nos autos projeto executivo elaborado pelo setor técnico competente (</w:t>
      </w:r>
      <w:r w:rsidRPr="0051439E">
        <w:rPr>
          <w:rFonts w:ascii="Times New Roman" w:eastAsia="Times New Roman" w:hAnsi="Times New Roman" w:cs="Times New Roman"/>
          <w:color w:val="FF0000"/>
          <w:sz w:val="24"/>
          <w:szCs w:val="24"/>
          <w:highlight w:val="cyan"/>
          <w:lang w:eastAsia="pt-BR"/>
        </w:rPr>
        <w:t>fls. XXX/doc. SEI n. XXX)</w:t>
      </w:r>
      <w:r w:rsidRPr="0051439E">
        <w:rPr>
          <w:rFonts w:ascii="Times New Roman" w:eastAsia="Times New Roman" w:hAnsi="Times New Roman" w:cs="Times New Roman"/>
          <w:color w:val="000000" w:themeColor="text1"/>
          <w:sz w:val="24"/>
          <w:szCs w:val="24"/>
          <w:highlight w:val="cyan"/>
          <w:lang w:eastAsia="pt-BR"/>
        </w:rPr>
        <w:t>.</w:t>
      </w:r>
      <w:r w:rsidRPr="0051439E">
        <w:rPr>
          <w:rFonts w:ascii="Times New Roman" w:eastAsia="Times New Roman" w:hAnsi="Times New Roman" w:cs="Times New Roman"/>
          <w:sz w:val="24"/>
          <w:szCs w:val="24"/>
          <w:highlight w:val="cyan"/>
          <w:lang w:eastAsia="pt-BR"/>
        </w:rPr>
        <w:t> </w:t>
      </w:r>
    </w:p>
    <w:p w14:paraId="425AA15B" w14:textId="77777777" w:rsidR="006D1F90" w:rsidRPr="0051439E" w:rsidRDefault="006D1F90" w:rsidP="006D1F90">
      <w:pPr>
        <w:spacing w:beforeAutospacing="1" w:afterAutospacing="1" w:line="240" w:lineRule="auto"/>
        <w:jc w:val="both"/>
        <w:rPr>
          <w:rFonts w:ascii="Times New Roman" w:eastAsia="Times New Roman" w:hAnsi="Times New Roman" w:cs="Times New Roman"/>
          <w:sz w:val="24"/>
          <w:szCs w:val="24"/>
          <w:highlight w:val="cyan"/>
          <w:lang w:eastAsia="pt-BR"/>
        </w:rPr>
      </w:pPr>
      <w:r w:rsidRPr="0051439E">
        <w:rPr>
          <w:rFonts w:ascii="Times New Roman" w:eastAsia="Times New Roman" w:hAnsi="Times New Roman" w:cs="Times New Roman"/>
          <w:b/>
          <w:bCs/>
          <w:color w:val="000000" w:themeColor="text1"/>
          <w:sz w:val="24"/>
          <w:szCs w:val="24"/>
          <w:highlight w:val="cyan"/>
          <w:u w:val="single"/>
          <w:lang w:eastAsia="pt-BR"/>
        </w:rPr>
        <w:t>OU</w:t>
      </w:r>
      <w:r w:rsidRPr="0051439E">
        <w:rPr>
          <w:rFonts w:ascii="Times New Roman" w:eastAsia="Times New Roman" w:hAnsi="Times New Roman" w:cs="Times New Roman"/>
          <w:sz w:val="24"/>
          <w:szCs w:val="24"/>
          <w:highlight w:val="cyan"/>
          <w:lang w:eastAsia="pt-BR"/>
        </w:rPr>
        <w:t> </w:t>
      </w:r>
    </w:p>
    <w:p w14:paraId="29ECF927" w14:textId="77777777" w:rsidR="006D1F90" w:rsidRPr="0051439E" w:rsidRDefault="006D1F90" w:rsidP="006D1F90">
      <w:pPr>
        <w:spacing w:beforeAutospacing="1" w:afterAutospacing="1" w:line="240" w:lineRule="auto"/>
        <w:jc w:val="both"/>
        <w:rPr>
          <w:rFonts w:ascii="Times New Roman" w:eastAsia="Times New Roman" w:hAnsi="Times New Roman" w:cs="Times New Roman"/>
          <w:sz w:val="24"/>
          <w:szCs w:val="24"/>
          <w:highlight w:val="cyan"/>
          <w:lang w:eastAsia="pt-BR"/>
        </w:rPr>
      </w:pPr>
      <w:r w:rsidRPr="0051439E">
        <w:rPr>
          <w:rFonts w:ascii="Times New Roman" w:eastAsia="Times New Roman" w:hAnsi="Times New Roman" w:cs="Times New Roman"/>
          <w:color w:val="000000" w:themeColor="text1"/>
          <w:sz w:val="24"/>
          <w:szCs w:val="24"/>
          <w:highlight w:val="cyan"/>
          <w:lang w:eastAsia="pt-BR"/>
        </w:rPr>
        <w:t xml:space="preserve">No caso, não restou localizado nos autos projeto executivo elaborado pelo setor técnico competente e não foi justificada eventual dispensa do referido instrumento, </w:t>
      </w:r>
      <w:r w:rsidRPr="0051439E">
        <w:rPr>
          <w:rFonts w:ascii="Times New Roman" w:eastAsia="Times New Roman" w:hAnsi="Times New Roman" w:cs="Times New Roman"/>
          <w:color w:val="000000" w:themeColor="text1"/>
          <w:sz w:val="24"/>
          <w:szCs w:val="24"/>
          <w:lang w:eastAsia="pt-BR"/>
        </w:rPr>
        <w:t xml:space="preserve">ou </w:t>
      </w:r>
      <w:r w:rsidRPr="0051439E">
        <w:rPr>
          <w:rFonts w:ascii="Times New Roman" w:eastAsia="Times New Roman" w:hAnsi="Times New Roman" w:cs="Times New Roman"/>
          <w:sz w:val="24"/>
          <w:szCs w:val="24"/>
        </w:rPr>
        <w:t>autorizado que seja elaborado pelo próprio contratado, concomitantemente com a execução da obra ou serviço</w:t>
      </w:r>
      <w:r w:rsidRPr="0051439E">
        <w:rPr>
          <w:rFonts w:ascii="Times New Roman" w:eastAsia="Times New Roman" w:hAnsi="Times New Roman" w:cs="Times New Roman"/>
          <w:color w:val="000000" w:themeColor="text1"/>
          <w:sz w:val="24"/>
          <w:szCs w:val="24"/>
          <w:lang w:eastAsia="pt-BR"/>
        </w:rPr>
        <w:t xml:space="preserve"> </w:t>
      </w:r>
      <w:r w:rsidRPr="0051439E">
        <w:rPr>
          <w:rFonts w:ascii="Times New Roman" w:eastAsia="Times New Roman" w:hAnsi="Times New Roman" w:cs="Times New Roman"/>
          <w:sz w:val="24"/>
          <w:szCs w:val="24"/>
        </w:rPr>
        <w:t xml:space="preserve">(art. 14, §4º </w:t>
      </w:r>
      <w:r w:rsidRPr="0051439E">
        <w:rPr>
          <w:rFonts w:ascii="Times New Roman" w:eastAsia="Times New Roman" w:hAnsi="Times New Roman" w:cs="Times New Roman"/>
          <w:sz w:val="24"/>
          <w:szCs w:val="24"/>
          <w:highlight w:val="cyan"/>
        </w:rPr>
        <w:t>e art. 46, § 1º, da Lei n. 14.133, de 2021</w:t>
      </w:r>
      <w:r w:rsidRPr="0051439E">
        <w:rPr>
          <w:rFonts w:ascii="Times New Roman" w:eastAsia="Times New Roman" w:hAnsi="Times New Roman" w:cs="Times New Roman"/>
          <w:sz w:val="24"/>
          <w:szCs w:val="24"/>
          <w:highlight w:val="cyan"/>
          <w:lang w:eastAsia="pt-BR"/>
        </w:rPr>
        <w:t>,</w:t>
      </w:r>
      <w:r w:rsidRPr="0051439E">
        <w:rPr>
          <w:rFonts w:ascii="Times New Roman" w:eastAsia="Times New Roman" w:hAnsi="Times New Roman" w:cs="Times New Roman"/>
          <w:b/>
          <w:bCs/>
          <w:color w:val="000000" w:themeColor="text1"/>
          <w:sz w:val="24"/>
          <w:szCs w:val="24"/>
          <w:highlight w:val="cyan"/>
          <w:lang w:eastAsia="pt-BR"/>
        </w:rPr>
        <w:t xml:space="preserve"> </w:t>
      </w:r>
      <w:r w:rsidRPr="0051439E">
        <w:rPr>
          <w:rFonts w:ascii="Times New Roman" w:eastAsia="Times New Roman" w:hAnsi="Times New Roman" w:cs="Times New Roman"/>
          <w:b/>
          <w:bCs/>
          <w:color w:val="000000" w:themeColor="text1"/>
          <w:sz w:val="24"/>
          <w:szCs w:val="24"/>
          <w:highlight w:val="cyan"/>
          <w:u w:val="single"/>
          <w:lang w:eastAsia="pt-BR"/>
        </w:rPr>
        <w:t>o que demanda o saneamento da instrução processual</w:t>
      </w:r>
      <w:r w:rsidRPr="0051439E">
        <w:rPr>
          <w:rFonts w:ascii="Times New Roman" w:eastAsia="Times New Roman" w:hAnsi="Times New Roman" w:cs="Times New Roman"/>
          <w:color w:val="000000" w:themeColor="text1"/>
          <w:sz w:val="24"/>
          <w:szCs w:val="24"/>
          <w:highlight w:val="cyan"/>
          <w:lang w:eastAsia="pt-BR"/>
        </w:rPr>
        <w:t xml:space="preserve"> (</w:t>
      </w:r>
      <w:r w:rsidRPr="0051439E">
        <w:rPr>
          <w:rFonts w:ascii="Times New Roman" w:eastAsia="Times New Roman" w:hAnsi="Times New Roman" w:cs="Times New Roman"/>
          <w:color w:val="FF0000"/>
          <w:sz w:val="24"/>
          <w:szCs w:val="24"/>
          <w:highlight w:val="cyan"/>
          <w:lang w:eastAsia="pt-BR"/>
        </w:rPr>
        <w:t>fls. XXX/doc. SEI n. XXX)</w:t>
      </w:r>
      <w:r w:rsidRPr="0051439E">
        <w:rPr>
          <w:rFonts w:ascii="Times New Roman" w:eastAsia="Times New Roman" w:hAnsi="Times New Roman" w:cs="Times New Roman"/>
          <w:color w:val="000000" w:themeColor="text1"/>
          <w:sz w:val="24"/>
          <w:szCs w:val="24"/>
          <w:highlight w:val="cyan"/>
          <w:lang w:eastAsia="pt-BR"/>
        </w:rPr>
        <w:t>.</w:t>
      </w:r>
      <w:r w:rsidRPr="0051439E">
        <w:rPr>
          <w:rFonts w:ascii="Times New Roman" w:eastAsia="Times New Roman" w:hAnsi="Times New Roman" w:cs="Times New Roman"/>
          <w:sz w:val="24"/>
          <w:szCs w:val="24"/>
          <w:highlight w:val="cyan"/>
          <w:lang w:eastAsia="pt-BR"/>
        </w:rPr>
        <w:t> </w:t>
      </w:r>
    </w:p>
    <w:p w14:paraId="031F1687" w14:textId="77777777" w:rsidR="006D1F90" w:rsidRPr="0051439E" w:rsidRDefault="006D1F90" w:rsidP="006D1F90">
      <w:pPr>
        <w:spacing w:beforeAutospacing="1" w:afterAutospacing="1" w:line="240" w:lineRule="auto"/>
        <w:jc w:val="both"/>
        <w:rPr>
          <w:rFonts w:ascii="Times New Roman" w:eastAsia="Times New Roman" w:hAnsi="Times New Roman" w:cs="Times New Roman"/>
          <w:sz w:val="24"/>
          <w:szCs w:val="24"/>
          <w:highlight w:val="cyan"/>
          <w:lang w:eastAsia="pt-BR"/>
        </w:rPr>
      </w:pPr>
    </w:p>
    <w:p w14:paraId="5AAFE5D9" w14:textId="77777777" w:rsidR="006D1F90" w:rsidRPr="0051439E" w:rsidRDefault="006D1F90" w:rsidP="006D1F90">
      <w:pPr>
        <w:spacing w:after="360"/>
        <w:jc w:val="both"/>
        <w:rPr>
          <w:rFonts w:ascii="Times New Roman" w:eastAsia="Times New Roman" w:hAnsi="Times New Roman" w:cs="Times New Roman"/>
          <w:color w:val="FF0000"/>
          <w:sz w:val="24"/>
          <w:szCs w:val="24"/>
          <w:highlight w:val="cyan"/>
        </w:rPr>
      </w:pPr>
      <w:r w:rsidRPr="0051439E">
        <w:rPr>
          <w:rFonts w:ascii="Times New Roman" w:eastAsia="Times New Roman" w:hAnsi="Times New Roman" w:cs="Times New Roman"/>
          <w:color w:val="FF0000"/>
          <w:sz w:val="24"/>
          <w:szCs w:val="24"/>
          <w:highlight w:val="cyan"/>
        </w:rPr>
        <w:t>Ressalta-se que, caso a responsabilidade pela elaboração do projeto executivo seja transferida ao contratado, deve constar como obrigação específica no Termo de Referência ou Projeto Básico e os custos inerentes devem estar contemplados na planilha orçamentária, no cronograma físico-financeiro e na proposta.</w:t>
      </w:r>
    </w:p>
    <w:p w14:paraId="2911A781" w14:textId="77777777" w:rsidR="006D1F90" w:rsidRPr="0051439E" w:rsidRDefault="006D1F90" w:rsidP="006D1F90">
      <w:pPr>
        <w:spacing w:beforeAutospacing="1" w:afterAutospacing="1" w:line="240" w:lineRule="auto"/>
        <w:jc w:val="both"/>
        <w:rPr>
          <w:rFonts w:ascii="Times New Roman" w:eastAsia="Times New Roman" w:hAnsi="Times New Roman" w:cs="Times New Roman"/>
          <w:b/>
          <w:bCs/>
          <w:color w:val="000000" w:themeColor="text1"/>
          <w:sz w:val="24"/>
          <w:szCs w:val="24"/>
          <w:highlight w:val="green"/>
          <w:lang w:eastAsia="pt-BR"/>
        </w:rPr>
      </w:pPr>
    </w:p>
    <w:p w14:paraId="2553B909" w14:textId="77777777" w:rsidR="006D1F90" w:rsidRPr="0051439E" w:rsidRDefault="006D1F90" w:rsidP="006D1F90">
      <w:pPr>
        <w:spacing w:beforeAutospacing="1" w:afterAutospacing="1" w:line="240" w:lineRule="auto"/>
        <w:jc w:val="both"/>
        <w:rPr>
          <w:rFonts w:ascii="Times New Roman" w:eastAsia="Times New Roman" w:hAnsi="Times New Roman" w:cs="Times New Roman"/>
          <w:b/>
          <w:bCs/>
          <w:color w:val="000000" w:themeColor="text1"/>
          <w:sz w:val="24"/>
          <w:szCs w:val="24"/>
          <w:lang w:eastAsia="pt-BR"/>
        </w:rPr>
      </w:pPr>
      <w:r w:rsidRPr="0051439E">
        <w:rPr>
          <w:rFonts w:ascii="Times New Roman" w:eastAsia="Times New Roman" w:hAnsi="Times New Roman" w:cs="Times New Roman"/>
          <w:b/>
          <w:bCs/>
          <w:color w:val="000000" w:themeColor="text1"/>
          <w:sz w:val="24"/>
          <w:szCs w:val="24"/>
          <w:lang w:eastAsia="pt-BR"/>
        </w:rPr>
        <w:t>Cronograma físico-financeiro</w:t>
      </w:r>
    </w:p>
    <w:p w14:paraId="17EE5874" w14:textId="77777777" w:rsidR="006D1F90" w:rsidRPr="0051439E" w:rsidRDefault="006D1F90" w:rsidP="006D1F90">
      <w:pPr>
        <w:spacing w:beforeAutospacing="1" w:afterAutospacing="1" w:line="240" w:lineRule="auto"/>
        <w:jc w:val="both"/>
        <w:rPr>
          <w:rFonts w:ascii="Times New Roman" w:eastAsia="Times New Roman" w:hAnsi="Times New Roman" w:cs="Times New Roman"/>
          <w:b/>
          <w:bCs/>
          <w:color w:val="000000" w:themeColor="text1"/>
          <w:sz w:val="24"/>
          <w:szCs w:val="24"/>
          <w:lang w:eastAsia="pt-BR"/>
        </w:rPr>
      </w:pPr>
    </w:p>
    <w:p w14:paraId="2DC406E0" w14:textId="77777777" w:rsidR="006D1F90" w:rsidRPr="0051439E" w:rsidRDefault="006D1F90" w:rsidP="006D1F90">
      <w:pPr>
        <w:spacing w:beforeAutospacing="1" w:afterAutospacing="1" w:line="240" w:lineRule="auto"/>
        <w:jc w:val="both"/>
        <w:rPr>
          <w:rFonts w:ascii="Times New Roman" w:eastAsia="Times" w:hAnsi="Times New Roman" w:cs="Times New Roman"/>
          <w:sz w:val="24"/>
          <w:szCs w:val="24"/>
        </w:rPr>
      </w:pPr>
      <w:r w:rsidRPr="0051439E">
        <w:rPr>
          <w:rFonts w:ascii="Times New Roman" w:eastAsia="Times New Roman" w:hAnsi="Times New Roman" w:cs="Times New Roman"/>
          <w:color w:val="000000" w:themeColor="text1"/>
          <w:sz w:val="24"/>
          <w:szCs w:val="24"/>
        </w:rPr>
        <w:t>A duração dos contratos será a prevista em edital (art. 105, da Lei n. 14.133, de 2021). Por sua vez, são necessárias em todo contrato cláusulas que estabeleçam os prazos de início das etapas de execução, conclusão, entrega, observação e recebimento definitivo, quando for o caso (art. 92, inc. VII, da Lei n. 14.133/2021).</w:t>
      </w:r>
      <w:r w:rsidRPr="0051439E">
        <w:rPr>
          <w:rFonts w:ascii="Times New Roman" w:eastAsia="Arial" w:hAnsi="Times New Roman" w:cs="Times New Roman"/>
          <w:color w:val="000000" w:themeColor="text1"/>
          <w:sz w:val="19"/>
          <w:szCs w:val="19"/>
        </w:rPr>
        <w:t xml:space="preserve"> </w:t>
      </w:r>
    </w:p>
    <w:p w14:paraId="544883B5" w14:textId="77777777" w:rsidR="006D1F90" w:rsidRPr="0051439E" w:rsidRDefault="006D1F90" w:rsidP="006D1F90">
      <w:pPr>
        <w:spacing w:beforeAutospacing="1" w:afterAutospacing="1" w:line="240" w:lineRule="auto"/>
        <w:jc w:val="both"/>
        <w:rPr>
          <w:rFonts w:ascii="Times New Roman" w:eastAsia="Times" w:hAnsi="Times New Roman" w:cs="Times New Roman"/>
          <w:color w:val="000000" w:themeColor="text1"/>
          <w:sz w:val="24"/>
          <w:szCs w:val="24"/>
        </w:rPr>
      </w:pPr>
    </w:p>
    <w:p w14:paraId="7CF1A9C4" w14:textId="77777777" w:rsidR="006D1F90" w:rsidRPr="0051439E" w:rsidRDefault="006D1F90" w:rsidP="006D1F90">
      <w:pPr>
        <w:spacing w:beforeAutospacing="1" w:afterAutospacing="1" w:line="240" w:lineRule="auto"/>
        <w:jc w:val="both"/>
        <w:rPr>
          <w:rFonts w:ascii="Times New Roman" w:eastAsia="Times" w:hAnsi="Times New Roman" w:cs="Times New Roman"/>
          <w:color w:val="000000" w:themeColor="text1"/>
          <w:sz w:val="24"/>
          <w:szCs w:val="24"/>
          <w:lang w:eastAsia="pt-BR"/>
        </w:rPr>
      </w:pPr>
      <w:r w:rsidRPr="0051439E">
        <w:rPr>
          <w:rFonts w:ascii="Times New Roman" w:eastAsia="Times" w:hAnsi="Times New Roman" w:cs="Times New Roman"/>
          <w:color w:val="000000" w:themeColor="text1"/>
          <w:sz w:val="24"/>
          <w:szCs w:val="24"/>
        </w:rPr>
        <w:t xml:space="preserve">Nessa senda, a minuta de contrato deverá conter cronograma físico-financeiro com a especificação física completa das etapas necessárias à medição, ao monitoramento e ao controle das obras (art. 12, do Decreto n. 7.983/2013 e </w:t>
      </w:r>
      <w:r w:rsidRPr="0051439E">
        <w:rPr>
          <w:rFonts w:ascii="Times New Roman" w:eastAsia="Times" w:hAnsi="Times New Roman" w:cs="Times New Roman"/>
          <w:color w:val="000000" w:themeColor="text1"/>
          <w:sz w:val="24"/>
          <w:szCs w:val="24"/>
          <w:lang w:eastAsia="pt-BR"/>
        </w:rPr>
        <w:t>IN SEGES n. 91/2022).</w:t>
      </w:r>
    </w:p>
    <w:p w14:paraId="5E0ABD70" w14:textId="77777777" w:rsidR="006D1F90" w:rsidRPr="0051439E" w:rsidRDefault="006D1F90" w:rsidP="006D1F90">
      <w:pPr>
        <w:spacing w:beforeAutospacing="1" w:afterAutospacing="1" w:line="240" w:lineRule="auto"/>
        <w:jc w:val="both"/>
        <w:rPr>
          <w:rFonts w:ascii="Times New Roman" w:eastAsia="Times New Roman" w:hAnsi="Times New Roman" w:cs="Times New Roman"/>
          <w:b/>
          <w:bCs/>
          <w:color w:val="000000" w:themeColor="text1"/>
          <w:sz w:val="24"/>
          <w:szCs w:val="24"/>
          <w:lang w:eastAsia="pt-BR"/>
        </w:rPr>
      </w:pPr>
    </w:p>
    <w:p w14:paraId="5D1247A1" w14:textId="77777777" w:rsidR="006D1F90" w:rsidRPr="0051439E" w:rsidRDefault="006D1F90" w:rsidP="006D1F90">
      <w:pPr>
        <w:spacing w:beforeAutospacing="1" w:afterAutospacing="1" w:line="240" w:lineRule="auto"/>
        <w:jc w:val="both"/>
        <w:rPr>
          <w:rFonts w:ascii="Times New Roman" w:eastAsia="Times New Roman" w:hAnsi="Times New Roman" w:cs="Times New Roman"/>
          <w:sz w:val="24"/>
          <w:szCs w:val="24"/>
        </w:rPr>
      </w:pPr>
      <w:r w:rsidRPr="0051439E">
        <w:rPr>
          <w:rFonts w:ascii="Times New Roman" w:eastAsia="Times New Roman" w:hAnsi="Times New Roman" w:cs="Times New Roman"/>
          <w:color w:val="000000" w:themeColor="text1"/>
          <w:sz w:val="24"/>
          <w:szCs w:val="24"/>
        </w:rPr>
        <w:t>Na contratação que previr a conclusão de escopo predefinido, o prazo de vigência será automaticamente prorrogado quando seu objeto não for concluído no período firmado no contrato (art. 111, da Lei n. 14.133/2021).</w:t>
      </w:r>
    </w:p>
    <w:p w14:paraId="2152D271" w14:textId="77777777" w:rsidR="006D1F90" w:rsidRPr="0051439E" w:rsidRDefault="006D1F90" w:rsidP="006D1F90">
      <w:pPr>
        <w:spacing w:beforeAutospacing="1" w:afterAutospacing="1" w:line="240" w:lineRule="auto"/>
        <w:jc w:val="both"/>
        <w:rPr>
          <w:rFonts w:ascii="Times New Roman" w:eastAsia="Times New Roman" w:hAnsi="Times New Roman" w:cs="Times New Roman"/>
          <w:b/>
          <w:bCs/>
          <w:color w:val="000000" w:themeColor="text1"/>
          <w:sz w:val="24"/>
          <w:szCs w:val="24"/>
          <w:lang w:eastAsia="pt-BR"/>
        </w:rPr>
      </w:pPr>
    </w:p>
    <w:p w14:paraId="0160028F" w14:textId="77777777" w:rsidR="006D1F90" w:rsidRPr="0051439E" w:rsidRDefault="006D1F90" w:rsidP="006D1F90">
      <w:pPr>
        <w:spacing w:beforeAutospacing="1" w:afterAutospacing="1" w:line="240" w:lineRule="auto"/>
        <w:jc w:val="both"/>
        <w:rPr>
          <w:rFonts w:ascii="Times New Roman" w:eastAsia="Times New Roman" w:hAnsi="Times New Roman" w:cs="Times New Roman"/>
          <w:sz w:val="24"/>
          <w:szCs w:val="24"/>
          <w:highlight w:val="cyan"/>
          <w:lang w:eastAsia="pt-BR"/>
        </w:rPr>
      </w:pPr>
      <w:r w:rsidRPr="0051439E">
        <w:rPr>
          <w:rFonts w:ascii="Times New Roman" w:eastAsia="Times New Roman" w:hAnsi="Times New Roman" w:cs="Times New Roman"/>
          <w:color w:val="000000" w:themeColor="text1"/>
          <w:sz w:val="24"/>
          <w:szCs w:val="24"/>
          <w:highlight w:val="cyan"/>
          <w:lang w:eastAsia="pt-BR"/>
        </w:rPr>
        <w:t>No caso, consta nos autos cronograma físico-financeiro elaborado pelo setor técnico competente (</w:t>
      </w:r>
      <w:r w:rsidRPr="0051439E">
        <w:rPr>
          <w:rFonts w:ascii="Times New Roman" w:eastAsia="Times New Roman" w:hAnsi="Times New Roman" w:cs="Times New Roman"/>
          <w:color w:val="FF0000"/>
          <w:sz w:val="24"/>
          <w:szCs w:val="24"/>
          <w:highlight w:val="cyan"/>
          <w:lang w:eastAsia="pt-BR"/>
        </w:rPr>
        <w:t>fls. XXX/doc. SEI n. XXX)</w:t>
      </w:r>
      <w:r w:rsidRPr="0051439E">
        <w:rPr>
          <w:rFonts w:ascii="Times New Roman" w:eastAsia="Times New Roman" w:hAnsi="Times New Roman" w:cs="Times New Roman"/>
          <w:color w:val="000000" w:themeColor="text1"/>
          <w:sz w:val="24"/>
          <w:szCs w:val="24"/>
          <w:highlight w:val="cyan"/>
          <w:lang w:eastAsia="pt-BR"/>
        </w:rPr>
        <w:t>.</w:t>
      </w:r>
      <w:r w:rsidRPr="0051439E">
        <w:rPr>
          <w:rFonts w:ascii="Times New Roman" w:eastAsia="Times New Roman" w:hAnsi="Times New Roman" w:cs="Times New Roman"/>
          <w:sz w:val="24"/>
          <w:szCs w:val="24"/>
          <w:highlight w:val="cyan"/>
          <w:lang w:eastAsia="pt-BR"/>
        </w:rPr>
        <w:t> </w:t>
      </w:r>
    </w:p>
    <w:p w14:paraId="5B4EE2B1" w14:textId="77777777" w:rsidR="006D1F90" w:rsidRPr="0051439E" w:rsidRDefault="006D1F90" w:rsidP="006D1F90">
      <w:pPr>
        <w:spacing w:beforeAutospacing="1" w:afterAutospacing="1" w:line="240" w:lineRule="auto"/>
        <w:jc w:val="both"/>
        <w:rPr>
          <w:rFonts w:ascii="Times New Roman" w:eastAsia="Times New Roman" w:hAnsi="Times New Roman" w:cs="Times New Roman"/>
          <w:sz w:val="24"/>
          <w:szCs w:val="24"/>
          <w:highlight w:val="cyan"/>
          <w:lang w:eastAsia="pt-BR"/>
        </w:rPr>
      </w:pPr>
      <w:r w:rsidRPr="0051439E">
        <w:rPr>
          <w:rFonts w:ascii="Times New Roman" w:eastAsia="Times New Roman" w:hAnsi="Times New Roman" w:cs="Times New Roman"/>
          <w:b/>
          <w:color w:val="000000" w:themeColor="text1"/>
          <w:sz w:val="24"/>
          <w:szCs w:val="24"/>
          <w:highlight w:val="cyan"/>
          <w:u w:val="single"/>
          <w:lang w:eastAsia="pt-BR"/>
        </w:rPr>
        <w:t>OU</w:t>
      </w:r>
      <w:r w:rsidRPr="0051439E">
        <w:rPr>
          <w:rFonts w:ascii="Times New Roman" w:eastAsia="Times New Roman" w:hAnsi="Times New Roman" w:cs="Times New Roman"/>
          <w:sz w:val="24"/>
          <w:szCs w:val="24"/>
          <w:highlight w:val="cyan"/>
          <w:lang w:eastAsia="pt-BR"/>
        </w:rPr>
        <w:t> </w:t>
      </w:r>
    </w:p>
    <w:p w14:paraId="7C5B89B9" w14:textId="77777777" w:rsidR="006D1F90" w:rsidRPr="0051439E" w:rsidRDefault="006D1F90" w:rsidP="006D1F90">
      <w:pPr>
        <w:spacing w:before="100" w:beforeAutospacing="1" w:after="100" w:afterAutospacing="1" w:line="240" w:lineRule="auto"/>
        <w:jc w:val="both"/>
        <w:rPr>
          <w:rFonts w:ascii="Times New Roman" w:eastAsia="Times New Roman" w:hAnsi="Times New Roman" w:cs="Times New Roman"/>
          <w:sz w:val="24"/>
          <w:szCs w:val="24"/>
          <w:highlight w:val="cyan"/>
          <w:lang w:eastAsia="pt-BR"/>
        </w:rPr>
      </w:pPr>
      <w:r w:rsidRPr="0051439E">
        <w:rPr>
          <w:rFonts w:ascii="Times New Roman" w:eastAsia="Times New Roman" w:hAnsi="Times New Roman" w:cs="Times New Roman"/>
          <w:color w:val="000000" w:themeColor="text1"/>
          <w:sz w:val="24"/>
          <w:szCs w:val="24"/>
          <w:highlight w:val="cyan"/>
          <w:lang w:eastAsia="pt-BR"/>
        </w:rPr>
        <w:t>No caso, não restou localizado nos autos cronograma físico-financeiro elaborado pelo setor técnico competente</w:t>
      </w:r>
      <w:r w:rsidRPr="0051439E">
        <w:rPr>
          <w:rFonts w:ascii="Times New Roman" w:eastAsia="Times New Roman" w:hAnsi="Times New Roman" w:cs="Times New Roman"/>
          <w:sz w:val="24"/>
          <w:szCs w:val="24"/>
          <w:highlight w:val="cyan"/>
          <w:lang w:eastAsia="pt-BR"/>
        </w:rPr>
        <w:t>,</w:t>
      </w:r>
      <w:r w:rsidRPr="0051439E">
        <w:rPr>
          <w:rFonts w:ascii="Times New Roman" w:eastAsia="Times New Roman" w:hAnsi="Times New Roman" w:cs="Times New Roman"/>
          <w:color w:val="000000" w:themeColor="text1"/>
          <w:sz w:val="24"/>
          <w:szCs w:val="24"/>
          <w:highlight w:val="cyan"/>
          <w:lang w:eastAsia="pt-BR"/>
        </w:rPr>
        <w:t xml:space="preserve"> </w:t>
      </w:r>
      <w:r w:rsidRPr="0051439E">
        <w:rPr>
          <w:rFonts w:ascii="Times New Roman" w:eastAsia="Times New Roman" w:hAnsi="Times New Roman" w:cs="Times New Roman"/>
          <w:color w:val="000000" w:themeColor="text1"/>
          <w:sz w:val="24"/>
          <w:szCs w:val="24"/>
          <w:highlight w:val="cyan"/>
          <w:u w:val="single"/>
          <w:lang w:eastAsia="pt-BR"/>
        </w:rPr>
        <w:t>o que demanda o saneamento da instrução processual</w:t>
      </w:r>
      <w:r w:rsidRPr="0051439E">
        <w:rPr>
          <w:rFonts w:ascii="Times New Roman" w:eastAsia="Times New Roman" w:hAnsi="Times New Roman" w:cs="Times New Roman"/>
          <w:color w:val="000000" w:themeColor="text1"/>
          <w:sz w:val="24"/>
          <w:szCs w:val="24"/>
          <w:highlight w:val="cyan"/>
          <w:lang w:eastAsia="pt-BR"/>
        </w:rPr>
        <w:t xml:space="preserve"> (</w:t>
      </w:r>
      <w:r w:rsidRPr="0051439E">
        <w:rPr>
          <w:rFonts w:ascii="Times New Roman" w:eastAsia="Times New Roman" w:hAnsi="Times New Roman" w:cs="Times New Roman"/>
          <w:color w:val="FF0000"/>
          <w:sz w:val="24"/>
          <w:szCs w:val="24"/>
          <w:highlight w:val="cyan"/>
          <w:lang w:eastAsia="pt-BR"/>
        </w:rPr>
        <w:t>fls. XXX/doc. SEI n. XXX)</w:t>
      </w:r>
      <w:r w:rsidRPr="0051439E">
        <w:rPr>
          <w:rFonts w:ascii="Times New Roman" w:eastAsia="Times New Roman" w:hAnsi="Times New Roman" w:cs="Times New Roman"/>
          <w:color w:val="000000" w:themeColor="text1"/>
          <w:sz w:val="24"/>
          <w:szCs w:val="24"/>
          <w:highlight w:val="cyan"/>
          <w:lang w:eastAsia="pt-BR"/>
        </w:rPr>
        <w:t>.</w:t>
      </w:r>
      <w:r w:rsidRPr="0051439E">
        <w:rPr>
          <w:rFonts w:ascii="Times New Roman" w:eastAsia="Times New Roman" w:hAnsi="Times New Roman" w:cs="Times New Roman"/>
          <w:sz w:val="24"/>
          <w:szCs w:val="24"/>
          <w:highlight w:val="cyan"/>
          <w:lang w:eastAsia="pt-BR"/>
        </w:rPr>
        <w:t> </w:t>
      </w:r>
    </w:p>
    <w:p w14:paraId="5EBF7950"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p>
    <w:p w14:paraId="729DDCAF"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b/>
          <w:color w:val="000000" w:themeColor="text1"/>
          <w:lang w:eastAsia="pt-BR"/>
        </w:rPr>
        <w:t> Necessidade da contratação e vedações às especificações restritivas</w:t>
      </w:r>
      <w:r w:rsidRPr="0051439E">
        <w:rPr>
          <w:rFonts w:ascii="Times New Roman" w:eastAsiaTheme="minorEastAsia" w:hAnsi="Times New Roman" w:cs="Times New Roman"/>
          <w:b/>
          <w:lang w:eastAsia="pt-BR"/>
        </w:rPr>
        <w:t> </w:t>
      </w:r>
    </w:p>
    <w:p w14:paraId="2D28119F"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lang w:eastAsia="pt-BR"/>
        </w:rPr>
        <w:t>  </w:t>
      </w:r>
    </w:p>
    <w:p w14:paraId="7538D7E7"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shd w:val="clear" w:color="auto" w:fill="00FFFF"/>
          <w:lang w:eastAsia="pt-BR"/>
        </w:rPr>
        <w:t xml:space="preserve">A necessidade da contratação foi justificada, tendo sido estimados os quantitativos de serviço a partir de método amparado por documentos juntados aos autos </w:t>
      </w:r>
      <w:r w:rsidRPr="0051439E">
        <w:rPr>
          <w:rFonts w:ascii="Times New Roman" w:eastAsiaTheme="minorEastAsia" w:hAnsi="Times New Roman" w:cs="Times New Roman"/>
          <w:color w:val="FF0000"/>
          <w:shd w:val="clear" w:color="auto" w:fill="00FFFF"/>
          <w:lang w:eastAsia="pt-BR"/>
        </w:rPr>
        <w:t>(fls. XXX/doc. SEI XXX)</w:t>
      </w:r>
      <w:r w:rsidRPr="0051439E">
        <w:rPr>
          <w:rFonts w:ascii="Times New Roman" w:eastAsiaTheme="minorEastAsia" w:hAnsi="Times New Roman" w:cs="Times New Roman"/>
          <w:shd w:val="clear" w:color="auto" w:fill="00FFFF"/>
          <w:lang w:eastAsia="pt-BR"/>
        </w:rPr>
        <w:t>.</w:t>
      </w:r>
      <w:r w:rsidRPr="0051439E">
        <w:rPr>
          <w:rFonts w:ascii="Times New Roman" w:eastAsiaTheme="minorEastAsia" w:hAnsi="Times New Roman" w:cs="Times New Roman"/>
          <w:lang w:eastAsia="pt-BR"/>
        </w:rPr>
        <w:t>   </w:t>
      </w:r>
    </w:p>
    <w:p w14:paraId="20BF9C46" w14:textId="77777777" w:rsidR="006D1F90" w:rsidRPr="0051439E" w:rsidRDefault="006D1F90" w:rsidP="006D1F90">
      <w:pPr>
        <w:spacing w:beforeAutospacing="1" w:afterAutospacing="1" w:line="240" w:lineRule="auto"/>
        <w:jc w:val="both"/>
        <w:rPr>
          <w:rFonts w:ascii="Times New Roman" w:eastAsiaTheme="minorEastAsia" w:hAnsi="Times New Roman" w:cs="Times New Roman"/>
          <w:color w:val="000000" w:themeColor="text1"/>
          <w:lang w:eastAsia="pt-BR"/>
        </w:rPr>
      </w:pPr>
    </w:p>
    <w:p w14:paraId="71DAFDDF"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shd w:val="clear" w:color="auto" w:fill="00FFFF"/>
          <w:lang w:eastAsia="pt-BR"/>
        </w:rPr>
        <w:t>Como se sabe, a justificativa da necessidade da contratação constitui questão de ordem técnica e administrativa, razão pela qual, a teor do Enunciado nº 07 do Manual de Boas Práticas Consultivas da Advocacia Geral da União, não deve esta Procuradoria se pronunciar conclusivamente acerca do mérito (oportunidade e conveniência) da motivação apresentada e das opções feitas pelo administrador, exceto na hipótese de afronta a preceitos legais, o que não nos parece ser o caso.</w:t>
      </w:r>
      <w:r w:rsidRPr="0051439E">
        <w:rPr>
          <w:rFonts w:ascii="Times New Roman" w:eastAsiaTheme="minorEastAsia" w:hAnsi="Times New Roman" w:cs="Times New Roman"/>
          <w:lang w:eastAsia="pt-BR"/>
        </w:rPr>
        <w:t> </w:t>
      </w:r>
    </w:p>
    <w:p w14:paraId="794A490C"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b/>
          <w:color w:val="000000"/>
          <w:u w:val="single"/>
          <w:shd w:val="clear" w:color="auto" w:fill="00FFFF"/>
          <w:lang w:eastAsia="pt-BR"/>
        </w:rPr>
        <w:t>OU</w:t>
      </w:r>
    </w:p>
    <w:p w14:paraId="31E14713"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shd w:val="clear" w:color="auto" w:fill="00FFFF"/>
          <w:lang w:eastAsia="pt-BR"/>
        </w:rPr>
        <w:t>No caso, não consta a justificativa da contratação nos autos, sendo indispensável que a Administração a providencie em conformidade com as diretrizes da IN SEGES nº 58, de 2022. Recomenda-se, ainda, que o esclarecimento técnico contenha menção expressa aos documentos do processo que foram utilizados para o cálculo da estimativa dos quantitativos a serem licitados.</w:t>
      </w:r>
      <w:r w:rsidRPr="0051439E">
        <w:rPr>
          <w:rFonts w:ascii="Times New Roman" w:eastAsiaTheme="minorEastAsia" w:hAnsi="Times New Roman" w:cs="Times New Roman"/>
          <w:lang w:eastAsia="pt-BR"/>
        </w:rPr>
        <w:t> </w:t>
      </w:r>
    </w:p>
    <w:p w14:paraId="2A70652B"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b/>
          <w:color w:val="000000"/>
          <w:u w:val="single"/>
          <w:shd w:val="clear" w:color="auto" w:fill="00FFFF"/>
          <w:lang w:eastAsia="pt-BR"/>
        </w:rPr>
        <w:t>OU</w:t>
      </w:r>
    </w:p>
    <w:p w14:paraId="34E5DE1D"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shd w:val="clear" w:color="auto" w:fill="00FFFF"/>
          <w:lang w:eastAsia="pt-BR"/>
        </w:rPr>
        <w:t xml:space="preserve">No caso, </w:t>
      </w:r>
      <w:r w:rsidRPr="0051439E">
        <w:rPr>
          <w:rFonts w:ascii="Times New Roman" w:eastAsiaTheme="minorEastAsia" w:hAnsi="Times New Roman" w:cs="Times New Roman"/>
          <w:color w:val="000000"/>
          <w:u w:val="single"/>
          <w:shd w:val="clear" w:color="auto" w:fill="00FFFF"/>
          <w:lang w:eastAsia="pt-BR"/>
        </w:rPr>
        <w:t>a justificativa da necessidade da contratação</w:t>
      </w:r>
      <w:r w:rsidRPr="0051439E">
        <w:rPr>
          <w:rFonts w:ascii="Times New Roman" w:eastAsiaTheme="minorEastAsia" w:hAnsi="Times New Roman" w:cs="Times New Roman"/>
          <w:color w:val="000000"/>
          <w:shd w:val="clear" w:color="auto" w:fill="00FFFF"/>
          <w:lang w:eastAsia="pt-BR"/>
        </w:rPr>
        <w:t xml:space="preserve"> lançada no processo </w:t>
      </w:r>
      <w:r w:rsidRPr="0051439E">
        <w:rPr>
          <w:rFonts w:ascii="Times New Roman" w:eastAsiaTheme="minorEastAsia" w:hAnsi="Times New Roman" w:cs="Times New Roman"/>
          <w:color w:val="000000"/>
          <w:u w:val="single"/>
          <w:shd w:val="clear" w:color="auto" w:fill="00FFFF"/>
          <w:lang w:eastAsia="pt-BR"/>
        </w:rPr>
        <w:t>merece ser aperfeiçoada</w:t>
      </w:r>
      <w:r w:rsidRPr="0051439E">
        <w:rPr>
          <w:rFonts w:ascii="Times New Roman" w:eastAsiaTheme="minorEastAsia" w:hAnsi="Times New Roman" w:cs="Times New Roman"/>
          <w:color w:val="000000"/>
          <w:shd w:val="clear" w:color="auto" w:fill="00FFFF"/>
          <w:lang w:eastAsia="pt-BR"/>
        </w:rPr>
        <w:t>, sendo certo que a Administração deverá juntar manifestação técnica que esclareça a metodologia utilizada para estimativa dos quantitativos a serem licitados, com a respectiva memória de cálculo e documentos (ex.: histórico de outras contratações, relatórios, dados sobre a demanda interna, gráficos, séries históricas), pois as informações trazidas aos autos estão pouco detalhadas. Recomenda-se, ainda, que o esclarecimento técnico contenha menção expressa aos documentos do processo que foram utilizados para o cálculo da estimativa de quantidades.</w:t>
      </w:r>
      <w:r w:rsidRPr="0051439E">
        <w:rPr>
          <w:rFonts w:ascii="Times New Roman" w:eastAsiaTheme="minorEastAsia" w:hAnsi="Times New Roman" w:cs="Times New Roman"/>
          <w:lang w:eastAsia="pt-BR"/>
        </w:rPr>
        <w:t>   </w:t>
      </w:r>
    </w:p>
    <w:p w14:paraId="7186E0EA" w14:textId="77777777" w:rsidR="006D1F90" w:rsidRPr="0051439E" w:rsidRDefault="006D1F90" w:rsidP="006D1F90">
      <w:pPr>
        <w:spacing w:beforeAutospacing="1" w:afterAutospacing="1" w:line="240" w:lineRule="auto"/>
        <w:jc w:val="both"/>
        <w:rPr>
          <w:rFonts w:ascii="Times New Roman" w:eastAsiaTheme="minorEastAsia" w:hAnsi="Times New Roman" w:cs="Times New Roman"/>
          <w:color w:val="000000" w:themeColor="text1"/>
          <w:lang w:eastAsia="pt-BR"/>
        </w:rPr>
      </w:pPr>
    </w:p>
    <w:p w14:paraId="5E6F5DCD"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themeColor="text1"/>
          <w:lang w:eastAsia="pt-BR"/>
        </w:rPr>
        <w:t>Observe-se, ainda, que são vedadas especificações do objeto que, por excessivas, irrelevantes ou desnecessárias, limitem ou frustrem a competição ou sua realização (art. 9º, da Lei nº 14.133, de 2021). Portanto, o gestor deverá tomar as devidas cautelas para assegurar que as especificações correspondam àquelas essenciais à contratação, sem as quais não poderão ser atendidas as necessidades da Administração.</w:t>
      </w:r>
      <w:r w:rsidRPr="0051439E">
        <w:rPr>
          <w:rFonts w:ascii="Times New Roman" w:eastAsiaTheme="minorEastAsia" w:hAnsi="Times New Roman" w:cs="Times New Roman"/>
          <w:lang w:eastAsia="pt-BR"/>
        </w:rPr>
        <w:t>   </w:t>
      </w:r>
    </w:p>
    <w:p w14:paraId="716E77C8" w14:textId="77777777" w:rsidR="006D1F90" w:rsidRPr="0051439E" w:rsidRDefault="006D1F90" w:rsidP="006D1F90">
      <w:pPr>
        <w:spacing w:beforeAutospacing="1" w:afterAutospacing="1" w:line="240" w:lineRule="auto"/>
        <w:jc w:val="both"/>
        <w:rPr>
          <w:rFonts w:ascii="Times New Roman" w:eastAsiaTheme="minorEastAsia" w:hAnsi="Times New Roman" w:cs="Times New Roman"/>
          <w:color w:val="000000" w:themeColor="text1"/>
          <w:lang w:eastAsia="pt-BR"/>
        </w:rPr>
      </w:pPr>
    </w:p>
    <w:p w14:paraId="35F62C97"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themeColor="text1"/>
          <w:lang w:eastAsia="pt-BR"/>
        </w:rPr>
        <w:t xml:space="preserve">Registre-se que </w:t>
      </w:r>
      <w:r w:rsidRPr="0051439E">
        <w:rPr>
          <w:rFonts w:ascii="Times New Roman" w:eastAsiaTheme="minorEastAsia" w:hAnsi="Times New Roman" w:cs="Times New Roman"/>
          <w:color w:val="000000" w:themeColor="text1"/>
          <w:u w:val="single"/>
          <w:lang w:eastAsia="pt-BR"/>
        </w:rPr>
        <w:t>o gestor deverá estar atento às diretrizes gerais</w:t>
      </w:r>
      <w:r w:rsidRPr="0051439E">
        <w:rPr>
          <w:rFonts w:ascii="Times New Roman" w:eastAsiaTheme="minorEastAsia" w:hAnsi="Times New Roman" w:cs="Times New Roman"/>
          <w:color w:val="000000" w:themeColor="text1"/>
          <w:lang w:eastAsia="pt-BR"/>
        </w:rPr>
        <w:t xml:space="preserve"> do subitem 1.1 do anexo V da IN SEGES/MP nº 05, de 2017, quais sejam:</w:t>
      </w:r>
      <w:r w:rsidRPr="0051439E">
        <w:rPr>
          <w:rFonts w:ascii="Times New Roman" w:eastAsiaTheme="minorEastAsia" w:hAnsi="Times New Roman" w:cs="Times New Roman"/>
          <w:lang w:eastAsia="pt-BR"/>
        </w:rPr>
        <w:t>   </w:t>
      </w:r>
    </w:p>
    <w:p w14:paraId="40197D4A" w14:textId="77777777" w:rsidR="006D1F90" w:rsidRPr="0051439E" w:rsidRDefault="006D1F90" w:rsidP="006D1F90">
      <w:pPr>
        <w:spacing w:after="100" w:line="240" w:lineRule="auto"/>
        <w:jc w:val="both"/>
        <w:rPr>
          <w:rFonts w:ascii="Times New Roman" w:eastAsiaTheme="minorEastAsia" w:hAnsi="Times New Roman" w:cs="Times New Roman"/>
          <w:color w:val="000000" w:themeColor="text1"/>
          <w:lang w:eastAsia="pt-BR"/>
        </w:rPr>
      </w:pPr>
    </w:p>
    <w:p w14:paraId="2CE850F5" w14:textId="77777777" w:rsidR="006D1F90" w:rsidRPr="0051439E" w:rsidRDefault="006D1F90" w:rsidP="006D1F90">
      <w:pPr>
        <w:spacing w:after="100" w:line="240" w:lineRule="auto"/>
        <w:ind w:left="1440"/>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themeColor="text1"/>
          <w:lang w:eastAsia="pt-BR"/>
        </w:rPr>
        <w:t>a) prever especificações que representem a real demanda de desempenho do órgão ou entidade, não sendo admissíveis especificações que deixem de agregar valor ao resultado da contratação ou sejam superiores às necessidades do órgão ou entidade;</w:t>
      </w:r>
      <w:r w:rsidRPr="0051439E">
        <w:rPr>
          <w:rFonts w:ascii="Times New Roman" w:eastAsiaTheme="minorEastAsia" w:hAnsi="Times New Roman" w:cs="Times New Roman"/>
          <w:lang w:eastAsia="pt-BR"/>
        </w:rPr>
        <w:t> </w:t>
      </w:r>
    </w:p>
    <w:p w14:paraId="67768F02" w14:textId="77777777" w:rsidR="006D1F90" w:rsidRPr="0051439E" w:rsidRDefault="006D1F90" w:rsidP="006D1F90">
      <w:pPr>
        <w:spacing w:after="100" w:line="240" w:lineRule="auto"/>
        <w:ind w:left="1440"/>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themeColor="text1"/>
          <w:lang w:eastAsia="pt-BR"/>
        </w:rPr>
        <w:t>b) não fixar especificações que, por excessivas, irrelevantes ou desnecessárias, limitam, injustificadamente, a competitividade ou direcionam ou favoreçam a contratação de prestador específico;</w:t>
      </w:r>
      <w:r w:rsidRPr="0051439E">
        <w:rPr>
          <w:rFonts w:ascii="Times New Roman" w:eastAsiaTheme="minorEastAsia" w:hAnsi="Times New Roman" w:cs="Times New Roman"/>
          <w:lang w:eastAsia="pt-BR"/>
        </w:rPr>
        <w:t> </w:t>
      </w:r>
    </w:p>
    <w:p w14:paraId="4A592EEB" w14:textId="77777777" w:rsidR="006D1F90" w:rsidRPr="0051439E" w:rsidRDefault="006D1F90" w:rsidP="006D1F90">
      <w:pPr>
        <w:spacing w:after="100" w:line="240" w:lineRule="auto"/>
        <w:ind w:left="1440"/>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themeColor="text1"/>
          <w:lang w:eastAsia="pt-BR"/>
        </w:rPr>
        <w:t>c) não adotar especificações que estejam defasadas tecnológica e/ou metodologicamente ou com preços superiores aos de serviços com melhor desempenho.</w:t>
      </w:r>
      <w:r w:rsidRPr="0051439E">
        <w:rPr>
          <w:rFonts w:ascii="Times New Roman" w:eastAsiaTheme="minorEastAsia" w:hAnsi="Times New Roman" w:cs="Times New Roman"/>
          <w:lang w:eastAsia="pt-BR"/>
        </w:rPr>
        <w:t> </w:t>
      </w:r>
    </w:p>
    <w:p w14:paraId="5A69DC7D"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p>
    <w:p w14:paraId="2A3C8F90"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themeColor="text1"/>
          <w:u w:val="single"/>
          <w:lang w:eastAsia="pt-BR"/>
        </w:rPr>
        <w:lastRenderedPageBreak/>
        <w:t>Recomenda-se</w:t>
      </w:r>
      <w:r w:rsidRPr="0051439E">
        <w:rPr>
          <w:rFonts w:ascii="Times New Roman" w:eastAsiaTheme="minorEastAsia" w:hAnsi="Times New Roman" w:cs="Times New Roman"/>
          <w:color w:val="000000" w:themeColor="text1"/>
          <w:lang w:eastAsia="pt-BR"/>
        </w:rPr>
        <w:t xml:space="preserve"> que a Administração se certifique de que as especificações técnicas previstas no Termo de Referência atendem às premissas acima citadas.</w:t>
      </w:r>
      <w:r w:rsidRPr="0051439E">
        <w:rPr>
          <w:rFonts w:ascii="Times New Roman" w:eastAsiaTheme="minorEastAsia" w:hAnsi="Times New Roman" w:cs="Times New Roman"/>
          <w:lang w:eastAsia="pt-BR"/>
        </w:rPr>
        <w:t> </w:t>
      </w:r>
    </w:p>
    <w:p w14:paraId="705C4D38" w14:textId="77777777" w:rsidR="006D1F90" w:rsidRPr="0051439E" w:rsidRDefault="006D1F90" w:rsidP="006D1F90">
      <w:pPr>
        <w:spacing w:beforeAutospacing="1" w:afterAutospacing="1" w:line="240" w:lineRule="auto"/>
        <w:jc w:val="both"/>
        <w:rPr>
          <w:rFonts w:ascii="Times New Roman" w:eastAsiaTheme="minorEastAsia" w:hAnsi="Times New Roman" w:cs="Times New Roman"/>
          <w:color w:val="000000" w:themeColor="text1"/>
          <w:lang w:eastAsia="pt-BR"/>
        </w:rPr>
      </w:pPr>
    </w:p>
    <w:p w14:paraId="200B493E"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themeColor="text1"/>
          <w:lang w:eastAsia="pt-BR"/>
        </w:rPr>
        <w:t>Ainda sobre esse tema, vale destacar que, caso as especificações somente possam ser atendidas por uma quantidade de fornecedores considerada restrita, deverá ser avaliada a pertinência de retirar ou flexibilizar requisitos, de modo que se possa manter apenas aqueles considerados indispensáveis (art. 9º, inciso I, §2º, da IN SEGES Nº 58, de 2022).</w:t>
      </w:r>
      <w:r w:rsidRPr="0051439E">
        <w:rPr>
          <w:rFonts w:ascii="Times New Roman" w:eastAsiaTheme="minorEastAsia" w:hAnsi="Times New Roman" w:cs="Times New Roman"/>
          <w:lang w:eastAsia="pt-BR"/>
        </w:rPr>
        <w:t> </w:t>
      </w:r>
    </w:p>
    <w:p w14:paraId="6C059893"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p>
    <w:tbl>
      <w:tblPr>
        <w:tblW w:w="9000"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000"/>
      </w:tblGrid>
      <w:tr w:rsidR="006D1F90" w:rsidRPr="0051439E" w14:paraId="0416888A" w14:textId="77777777" w:rsidTr="00F13739">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DBB436D" w14:textId="77777777" w:rsidR="006D1F90" w:rsidRPr="0051439E" w:rsidRDefault="006D1F90" w:rsidP="00F13739">
            <w:pPr>
              <w:spacing w:after="0"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b/>
                <w:color w:val="000000"/>
                <w:shd w:val="clear" w:color="auto" w:fill="FFFF99"/>
                <w:lang w:eastAsia="pt-BR"/>
              </w:rPr>
              <w:t>Nota Explicativa:</w:t>
            </w:r>
            <w:r w:rsidRPr="0051439E">
              <w:rPr>
                <w:rFonts w:ascii="Times New Roman" w:eastAsiaTheme="minorEastAsia" w:hAnsi="Times New Roman" w:cs="Times New Roman"/>
                <w:b/>
                <w:lang w:eastAsia="pt-BR"/>
              </w:rPr>
              <w:t xml:space="preserve"> </w:t>
            </w:r>
            <w:r w:rsidRPr="0051439E">
              <w:rPr>
                <w:rFonts w:ascii="Times New Roman" w:eastAsiaTheme="minorEastAsia" w:hAnsi="Times New Roman" w:cs="Times New Roman"/>
                <w:color w:val="000000"/>
                <w:shd w:val="clear" w:color="auto" w:fill="FFFF99"/>
                <w:lang w:eastAsia="pt-BR"/>
              </w:rPr>
              <w:t>Se houver indícios de que há especificação restritiva, acrescentar o tópico abaixo:</w:t>
            </w:r>
            <w:r w:rsidRPr="0051439E">
              <w:rPr>
                <w:rFonts w:ascii="Times New Roman" w:eastAsiaTheme="minorEastAsia" w:hAnsi="Times New Roman" w:cs="Times New Roman"/>
                <w:lang w:eastAsia="pt-BR"/>
              </w:rPr>
              <w:t> </w:t>
            </w:r>
          </w:p>
        </w:tc>
      </w:tr>
    </w:tbl>
    <w:p w14:paraId="6F80C4BC"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lang w:eastAsia="pt-BR"/>
        </w:rPr>
        <w:t>  </w:t>
      </w:r>
    </w:p>
    <w:p w14:paraId="3A085FC0" w14:textId="77777777" w:rsidR="006D1F90" w:rsidRPr="0051439E" w:rsidRDefault="006D1F90" w:rsidP="006D1F90">
      <w:pPr>
        <w:spacing w:beforeAutospacing="1"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FF0000"/>
          <w:lang w:eastAsia="pt-BR"/>
        </w:rPr>
        <w:t xml:space="preserve">Diante dessa exigência legal, percebe-se que, aparentemente, houve a inclusão de especificação potencialmente restritiva à competição, uma vez que foi exigido XXX. Desse modo, </w:t>
      </w:r>
      <w:r w:rsidRPr="0051439E">
        <w:rPr>
          <w:rFonts w:ascii="Times New Roman" w:eastAsiaTheme="minorEastAsia" w:hAnsi="Times New Roman" w:cs="Times New Roman"/>
          <w:color w:val="FF0000"/>
          <w:u w:val="single"/>
          <w:lang w:eastAsia="pt-BR"/>
        </w:rPr>
        <w:t xml:space="preserve">deve haver justificativa </w:t>
      </w:r>
      <w:r w:rsidRPr="0051439E">
        <w:rPr>
          <w:rFonts w:ascii="Times New Roman" w:eastAsiaTheme="minorEastAsia" w:hAnsi="Times New Roman" w:cs="Times New Roman"/>
          <w:color w:val="FF0000"/>
          <w:lang w:eastAsia="pt-BR"/>
        </w:rPr>
        <w:t>da razão pela qual se torna necessária a contratação de serviços com essas características, sob pena de inviabilizar o regular prosseguimento do certame. </w:t>
      </w:r>
      <w:r w:rsidRPr="0051439E">
        <w:rPr>
          <w:rFonts w:ascii="Times New Roman" w:eastAsiaTheme="minorEastAsia" w:hAnsi="Times New Roman" w:cs="Times New Roman"/>
          <w:lang w:eastAsia="pt-BR"/>
        </w:rPr>
        <w:t>  </w:t>
      </w:r>
    </w:p>
    <w:p w14:paraId="6E4E218A" w14:textId="77777777" w:rsidR="006D1F90" w:rsidRPr="0051439E" w:rsidRDefault="006D1F90" w:rsidP="006D1F90">
      <w:pPr>
        <w:spacing w:after="48" w:line="288" w:lineRule="atLeast"/>
        <w:ind w:firstLine="1418"/>
        <w:jc w:val="both"/>
        <w:rPr>
          <w:rFonts w:ascii="Times New Roman" w:eastAsiaTheme="minorEastAsia" w:hAnsi="Times New Roman" w:cs="Times New Roman"/>
          <w:color w:val="000000"/>
          <w:lang w:eastAsia="pt-BR"/>
        </w:rPr>
      </w:pPr>
    </w:p>
    <w:p w14:paraId="46698E56" w14:textId="77777777" w:rsidR="006D1F90" w:rsidRPr="0051439E" w:rsidRDefault="006D1F90" w:rsidP="006D1F90">
      <w:pPr>
        <w:jc w:val="both"/>
        <w:rPr>
          <w:rFonts w:ascii="Times New Roman" w:eastAsia="Times New Roman" w:hAnsi="Times New Roman" w:cs="Times New Roman"/>
          <w:b/>
          <w:bCs/>
          <w:color w:val="000000" w:themeColor="text1"/>
        </w:rPr>
      </w:pPr>
      <w:r w:rsidRPr="0051439E">
        <w:rPr>
          <w:rFonts w:ascii="Times New Roman" w:eastAsia="Times New Roman" w:hAnsi="Times New Roman" w:cs="Times New Roman"/>
          <w:b/>
          <w:bCs/>
          <w:color w:val="000000" w:themeColor="text1"/>
        </w:rPr>
        <w:t>Da viabilidade jurídica da terceirização</w:t>
      </w:r>
    </w:p>
    <w:p w14:paraId="5A8665F6" w14:textId="77777777" w:rsidR="006D1F90" w:rsidRPr="0051439E" w:rsidRDefault="006D1F90" w:rsidP="006D1F90">
      <w:pPr>
        <w:jc w:val="both"/>
        <w:rPr>
          <w:rFonts w:ascii="Times New Roman" w:eastAsia="Times New Roman" w:hAnsi="Times New Roman" w:cs="Times New Roman"/>
          <w:color w:val="000000" w:themeColor="text1"/>
        </w:rPr>
      </w:pPr>
      <w:r w:rsidRPr="0051439E">
        <w:rPr>
          <w:rFonts w:ascii="Times New Roman" w:eastAsia="Times New Roman" w:hAnsi="Times New Roman" w:cs="Times New Roman"/>
          <w:color w:val="000000" w:themeColor="text1"/>
        </w:rPr>
        <w:t xml:space="preserve"> </w:t>
      </w:r>
    </w:p>
    <w:p w14:paraId="71027DB5" w14:textId="77777777" w:rsidR="006D1F90" w:rsidRPr="0051439E" w:rsidRDefault="006D1F90" w:rsidP="006D1F90">
      <w:pPr>
        <w:jc w:val="both"/>
        <w:rPr>
          <w:rFonts w:ascii="Times New Roman" w:eastAsia="Times New Roman" w:hAnsi="Times New Roman" w:cs="Times New Roman"/>
          <w:color w:val="000000" w:themeColor="text1"/>
        </w:rPr>
      </w:pPr>
      <w:r w:rsidRPr="0051439E">
        <w:rPr>
          <w:rFonts w:ascii="Times New Roman" w:eastAsia="Times New Roman" w:hAnsi="Times New Roman" w:cs="Times New Roman"/>
          <w:color w:val="000000" w:themeColor="text1"/>
        </w:rPr>
        <w:t>O art. 48 da Lei n. 14.133, de 2021, permite a terceirização de atividades acessórias, instrumentais ou complementares, observadas as vedações a seguir:</w:t>
      </w:r>
    </w:p>
    <w:p w14:paraId="079D85D0" w14:textId="77777777" w:rsidR="006D1F90" w:rsidRPr="0051439E" w:rsidRDefault="006D1F90" w:rsidP="006D1F90">
      <w:pPr>
        <w:ind w:left="1350"/>
        <w:jc w:val="both"/>
        <w:rPr>
          <w:rFonts w:ascii="Times New Roman" w:eastAsia="Times New Roman" w:hAnsi="Times New Roman" w:cs="Times New Roman"/>
          <w:b/>
          <w:bCs/>
          <w:i/>
          <w:iCs/>
          <w:color w:val="000000" w:themeColor="text1"/>
        </w:rPr>
      </w:pPr>
      <w:r w:rsidRPr="0051439E">
        <w:rPr>
          <w:rFonts w:ascii="Times New Roman" w:eastAsia="Times New Roman" w:hAnsi="Times New Roman" w:cs="Times New Roman"/>
          <w:i/>
          <w:iCs/>
          <w:color w:val="000000" w:themeColor="text1"/>
        </w:rPr>
        <w:t xml:space="preserve">Art. 48. </w:t>
      </w:r>
      <w:r w:rsidRPr="0051439E">
        <w:rPr>
          <w:rFonts w:ascii="Times New Roman" w:eastAsia="Times New Roman" w:hAnsi="Times New Roman" w:cs="Times New Roman"/>
          <w:b/>
          <w:bCs/>
          <w:i/>
          <w:iCs/>
          <w:color w:val="000000" w:themeColor="text1"/>
          <w:u w:val="single"/>
        </w:rPr>
        <w:t>Poderão ser objeto de execução por terceiros</w:t>
      </w:r>
      <w:r w:rsidRPr="0051439E">
        <w:rPr>
          <w:rFonts w:ascii="Times New Roman" w:eastAsia="Times New Roman" w:hAnsi="Times New Roman" w:cs="Times New Roman"/>
          <w:b/>
          <w:bCs/>
          <w:i/>
          <w:iCs/>
          <w:color w:val="000000" w:themeColor="text1"/>
        </w:rPr>
        <w:t xml:space="preserve"> as atividades materiais acessórias, instrumentais ou complementares aos assuntos que constituam área de competência legal do órgão ou da entidade,</w:t>
      </w:r>
      <w:r w:rsidRPr="0051439E">
        <w:rPr>
          <w:rFonts w:ascii="Times New Roman" w:eastAsia="Times New Roman" w:hAnsi="Times New Roman" w:cs="Times New Roman"/>
          <w:i/>
          <w:iCs/>
          <w:color w:val="000000" w:themeColor="text1"/>
        </w:rPr>
        <w:t xml:space="preserve"> </w:t>
      </w:r>
      <w:r w:rsidRPr="0051439E">
        <w:rPr>
          <w:rFonts w:ascii="Times New Roman" w:eastAsia="Times New Roman" w:hAnsi="Times New Roman" w:cs="Times New Roman"/>
          <w:b/>
          <w:bCs/>
          <w:i/>
          <w:iCs/>
          <w:color w:val="000000" w:themeColor="text1"/>
          <w:u w:val="single"/>
        </w:rPr>
        <w:t>vedado</w:t>
      </w:r>
      <w:r w:rsidRPr="0051439E">
        <w:rPr>
          <w:rFonts w:ascii="Times New Roman" w:eastAsia="Times New Roman" w:hAnsi="Times New Roman" w:cs="Times New Roman"/>
          <w:b/>
          <w:bCs/>
          <w:i/>
          <w:iCs/>
          <w:color w:val="000000" w:themeColor="text1"/>
        </w:rPr>
        <w:t xml:space="preserve"> à Administração ou a seus agentes, na contratação do serviço terceirizado:</w:t>
      </w:r>
    </w:p>
    <w:p w14:paraId="4123362F" w14:textId="77777777" w:rsidR="006D1F90" w:rsidRPr="0051439E" w:rsidRDefault="006D1F90" w:rsidP="006D1F90">
      <w:pPr>
        <w:ind w:left="1350"/>
        <w:jc w:val="both"/>
        <w:rPr>
          <w:rFonts w:ascii="Times New Roman" w:eastAsia="Times New Roman" w:hAnsi="Times New Roman" w:cs="Times New Roman"/>
          <w:i/>
          <w:iCs/>
          <w:color w:val="000000" w:themeColor="text1"/>
        </w:rPr>
      </w:pPr>
      <w:r w:rsidRPr="0051439E">
        <w:rPr>
          <w:rFonts w:ascii="Times New Roman" w:eastAsia="Times New Roman" w:hAnsi="Times New Roman" w:cs="Times New Roman"/>
          <w:i/>
          <w:iCs/>
          <w:color w:val="000000" w:themeColor="text1"/>
        </w:rPr>
        <w:t>I - indicar pessoas expressamente nominadas para executar direta ou indiretamente o objeto contratado;</w:t>
      </w:r>
    </w:p>
    <w:p w14:paraId="7EE276B2" w14:textId="77777777" w:rsidR="006D1F90" w:rsidRPr="0051439E" w:rsidRDefault="006D1F90" w:rsidP="006D1F90">
      <w:pPr>
        <w:ind w:left="1350"/>
        <w:jc w:val="both"/>
        <w:rPr>
          <w:rFonts w:ascii="Times New Roman" w:eastAsia="Times New Roman" w:hAnsi="Times New Roman" w:cs="Times New Roman"/>
          <w:i/>
          <w:iCs/>
          <w:color w:val="000000" w:themeColor="text1"/>
        </w:rPr>
      </w:pPr>
      <w:r w:rsidRPr="0051439E">
        <w:rPr>
          <w:rFonts w:ascii="Times New Roman" w:eastAsia="Times New Roman" w:hAnsi="Times New Roman" w:cs="Times New Roman"/>
          <w:i/>
          <w:iCs/>
          <w:color w:val="000000" w:themeColor="text1"/>
        </w:rPr>
        <w:t>II - fixar salário inferior ao definido em lei ou em ato normativo a ser pago pelo contratado;</w:t>
      </w:r>
    </w:p>
    <w:p w14:paraId="50F091C2" w14:textId="77777777" w:rsidR="006D1F90" w:rsidRPr="0051439E" w:rsidRDefault="006D1F90" w:rsidP="006D1F90">
      <w:pPr>
        <w:ind w:left="1350"/>
        <w:jc w:val="both"/>
        <w:rPr>
          <w:rFonts w:ascii="Times New Roman" w:eastAsia="Times New Roman" w:hAnsi="Times New Roman" w:cs="Times New Roman"/>
          <w:i/>
          <w:iCs/>
          <w:color w:val="000000" w:themeColor="text1"/>
        </w:rPr>
      </w:pPr>
      <w:r w:rsidRPr="0051439E">
        <w:rPr>
          <w:rFonts w:ascii="Times New Roman" w:eastAsia="Times New Roman" w:hAnsi="Times New Roman" w:cs="Times New Roman"/>
          <w:i/>
          <w:iCs/>
          <w:color w:val="000000" w:themeColor="text1"/>
        </w:rPr>
        <w:t>III - estabelecer vínculo de subordinação com funcionário de empresa prestadora de serviço terceirizado;</w:t>
      </w:r>
    </w:p>
    <w:p w14:paraId="3814AC7F" w14:textId="77777777" w:rsidR="006D1F90" w:rsidRPr="0051439E" w:rsidRDefault="006D1F90" w:rsidP="006D1F90">
      <w:pPr>
        <w:ind w:left="1350"/>
        <w:jc w:val="both"/>
        <w:rPr>
          <w:rFonts w:ascii="Times New Roman" w:eastAsia="Times New Roman" w:hAnsi="Times New Roman" w:cs="Times New Roman"/>
          <w:i/>
          <w:iCs/>
          <w:color w:val="000000" w:themeColor="text1"/>
        </w:rPr>
      </w:pPr>
      <w:r w:rsidRPr="0051439E">
        <w:rPr>
          <w:rFonts w:ascii="Times New Roman" w:eastAsia="Times New Roman" w:hAnsi="Times New Roman" w:cs="Times New Roman"/>
          <w:i/>
          <w:iCs/>
          <w:color w:val="000000" w:themeColor="text1"/>
        </w:rPr>
        <w:t>IV - definir forma de pagamento mediante exclusivo reembolso dos salários pagos;</w:t>
      </w:r>
    </w:p>
    <w:p w14:paraId="0C2A68FE" w14:textId="77777777" w:rsidR="006D1F90" w:rsidRPr="0051439E" w:rsidRDefault="006D1F90" w:rsidP="006D1F90">
      <w:pPr>
        <w:ind w:left="1350"/>
        <w:jc w:val="both"/>
        <w:rPr>
          <w:rFonts w:ascii="Times New Roman" w:eastAsia="Times New Roman" w:hAnsi="Times New Roman" w:cs="Times New Roman"/>
          <w:i/>
          <w:iCs/>
          <w:color w:val="000000" w:themeColor="text1"/>
        </w:rPr>
      </w:pPr>
      <w:r w:rsidRPr="0051439E">
        <w:rPr>
          <w:rFonts w:ascii="Times New Roman" w:eastAsia="Times New Roman" w:hAnsi="Times New Roman" w:cs="Times New Roman"/>
          <w:i/>
          <w:iCs/>
          <w:color w:val="000000" w:themeColor="text1"/>
        </w:rPr>
        <w:t>V - demandar a funcionário de empresa prestadora de serviço terceirizado a execução de tarefas fora do escopo do objeto da contratação;</w:t>
      </w:r>
    </w:p>
    <w:p w14:paraId="520A9E7B" w14:textId="77777777" w:rsidR="006D1F90" w:rsidRPr="0051439E" w:rsidRDefault="006D1F90" w:rsidP="006D1F90">
      <w:pPr>
        <w:ind w:left="1350"/>
        <w:jc w:val="both"/>
        <w:rPr>
          <w:rFonts w:ascii="Times New Roman" w:eastAsia="Times New Roman" w:hAnsi="Times New Roman" w:cs="Times New Roman"/>
          <w:i/>
          <w:iCs/>
          <w:color w:val="000000" w:themeColor="text1"/>
        </w:rPr>
      </w:pPr>
      <w:r w:rsidRPr="0051439E">
        <w:rPr>
          <w:rFonts w:ascii="Times New Roman" w:eastAsia="Times New Roman" w:hAnsi="Times New Roman" w:cs="Times New Roman"/>
          <w:i/>
          <w:iCs/>
          <w:color w:val="000000" w:themeColor="text1"/>
        </w:rPr>
        <w:t>VI - prever em edital exigências que constituam intervenção indevida da Administração na gestão interna do contratado.</w:t>
      </w:r>
    </w:p>
    <w:p w14:paraId="7C6EB616" w14:textId="77777777" w:rsidR="006D1F90" w:rsidRPr="0051439E" w:rsidRDefault="006D1F90" w:rsidP="006D1F90">
      <w:pPr>
        <w:ind w:left="1350"/>
        <w:jc w:val="both"/>
        <w:rPr>
          <w:rFonts w:ascii="Times New Roman" w:eastAsia="Times New Roman" w:hAnsi="Times New Roman" w:cs="Times New Roman"/>
          <w:i/>
          <w:iCs/>
          <w:color w:val="000000" w:themeColor="text1"/>
        </w:rPr>
      </w:pPr>
      <w:r w:rsidRPr="0051439E">
        <w:rPr>
          <w:rFonts w:ascii="Times New Roman" w:eastAsia="Times New Roman" w:hAnsi="Times New Roman" w:cs="Times New Roman"/>
          <w:i/>
          <w:iCs/>
          <w:color w:val="000000" w:themeColor="text1"/>
        </w:rPr>
        <w:t xml:space="preserve">Parágrafo único. Durante a vigência do contrato, é vedado ao contratado contratar cônjuge, companheiro ou parente em linha reta, colateral ou por afinidade, até o terceiro grau, de dirigente do órgão ou entidade contratante ou de agente público que </w:t>
      </w:r>
      <w:r w:rsidRPr="0051439E">
        <w:rPr>
          <w:rFonts w:ascii="Times New Roman" w:eastAsia="Times New Roman" w:hAnsi="Times New Roman" w:cs="Times New Roman"/>
          <w:i/>
          <w:iCs/>
          <w:color w:val="000000" w:themeColor="text1"/>
        </w:rPr>
        <w:lastRenderedPageBreak/>
        <w:t>desempenhe função na licitação ou atue na fiscalização ou na gestão do contrato, devendo essa proibição constar expressamente do edital de licitação.</w:t>
      </w:r>
    </w:p>
    <w:p w14:paraId="3E4C6F4A" w14:textId="77777777" w:rsidR="006D1F90" w:rsidRPr="0051439E" w:rsidRDefault="006D1F90" w:rsidP="006D1F90">
      <w:pPr>
        <w:jc w:val="both"/>
        <w:rPr>
          <w:rFonts w:ascii="Times New Roman" w:eastAsia="Times New Roman" w:hAnsi="Times New Roman" w:cs="Times New Roman"/>
          <w:color w:val="000000" w:themeColor="text1"/>
        </w:rPr>
      </w:pPr>
      <w:r w:rsidRPr="0051439E">
        <w:rPr>
          <w:rFonts w:ascii="Times New Roman" w:eastAsia="Times New Roman" w:hAnsi="Times New Roman" w:cs="Times New Roman"/>
          <w:color w:val="000000" w:themeColor="text1"/>
        </w:rPr>
        <w:t xml:space="preserve">Diante disso, como condição preliminar à realização da licitação, cabe à Administração atestar nos autos, à luz dos dispositivos acima citados, </w:t>
      </w:r>
      <w:r w:rsidRPr="0051439E">
        <w:rPr>
          <w:rFonts w:ascii="Times New Roman" w:eastAsia="Times New Roman" w:hAnsi="Times New Roman" w:cs="Times New Roman"/>
          <w:color w:val="000000" w:themeColor="text1"/>
          <w:u w:val="single"/>
        </w:rPr>
        <w:t>a viabilidade jurídica de terceirização das atividades a serem licitadas e contratadas</w:t>
      </w:r>
      <w:r w:rsidRPr="0051439E">
        <w:rPr>
          <w:rFonts w:ascii="Times New Roman" w:eastAsia="Times New Roman" w:hAnsi="Times New Roman" w:cs="Times New Roman"/>
          <w:color w:val="000000" w:themeColor="text1"/>
        </w:rPr>
        <w:t xml:space="preserve">. </w:t>
      </w:r>
    </w:p>
    <w:p w14:paraId="1556491F" w14:textId="77777777" w:rsidR="006D1F90" w:rsidRPr="0051439E" w:rsidRDefault="006D1F90" w:rsidP="006D1F90">
      <w:pPr>
        <w:jc w:val="both"/>
        <w:rPr>
          <w:rFonts w:ascii="Times New Roman" w:eastAsia="Times New Roman" w:hAnsi="Times New Roman" w:cs="Times New Roman"/>
          <w:color w:val="000000" w:themeColor="text1"/>
          <w:u w:val="single"/>
        </w:rPr>
      </w:pPr>
      <w:r w:rsidRPr="0051439E">
        <w:rPr>
          <w:rFonts w:ascii="Times New Roman" w:eastAsia="Times New Roman" w:hAnsi="Times New Roman" w:cs="Times New Roman"/>
          <w:color w:val="000000" w:themeColor="text1"/>
        </w:rPr>
        <w:t>Em sendo assim, </w:t>
      </w:r>
      <w:r w:rsidRPr="0051439E">
        <w:rPr>
          <w:rFonts w:ascii="Times New Roman" w:eastAsia="Times New Roman" w:hAnsi="Times New Roman" w:cs="Times New Roman"/>
          <w:color w:val="000000" w:themeColor="text1"/>
          <w:u w:val="single"/>
        </w:rPr>
        <w:t>compete à Administração demonstrar que a contratação pretendida se encontra em consonância com o disposto na Lei n. 14.133, de 2021.</w:t>
      </w:r>
    </w:p>
    <w:p w14:paraId="2A3FD892" w14:textId="77777777" w:rsidR="006D1F90" w:rsidRPr="0051439E" w:rsidRDefault="006D1F90" w:rsidP="006D1F90">
      <w:pPr>
        <w:jc w:val="both"/>
        <w:rPr>
          <w:rFonts w:ascii="Times New Roman" w:hAnsi="Times New Roman" w:cs="Times New Roman"/>
        </w:rPr>
      </w:pPr>
    </w:p>
    <w:tbl>
      <w:tblPr>
        <w:tblStyle w:val="Tabelacomgrade"/>
        <w:tblW w:w="0" w:type="auto"/>
        <w:tblLayout w:type="fixed"/>
        <w:tblLook w:val="06A0" w:firstRow="1" w:lastRow="0" w:firstColumn="1" w:lastColumn="0" w:noHBand="1" w:noVBand="1"/>
      </w:tblPr>
      <w:tblGrid>
        <w:gridCol w:w="8490"/>
      </w:tblGrid>
      <w:tr w:rsidR="006D1F90" w:rsidRPr="0051439E" w14:paraId="10B6A4D1" w14:textId="77777777" w:rsidTr="00F13739">
        <w:trPr>
          <w:trHeight w:val="300"/>
        </w:trPr>
        <w:tc>
          <w:tcPr>
            <w:tcW w:w="8490" w:type="dxa"/>
            <w:vAlign w:val="center"/>
          </w:tcPr>
          <w:p w14:paraId="6E641641" w14:textId="77777777" w:rsidR="006D1F90" w:rsidRPr="0051439E" w:rsidRDefault="006D1F90" w:rsidP="00F13739">
            <w:pPr>
              <w:rPr>
                <w:rFonts w:ascii="Times New Roman" w:hAnsi="Times New Roman" w:cs="Times New Roman"/>
              </w:rPr>
            </w:pPr>
            <w:r w:rsidRPr="0051439E">
              <w:rPr>
                <w:rFonts w:ascii="Times New Roman" w:eastAsia="Calibri" w:hAnsi="Times New Roman" w:cs="Times New Roman"/>
                <w:b/>
                <w:bCs/>
                <w:i/>
                <w:iCs/>
                <w:color w:val="000000" w:themeColor="text1"/>
              </w:rPr>
              <w:t>Nota Explicativa:</w:t>
            </w:r>
            <w:r w:rsidRPr="0051439E">
              <w:rPr>
                <w:rFonts w:ascii="Times New Roman" w:eastAsia="Calibri" w:hAnsi="Times New Roman" w:cs="Times New Roman"/>
                <w:color w:val="000000" w:themeColor="text1"/>
              </w:rPr>
              <w:t xml:space="preserve"> Caso conste dos autos declaração expressa de que as atividades podem ser terceirizadas, deverá ser acrescentado o trecho abaixo:</w:t>
            </w:r>
          </w:p>
        </w:tc>
      </w:tr>
    </w:tbl>
    <w:p w14:paraId="49DD9A4D" w14:textId="77777777" w:rsidR="006D1F90" w:rsidRPr="0051439E" w:rsidRDefault="006D1F90" w:rsidP="006D1F90">
      <w:pPr>
        <w:jc w:val="both"/>
        <w:rPr>
          <w:rFonts w:ascii="Times New Roman" w:hAnsi="Times New Roman" w:cs="Times New Roman"/>
        </w:rPr>
      </w:pPr>
    </w:p>
    <w:p w14:paraId="55755489" w14:textId="77777777" w:rsidR="006D1F90" w:rsidRPr="0051439E" w:rsidRDefault="006D1F90" w:rsidP="006D1F90">
      <w:pPr>
        <w:jc w:val="both"/>
        <w:rPr>
          <w:rFonts w:ascii="Times New Roman" w:hAnsi="Times New Roman" w:cs="Times New Roman"/>
        </w:rPr>
      </w:pPr>
      <w:r w:rsidRPr="0051439E">
        <w:rPr>
          <w:rFonts w:ascii="Times New Roman" w:eastAsia="Calibri" w:hAnsi="Times New Roman" w:cs="Times New Roman"/>
          <w:color w:val="000000" w:themeColor="text1"/>
          <w:highlight w:val="cyan"/>
        </w:rPr>
        <w:t xml:space="preserve">Percebe-se, nesse sentido, que a Administração declarou, à </w:t>
      </w:r>
      <w:r w:rsidRPr="0051439E">
        <w:rPr>
          <w:rFonts w:ascii="Times New Roman" w:eastAsia="Calibri" w:hAnsi="Times New Roman" w:cs="Times New Roman"/>
          <w:color w:val="FF0000"/>
          <w:highlight w:val="cyan"/>
        </w:rPr>
        <w:t>fl. XXX/doc. SEI XXX</w:t>
      </w:r>
      <w:r w:rsidRPr="0051439E">
        <w:rPr>
          <w:rFonts w:ascii="Times New Roman" w:eastAsia="Calibri" w:hAnsi="Times New Roman" w:cs="Times New Roman"/>
          <w:color w:val="000000" w:themeColor="text1"/>
          <w:highlight w:val="cyan"/>
        </w:rPr>
        <w:t xml:space="preserve">, que as atividades podem ser terceirizadas em razão de </w:t>
      </w:r>
      <w:r w:rsidRPr="0051439E">
        <w:rPr>
          <w:rFonts w:ascii="Times New Roman" w:eastAsia="Calibri" w:hAnsi="Times New Roman" w:cs="Times New Roman"/>
          <w:color w:val="FF0000"/>
          <w:highlight w:val="cyan"/>
        </w:rPr>
        <w:t>XXX</w:t>
      </w:r>
      <w:r w:rsidRPr="0051439E">
        <w:rPr>
          <w:rFonts w:ascii="Times New Roman" w:eastAsia="Calibri" w:hAnsi="Times New Roman" w:cs="Times New Roman"/>
          <w:color w:val="000000" w:themeColor="text1"/>
          <w:highlight w:val="cyan"/>
        </w:rPr>
        <w:t xml:space="preserve">. Não certificou, contudo, </w:t>
      </w:r>
      <w:r w:rsidRPr="0051439E">
        <w:rPr>
          <w:rFonts w:ascii="Times New Roman" w:eastAsia="Calibri" w:hAnsi="Times New Roman" w:cs="Times New Roman"/>
          <w:color w:val="000000" w:themeColor="text1"/>
          <w:highlight w:val="cyan"/>
          <w:u w:val="single"/>
        </w:rPr>
        <w:t>se estariam ou não compreendidas entre as desempenhadas por categorias funcionais</w:t>
      </w:r>
      <w:r w:rsidRPr="0051439E">
        <w:rPr>
          <w:rFonts w:ascii="Times New Roman" w:eastAsia="Calibri" w:hAnsi="Times New Roman" w:cs="Times New Roman"/>
          <w:color w:val="000000" w:themeColor="text1"/>
          <w:highlight w:val="cyan"/>
        </w:rPr>
        <w:t xml:space="preserve"> abrangidas pelo plano de cargos do ente. </w:t>
      </w:r>
    </w:p>
    <w:p w14:paraId="11390070" w14:textId="77777777" w:rsidR="006D1F90" w:rsidRPr="0051439E" w:rsidRDefault="006D1F90" w:rsidP="006D1F90">
      <w:pPr>
        <w:jc w:val="both"/>
        <w:rPr>
          <w:rFonts w:ascii="Times New Roman" w:hAnsi="Times New Roman" w:cs="Times New Roman"/>
        </w:rPr>
      </w:pPr>
      <w:r w:rsidRPr="0051439E">
        <w:rPr>
          <w:rFonts w:ascii="Times New Roman" w:eastAsia="Calibri" w:hAnsi="Times New Roman" w:cs="Times New Roman"/>
          <w:color w:val="000000" w:themeColor="text1"/>
          <w:highlight w:val="cyan"/>
        </w:rPr>
        <w:t xml:space="preserve">Nesse sentido, como condição para o prosseguimento da licitação, deverá haver </w:t>
      </w:r>
      <w:r w:rsidRPr="0051439E">
        <w:rPr>
          <w:rFonts w:ascii="Times New Roman" w:eastAsia="Calibri" w:hAnsi="Times New Roman" w:cs="Times New Roman"/>
          <w:color w:val="000000" w:themeColor="text1"/>
          <w:highlight w:val="cyan"/>
          <w:u w:val="single"/>
        </w:rPr>
        <w:t>a manifestação sobre a incidência ou não da vedação disposta no</w:t>
      </w:r>
      <w:r w:rsidRPr="0051439E">
        <w:rPr>
          <w:rFonts w:ascii="Times New Roman" w:eastAsia="Calibri" w:hAnsi="Times New Roman" w:cs="Times New Roman"/>
          <w:color w:val="FF0000"/>
          <w:highlight w:val="cyan"/>
          <w:u w:val="single"/>
        </w:rPr>
        <w:t xml:space="preserve"> inc.</w:t>
      </w:r>
      <w:r w:rsidRPr="0051439E">
        <w:rPr>
          <w:rFonts w:ascii="Times New Roman" w:eastAsia="Calibri" w:hAnsi="Times New Roman" w:cs="Times New Roman"/>
          <w:color w:val="000000" w:themeColor="text1"/>
          <w:highlight w:val="cyan"/>
          <w:u w:val="single"/>
        </w:rPr>
        <w:t xml:space="preserve"> </w:t>
      </w:r>
      <w:r w:rsidRPr="0051439E">
        <w:rPr>
          <w:rFonts w:ascii="Times New Roman" w:eastAsia="Calibri" w:hAnsi="Times New Roman" w:cs="Times New Roman"/>
          <w:color w:val="FF0000"/>
          <w:highlight w:val="cyan"/>
          <w:u w:val="single"/>
        </w:rPr>
        <w:t>XXX</w:t>
      </w:r>
      <w:r w:rsidRPr="0051439E">
        <w:rPr>
          <w:rFonts w:ascii="Times New Roman" w:eastAsia="Calibri" w:hAnsi="Times New Roman" w:cs="Times New Roman"/>
          <w:color w:val="000000" w:themeColor="text1"/>
          <w:highlight w:val="cyan"/>
          <w:u w:val="single"/>
        </w:rPr>
        <w:t xml:space="preserve"> do art. 48 da Lei n. 14.133, de 2021</w:t>
      </w:r>
      <w:r w:rsidRPr="0051439E">
        <w:rPr>
          <w:rFonts w:ascii="Times New Roman" w:eastAsia="Calibri" w:hAnsi="Times New Roman" w:cs="Times New Roman"/>
          <w:color w:val="000000" w:themeColor="text1"/>
          <w:highlight w:val="cyan"/>
        </w:rPr>
        <w:t>. Se necessário, deve demonstrar que há autorização legal para a terceirização, isto é, que (i) o cargo fora extinto total ou parcialmente, (</w:t>
      </w:r>
      <w:proofErr w:type="spellStart"/>
      <w:r w:rsidRPr="0051439E">
        <w:rPr>
          <w:rFonts w:ascii="Times New Roman" w:eastAsia="Calibri" w:hAnsi="Times New Roman" w:cs="Times New Roman"/>
          <w:color w:val="000000" w:themeColor="text1"/>
          <w:highlight w:val="cyan"/>
        </w:rPr>
        <w:t>ii</w:t>
      </w:r>
      <w:proofErr w:type="spellEnd"/>
      <w:r w:rsidRPr="0051439E">
        <w:rPr>
          <w:rFonts w:ascii="Times New Roman" w:eastAsia="Calibri" w:hAnsi="Times New Roman" w:cs="Times New Roman"/>
          <w:color w:val="000000" w:themeColor="text1"/>
          <w:highlight w:val="cyan"/>
        </w:rPr>
        <w:t>) está em extinção ou (</w:t>
      </w:r>
      <w:proofErr w:type="spellStart"/>
      <w:r w:rsidRPr="0051439E">
        <w:rPr>
          <w:rFonts w:ascii="Times New Roman" w:eastAsia="Calibri" w:hAnsi="Times New Roman" w:cs="Times New Roman"/>
          <w:color w:val="000000" w:themeColor="text1"/>
          <w:highlight w:val="cyan"/>
        </w:rPr>
        <w:t>iii</w:t>
      </w:r>
      <w:proofErr w:type="spellEnd"/>
      <w:r w:rsidRPr="0051439E">
        <w:rPr>
          <w:rFonts w:ascii="Times New Roman" w:eastAsia="Calibri" w:hAnsi="Times New Roman" w:cs="Times New Roman"/>
          <w:color w:val="000000" w:themeColor="text1"/>
          <w:highlight w:val="cyan"/>
        </w:rPr>
        <w:t xml:space="preserve">) ao menos o objeto se refere a atividades auxiliares, instrumentais, acessórias ou de apoio administrativo (arts. 7º, §1º, e 8º, da </w:t>
      </w:r>
      <w:hyperlink r:id="rId37">
        <w:r w:rsidRPr="0051439E">
          <w:rPr>
            <w:rStyle w:val="Hyperlink"/>
            <w:rFonts w:ascii="Times New Roman" w:eastAsia="Calibri" w:hAnsi="Times New Roman" w:cs="Times New Roman"/>
            <w:color w:val="000000" w:themeColor="text1"/>
            <w:highlight w:val="cyan"/>
          </w:rPr>
          <w:t>IN SEGES/MP nº 05, de 26 de maio de 2017</w:t>
        </w:r>
      </w:hyperlink>
      <w:r w:rsidRPr="0051439E">
        <w:rPr>
          <w:rFonts w:ascii="Times New Roman" w:eastAsia="Calibri" w:hAnsi="Times New Roman" w:cs="Times New Roman"/>
          <w:color w:val="000000" w:themeColor="text1"/>
          <w:highlight w:val="cyan"/>
        </w:rPr>
        <w:t xml:space="preserve">, aplicável por força da </w:t>
      </w:r>
      <w:hyperlink r:id="rId38">
        <w:r w:rsidRPr="0051439E">
          <w:rPr>
            <w:rStyle w:val="Hyperlink"/>
            <w:rFonts w:ascii="Times New Roman" w:eastAsia="Calibri" w:hAnsi="Times New Roman" w:cs="Times New Roman"/>
            <w:color w:val="000000" w:themeColor="text1"/>
            <w:highlight w:val="cyan"/>
          </w:rPr>
          <w:t>IN SEGES/ME nº 98, de 26 de dezembro de 2022</w:t>
        </w:r>
      </w:hyperlink>
      <w:r w:rsidRPr="0051439E">
        <w:rPr>
          <w:rFonts w:ascii="Times New Roman" w:eastAsia="Calibri" w:hAnsi="Times New Roman" w:cs="Times New Roman"/>
          <w:color w:val="000000" w:themeColor="text1"/>
          <w:highlight w:val="cyan"/>
        </w:rPr>
        <w:t>). </w:t>
      </w:r>
      <w:r w:rsidRPr="0051439E">
        <w:rPr>
          <w:rFonts w:ascii="Times New Roman" w:eastAsia="Calibri" w:hAnsi="Times New Roman" w:cs="Times New Roman"/>
          <w:color w:val="000000" w:themeColor="text1"/>
        </w:rPr>
        <w:t xml:space="preserve"> </w:t>
      </w:r>
    </w:p>
    <w:p w14:paraId="52D2750B" w14:textId="77777777" w:rsidR="006D1F90" w:rsidRPr="0051439E" w:rsidRDefault="006D1F90" w:rsidP="006D1F90">
      <w:pPr>
        <w:jc w:val="both"/>
        <w:rPr>
          <w:rFonts w:ascii="Times New Roman" w:hAnsi="Times New Roman" w:cs="Times New Roman"/>
        </w:rPr>
      </w:pPr>
      <w:r w:rsidRPr="0051439E">
        <w:rPr>
          <w:rFonts w:ascii="Times New Roman" w:eastAsia="Calibri" w:hAnsi="Times New Roman" w:cs="Times New Roman"/>
          <w:b/>
          <w:bCs/>
          <w:color w:val="000000" w:themeColor="text1"/>
          <w:highlight w:val="cyan"/>
          <w:u w:val="single"/>
        </w:rPr>
        <w:t>OU</w:t>
      </w:r>
    </w:p>
    <w:tbl>
      <w:tblPr>
        <w:tblStyle w:val="Tabelacomgrade"/>
        <w:tblW w:w="0" w:type="auto"/>
        <w:tblLayout w:type="fixed"/>
        <w:tblLook w:val="06A0" w:firstRow="1" w:lastRow="0" w:firstColumn="1" w:lastColumn="0" w:noHBand="1" w:noVBand="1"/>
      </w:tblPr>
      <w:tblGrid>
        <w:gridCol w:w="8490"/>
      </w:tblGrid>
      <w:tr w:rsidR="006D1F90" w:rsidRPr="0051439E" w14:paraId="4BF7C03D" w14:textId="77777777" w:rsidTr="00F13739">
        <w:trPr>
          <w:trHeight w:val="300"/>
        </w:trPr>
        <w:tc>
          <w:tcPr>
            <w:tcW w:w="8490" w:type="dxa"/>
            <w:vAlign w:val="center"/>
          </w:tcPr>
          <w:p w14:paraId="6EE11537" w14:textId="77777777" w:rsidR="006D1F90" w:rsidRPr="0051439E" w:rsidRDefault="006D1F90" w:rsidP="00F13739">
            <w:pPr>
              <w:rPr>
                <w:rFonts w:ascii="Times New Roman" w:hAnsi="Times New Roman" w:cs="Times New Roman"/>
              </w:rPr>
            </w:pPr>
            <w:r w:rsidRPr="0051439E">
              <w:rPr>
                <w:rFonts w:ascii="Times New Roman" w:eastAsia="Calibri" w:hAnsi="Times New Roman" w:cs="Times New Roman"/>
                <w:b/>
                <w:bCs/>
                <w:i/>
                <w:iCs/>
                <w:color w:val="000000" w:themeColor="text1"/>
              </w:rPr>
              <w:t>Nota Explicativa:</w:t>
            </w:r>
            <w:r w:rsidRPr="0051439E">
              <w:rPr>
                <w:rFonts w:ascii="Times New Roman" w:eastAsia="Calibri" w:hAnsi="Times New Roman" w:cs="Times New Roman"/>
                <w:color w:val="000000" w:themeColor="text1"/>
              </w:rPr>
              <w:t xml:space="preserve"> Caso existam indícios de que a terceirização das atividades é vedada, poderá haver a substituição dos dois parágrafos acima transcritos pelo parágrafo abaixo:</w:t>
            </w:r>
          </w:p>
        </w:tc>
      </w:tr>
    </w:tbl>
    <w:p w14:paraId="7A96B54E" w14:textId="77777777" w:rsidR="006D1F90" w:rsidRPr="0051439E" w:rsidRDefault="006D1F90" w:rsidP="006D1F90">
      <w:pPr>
        <w:jc w:val="both"/>
        <w:rPr>
          <w:rFonts w:ascii="Times New Roman" w:hAnsi="Times New Roman" w:cs="Times New Roman"/>
        </w:rPr>
      </w:pPr>
    </w:p>
    <w:p w14:paraId="02B666AD" w14:textId="77777777" w:rsidR="006D1F90" w:rsidRPr="0051439E" w:rsidRDefault="006D1F90" w:rsidP="006D1F90">
      <w:pPr>
        <w:jc w:val="both"/>
        <w:rPr>
          <w:rFonts w:ascii="Times New Roman" w:hAnsi="Times New Roman" w:cs="Times New Roman"/>
        </w:rPr>
      </w:pPr>
      <w:r w:rsidRPr="0051439E">
        <w:rPr>
          <w:rFonts w:ascii="Times New Roman" w:eastAsia="Calibri" w:hAnsi="Times New Roman" w:cs="Times New Roman"/>
          <w:color w:val="000000" w:themeColor="text1"/>
          <w:highlight w:val="cyan"/>
        </w:rPr>
        <w:t xml:space="preserve">Diante desse quadro normativo, percebe-se que, aparentemente, as atividades indicadas no objeto estão vedadas pelo inciso XXX do art. 48 da Lei n. 14.133, de 2021 e/ou pelo </w:t>
      </w:r>
      <w:proofErr w:type="spellStart"/>
      <w:r w:rsidRPr="0051439E">
        <w:rPr>
          <w:rFonts w:ascii="Times New Roman" w:eastAsia="Calibri" w:hAnsi="Times New Roman" w:cs="Times New Roman"/>
          <w:color w:val="000000" w:themeColor="text1"/>
          <w:highlight w:val="cyan"/>
        </w:rPr>
        <w:t>Art</w:t>
      </w:r>
      <w:proofErr w:type="spellEnd"/>
      <w:r w:rsidRPr="0051439E">
        <w:rPr>
          <w:rFonts w:ascii="Times New Roman" w:eastAsia="Calibri" w:hAnsi="Times New Roman" w:cs="Times New Roman"/>
          <w:color w:val="000000" w:themeColor="text1"/>
          <w:highlight w:val="cyan"/>
        </w:rPr>
        <w:t xml:space="preserve"> 7º, 8º e 9 da IN SEGES/MP nº 05, de 2017). Pelo exposto, como condição preliminar à realização da licitação, deverá haver a demonstração, nos autos, de que há autorização legal para tanto, isto é, (i) o cargo fora extinto total ou parcialmente, (</w:t>
      </w:r>
      <w:proofErr w:type="spellStart"/>
      <w:r w:rsidRPr="0051439E">
        <w:rPr>
          <w:rFonts w:ascii="Times New Roman" w:eastAsia="Calibri" w:hAnsi="Times New Roman" w:cs="Times New Roman"/>
          <w:color w:val="000000" w:themeColor="text1"/>
          <w:highlight w:val="cyan"/>
        </w:rPr>
        <w:t>ii</w:t>
      </w:r>
      <w:proofErr w:type="spellEnd"/>
      <w:r w:rsidRPr="0051439E">
        <w:rPr>
          <w:rFonts w:ascii="Times New Roman" w:eastAsia="Calibri" w:hAnsi="Times New Roman" w:cs="Times New Roman"/>
          <w:color w:val="000000" w:themeColor="text1"/>
          <w:highlight w:val="cyan"/>
        </w:rPr>
        <w:t>) está em extinção ou (</w:t>
      </w:r>
      <w:proofErr w:type="spellStart"/>
      <w:r w:rsidRPr="0051439E">
        <w:rPr>
          <w:rFonts w:ascii="Times New Roman" w:eastAsia="Calibri" w:hAnsi="Times New Roman" w:cs="Times New Roman"/>
          <w:color w:val="000000" w:themeColor="text1"/>
          <w:highlight w:val="cyan"/>
        </w:rPr>
        <w:t>iii</w:t>
      </w:r>
      <w:proofErr w:type="spellEnd"/>
      <w:r w:rsidRPr="0051439E">
        <w:rPr>
          <w:rFonts w:ascii="Times New Roman" w:eastAsia="Calibri" w:hAnsi="Times New Roman" w:cs="Times New Roman"/>
          <w:color w:val="000000" w:themeColor="text1"/>
          <w:highlight w:val="cyan"/>
        </w:rPr>
        <w:t xml:space="preserve">) ao menos o objeto se refere a atividades auxiliares, instrumentais, acessórias ou de apoio administrativo, sob pena de ilicitude da contratação (arts. 7º, 8º e 9º, da IN SEGES/MP nº 05, de 2017).   </w:t>
      </w:r>
    </w:p>
    <w:p w14:paraId="2A8DBFB5" w14:textId="77777777" w:rsidR="006D1F90" w:rsidRPr="0051439E" w:rsidRDefault="006D1F90" w:rsidP="006D1F90">
      <w:pPr>
        <w:spacing w:after="48" w:line="288" w:lineRule="atLeast"/>
        <w:jc w:val="both"/>
        <w:rPr>
          <w:rFonts w:ascii="Times New Roman" w:eastAsiaTheme="minorEastAsia" w:hAnsi="Times New Roman" w:cs="Times New Roman"/>
          <w:b/>
          <w:bCs/>
          <w:color w:val="000000" w:themeColor="text1"/>
          <w:lang w:eastAsia="pt-BR"/>
        </w:rPr>
      </w:pPr>
    </w:p>
    <w:p w14:paraId="1B0059D3" w14:textId="77777777" w:rsidR="006D1F90" w:rsidRPr="0051439E" w:rsidRDefault="006D1F90" w:rsidP="006D1F90">
      <w:pPr>
        <w:spacing w:after="48" w:line="288" w:lineRule="atLeast"/>
        <w:jc w:val="both"/>
        <w:rPr>
          <w:rFonts w:ascii="Times New Roman" w:eastAsiaTheme="minorEastAsia" w:hAnsi="Times New Roman" w:cs="Times New Roman"/>
          <w:b/>
          <w:bCs/>
          <w:color w:val="000000" w:themeColor="text1"/>
          <w:lang w:eastAsia="pt-BR"/>
        </w:rPr>
      </w:pPr>
    </w:p>
    <w:p w14:paraId="7782C0AD" w14:textId="77777777" w:rsidR="006D1F90" w:rsidRPr="0051439E" w:rsidRDefault="006D1F90" w:rsidP="006D1F90">
      <w:pPr>
        <w:spacing w:after="48" w:line="288" w:lineRule="atLeast"/>
        <w:jc w:val="both"/>
        <w:rPr>
          <w:rFonts w:ascii="Times New Roman" w:eastAsiaTheme="minorEastAsia" w:hAnsi="Times New Roman" w:cs="Times New Roman"/>
          <w:color w:val="000000"/>
          <w:lang w:eastAsia="pt-BR"/>
        </w:rPr>
      </w:pPr>
      <w:r w:rsidRPr="0051439E">
        <w:rPr>
          <w:rFonts w:ascii="Times New Roman" w:eastAsiaTheme="minorEastAsia" w:hAnsi="Times New Roman" w:cs="Times New Roman"/>
          <w:b/>
          <w:color w:val="000000" w:themeColor="text1"/>
          <w:lang w:eastAsia="pt-BR"/>
        </w:rPr>
        <w:t>Parcelamento da contratação e regra geral da necessária adjudicação por itens</w:t>
      </w:r>
    </w:p>
    <w:p w14:paraId="6E26A28F" w14:textId="77777777" w:rsidR="006D1F90" w:rsidRPr="0051439E" w:rsidRDefault="006D1F90" w:rsidP="006D1F90">
      <w:pPr>
        <w:spacing w:after="48" w:line="288" w:lineRule="atLeast"/>
        <w:ind w:firstLine="1418"/>
        <w:jc w:val="both"/>
        <w:rPr>
          <w:rFonts w:ascii="Times New Roman" w:eastAsiaTheme="minorEastAsia" w:hAnsi="Times New Roman" w:cs="Times New Roman"/>
          <w:color w:val="000000"/>
          <w:lang w:eastAsia="pt-BR"/>
        </w:rPr>
      </w:pPr>
      <w:r w:rsidRPr="0051439E">
        <w:rPr>
          <w:rFonts w:ascii="Times New Roman" w:eastAsiaTheme="minorEastAsia" w:hAnsi="Times New Roman" w:cs="Times New Roman"/>
          <w:color w:val="000000" w:themeColor="text1"/>
          <w:lang w:eastAsia="pt-BR"/>
        </w:rPr>
        <w:t> </w:t>
      </w:r>
    </w:p>
    <w:p w14:paraId="5B372F93"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themeColor="text1"/>
          <w:lang w:eastAsia="pt-BR"/>
        </w:rPr>
        <w:t>Outro ponto relevante diz respeito ao parcelamento do objeto a ser contratado em licitações. Em havendo divisibilidade de natureza técnica e econômica, a regra geral é realizar a adjudicação por itens, tal qual previsto na Súmula TCU nº 247:</w:t>
      </w:r>
      <w:r w:rsidRPr="0051439E">
        <w:rPr>
          <w:rFonts w:ascii="Times New Roman" w:eastAsiaTheme="minorEastAsia" w:hAnsi="Times New Roman" w:cs="Times New Roman"/>
          <w:lang w:eastAsia="pt-BR"/>
        </w:rPr>
        <w:t> </w:t>
      </w:r>
    </w:p>
    <w:p w14:paraId="6F28FC55" w14:textId="77777777" w:rsidR="006D1F90" w:rsidRPr="0051439E" w:rsidRDefault="006D1F90" w:rsidP="006D1F90">
      <w:pPr>
        <w:spacing w:after="100" w:line="240" w:lineRule="auto"/>
        <w:ind w:left="1440" w:firstLine="90"/>
        <w:jc w:val="both"/>
        <w:rPr>
          <w:rFonts w:ascii="Times New Roman" w:eastAsiaTheme="minorEastAsia" w:hAnsi="Times New Roman" w:cs="Times New Roman"/>
          <w:b/>
          <w:bCs/>
          <w:color w:val="000000" w:themeColor="text1"/>
          <w:lang w:eastAsia="pt-BR"/>
        </w:rPr>
      </w:pPr>
    </w:p>
    <w:p w14:paraId="1265323B" w14:textId="77777777" w:rsidR="006D1F90" w:rsidRPr="0051439E" w:rsidRDefault="006D1F90" w:rsidP="006D1F90">
      <w:pPr>
        <w:spacing w:after="100" w:line="240" w:lineRule="auto"/>
        <w:ind w:left="1440" w:firstLine="90"/>
        <w:jc w:val="both"/>
        <w:rPr>
          <w:rFonts w:ascii="Times New Roman" w:eastAsiaTheme="minorEastAsia" w:hAnsi="Times New Roman" w:cs="Times New Roman"/>
          <w:lang w:eastAsia="pt-BR"/>
        </w:rPr>
      </w:pPr>
      <w:r w:rsidRPr="0051439E">
        <w:rPr>
          <w:rFonts w:ascii="Times New Roman" w:eastAsiaTheme="minorEastAsia" w:hAnsi="Times New Roman" w:cs="Times New Roman"/>
          <w:b/>
          <w:bCs/>
          <w:color w:val="000000" w:themeColor="text1"/>
          <w:lang w:eastAsia="pt-BR"/>
        </w:rPr>
        <w:t>É obrigatória a admissão da adjudicação por item</w:t>
      </w:r>
      <w:r w:rsidRPr="0051439E">
        <w:rPr>
          <w:rFonts w:ascii="Times New Roman" w:eastAsiaTheme="minorEastAsia" w:hAnsi="Times New Roman" w:cs="Times New Roman"/>
          <w:color w:val="000000" w:themeColor="text1"/>
          <w:lang w:eastAsia="pt-BR"/>
        </w:rPr>
        <w:t> e não por preço global, nos editais das licitações para a contratação de obras, </w:t>
      </w:r>
      <w:r w:rsidRPr="0051439E">
        <w:rPr>
          <w:rFonts w:ascii="Times New Roman" w:eastAsiaTheme="minorEastAsia" w:hAnsi="Times New Roman" w:cs="Times New Roman"/>
          <w:b/>
          <w:bCs/>
          <w:color w:val="000000" w:themeColor="text1"/>
          <w:lang w:eastAsia="pt-BR"/>
        </w:rPr>
        <w:t>serviços</w:t>
      </w:r>
      <w:r w:rsidRPr="0051439E">
        <w:rPr>
          <w:rFonts w:ascii="Times New Roman" w:eastAsiaTheme="minorEastAsia" w:hAnsi="Times New Roman" w:cs="Times New Roman"/>
          <w:color w:val="000000" w:themeColor="text1"/>
          <w:lang w:eastAsia="pt-BR"/>
        </w:rPr>
        <w:t>, compras e alienações, </w:t>
      </w:r>
      <w:r w:rsidRPr="0051439E">
        <w:rPr>
          <w:rFonts w:ascii="Times New Roman" w:eastAsiaTheme="minorEastAsia" w:hAnsi="Times New Roman" w:cs="Times New Roman"/>
          <w:b/>
          <w:bCs/>
          <w:color w:val="000000" w:themeColor="text1"/>
          <w:lang w:eastAsia="pt-BR"/>
        </w:rPr>
        <w:t xml:space="preserve">cujo </w:t>
      </w:r>
      <w:r w:rsidRPr="0051439E">
        <w:rPr>
          <w:rFonts w:ascii="Times New Roman" w:eastAsiaTheme="minorEastAsia" w:hAnsi="Times New Roman" w:cs="Times New Roman"/>
          <w:b/>
          <w:bCs/>
          <w:color w:val="000000" w:themeColor="text1"/>
          <w:lang w:eastAsia="pt-BR"/>
        </w:rPr>
        <w:lastRenderedPageBreak/>
        <w:t>objeto seja divisível</w:t>
      </w:r>
      <w:r w:rsidRPr="0051439E">
        <w:rPr>
          <w:rFonts w:ascii="Times New Roman" w:eastAsiaTheme="minorEastAsia" w:hAnsi="Times New Roman" w:cs="Times New Roman"/>
          <w:color w:val="000000" w:themeColor="text1"/>
          <w:lang w:eastAsia="pt-BR"/>
        </w:rPr>
        <w:t>, desde que não haja prejuízo para o conjunto ou complexo ou perda de economia de escala, tendo em vista o objetivo de propiciar a ampla participação de licitantes que, embora não dispondo de capacidade para a execução, fornecimento ou aquisição da totalidade do objeto, possam fazê-lo com relação a itens ou unidades autônomas, devendo as exigências de habilitação adequar-se a essa divisibilidade.</w:t>
      </w:r>
    </w:p>
    <w:p w14:paraId="4F44C3E5"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lang w:eastAsia="pt-BR"/>
        </w:rPr>
        <w:t>  </w:t>
      </w:r>
    </w:p>
    <w:p w14:paraId="1C1C0674"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lang w:eastAsia="pt-BR"/>
        </w:rPr>
        <w:t>No caso de serviços, na aplicação do princípio do parcelamento, deverão ser considerados (art. 47, inciso II, § 1º, Lei nº 14.133, de 2021): I - a responsabilidade técnica; II - o custo para a Administração de vários contratos frente às vantagens da redução de custos, com divisão do objeto em itens; III - o dever de buscar a ampliação da competição e de evitar a concentração de mercado. </w:t>
      </w:r>
    </w:p>
    <w:p w14:paraId="7A3056F2" w14:textId="77777777" w:rsidR="006D1F90" w:rsidRPr="0051439E" w:rsidRDefault="006D1F90" w:rsidP="006D1F90">
      <w:pPr>
        <w:spacing w:beforeAutospacing="1" w:afterAutospacing="1" w:line="240" w:lineRule="auto"/>
        <w:jc w:val="both"/>
        <w:rPr>
          <w:rFonts w:ascii="Times New Roman" w:eastAsiaTheme="minorEastAsia" w:hAnsi="Times New Roman" w:cs="Times New Roman"/>
          <w:color w:val="FF0000"/>
          <w:lang w:eastAsia="pt-BR"/>
        </w:rPr>
      </w:pPr>
    </w:p>
    <w:p w14:paraId="2B8474B5"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FF0000"/>
          <w:lang w:eastAsia="pt-BR"/>
        </w:rPr>
        <w:t>Convém registrar que eventual agrupamento de itens não pode se fundar na invocação geral de que há necessidade de integração entre os serviços a serem contratados, devendo a justificativa avançar para aspectos técnicos e fáticos que confirmem tal posição. Sobre esse ponto, vale destacar o entendimento do TCU sobre a justificativa administrativa para o agrupamento de itens, conforme Acórdão TCU nº 1972/2018-Plenário (Rel. Min, Augusto Sherman, 22/08/2018):</w:t>
      </w:r>
      <w:r w:rsidRPr="0051439E">
        <w:rPr>
          <w:rFonts w:ascii="Times New Roman" w:eastAsiaTheme="minorEastAsia" w:hAnsi="Times New Roman" w:cs="Times New Roman"/>
          <w:lang w:eastAsia="pt-BR"/>
        </w:rPr>
        <w:t> </w:t>
      </w:r>
    </w:p>
    <w:p w14:paraId="137E01B9" w14:textId="77777777" w:rsidR="006D1F90" w:rsidRPr="0051439E" w:rsidRDefault="006D1F90" w:rsidP="006D1F90">
      <w:pPr>
        <w:spacing w:after="100" w:line="240" w:lineRule="auto"/>
        <w:jc w:val="both"/>
        <w:rPr>
          <w:rFonts w:ascii="Times New Roman" w:eastAsiaTheme="minorEastAsia" w:hAnsi="Times New Roman" w:cs="Times New Roman"/>
          <w:color w:val="FF0000"/>
          <w:lang w:eastAsia="pt-BR"/>
        </w:rPr>
      </w:pPr>
    </w:p>
    <w:p w14:paraId="6414D1FF" w14:textId="77777777" w:rsidR="006D1F90" w:rsidRPr="0051439E" w:rsidRDefault="006D1F90" w:rsidP="006D1F90">
      <w:pPr>
        <w:spacing w:after="100" w:line="240" w:lineRule="auto"/>
        <w:ind w:left="1440"/>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FF0000"/>
          <w:lang w:eastAsia="pt-BR"/>
        </w:rPr>
        <w:t>30. [...] Além disso, mesmo nas respostas às oitivas, constata-se não haverem sido apresentadas razões de ordem técnica para não se realizar o parcelamento do objeto, apenas sendo explicitados motivos de cunho gerencial, relacionados, principalmente, com eventuais dificuldades que poderiam surgir na apuração de responsabilidades de prestadores distintos.</w:t>
      </w:r>
      <w:r w:rsidRPr="0051439E">
        <w:rPr>
          <w:rFonts w:ascii="Times New Roman" w:eastAsiaTheme="minorEastAsia" w:hAnsi="Times New Roman" w:cs="Times New Roman"/>
          <w:lang w:eastAsia="pt-BR"/>
        </w:rPr>
        <w:t> </w:t>
      </w:r>
    </w:p>
    <w:p w14:paraId="0DC921E5" w14:textId="77777777" w:rsidR="006D1F90" w:rsidRPr="0051439E" w:rsidRDefault="006D1F90" w:rsidP="006D1F90">
      <w:pPr>
        <w:spacing w:after="100" w:line="240" w:lineRule="auto"/>
        <w:ind w:left="1440"/>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FF0000"/>
          <w:lang w:eastAsia="pt-BR"/>
        </w:rPr>
        <w:t>[...]</w:t>
      </w:r>
      <w:r w:rsidRPr="0051439E">
        <w:rPr>
          <w:rFonts w:ascii="Times New Roman" w:eastAsiaTheme="minorEastAsia" w:hAnsi="Times New Roman" w:cs="Times New Roman"/>
          <w:lang w:eastAsia="pt-BR"/>
        </w:rPr>
        <w:t> </w:t>
      </w:r>
    </w:p>
    <w:p w14:paraId="78260423" w14:textId="77777777" w:rsidR="006D1F90" w:rsidRPr="0051439E" w:rsidRDefault="006D1F90" w:rsidP="006D1F90">
      <w:pPr>
        <w:spacing w:after="100" w:line="240" w:lineRule="auto"/>
        <w:ind w:left="1440"/>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FF0000"/>
          <w:lang w:eastAsia="pt-BR"/>
        </w:rPr>
        <w:t>32. Com efeito, forçoso reconhecer que sempre que existente algum grau de integração entre serviços, tal como no objeto em questão, a possibilidade de surgimento de tais dificuldades, como regra, estará presente. Contudo, a simples possibilidade de ocorrerem tais problemas, por si só, não pode servir de fundamento para contrariar-se a regra legal de priorizar-se o parcelamento do objeto, em especial considerando que os níveis de integração podem variar de um caso para outro, bem como tendo em conta a viabilidade de, em várias hipóteses, serem implementados parâmetros e controles que viabilizem o adequado funcionamento conjunto das prestações ou, se for o caso, a devida identificação de responsabilidades.</w:t>
      </w:r>
      <w:r w:rsidRPr="0051439E">
        <w:rPr>
          <w:rFonts w:ascii="Times New Roman" w:eastAsiaTheme="minorEastAsia" w:hAnsi="Times New Roman" w:cs="Times New Roman"/>
          <w:lang w:eastAsia="pt-BR"/>
        </w:rPr>
        <w:t> </w:t>
      </w:r>
    </w:p>
    <w:p w14:paraId="6579AA86" w14:textId="77777777" w:rsidR="006D1F90" w:rsidRPr="0051439E" w:rsidRDefault="006D1F90" w:rsidP="006D1F90">
      <w:pPr>
        <w:spacing w:after="100" w:line="240" w:lineRule="auto"/>
        <w:ind w:left="1440"/>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FF0000"/>
          <w:lang w:eastAsia="pt-BR"/>
        </w:rPr>
        <w:t>33. De todo modo, considero que qualquer grau de aglutinação do objeto que se pretenda, em função de constituir exceção à regra legal do parcelamento, deverá ser prévia e tecnicamente justificado.</w:t>
      </w:r>
      <w:r w:rsidRPr="0051439E">
        <w:rPr>
          <w:rFonts w:ascii="Times New Roman" w:eastAsiaTheme="minorEastAsia" w:hAnsi="Times New Roman" w:cs="Times New Roman"/>
          <w:lang w:eastAsia="pt-BR"/>
        </w:rPr>
        <w:t> </w:t>
      </w:r>
    </w:p>
    <w:p w14:paraId="078FC19B" w14:textId="77777777" w:rsidR="006D1F90" w:rsidRPr="0051439E" w:rsidRDefault="006D1F90" w:rsidP="006D1F90">
      <w:pPr>
        <w:spacing w:after="100" w:line="240" w:lineRule="auto"/>
        <w:ind w:left="1440"/>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FF0000"/>
          <w:lang w:eastAsia="pt-BR"/>
        </w:rPr>
        <w:t>34. As circunstâncias evidenciadas nesta Representação, aliás, sinalizam que a forma de proceder do Crea/MG, com a aglutinação de todos os serviços em questão em um só objeto, pode estar viabilizando que uma só empresa se eternize como a única prestadora possível. (grifo nosso)</w:t>
      </w:r>
      <w:r w:rsidRPr="0051439E">
        <w:rPr>
          <w:rFonts w:ascii="Times New Roman" w:eastAsiaTheme="minorEastAsia" w:hAnsi="Times New Roman" w:cs="Times New Roman"/>
          <w:lang w:eastAsia="pt-BR"/>
        </w:rPr>
        <w:t> </w:t>
      </w:r>
    </w:p>
    <w:p w14:paraId="31031281"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lang w:eastAsia="pt-BR"/>
        </w:rPr>
        <w:t>  </w:t>
      </w:r>
    </w:p>
    <w:p w14:paraId="5DE9A55F"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shd w:val="clear" w:color="auto" w:fill="00FFFF"/>
          <w:lang w:eastAsia="pt-BR"/>
        </w:rPr>
        <w:t>Dito isso, percebe-se que o presente certame previu a adjudicação do objeto por itens, razão pela qual não há observação adicional a fazer.</w:t>
      </w:r>
      <w:r w:rsidRPr="0051439E">
        <w:rPr>
          <w:rFonts w:ascii="Times New Roman" w:eastAsiaTheme="minorEastAsia" w:hAnsi="Times New Roman" w:cs="Times New Roman"/>
          <w:lang w:eastAsia="pt-BR"/>
        </w:rPr>
        <w:t> </w:t>
      </w:r>
    </w:p>
    <w:p w14:paraId="677A046D"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b/>
          <w:color w:val="000000"/>
          <w:u w:val="single"/>
          <w:shd w:val="clear" w:color="auto" w:fill="00FFFF"/>
          <w:lang w:eastAsia="pt-BR"/>
        </w:rPr>
        <w:lastRenderedPageBreak/>
        <w:t>OU</w:t>
      </w:r>
    </w:p>
    <w:p w14:paraId="4F08BE69"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shd w:val="clear" w:color="auto" w:fill="00FFFF"/>
          <w:lang w:eastAsia="pt-BR"/>
        </w:rPr>
        <w:t>Dito isso, percebe-se que o presente certame previu a adjudicação do objeto</w:t>
      </w:r>
      <w:r w:rsidRPr="0051439E">
        <w:rPr>
          <w:rFonts w:ascii="Times New Roman" w:eastAsiaTheme="minorEastAsia" w:hAnsi="Times New Roman" w:cs="Times New Roman"/>
          <w:color w:val="FF0000"/>
          <w:shd w:val="clear" w:color="auto" w:fill="00FFFF"/>
          <w:lang w:eastAsia="pt-BR"/>
        </w:rPr>
        <w:t> por lotes/grupo (OU a um único vencedor),</w:t>
      </w:r>
      <w:r w:rsidRPr="0051439E">
        <w:rPr>
          <w:rFonts w:ascii="Times New Roman" w:eastAsiaTheme="minorEastAsia" w:hAnsi="Times New Roman" w:cs="Times New Roman"/>
          <w:color w:val="000000"/>
          <w:shd w:val="clear" w:color="auto" w:fill="00FFFF"/>
          <w:lang w:eastAsia="pt-BR"/>
        </w:rPr>
        <w:t> com as justificativas de ordem técnica e econômica </w:t>
      </w:r>
      <w:r w:rsidRPr="0051439E">
        <w:rPr>
          <w:rFonts w:ascii="Times New Roman" w:eastAsiaTheme="minorEastAsia" w:hAnsi="Times New Roman" w:cs="Times New Roman"/>
          <w:color w:val="FF0000"/>
          <w:shd w:val="clear" w:color="auto" w:fill="00FFFF"/>
          <w:lang w:eastAsia="pt-BR"/>
        </w:rPr>
        <w:t>às fls. XXX/ no doc. SEI n. XXX</w:t>
      </w:r>
      <w:r w:rsidRPr="0051439E">
        <w:rPr>
          <w:rFonts w:ascii="Times New Roman" w:eastAsiaTheme="minorEastAsia" w:hAnsi="Times New Roman" w:cs="Times New Roman"/>
          <w:color w:val="000000"/>
          <w:shd w:val="clear" w:color="auto" w:fill="00FFFF"/>
          <w:lang w:eastAsia="pt-BR"/>
        </w:rPr>
        <w:t>. Por essa razão, não há observação adicional a fazer.</w:t>
      </w:r>
      <w:r w:rsidRPr="0051439E">
        <w:rPr>
          <w:rFonts w:ascii="Times New Roman" w:eastAsiaTheme="minorEastAsia" w:hAnsi="Times New Roman" w:cs="Times New Roman"/>
          <w:lang w:eastAsia="pt-BR"/>
        </w:rPr>
        <w:t> </w:t>
      </w:r>
    </w:p>
    <w:p w14:paraId="1D7DA2CE"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b/>
          <w:color w:val="000000"/>
          <w:u w:val="single"/>
          <w:shd w:val="clear" w:color="auto" w:fill="00FFFF"/>
          <w:lang w:eastAsia="pt-BR"/>
        </w:rPr>
        <w:t>OU</w:t>
      </w:r>
    </w:p>
    <w:p w14:paraId="77DB7872"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shd w:val="clear" w:color="auto" w:fill="00FFFF"/>
          <w:lang w:eastAsia="pt-BR"/>
        </w:rPr>
        <w:t>Dito isso, e dada a exigência de motivação prevista no art. 18, § 1º, inciso VIII, da Lei nº 14.133, de 2021</w:t>
      </w:r>
      <w:r w:rsidRPr="0051439E">
        <w:rPr>
          <w:rFonts w:ascii="Times New Roman" w:eastAsiaTheme="minorEastAsia" w:hAnsi="Times New Roman" w:cs="Times New Roman"/>
          <w:color w:val="FF0000"/>
          <w:shd w:val="clear" w:color="auto" w:fill="00FFFF"/>
          <w:lang w:eastAsia="pt-BR"/>
        </w:rPr>
        <w:t xml:space="preserve">, </w:t>
      </w:r>
      <w:r w:rsidRPr="0051439E">
        <w:rPr>
          <w:rFonts w:ascii="Times New Roman" w:eastAsiaTheme="minorEastAsia" w:hAnsi="Times New Roman" w:cs="Times New Roman"/>
          <w:color w:val="000000"/>
          <w:u w:val="single"/>
          <w:shd w:val="clear" w:color="auto" w:fill="00FFFF"/>
          <w:lang w:eastAsia="pt-BR"/>
        </w:rPr>
        <w:t>deverá ser providenciada justificativa adequada</w:t>
      </w:r>
      <w:r w:rsidRPr="0051439E">
        <w:rPr>
          <w:rFonts w:ascii="Times New Roman" w:eastAsiaTheme="minorEastAsia" w:hAnsi="Times New Roman" w:cs="Times New Roman"/>
          <w:color w:val="000000"/>
          <w:shd w:val="clear" w:color="auto" w:fill="00FFFF"/>
          <w:lang w:eastAsia="pt-BR"/>
        </w:rPr>
        <w:t xml:space="preserve"> </w:t>
      </w:r>
      <w:r w:rsidRPr="0051439E">
        <w:rPr>
          <w:rFonts w:ascii="Times New Roman" w:eastAsiaTheme="minorEastAsia" w:hAnsi="Times New Roman" w:cs="Times New Roman"/>
          <w:color w:val="FF0000"/>
          <w:shd w:val="clear" w:color="auto" w:fill="00FFFF"/>
          <w:lang w:eastAsia="pt-BR"/>
        </w:rPr>
        <w:t>para a agregação de todos os itens em lote/grupo (OU para a adjudicação a um único vencedor)</w:t>
      </w:r>
      <w:r w:rsidRPr="0051439E">
        <w:rPr>
          <w:rFonts w:ascii="Times New Roman" w:eastAsiaTheme="minorEastAsia" w:hAnsi="Times New Roman" w:cs="Times New Roman"/>
          <w:color w:val="000000"/>
          <w:shd w:val="clear" w:color="auto" w:fill="00FFFF"/>
          <w:lang w:eastAsia="pt-BR"/>
        </w:rPr>
        <w:t>, o que não se verifica nos autos. Nesse sentido, somente será possível haver esse agrupamento se essa escolha for a que melhor atenda aos parâmetros da Súmula 247 do TCU e do art. 47, inciso II, § 1º, da Lei nº 14.133, de 2021. Do contrário, deverá ser adotada a técnica da adjudicação por itens.</w:t>
      </w:r>
      <w:r w:rsidRPr="0051439E">
        <w:rPr>
          <w:rFonts w:ascii="Times New Roman" w:eastAsiaTheme="minorEastAsia" w:hAnsi="Times New Roman" w:cs="Times New Roman"/>
          <w:lang w:eastAsia="pt-BR"/>
        </w:rPr>
        <w:t> </w:t>
      </w:r>
    </w:p>
    <w:p w14:paraId="39A8B5C9"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b/>
          <w:color w:val="000000"/>
          <w:u w:val="single"/>
          <w:shd w:val="clear" w:color="auto" w:fill="00FFFF"/>
          <w:lang w:eastAsia="pt-BR"/>
        </w:rPr>
        <w:t>OU</w:t>
      </w:r>
    </w:p>
    <w:p w14:paraId="1852A9FA"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shd w:val="clear" w:color="auto" w:fill="00FFFF"/>
          <w:lang w:eastAsia="pt-BR"/>
        </w:rPr>
        <w:t>Dito isso, percebe-se que o presente certame previu a adjudicação do objeto</w:t>
      </w:r>
      <w:r w:rsidRPr="0051439E">
        <w:rPr>
          <w:rFonts w:ascii="Times New Roman" w:eastAsiaTheme="minorEastAsia" w:hAnsi="Times New Roman" w:cs="Times New Roman"/>
          <w:color w:val="FF0000"/>
          <w:shd w:val="clear" w:color="auto" w:fill="00FFFF"/>
          <w:lang w:eastAsia="pt-BR"/>
        </w:rPr>
        <w:t> por lotes/grupo (OU</w:t>
      </w:r>
      <w:r w:rsidRPr="0051439E">
        <w:rPr>
          <w:rFonts w:ascii="Times New Roman" w:eastAsiaTheme="minorEastAsia" w:hAnsi="Times New Roman" w:cs="Times New Roman"/>
          <w:lang w:eastAsia="pt-BR"/>
        </w:rPr>
        <w:t> </w:t>
      </w:r>
      <w:r w:rsidRPr="0051439E">
        <w:rPr>
          <w:rFonts w:ascii="Times New Roman" w:eastAsiaTheme="minorEastAsia" w:hAnsi="Times New Roman" w:cs="Times New Roman"/>
          <w:color w:val="FF0000"/>
          <w:shd w:val="clear" w:color="auto" w:fill="00FFFF"/>
          <w:lang w:eastAsia="pt-BR"/>
        </w:rPr>
        <w:t>a um único vencedor).</w:t>
      </w:r>
      <w:r w:rsidRPr="0051439E">
        <w:rPr>
          <w:rFonts w:ascii="Times New Roman" w:eastAsiaTheme="minorEastAsia" w:hAnsi="Times New Roman" w:cs="Times New Roman"/>
          <w:color w:val="000000"/>
          <w:shd w:val="clear" w:color="auto" w:fill="00FFFF"/>
          <w:lang w:eastAsia="pt-BR"/>
        </w:rPr>
        <w:t> A despeito de as justificativas para essa decisão terem sido lançadas </w:t>
      </w:r>
      <w:r w:rsidRPr="0051439E">
        <w:rPr>
          <w:rFonts w:ascii="Times New Roman" w:eastAsiaTheme="minorEastAsia" w:hAnsi="Times New Roman" w:cs="Times New Roman"/>
          <w:color w:val="FF0000"/>
          <w:shd w:val="clear" w:color="auto" w:fill="00FFFF"/>
          <w:lang w:eastAsia="pt-BR"/>
        </w:rPr>
        <w:t>às fls. XXX/no doc. SEI XXX</w:t>
      </w:r>
      <w:r w:rsidRPr="0051439E">
        <w:rPr>
          <w:rFonts w:ascii="Times New Roman" w:eastAsiaTheme="minorEastAsia" w:hAnsi="Times New Roman" w:cs="Times New Roman"/>
          <w:color w:val="000000"/>
          <w:shd w:val="clear" w:color="auto" w:fill="00FFFF"/>
          <w:lang w:eastAsia="pt-BR"/>
        </w:rPr>
        <w:t xml:space="preserve">, entende-se que </w:t>
      </w:r>
      <w:r w:rsidRPr="0051439E">
        <w:rPr>
          <w:rFonts w:ascii="Times New Roman" w:eastAsiaTheme="minorEastAsia" w:hAnsi="Times New Roman" w:cs="Times New Roman"/>
          <w:color w:val="000000"/>
          <w:u w:val="single"/>
          <w:shd w:val="clear" w:color="auto" w:fill="00FFFF"/>
          <w:lang w:eastAsia="pt-BR"/>
        </w:rPr>
        <w:t>precisam ser melhoradas</w:t>
      </w:r>
      <w:r w:rsidRPr="0051439E">
        <w:rPr>
          <w:rFonts w:ascii="Times New Roman" w:eastAsiaTheme="minorEastAsia" w:hAnsi="Times New Roman" w:cs="Times New Roman"/>
          <w:color w:val="000000"/>
          <w:shd w:val="clear" w:color="auto" w:fill="00FFFF"/>
          <w:lang w:eastAsia="pt-BR"/>
        </w:rPr>
        <w:t xml:space="preserve"> à luz dos parâmetros da Súmula 247 do TCU e do art. 47, inciso II, § 1º, da Lei nº 14.133, de 2021.</w:t>
      </w:r>
      <w:r w:rsidRPr="0051439E">
        <w:rPr>
          <w:rFonts w:ascii="Times New Roman" w:eastAsiaTheme="minorEastAsia" w:hAnsi="Times New Roman" w:cs="Times New Roman"/>
          <w:lang w:eastAsia="pt-BR"/>
        </w:rPr>
        <w:t>  </w:t>
      </w:r>
    </w:p>
    <w:p w14:paraId="364F9A03" w14:textId="77777777" w:rsidR="006D1F90" w:rsidRPr="0051439E" w:rsidRDefault="006D1F90" w:rsidP="006D1F90">
      <w:pPr>
        <w:spacing w:beforeAutospacing="1" w:afterAutospacing="1" w:line="240" w:lineRule="auto"/>
        <w:jc w:val="both"/>
        <w:rPr>
          <w:rFonts w:ascii="Times New Roman" w:eastAsiaTheme="minorEastAsia" w:hAnsi="Times New Roman" w:cs="Times New Roman"/>
          <w:color w:val="FF0000"/>
          <w:lang w:eastAsia="pt-BR"/>
        </w:rPr>
      </w:pPr>
    </w:p>
    <w:p w14:paraId="26D435CA"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FF0000"/>
          <w:lang w:eastAsia="pt-BR"/>
        </w:rPr>
        <w:t>Relembre-se, ainda, que a inserção, em mesmo lote, de itens usualmente produzidos por empresas de ramos distintos restringe o caráter competitivo da licitação (cf. Informativo de Licitações e Contratos nº 148/2013 - TCU).</w:t>
      </w:r>
      <w:r w:rsidRPr="0051439E">
        <w:rPr>
          <w:rFonts w:ascii="Times New Roman" w:eastAsiaTheme="minorEastAsia" w:hAnsi="Times New Roman" w:cs="Times New Roman"/>
          <w:lang w:eastAsia="pt-BR"/>
        </w:rPr>
        <w:t> </w:t>
      </w:r>
    </w:p>
    <w:p w14:paraId="362051E9"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lang w:eastAsia="pt-BR"/>
        </w:rPr>
        <w:t>  </w:t>
      </w:r>
    </w:p>
    <w:tbl>
      <w:tblPr>
        <w:tblW w:w="9000"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000"/>
      </w:tblGrid>
      <w:tr w:rsidR="006D1F90" w:rsidRPr="0051439E" w14:paraId="5D482D82" w14:textId="77777777" w:rsidTr="00F13739">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0F33515" w14:textId="77777777" w:rsidR="006D1F90" w:rsidRPr="0051439E" w:rsidRDefault="006D1F90" w:rsidP="00F13739">
            <w:pPr>
              <w:spacing w:after="0"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b/>
                <w:shd w:val="clear" w:color="auto" w:fill="FFFF99"/>
                <w:lang w:eastAsia="pt-BR"/>
              </w:rPr>
              <w:t>Nota Explicativa: </w:t>
            </w:r>
            <w:r w:rsidRPr="0051439E">
              <w:rPr>
                <w:rFonts w:ascii="Times New Roman" w:eastAsiaTheme="minorEastAsia" w:hAnsi="Times New Roman" w:cs="Times New Roman"/>
                <w:shd w:val="clear" w:color="auto" w:fill="FFFF99"/>
                <w:lang w:eastAsia="pt-BR"/>
              </w:rPr>
              <w:t>Caso o objeto revele abrangência territorial ampla, deverá ser utilizado o trecho abaixo: </w:t>
            </w:r>
          </w:p>
        </w:tc>
      </w:tr>
    </w:tbl>
    <w:p w14:paraId="3506CDFC"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lang w:eastAsia="pt-BR"/>
        </w:rPr>
        <w:t>  </w:t>
      </w:r>
    </w:p>
    <w:p w14:paraId="61191CC1"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FF0000"/>
          <w:lang w:eastAsia="pt-BR"/>
        </w:rPr>
        <w:t>Outro aspecto que chama atenção refere-se à dimensão do objeto contratual, que envolve diversas localidades do Estado/País, com risco de restringir a competitividade do certame.</w:t>
      </w:r>
      <w:r w:rsidRPr="0051439E">
        <w:rPr>
          <w:rFonts w:ascii="Times New Roman" w:eastAsiaTheme="minorEastAsia" w:hAnsi="Times New Roman" w:cs="Times New Roman"/>
          <w:lang w:eastAsia="pt-BR"/>
        </w:rPr>
        <w:t>   </w:t>
      </w:r>
    </w:p>
    <w:p w14:paraId="1B70FAA6"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FF0000"/>
          <w:lang w:eastAsia="pt-BR"/>
        </w:rPr>
        <w:t>É preciso que haja justificativa para a concentração do objeto, quando é perfeitamente possível o parcelamento da contratação. Não se pretende afirmar, com isso, que seja preciso uma contratação para cada localidade, mas sim que haja uma melhor definição do objeto contratual, levando em conta a possibilidade de restringir a competitividade, uma vez que deve ser considerada a capacidade das empresas no mercado de prestar o serviço na magnitude pretendida pela Administração.</w:t>
      </w:r>
      <w:r w:rsidRPr="0051439E">
        <w:rPr>
          <w:rFonts w:ascii="Times New Roman" w:eastAsiaTheme="minorEastAsia" w:hAnsi="Times New Roman" w:cs="Times New Roman"/>
          <w:lang w:eastAsia="pt-BR"/>
        </w:rPr>
        <w:t> </w:t>
      </w:r>
    </w:p>
    <w:p w14:paraId="584C604F" w14:textId="77777777" w:rsidR="006D1F90" w:rsidRPr="0051439E" w:rsidRDefault="006D1F90" w:rsidP="006D1F90">
      <w:pPr>
        <w:spacing w:after="48" w:line="288" w:lineRule="atLeast"/>
        <w:jc w:val="both"/>
        <w:rPr>
          <w:rFonts w:ascii="Times New Roman" w:eastAsiaTheme="minorEastAsia" w:hAnsi="Times New Roman" w:cs="Times New Roman"/>
          <w:lang w:eastAsia="pt-BR"/>
        </w:rPr>
      </w:pPr>
      <w:r w:rsidRPr="0051439E">
        <w:rPr>
          <w:rFonts w:ascii="Times New Roman" w:eastAsiaTheme="minorEastAsia" w:hAnsi="Times New Roman" w:cs="Times New Roman"/>
          <w:lang w:eastAsia="pt-BR"/>
        </w:rPr>
        <w:t>  </w:t>
      </w:r>
    </w:p>
    <w:p w14:paraId="0517A4C6" w14:textId="77777777" w:rsidR="006D1F90" w:rsidRPr="0051439E" w:rsidRDefault="006D1F90" w:rsidP="006D1F90">
      <w:pPr>
        <w:spacing w:after="48" w:line="288" w:lineRule="atLeast"/>
        <w:jc w:val="both"/>
        <w:rPr>
          <w:rFonts w:ascii="Times New Roman" w:eastAsiaTheme="minorEastAsia" w:hAnsi="Times New Roman" w:cs="Times New Roman"/>
          <w:color w:val="000000"/>
          <w:lang w:eastAsia="pt-BR"/>
        </w:rPr>
      </w:pPr>
      <w:r w:rsidRPr="0051439E">
        <w:rPr>
          <w:rFonts w:ascii="Times New Roman" w:eastAsiaTheme="minorEastAsia" w:hAnsi="Times New Roman" w:cs="Times New Roman"/>
          <w:b/>
          <w:color w:val="000000" w:themeColor="text1"/>
          <w:lang w:eastAsia="pt-BR"/>
        </w:rPr>
        <w:t>Critérios e práticas de sustentabilidade nas contratações</w:t>
      </w:r>
    </w:p>
    <w:p w14:paraId="7718ECE2" w14:textId="77777777" w:rsidR="006D1F90" w:rsidRPr="0051439E" w:rsidRDefault="006D1F90" w:rsidP="006D1F90">
      <w:pPr>
        <w:spacing w:after="48" w:line="288" w:lineRule="atLeast"/>
        <w:ind w:firstLine="1418"/>
        <w:jc w:val="both"/>
        <w:rPr>
          <w:rFonts w:ascii="Times New Roman" w:eastAsiaTheme="minorEastAsia" w:hAnsi="Times New Roman" w:cs="Times New Roman"/>
          <w:color w:val="000000"/>
          <w:lang w:eastAsia="pt-BR"/>
        </w:rPr>
      </w:pPr>
      <w:r w:rsidRPr="0051439E">
        <w:rPr>
          <w:rFonts w:ascii="Times New Roman" w:eastAsiaTheme="minorEastAsia" w:hAnsi="Times New Roman" w:cs="Times New Roman"/>
          <w:color w:val="000000" w:themeColor="text1"/>
          <w:lang w:eastAsia="pt-BR"/>
        </w:rPr>
        <w:t> </w:t>
      </w:r>
    </w:p>
    <w:p w14:paraId="124499B5"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themeColor="text1"/>
          <w:lang w:eastAsia="pt-BR"/>
        </w:rPr>
        <w:t xml:space="preserve"> Em relação aos critérios e práticas de sustentabilidade (art. 45 da Lei nº 14.133, de 2021, art. 7º, inciso XI da </w:t>
      </w:r>
      <w:r w:rsidRPr="0051439E">
        <w:rPr>
          <w:rFonts w:ascii="Times New Roman" w:eastAsiaTheme="minorEastAsia" w:hAnsi="Times New Roman" w:cs="Times New Roman"/>
          <w:lang w:eastAsia="pt-BR"/>
        </w:rPr>
        <w:t>Lei nº 12.305, de 2010,</w:t>
      </w:r>
      <w:r w:rsidRPr="0051439E">
        <w:rPr>
          <w:rFonts w:ascii="Times New Roman" w:eastAsiaTheme="minorEastAsia" w:hAnsi="Times New Roman" w:cs="Times New Roman"/>
          <w:color w:val="000000" w:themeColor="text1"/>
          <w:lang w:eastAsia="pt-BR"/>
        </w:rPr>
        <w:t xml:space="preserve"> e art. 9º, incisos II e XII, da IN SEGES nº 58, de 2022), deverão ser tomados os cuidados gerais a seguir:</w:t>
      </w:r>
      <w:r w:rsidRPr="0051439E">
        <w:rPr>
          <w:rFonts w:ascii="Times New Roman" w:eastAsiaTheme="minorEastAsia" w:hAnsi="Times New Roman" w:cs="Times New Roman"/>
          <w:lang w:eastAsia="pt-BR"/>
        </w:rPr>
        <w:t> </w:t>
      </w:r>
    </w:p>
    <w:p w14:paraId="6CC9751D" w14:textId="77777777" w:rsidR="006D1F90" w:rsidRPr="0051439E" w:rsidRDefault="006D1F90" w:rsidP="006D1F90">
      <w:pPr>
        <w:spacing w:after="100" w:line="240" w:lineRule="auto"/>
        <w:jc w:val="both"/>
        <w:rPr>
          <w:rFonts w:ascii="Times New Roman" w:eastAsiaTheme="minorEastAsia" w:hAnsi="Times New Roman" w:cs="Times New Roman"/>
          <w:color w:val="000000" w:themeColor="text1"/>
          <w:lang w:eastAsia="pt-BR"/>
        </w:rPr>
      </w:pPr>
    </w:p>
    <w:p w14:paraId="079EDADD" w14:textId="77777777" w:rsidR="006D1F90" w:rsidRPr="0051439E" w:rsidRDefault="006D1F90" w:rsidP="006D1F90">
      <w:pPr>
        <w:spacing w:after="100" w:line="240" w:lineRule="auto"/>
        <w:ind w:left="1350"/>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themeColor="text1"/>
          <w:lang w:eastAsia="pt-BR"/>
        </w:rPr>
        <w:t>a) definir os critérios e práticas objetivamente no instrumento convocatório como especificação técnica do objeto, obrigação da contratada ou requisito previsto em lei especial;</w:t>
      </w:r>
      <w:r w:rsidRPr="0051439E">
        <w:rPr>
          <w:rFonts w:ascii="Times New Roman" w:eastAsiaTheme="minorEastAsia" w:hAnsi="Times New Roman" w:cs="Times New Roman"/>
          <w:lang w:eastAsia="pt-BR"/>
        </w:rPr>
        <w:t> </w:t>
      </w:r>
    </w:p>
    <w:p w14:paraId="743F178A" w14:textId="77777777" w:rsidR="006D1F90" w:rsidRPr="0051439E" w:rsidRDefault="006D1F90" w:rsidP="006D1F90">
      <w:pPr>
        <w:spacing w:after="100" w:line="240" w:lineRule="auto"/>
        <w:ind w:left="1350"/>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themeColor="text1"/>
          <w:lang w:eastAsia="pt-BR"/>
        </w:rPr>
        <w:t>b) justificar a exigência nos autos;</w:t>
      </w:r>
      <w:r w:rsidRPr="0051439E">
        <w:rPr>
          <w:rFonts w:ascii="Times New Roman" w:eastAsiaTheme="minorEastAsia" w:hAnsi="Times New Roman" w:cs="Times New Roman"/>
          <w:lang w:eastAsia="pt-BR"/>
        </w:rPr>
        <w:t> </w:t>
      </w:r>
    </w:p>
    <w:p w14:paraId="3376FF5F" w14:textId="77777777" w:rsidR="006D1F90" w:rsidRPr="0051439E" w:rsidRDefault="006D1F90" w:rsidP="006D1F90">
      <w:pPr>
        <w:spacing w:after="100" w:line="240" w:lineRule="auto"/>
        <w:ind w:left="1350"/>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themeColor="text1"/>
          <w:lang w:eastAsia="pt-BR"/>
        </w:rPr>
        <w:t>c) verificar se os critérios e práticas preservam o caráter competitivo do certame.</w:t>
      </w:r>
      <w:r w:rsidRPr="0051439E">
        <w:rPr>
          <w:rFonts w:ascii="Times New Roman" w:eastAsiaTheme="minorEastAsia" w:hAnsi="Times New Roman" w:cs="Times New Roman"/>
          <w:lang w:eastAsia="pt-BR"/>
        </w:rPr>
        <w:t> </w:t>
      </w:r>
    </w:p>
    <w:p w14:paraId="772FAB43" w14:textId="77777777" w:rsidR="006D1F90" w:rsidRPr="0051439E" w:rsidRDefault="006D1F90" w:rsidP="006D1F90">
      <w:pPr>
        <w:spacing w:after="100" w:line="240" w:lineRule="auto"/>
        <w:ind w:left="1350"/>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themeColor="text1"/>
          <w:lang w:eastAsia="pt-BR"/>
        </w:rPr>
        <w:t xml:space="preserve">d) </w:t>
      </w:r>
      <w:r w:rsidRPr="0051439E">
        <w:rPr>
          <w:rFonts w:ascii="Times New Roman" w:eastAsiaTheme="minorEastAsia" w:hAnsi="Times New Roman" w:cs="Times New Roman"/>
          <w:lang w:eastAsia="pt-BR"/>
        </w:rPr>
        <w:t>verificar o alinhamento da contratação com o Plano de Gestão de Logística Sustentável. </w:t>
      </w:r>
    </w:p>
    <w:p w14:paraId="7ACA1BAD"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p>
    <w:p w14:paraId="3694C33E"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themeColor="text1"/>
          <w:lang w:eastAsia="pt-BR"/>
        </w:rPr>
        <w:t>Assim, as especificações dos serviços devem conter critérios de sustentabilidade ambiental, devendo a Administração Pública formular as exigências de forma a não frustrar a competitividade. </w:t>
      </w:r>
      <w:r w:rsidRPr="0051439E">
        <w:rPr>
          <w:rFonts w:ascii="Times New Roman" w:eastAsiaTheme="minorEastAsia" w:hAnsi="Times New Roman" w:cs="Times New Roman"/>
          <w:lang w:eastAsia="pt-BR"/>
        </w:rPr>
        <w:t> </w:t>
      </w:r>
    </w:p>
    <w:p w14:paraId="0413040F" w14:textId="77777777" w:rsidR="006D1F90" w:rsidRPr="0051439E" w:rsidRDefault="006D1F90" w:rsidP="006D1F90">
      <w:pPr>
        <w:spacing w:beforeAutospacing="1" w:afterAutospacing="1" w:line="240" w:lineRule="auto"/>
        <w:jc w:val="both"/>
        <w:rPr>
          <w:rFonts w:ascii="Times New Roman" w:eastAsiaTheme="minorEastAsia" w:hAnsi="Times New Roman" w:cs="Times New Roman"/>
          <w:color w:val="000000" w:themeColor="text1"/>
          <w:lang w:eastAsia="pt-BR"/>
        </w:rPr>
      </w:pPr>
    </w:p>
    <w:p w14:paraId="688F6174"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themeColor="text1"/>
          <w:lang w:eastAsia="pt-BR"/>
        </w:rPr>
        <w:t>Posto isso, para definição dos critérios e práticas de sustentabilidade, </w:t>
      </w:r>
      <w:r w:rsidRPr="0051439E">
        <w:rPr>
          <w:rFonts w:ascii="Times New Roman" w:eastAsiaTheme="minorEastAsia" w:hAnsi="Times New Roman" w:cs="Times New Roman"/>
          <w:color w:val="000000" w:themeColor="text1"/>
          <w:u w:val="single"/>
          <w:lang w:eastAsia="pt-BR"/>
        </w:rPr>
        <w:t>recomenda-se</w:t>
      </w:r>
      <w:r w:rsidRPr="0051439E">
        <w:rPr>
          <w:rFonts w:ascii="Times New Roman" w:eastAsiaTheme="minorEastAsia" w:hAnsi="Times New Roman" w:cs="Times New Roman"/>
          <w:color w:val="000000" w:themeColor="text1"/>
          <w:lang w:eastAsia="pt-BR"/>
        </w:rPr>
        <w:t> consulta ao Guia Nacional de Contratações Sustentáveis, disponibilizado pela Advocacia-Geral da União em seu sítio eletrônico.</w:t>
      </w:r>
    </w:p>
    <w:p w14:paraId="5F9A8D35" w14:textId="77777777" w:rsidR="006D1F90" w:rsidRPr="0051439E" w:rsidRDefault="006D1F90" w:rsidP="006D1F90">
      <w:pPr>
        <w:spacing w:beforeAutospacing="1" w:afterAutospacing="1" w:line="240" w:lineRule="auto"/>
        <w:jc w:val="both"/>
        <w:rPr>
          <w:rFonts w:ascii="Times New Roman" w:eastAsiaTheme="minorEastAsia" w:hAnsi="Times New Roman" w:cs="Times New Roman"/>
          <w:u w:val="single"/>
          <w:lang w:eastAsia="pt-BR"/>
        </w:rPr>
      </w:pPr>
    </w:p>
    <w:p w14:paraId="472823F0" w14:textId="77777777" w:rsidR="006D1F90" w:rsidRPr="0051439E" w:rsidRDefault="006D1F90" w:rsidP="006D1F90">
      <w:pPr>
        <w:spacing w:beforeAutospacing="1"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u w:val="single"/>
          <w:lang w:eastAsia="pt-BR"/>
        </w:rPr>
        <w:t>As licitações de obras e serviços de engenharia devem respeitar, especialmente,</w:t>
      </w:r>
      <w:r w:rsidRPr="0051439E">
        <w:rPr>
          <w:rFonts w:ascii="Times New Roman" w:eastAsiaTheme="minorEastAsia" w:hAnsi="Times New Roman" w:cs="Times New Roman"/>
          <w:lang w:eastAsia="pt-BR"/>
        </w:rPr>
        <w:t xml:space="preserve"> as normas relativas a: </w:t>
      </w:r>
      <w:r w:rsidRPr="0051439E">
        <w:rPr>
          <w:rFonts w:ascii="Times New Roman" w:eastAsiaTheme="minorEastAsia" w:hAnsi="Times New Roman" w:cs="Times New Roman"/>
          <w:i/>
          <w:iCs/>
          <w:lang w:eastAsia="pt-BR"/>
        </w:rPr>
        <w:t>I - disposição final ambientalmente adequada dos resíduos sólidos gerados pelas obras contratadas; II - mitigação por condicionantes e compensação ambiental, que serão definidas no procedimento de licenciamento ambiental; III - utilização de produtos, de equipamentos e de serviços que, comprovadamente, favoreçam a redução do consumo de energia e de recursos naturais; IV - avaliação de impacto de vizinhança, na forma da legislação urbanística; V - proteção do patrimônio histórico, cultural, arqueológico e imaterial, inclusive por meio da avaliação do impacto direto ou indireto causado pelas obras contratadas; VI - acessibilidade para pessoas com deficiência ou com mobilidade reduzida</w:t>
      </w:r>
      <w:r w:rsidRPr="0051439E">
        <w:rPr>
          <w:rFonts w:ascii="Times New Roman" w:eastAsiaTheme="minorEastAsia" w:hAnsi="Times New Roman" w:cs="Times New Roman"/>
          <w:lang w:eastAsia="pt-BR"/>
        </w:rPr>
        <w:t xml:space="preserve"> (art. 45, da Lei nº 14.133, de 2021). </w:t>
      </w:r>
    </w:p>
    <w:p w14:paraId="69F7876D" w14:textId="77777777" w:rsidR="006D1F90" w:rsidRPr="0051439E" w:rsidRDefault="006D1F90" w:rsidP="006D1F90">
      <w:pPr>
        <w:jc w:val="both"/>
        <w:rPr>
          <w:rFonts w:ascii="Times New Roman" w:eastAsia="Calibri" w:hAnsi="Times New Roman" w:cs="Times New Roman"/>
          <w:highlight w:val="green"/>
        </w:rPr>
      </w:pPr>
    </w:p>
    <w:p w14:paraId="58134740" w14:textId="77777777" w:rsidR="006D1F90" w:rsidRPr="0051439E" w:rsidRDefault="006D1F90" w:rsidP="006D1F90">
      <w:pPr>
        <w:jc w:val="both"/>
        <w:rPr>
          <w:rFonts w:ascii="Times New Roman" w:eastAsia="Calibri" w:hAnsi="Times New Roman" w:cs="Times New Roman"/>
          <w:highlight w:val="cyan"/>
        </w:rPr>
      </w:pPr>
      <w:r w:rsidRPr="0051439E">
        <w:rPr>
          <w:rFonts w:ascii="Times New Roman" w:eastAsia="Calibri" w:hAnsi="Times New Roman" w:cs="Times New Roman"/>
          <w:highlight w:val="cyan"/>
        </w:rPr>
        <w:t>No caso concreto, a Administração enfrentou a questão da necessidade ou não de licenciamento ambiental, concluindo pela sua inexigibilidade (</w:t>
      </w:r>
      <w:r w:rsidRPr="0051439E">
        <w:rPr>
          <w:rFonts w:ascii="Times New Roman" w:eastAsia="Calibri" w:hAnsi="Times New Roman" w:cs="Times New Roman"/>
          <w:color w:val="FF0000"/>
          <w:highlight w:val="cyan"/>
        </w:rPr>
        <w:t xml:space="preserve">item </w:t>
      </w:r>
      <w:proofErr w:type="spellStart"/>
      <w:r w:rsidRPr="0051439E">
        <w:rPr>
          <w:rFonts w:ascii="Times New Roman" w:eastAsia="Calibri" w:hAnsi="Times New Roman" w:cs="Times New Roman"/>
          <w:color w:val="FF0000"/>
          <w:highlight w:val="cyan"/>
        </w:rPr>
        <w:t>xxx</w:t>
      </w:r>
      <w:proofErr w:type="spellEnd"/>
      <w:r w:rsidRPr="0051439E">
        <w:rPr>
          <w:rFonts w:ascii="Times New Roman" w:eastAsia="Calibri" w:hAnsi="Times New Roman" w:cs="Times New Roman"/>
          <w:color w:val="FF0000"/>
          <w:highlight w:val="cyan"/>
        </w:rPr>
        <w:t xml:space="preserve"> dos estudos preliminares</w:t>
      </w:r>
      <w:r w:rsidRPr="0051439E">
        <w:rPr>
          <w:rFonts w:ascii="Times New Roman" w:eastAsia="Calibri" w:hAnsi="Times New Roman" w:cs="Times New Roman"/>
          <w:highlight w:val="cyan"/>
        </w:rPr>
        <w:t>).</w:t>
      </w:r>
    </w:p>
    <w:p w14:paraId="76A1363E" w14:textId="77777777" w:rsidR="006D1F90" w:rsidRPr="0051439E" w:rsidRDefault="006D1F90" w:rsidP="006D1F90">
      <w:pPr>
        <w:jc w:val="both"/>
        <w:rPr>
          <w:rFonts w:ascii="Times New Roman" w:eastAsia="Calibri" w:hAnsi="Times New Roman" w:cs="Times New Roman"/>
          <w:highlight w:val="cyan"/>
        </w:rPr>
      </w:pPr>
      <w:r w:rsidRPr="0051439E">
        <w:rPr>
          <w:rFonts w:ascii="Times New Roman" w:eastAsia="Calibri" w:hAnsi="Times New Roman" w:cs="Times New Roman"/>
          <w:b/>
          <w:bCs/>
          <w:highlight w:val="cyan"/>
          <w:u w:val="single"/>
        </w:rPr>
        <w:t>OU</w:t>
      </w:r>
      <w:r w:rsidRPr="0051439E">
        <w:rPr>
          <w:rFonts w:ascii="Times New Roman" w:eastAsia="Calibri" w:hAnsi="Times New Roman" w:cs="Times New Roman"/>
        </w:rPr>
        <w:t xml:space="preserve"> </w:t>
      </w:r>
    </w:p>
    <w:p w14:paraId="21AADA1E" w14:textId="77777777" w:rsidR="006D1F90" w:rsidRPr="0051439E" w:rsidRDefault="006D1F90" w:rsidP="006D1F90">
      <w:pPr>
        <w:jc w:val="both"/>
        <w:rPr>
          <w:rFonts w:ascii="Times New Roman" w:eastAsia="Calibri" w:hAnsi="Times New Roman" w:cs="Times New Roman"/>
          <w:highlight w:val="cyan"/>
        </w:rPr>
      </w:pPr>
      <w:r w:rsidRPr="0051439E">
        <w:rPr>
          <w:rFonts w:ascii="Times New Roman" w:eastAsia="Calibri" w:hAnsi="Times New Roman" w:cs="Times New Roman"/>
          <w:highlight w:val="cyan"/>
        </w:rPr>
        <w:t>No caso, não se localizou nos autos o enfrentamento da questão da necessidade ou não de licenciamento ambiental, o que demanda a complementação do processo.</w:t>
      </w:r>
    </w:p>
    <w:p w14:paraId="327E7276" w14:textId="77777777" w:rsidR="006D1F90" w:rsidRPr="0051439E" w:rsidRDefault="006D1F90" w:rsidP="006D1F90">
      <w:pPr>
        <w:spacing w:beforeAutospacing="1" w:afterAutospacing="1" w:line="240" w:lineRule="auto"/>
        <w:jc w:val="both"/>
        <w:rPr>
          <w:rFonts w:ascii="Times New Roman" w:eastAsiaTheme="minorEastAsia" w:hAnsi="Times New Roman" w:cs="Times New Roman"/>
          <w:lang w:eastAsia="pt-BR"/>
        </w:rPr>
      </w:pPr>
    </w:p>
    <w:p w14:paraId="37F9F03C"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themeColor="text1"/>
          <w:lang w:eastAsia="pt-BR"/>
        </w:rPr>
        <w:t>Se a Administração entender que os serviços não se sujeitam a critérios de sustentabilidade ou que as especificações restringem indevidamente a competição em dado mercado, deverá apresentar a devida justificativa.</w:t>
      </w:r>
      <w:r w:rsidRPr="0051439E">
        <w:rPr>
          <w:rFonts w:ascii="Times New Roman" w:eastAsiaTheme="minorEastAsia" w:hAnsi="Times New Roman" w:cs="Times New Roman"/>
          <w:lang w:eastAsia="pt-BR"/>
        </w:rPr>
        <w:t> </w:t>
      </w:r>
    </w:p>
    <w:p w14:paraId="0A81FFB2" w14:textId="77777777" w:rsidR="006D1F90" w:rsidRPr="0051439E" w:rsidRDefault="006D1F90" w:rsidP="006D1F90">
      <w:pPr>
        <w:spacing w:beforeAutospacing="1" w:afterAutospacing="1" w:line="240" w:lineRule="auto"/>
        <w:jc w:val="both"/>
        <w:rPr>
          <w:rFonts w:ascii="Times New Roman" w:eastAsiaTheme="minorEastAsia" w:hAnsi="Times New Roman" w:cs="Times New Roman"/>
          <w:color w:val="000000" w:themeColor="text1"/>
          <w:lang w:eastAsia="pt-BR"/>
        </w:rPr>
      </w:pPr>
    </w:p>
    <w:p w14:paraId="383B1799"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shd w:val="clear" w:color="auto" w:fill="00FFFF"/>
          <w:lang w:eastAsia="pt-BR"/>
        </w:rPr>
        <w:t xml:space="preserve">Feitas essas considerações, verifica-se que a Administração incluiu, </w:t>
      </w:r>
      <w:r w:rsidRPr="0051439E">
        <w:rPr>
          <w:rFonts w:ascii="Times New Roman" w:eastAsiaTheme="minorEastAsia" w:hAnsi="Times New Roman" w:cs="Times New Roman"/>
          <w:color w:val="FF0000"/>
          <w:shd w:val="clear" w:color="auto" w:fill="00FFFF"/>
          <w:lang w:eastAsia="pt-BR"/>
        </w:rPr>
        <w:t>no item XX do termo de referência/estudos preliminares</w:t>
      </w:r>
      <w:r w:rsidRPr="0051439E">
        <w:rPr>
          <w:rFonts w:ascii="Times New Roman" w:eastAsiaTheme="minorEastAsia" w:hAnsi="Times New Roman" w:cs="Times New Roman"/>
          <w:color w:val="000000"/>
          <w:shd w:val="clear" w:color="auto" w:fill="00FFFF"/>
          <w:lang w:eastAsia="pt-BR"/>
        </w:rPr>
        <w:t>, critérios e práticas de sustentabilidade.</w:t>
      </w:r>
      <w:r w:rsidRPr="0051439E">
        <w:rPr>
          <w:rFonts w:ascii="Times New Roman" w:eastAsiaTheme="minorEastAsia" w:hAnsi="Times New Roman" w:cs="Times New Roman"/>
          <w:lang w:eastAsia="pt-BR"/>
        </w:rPr>
        <w:t> </w:t>
      </w:r>
    </w:p>
    <w:p w14:paraId="4E050A72"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b/>
          <w:color w:val="000000"/>
          <w:u w:val="single"/>
          <w:shd w:val="clear" w:color="auto" w:fill="00FFFF"/>
          <w:lang w:eastAsia="pt-BR"/>
        </w:rPr>
        <w:lastRenderedPageBreak/>
        <w:t>OU</w:t>
      </w:r>
    </w:p>
    <w:p w14:paraId="326E844B"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shd w:val="clear" w:color="auto" w:fill="00FFFF"/>
          <w:lang w:eastAsia="pt-BR"/>
        </w:rPr>
        <w:t xml:space="preserve">Feitas essas considerações, verifica-se que a Administração justificou, </w:t>
      </w:r>
      <w:r w:rsidRPr="0051439E">
        <w:rPr>
          <w:rFonts w:ascii="Times New Roman" w:eastAsiaTheme="minorEastAsia" w:hAnsi="Times New Roman" w:cs="Times New Roman"/>
          <w:color w:val="FF0000"/>
          <w:shd w:val="clear" w:color="auto" w:fill="00FFFF"/>
          <w:lang w:eastAsia="pt-BR"/>
        </w:rPr>
        <w:t>às fls</w:t>
      </w:r>
      <w:r w:rsidRPr="0051439E">
        <w:rPr>
          <w:rFonts w:ascii="Times New Roman" w:eastAsiaTheme="minorEastAsia" w:hAnsi="Times New Roman" w:cs="Times New Roman"/>
          <w:color w:val="000000"/>
          <w:shd w:val="clear" w:color="auto" w:fill="00FFFF"/>
          <w:lang w:eastAsia="pt-BR"/>
        </w:rPr>
        <w:t xml:space="preserve">. </w:t>
      </w:r>
      <w:r w:rsidRPr="0051439E">
        <w:rPr>
          <w:rFonts w:ascii="Times New Roman" w:eastAsiaTheme="minorEastAsia" w:hAnsi="Times New Roman" w:cs="Times New Roman"/>
          <w:color w:val="FF0000"/>
          <w:shd w:val="clear" w:color="auto" w:fill="00FFFF"/>
          <w:lang w:eastAsia="pt-BR"/>
        </w:rPr>
        <w:t>XXX</w:t>
      </w:r>
      <w:r w:rsidRPr="0051439E">
        <w:rPr>
          <w:rFonts w:ascii="Times New Roman" w:eastAsiaTheme="minorEastAsia" w:hAnsi="Times New Roman" w:cs="Times New Roman"/>
          <w:color w:val="000000"/>
          <w:shd w:val="clear" w:color="auto" w:fill="00FFFF"/>
          <w:lang w:eastAsia="pt-BR"/>
        </w:rPr>
        <w:t>, a não exigência dos critérios e práticas de sustentabilidade.</w:t>
      </w:r>
      <w:r w:rsidRPr="0051439E">
        <w:rPr>
          <w:rFonts w:ascii="Times New Roman" w:eastAsiaTheme="minorEastAsia" w:hAnsi="Times New Roman" w:cs="Times New Roman"/>
          <w:lang w:eastAsia="pt-BR"/>
        </w:rPr>
        <w:t> </w:t>
      </w:r>
    </w:p>
    <w:p w14:paraId="54D5F2A8"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b/>
          <w:color w:val="000000"/>
          <w:u w:val="single"/>
          <w:shd w:val="clear" w:color="auto" w:fill="00FFFF"/>
          <w:lang w:eastAsia="pt-BR"/>
        </w:rPr>
        <w:t>OU</w:t>
      </w:r>
    </w:p>
    <w:p w14:paraId="2ECB06D3"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shd w:val="clear" w:color="auto" w:fill="00FFFF"/>
          <w:lang w:eastAsia="pt-BR"/>
        </w:rPr>
        <w:t xml:space="preserve">Feitas essas considerações, verifica-se que </w:t>
      </w:r>
      <w:r w:rsidRPr="0051439E">
        <w:rPr>
          <w:rFonts w:ascii="Times New Roman" w:eastAsiaTheme="minorEastAsia" w:hAnsi="Times New Roman" w:cs="Times New Roman"/>
          <w:color w:val="000000"/>
          <w:u w:val="single"/>
          <w:shd w:val="clear" w:color="auto" w:fill="00FFFF"/>
          <w:lang w:eastAsia="pt-BR"/>
        </w:rPr>
        <w:t>a Administração precisa atender às exigências</w:t>
      </w:r>
      <w:r w:rsidRPr="0051439E">
        <w:rPr>
          <w:rFonts w:ascii="Times New Roman" w:eastAsiaTheme="minorEastAsia" w:hAnsi="Times New Roman" w:cs="Times New Roman"/>
          <w:color w:val="000000"/>
          <w:shd w:val="clear" w:color="auto" w:fill="00FFFF"/>
          <w:lang w:eastAsia="pt-BR"/>
        </w:rPr>
        <w:t xml:space="preserve"> salientadas acima, pois nem teceu considerações sobre os requisitos de sustentabilidade ambiental, nem justificou a sua não incidência.</w:t>
      </w:r>
      <w:r w:rsidRPr="0051439E">
        <w:rPr>
          <w:rFonts w:ascii="Times New Roman" w:eastAsiaTheme="minorEastAsia" w:hAnsi="Times New Roman" w:cs="Times New Roman"/>
          <w:lang w:eastAsia="pt-BR"/>
        </w:rPr>
        <w:t> </w:t>
      </w:r>
    </w:p>
    <w:p w14:paraId="3DD1A6CB" w14:textId="77777777" w:rsidR="006D1F90" w:rsidRPr="0051439E" w:rsidRDefault="006D1F90" w:rsidP="006D1F90">
      <w:pPr>
        <w:spacing w:beforeAutospacing="1" w:afterAutospacing="1" w:line="240" w:lineRule="auto"/>
        <w:jc w:val="both"/>
        <w:rPr>
          <w:rFonts w:ascii="Times New Roman" w:eastAsiaTheme="minorEastAsia" w:hAnsi="Times New Roman" w:cs="Times New Roman"/>
          <w:lang w:eastAsia="pt-BR"/>
        </w:rPr>
      </w:pPr>
    </w:p>
    <w:p w14:paraId="2EF880EE"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b/>
          <w:color w:val="000000" w:themeColor="text1"/>
          <w:lang w:eastAsia="pt-BR"/>
        </w:rPr>
        <w:t>Do orçamento da contratação e da obrigatoriedade de elaboração de planilhas</w:t>
      </w:r>
      <w:r w:rsidRPr="0051439E">
        <w:rPr>
          <w:rFonts w:ascii="Times New Roman" w:eastAsiaTheme="minorEastAsia" w:hAnsi="Times New Roman" w:cs="Times New Roman"/>
          <w:b/>
          <w:lang w:eastAsia="pt-BR"/>
        </w:rPr>
        <w:t> </w:t>
      </w:r>
    </w:p>
    <w:p w14:paraId="0E76F35F"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lang w:eastAsia="pt-BR"/>
        </w:rPr>
        <w:t>  </w:t>
      </w:r>
    </w:p>
    <w:p w14:paraId="04632CE0"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themeColor="text1"/>
          <w:lang w:eastAsia="pt-BR"/>
        </w:rPr>
        <w:t xml:space="preserve">Quanto ao orçamento, é dever da Administração, na contratação de serviços/obras, elaborar planilha detalhada com a consolidação dos quantitativos e preços unitários e total da contratação (art. 6º, inciso XXIII, alínea "i", art. 18, inciso IV, e § 1º, inciso VI, da Lei nº 14.133, de 2021 c/c </w:t>
      </w:r>
      <w:r w:rsidRPr="0051439E">
        <w:rPr>
          <w:rFonts w:ascii="Times New Roman" w:eastAsiaTheme="minorEastAsia" w:hAnsi="Times New Roman" w:cs="Times New Roman"/>
          <w:lang w:eastAsia="pt-BR"/>
        </w:rPr>
        <w:t>art. 2º, incisos I, II, VIII e IX, do Decreto nº 7.983, de 2013</w:t>
      </w:r>
      <w:r w:rsidRPr="0051439E">
        <w:rPr>
          <w:rFonts w:ascii="Times New Roman" w:eastAsiaTheme="minorEastAsia" w:hAnsi="Times New Roman" w:cs="Times New Roman"/>
          <w:color w:val="000000" w:themeColor="text1"/>
          <w:lang w:eastAsia="pt-BR"/>
        </w:rPr>
        <w:t>).</w:t>
      </w:r>
      <w:r w:rsidRPr="0051439E">
        <w:rPr>
          <w:rFonts w:ascii="Times New Roman" w:eastAsiaTheme="minorEastAsia" w:hAnsi="Times New Roman" w:cs="Times New Roman"/>
          <w:lang w:eastAsia="pt-BR"/>
        </w:rPr>
        <w:t> </w:t>
      </w:r>
    </w:p>
    <w:p w14:paraId="6BBD4B0A" w14:textId="77777777" w:rsidR="006D1F90" w:rsidRPr="0051439E" w:rsidRDefault="006D1F90" w:rsidP="006D1F90">
      <w:pPr>
        <w:spacing w:beforeAutospacing="1" w:afterAutospacing="1" w:line="240" w:lineRule="auto"/>
        <w:jc w:val="both"/>
        <w:rPr>
          <w:rFonts w:ascii="Times New Roman" w:eastAsia="Times New Roman" w:hAnsi="Times New Roman" w:cs="Times New Roman"/>
          <w:color w:val="FF0000"/>
          <w:sz w:val="24"/>
          <w:szCs w:val="24"/>
          <w:highlight w:val="green"/>
        </w:rPr>
      </w:pPr>
    </w:p>
    <w:p w14:paraId="57F4AB47" w14:textId="77777777" w:rsidR="006D1F90" w:rsidRPr="0051439E" w:rsidRDefault="006D1F90" w:rsidP="006D1F90">
      <w:pPr>
        <w:spacing w:beforeAutospacing="1" w:afterAutospacing="1" w:line="240" w:lineRule="auto"/>
        <w:jc w:val="both"/>
        <w:rPr>
          <w:rFonts w:ascii="Times New Roman" w:eastAsia="Times New Roman" w:hAnsi="Times New Roman" w:cs="Times New Roman"/>
          <w:color w:val="FF0000"/>
          <w:sz w:val="24"/>
          <w:szCs w:val="24"/>
          <w:lang w:eastAsia="pt-BR"/>
        </w:rPr>
      </w:pPr>
      <w:r w:rsidRPr="0051439E">
        <w:rPr>
          <w:rFonts w:ascii="Times New Roman" w:eastAsia="Times New Roman" w:hAnsi="Times New Roman" w:cs="Times New Roman"/>
          <w:color w:val="FF0000"/>
          <w:sz w:val="24"/>
          <w:szCs w:val="24"/>
        </w:rPr>
        <w:t xml:space="preserve">Deve constar nos autos </w:t>
      </w:r>
      <w:r w:rsidRPr="0051439E">
        <w:rPr>
          <w:rFonts w:ascii="Times New Roman" w:eastAsia="Times New Roman" w:hAnsi="Times New Roman" w:cs="Times New Roman"/>
          <w:b/>
          <w:bCs/>
          <w:color w:val="FF0000"/>
          <w:sz w:val="24"/>
          <w:szCs w:val="24"/>
        </w:rPr>
        <w:t xml:space="preserve">orçamento detalhado do custo global da obra/serviço, </w:t>
      </w:r>
      <w:r w:rsidRPr="0051439E">
        <w:rPr>
          <w:rFonts w:ascii="Times New Roman" w:eastAsia="Times New Roman" w:hAnsi="Times New Roman" w:cs="Times New Roman"/>
          <w:color w:val="FF0000"/>
          <w:sz w:val="24"/>
          <w:szCs w:val="24"/>
        </w:rPr>
        <w:t xml:space="preserve">fundamentado em quantitativos de serviços e fornecimentos propriamente avaliados, obrigatório exclusivamente para os regimes de execução previstos nos incisos I (empreitada por preço unitário), II (empreitada por preço global), III (empreitada integral), IV (contratação por tarefa) e VII (fornecimento e prestação de serviço associado) do </w:t>
      </w:r>
      <w:r w:rsidRPr="0051439E">
        <w:rPr>
          <w:rFonts w:ascii="Times New Roman" w:eastAsia="Times New Roman" w:hAnsi="Times New Roman" w:cs="Times New Roman"/>
          <w:b/>
          <w:bCs/>
          <w:color w:val="FF0000"/>
          <w:sz w:val="24"/>
          <w:szCs w:val="24"/>
        </w:rPr>
        <w:t>caput</w:t>
      </w:r>
      <w:r w:rsidRPr="0051439E">
        <w:rPr>
          <w:rFonts w:ascii="Times New Roman" w:eastAsia="Times New Roman" w:hAnsi="Times New Roman" w:cs="Times New Roman"/>
          <w:color w:val="FF0000"/>
          <w:sz w:val="24"/>
          <w:szCs w:val="24"/>
        </w:rPr>
        <w:t xml:space="preserve"> do art. 46 da Lei nº 14.133, de 2021 </w:t>
      </w:r>
      <w:r w:rsidRPr="0051439E">
        <w:rPr>
          <w:rFonts w:ascii="Times New Roman" w:eastAsia="Times New Roman" w:hAnsi="Times New Roman" w:cs="Times New Roman"/>
          <w:color w:val="FF0000"/>
          <w:sz w:val="24"/>
          <w:szCs w:val="24"/>
          <w:lang w:eastAsia="pt-BR"/>
        </w:rPr>
        <w:t xml:space="preserve">(art. 6º, </w:t>
      </w:r>
      <w:r w:rsidRPr="0051439E">
        <w:rPr>
          <w:rFonts w:ascii="Times New Roman" w:eastAsia="Times New Roman" w:hAnsi="Times New Roman" w:cs="Times New Roman"/>
          <w:color w:val="FF0000"/>
          <w:sz w:val="24"/>
          <w:szCs w:val="24"/>
        </w:rPr>
        <w:t>XXV</w:t>
      </w:r>
      <w:r w:rsidRPr="0051439E">
        <w:rPr>
          <w:rFonts w:ascii="Times New Roman" w:eastAsia="Times New Roman" w:hAnsi="Times New Roman" w:cs="Times New Roman"/>
          <w:color w:val="FF0000"/>
          <w:sz w:val="24"/>
          <w:szCs w:val="24"/>
          <w:lang w:eastAsia="pt-BR"/>
        </w:rPr>
        <w:t>, alínea "f", da Lei nº 14.133, de 2021).</w:t>
      </w:r>
    </w:p>
    <w:p w14:paraId="605BAB51" w14:textId="77777777" w:rsidR="006D1F90" w:rsidRPr="0051439E" w:rsidRDefault="006D1F90" w:rsidP="006D1F90">
      <w:pPr>
        <w:spacing w:beforeAutospacing="1" w:afterAutospacing="1" w:line="240" w:lineRule="auto"/>
        <w:jc w:val="both"/>
        <w:rPr>
          <w:rFonts w:ascii="Times New Roman" w:eastAsiaTheme="minorEastAsia" w:hAnsi="Times New Roman" w:cs="Times New Roman"/>
          <w:color w:val="000000" w:themeColor="text1"/>
          <w:lang w:eastAsia="pt-BR"/>
        </w:rPr>
      </w:pPr>
    </w:p>
    <w:p w14:paraId="37C82B2D"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shd w:val="clear" w:color="auto" w:fill="00FFFF"/>
          <w:lang w:eastAsia="pt-BR"/>
        </w:rPr>
        <w:t xml:space="preserve">Compulsando os autos, verifica-se que foi juntada planilha de custos e formação de preços elaborada por servidor devidamente identificado nos autos às fls. </w:t>
      </w:r>
      <w:r w:rsidRPr="0051439E">
        <w:rPr>
          <w:rFonts w:ascii="Times New Roman" w:eastAsiaTheme="minorEastAsia" w:hAnsi="Times New Roman" w:cs="Times New Roman"/>
          <w:color w:val="FF0000"/>
          <w:shd w:val="clear" w:color="auto" w:fill="00FFFF"/>
          <w:lang w:eastAsia="pt-BR"/>
        </w:rPr>
        <w:t>XXX/no doc. SEI XXX</w:t>
      </w:r>
      <w:r w:rsidRPr="0051439E">
        <w:rPr>
          <w:rFonts w:ascii="Times New Roman" w:eastAsiaTheme="minorEastAsia" w:hAnsi="Times New Roman" w:cs="Times New Roman"/>
          <w:color w:val="000000"/>
          <w:shd w:val="clear" w:color="auto" w:fill="00FFFF"/>
          <w:lang w:eastAsia="pt-BR"/>
        </w:rPr>
        <w:t>.  </w:t>
      </w:r>
      <w:r w:rsidRPr="0051439E">
        <w:rPr>
          <w:rFonts w:ascii="Times New Roman" w:eastAsiaTheme="minorEastAsia" w:hAnsi="Times New Roman" w:cs="Times New Roman"/>
          <w:lang w:eastAsia="pt-BR"/>
        </w:rPr>
        <w:t> </w:t>
      </w:r>
    </w:p>
    <w:p w14:paraId="152D34A4"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b/>
          <w:color w:val="000000"/>
          <w:u w:val="single"/>
          <w:shd w:val="clear" w:color="auto" w:fill="00FFFF"/>
          <w:lang w:eastAsia="pt-BR"/>
        </w:rPr>
        <w:t>OU</w:t>
      </w:r>
      <w:r w:rsidRPr="0051439E">
        <w:rPr>
          <w:rFonts w:ascii="Times New Roman" w:eastAsiaTheme="minorEastAsia" w:hAnsi="Times New Roman" w:cs="Times New Roman"/>
          <w:lang w:eastAsia="pt-BR"/>
        </w:rPr>
        <w:t> </w:t>
      </w:r>
    </w:p>
    <w:p w14:paraId="02494283"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shd w:val="clear" w:color="auto" w:fill="00FFFF"/>
          <w:lang w:eastAsia="pt-BR"/>
        </w:rPr>
        <w:t xml:space="preserve">Compulsando os autos, verifica-se que </w:t>
      </w:r>
      <w:r w:rsidRPr="0051439E">
        <w:rPr>
          <w:rFonts w:ascii="Times New Roman" w:eastAsiaTheme="minorEastAsia" w:hAnsi="Times New Roman" w:cs="Times New Roman"/>
          <w:color w:val="000000"/>
          <w:u w:val="single"/>
          <w:shd w:val="clear" w:color="auto" w:fill="00FFFF"/>
          <w:lang w:eastAsia="pt-BR"/>
        </w:rPr>
        <w:t xml:space="preserve">não foi juntada planilha </w:t>
      </w:r>
      <w:r w:rsidRPr="0051439E">
        <w:rPr>
          <w:rFonts w:ascii="Times New Roman" w:eastAsiaTheme="minorEastAsia" w:hAnsi="Times New Roman" w:cs="Times New Roman"/>
          <w:color w:val="000000"/>
          <w:shd w:val="clear" w:color="auto" w:fill="00FFFF"/>
          <w:lang w:eastAsia="pt-BR"/>
        </w:rPr>
        <w:t xml:space="preserve">de custos e formação de preços elaborada pela Administração por meio de servidor devidamente identificado nos autos. Desse modo, </w:t>
      </w:r>
      <w:r w:rsidRPr="0051439E">
        <w:rPr>
          <w:rFonts w:ascii="Times New Roman" w:eastAsiaTheme="minorEastAsia" w:hAnsi="Times New Roman" w:cs="Times New Roman"/>
          <w:color w:val="000000"/>
          <w:u w:val="single"/>
          <w:shd w:val="clear" w:color="auto" w:fill="00FFFF"/>
          <w:lang w:eastAsia="pt-BR"/>
        </w:rPr>
        <w:t>deverá a planilha ser preenchida pela Administração com a indicação de todos os custos unitários dos itens referentes ao serviço.</w:t>
      </w:r>
    </w:p>
    <w:p w14:paraId="4F894147" w14:textId="77777777" w:rsidR="006D1F90" w:rsidRPr="0051439E" w:rsidRDefault="006D1F90" w:rsidP="006D1F90">
      <w:pPr>
        <w:spacing w:beforeAutospacing="1" w:afterAutospacing="1" w:line="240" w:lineRule="auto"/>
        <w:jc w:val="both"/>
        <w:rPr>
          <w:rFonts w:ascii="Times New Roman" w:eastAsiaTheme="minorEastAsia" w:hAnsi="Times New Roman" w:cs="Times New Roman"/>
          <w:color w:val="000000" w:themeColor="text1"/>
          <w:lang w:eastAsia="pt-BR"/>
        </w:rPr>
      </w:pPr>
    </w:p>
    <w:p w14:paraId="5F9A28A5"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themeColor="text1"/>
          <w:lang w:eastAsia="pt-BR"/>
        </w:rPr>
        <w:t>Tendo em conta a natureza estritamente técnica do orçamento, a adequação da metodologia empregada para estimar os custos unitários da contratação deixará de ser examinada neste parecer, por se tratar de atribuição não afeta à formação jurídica e ao prisma do exame da estrita legalidade.</w:t>
      </w:r>
      <w:r w:rsidRPr="0051439E">
        <w:rPr>
          <w:rFonts w:ascii="Times New Roman" w:eastAsiaTheme="minorEastAsia" w:hAnsi="Times New Roman" w:cs="Times New Roman"/>
          <w:lang w:eastAsia="pt-BR"/>
        </w:rPr>
        <w:t>   </w:t>
      </w:r>
    </w:p>
    <w:p w14:paraId="38162958" w14:textId="77777777" w:rsidR="006D1F90" w:rsidRPr="0051439E" w:rsidRDefault="006D1F90" w:rsidP="006D1F90">
      <w:pPr>
        <w:spacing w:beforeAutospacing="1" w:afterAutospacing="1" w:line="240" w:lineRule="auto"/>
        <w:jc w:val="both"/>
        <w:rPr>
          <w:rFonts w:ascii="Times New Roman" w:eastAsiaTheme="minorEastAsia" w:hAnsi="Times New Roman" w:cs="Times New Roman"/>
          <w:color w:val="000000" w:themeColor="text1"/>
          <w:lang w:eastAsia="pt-BR"/>
        </w:rPr>
      </w:pPr>
    </w:p>
    <w:p w14:paraId="453CE1EC"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themeColor="text1"/>
          <w:lang w:eastAsia="pt-BR"/>
        </w:rPr>
        <w:lastRenderedPageBreak/>
        <w:t>Considera-se prudente, contudo, ressaltar alguns pontos considerados relevantes sob o prisma jurídico, a fim de melhor orientar, nesse particular, a atuação administrativa. Senão, veja-se.</w:t>
      </w:r>
      <w:r w:rsidRPr="0051439E">
        <w:rPr>
          <w:rFonts w:ascii="Times New Roman" w:eastAsiaTheme="minorEastAsia" w:hAnsi="Times New Roman" w:cs="Times New Roman"/>
          <w:lang w:eastAsia="pt-BR"/>
        </w:rPr>
        <w:t>   </w:t>
      </w:r>
    </w:p>
    <w:p w14:paraId="4BB3E31D" w14:textId="77777777" w:rsidR="006D1F90" w:rsidRPr="0051439E" w:rsidRDefault="006D1F90" w:rsidP="006D1F90">
      <w:pPr>
        <w:spacing w:beforeAutospacing="1" w:afterAutospacing="1" w:line="240" w:lineRule="auto"/>
        <w:jc w:val="both"/>
        <w:rPr>
          <w:rFonts w:ascii="Times New Roman" w:eastAsiaTheme="minorEastAsia" w:hAnsi="Times New Roman" w:cs="Times New Roman"/>
          <w:color w:val="000000" w:themeColor="text1"/>
          <w:lang w:eastAsia="pt-BR"/>
        </w:rPr>
      </w:pPr>
    </w:p>
    <w:p w14:paraId="4F1CBB35"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themeColor="text1"/>
          <w:lang w:eastAsia="pt-BR"/>
        </w:rPr>
        <w:t>O gestor deve observar o art. 23, § 2º da Lei nº 14.133, de 2021:</w:t>
      </w:r>
      <w:r w:rsidRPr="0051439E">
        <w:rPr>
          <w:rFonts w:ascii="Times New Roman" w:eastAsiaTheme="minorEastAsia" w:hAnsi="Times New Roman" w:cs="Times New Roman"/>
          <w:lang w:eastAsia="pt-BR"/>
        </w:rPr>
        <w:t> </w:t>
      </w:r>
    </w:p>
    <w:p w14:paraId="1C46BAC5" w14:textId="77777777" w:rsidR="006D1F90" w:rsidRPr="0051439E" w:rsidRDefault="006D1F90" w:rsidP="006D1F90">
      <w:pPr>
        <w:spacing w:after="100" w:line="240" w:lineRule="auto"/>
        <w:jc w:val="both"/>
        <w:rPr>
          <w:rFonts w:ascii="Times New Roman" w:eastAsiaTheme="minorEastAsia" w:hAnsi="Times New Roman" w:cs="Times New Roman"/>
          <w:color w:val="000000" w:themeColor="text1"/>
          <w:lang w:eastAsia="pt-BR"/>
        </w:rPr>
      </w:pPr>
    </w:p>
    <w:p w14:paraId="6077DB3A" w14:textId="77777777" w:rsidR="006D1F90" w:rsidRPr="0051439E" w:rsidRDefault="006D1F90" w:rsidP="006D1F90">
      <w:pPr>
        <w:spacing w:after="100" w:line="240" w:lineRule="auto"/>
        <w:ind w:left="1350"/>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themeColor="text1"/>
          <w:lang w:eastAsia="pt-BR"/>
        </w:rPr>
        <w:t>Art. 23.</w:t>
      </w:r>
      <w:r w:rsidRPr="0051439E">
        <w:rPr>
          <w:rFonts w:ascii="Times New Roman" w:eastAsiaTheme="minorEastAsia" w:hAnsi="Times New Roman" w:cs="Times New Roman"/>
          <w:lang w:eastAsia="pt-BR"/>
        </w:rPr>
        <w:t xml:space="preserve"> </w:t>
      </w:r>
      <w:r w:rsidRPr="0051439E">
        <w:rPr>
          <w:rFonts w:ascii="Times New Roman" w:eastAsiaTheme="minorEastAsia" w:hAnsi="Times New Roman" w:cs="Times New Roman"/>
          <w:color w:val="000000" w:themeColor="text1"/>
          <w:lang w:eastAsia="pt-BR"/>
        </w:rPr>
        <w:t>O valor previamente estimado da contratação deverá ser compatível com os valores praticados pelo mercado, considerados os preços constantes de bancos de dados públicos e as quantidades a serem contratadas, observadas a potencial economia de escala e as peculiaridades do local de execução do objeto.</w:t>
      </w:r>
      <w:r w:rsidRPr="0051439E">
        <w:rPr>
          <w:rFonts w:ascii="Times New Roman" w:eastAsiaTheme="minorEastAsia" w:hAnsi="Times New Roman" w:cs="Times New Roman"/>
          <w:lang w:eastAsia="pt-BR"/>
        </w:rPr>
        <w:t> </w:t>
      </w:r>
    </w:p>
    <w:p w14:paraId="71221ABB" w14:textId="77777777" w:rsidR="006D1F90" w:rsidRPr="0051439E" w:rsidRDefault="006D1F90" w:rsidP="006D1F90">
      <w:pPr>
        <w:spacing w:after="100" w:line="240" w:lineRule="auto"/>
        <w:ind w:left="1350"/>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themeColor="text1"/>
          <w:lang w:eastAsia="pt-BR"/>
        </w:rPr>
        <w:t xml:space="preserve">(...) </w:t>
      </w:r>
    </w:p>
    <w:p w14:paraId="44686FE5" w14:textId="77777777" w:rsidR="006D1F90" w:rsidRPr="0051439E" w:rsidRDefault="006D1F90" w:rsidP="006D1F90">
      <w:pPr>
        <w:spacing w:after="100" w:line="240" w:lineRule="auto"/>
        <w:ind w:left="1350"/>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themeColor="text1"/>
          <w:lang w:eastAsia="pt-BR"/>
        </w:rPr>
        <w:t xml:space="preserve">§ 2º </w:t>
      </w:r>
      <w:r w:rsidRPr="0051439E">
        <w:rPr>
          <w:rFonts w:ascii="Times New Roman" w:eastAsiaTheme="minorEastAsia" w:hAnsi="Times New Roman" w:cs="Times New Roman"/>
          <w:color w:val="000000" w:themeColor="text1"/>
          <w:u w:val="single"/>
          <w:lang w:eastAsia="pt-BR"/>
        </w:rPr>
        <w:t>No processo licitatório para contratação de obras e serviços de engenharia</w:t>
      </w:r>
      <w:r w:rsidRPr="0051439E">
        <w:rPr>
          <w:rFonts w:ascii="Times New Roman" w:eastAsiaTheme="minorEastAsia" w:hAnsi="Times New Roman" w:cs="Times New Roman"/>
          <w:color w:val="000000" w:themeColor="text1"/>
          <w:lang w:eastAsia="pt-BR"/>
        </w:rPr>
        <w:t xml:space="preserve">, conforme regulamento, o valor estimado, acrescido do percentual de Benefícios e Despesas Indiretas (BDI) de referência e dos Encargos Sociais (ES) cabíveis, </w:t>
      </w:r>
      <w:r w:rsidRPr="0051439E">
        <w:rPr>
          <w:rFonts w:ascii="Times New Roman" w:eastAsiaTheme="minorEastAsia" w:hAnsi="Times New Roman" w:cs="Times New Roman"/>
          <w:color w:val="000000" w:themeColor="text1"/>
          <w:u w:val="single"/>
          <w:lang w:eastAsia="pt-BR"/>
        </w:rPr>
        <w:t>será definido por meio da utilização de parâmetros na seguinte ordem</w:t>
      </w:r>
      <w:r w:rsidRPr="0051439E">
        <w:rPr>
          <w:rFonts w:ascii="Times New Roman" w:eastAsiaTheme="minorEastAsia" w:hAnsi="Times New Roman" w:cs="Times New Roman"/>
          <w:color w:val="000000" w:themeColor="text1"/>
          <w:lang w:eastAsia="pt-BR"/>
        </w:rPr>
        <w:t>:</w:t>
      </w:r>
      <w:r w:rsidRPr="0051439E">
        <w:rPr>
          <w:rFonts w:ascii="Times New Roman" w:eastAsiaTheme="minorEastAsia" w:hAnsi="Times New Roman" w:cs="Times New Roman"/>
          <w:lang w:eastAsia="pt-BR"/>
        </w:rPr>
        <w:t> </w:t>
      </w:r>
    </w:p>
    <w:p w14:paraId="759976AF" w14:textId="77777777" w:rsidR="006D1F90" w:rsidRPr="0051439E" w:rsidRDefault="006D1F90" w:rsidP="006D1F90">
      <w:pPr>
        <w:spacing w:after="100" w:line="240" w:lineRule="auto"/>
        <w:ind w:left="1350"/>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themeColor="text1"/>
          <w:lang w:eastAsia="pt-BR"/>
        </w:rPr>
        <w:t>I - composição de custos unitários menores ou iguais à mediana do item correspondente do Sistema de Custos Referenciais de Obras (</w:t>
      </w:r>
      <w:proofErr w:type="spellStart"/>
      <w:r w:rsidRPr="0051439E">
        <w:rPr>
          <w:rFonts w:ascii="Times New Roman" w:eastAsiaTheme="minorEastAsia" w:hAnsi="Times New Roman" w:cs="Times New Roman"/>
          <w:color w:val="000000" w:themeColor="text1"/>
          <w:lang w:eastAsia="pt-BR"/>
        </w:rPr>
        <w:t>Sicro</w:t>
      </w:r>
      <w:proofErr w:type="spellEnd"/>
      <w:r w:rsidRPr="0051439E">
        <w:rPr>
          <w:rFonts w:ascii="Times New Roman" w:eastAsiaTheme="minorEastAsia" w:hAnsi="Times New Roman" w:cs="Times New Roman"/>
          <w:color w:val="000000" w:themeColor="text1"/>
          <w:lang w:eastAsia="pt-BR"/>
        </w:rPr>
        <w:t>), para serviços e obras de infraestrutura de transportes, ou do Sistema Nacional de Pesquisa de Custos e Índices de Construção Civil (</w:t>
      </w:r>
      <w:proofErr w:type="spellStart"/>
      <w:r w:rsidRPr="0051439E">
        <w:rPr>
          <w:rFonts w:ascii="Times New Roman" w:eastAsiaTheme="minorEastAsia" w:hAnsi="Times New Roman" w:cs="Times New Roman"/>
          <w:color w:val="000000" w:themeColor="text1"/>
          <w:lang w:eastAsia="pt-BR"/>
        </w:rPr>
        <w:t>Sinapi</w:t>
      </w:r>
      <w:proofErr w:type="spellEnd"/>
      <w:r w:rsidRPr="0051439E">
        <w:rPr>
          <w:rFonts w:ascii="Times New Roman" w:eastAsiaTheme="minorEastAsia" w:hAnsi="Times New Roman" w:cs="Times New Roman"/>
          <w:color w:val="000000" w:themeColor="text1"/>
          <w:lang w:eastAsia="pt-BR"/>
        </w:rPr>
        <w:t>), para as demais obras e serviços de engenharia;</w:t>
      </w:r>
      <w:r w:rsidRPr="0051439E">
        <w:rPr>
          <w:rFonts w:ascii="Times New Roman" w:eastAsiaTheme="minorEastAsia" w:hAnsi="Times New Roman" w:cs="Times New Roman"/>
          <w:lang w:eastAsia="pt-BR"/>
        </w:rPr>
        <w:t> </w:t>
      </w:r>
    </w:p>
    <w:p w14:paraId="1B6B1741" w14:textId="77777777" w:rsidR="006D1F90" w:rsidRPr="0051439E" w:rsidRDefault="006D1F90" w:rsidP="006D1F90">
      <w:pPr>
        <w:spacing w:after="100" w:line="240" w:lineRule="auto"/>
        <w:ind w:left="1350"/>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themeColor="text1"/>
          <w:lang w:eastAsia="pt-BR"/>
        </w:rPr>
        <w:t>II - utilização de dados de pesquisa publicada em mídia especializada, de tabela de referência formalmente aprovada pelo Poder Executivo federal e de sítios eletrônicos especializados ou de domínio amplo, desde que contenham a data e a hora de acesso;</w:t>
      </w:r>
      <w:r w:rsidRPr="0051439E">
        <w:rPr>
          <w:rFonts w:ascii="Times New Roman" w:eastAsiaTheme="minorEastAsia" w:hAnsi="Times New Roman" w:cs="Times New Roman"/>
          <w:lang w:eastAsia="pt-BR"/>
        </w:rPr>
        <w:t> </w:t>
      </w:r>
    </w:p>
    <w:p w14:paraId="7667DFDE" w14:textId="77777777" w:rsidR="006D1F90" w:rsidRPr="0051439E" w:rsidRDefault="006D1F90" w:rsidP="006D1F90">
      <w:pPr>
        <w:spacing w:after="100" w:line="240" w:lineRule="auto"/>
        <w:ind w:left="1350"/>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themeColor="text1"/>
          <w:lang w:eastAsia="pt-BR"/>
        </w:rPr>
        <w:t>III - contratações similares feitas pela Administração Pública, em execução ou concluídas no período de 1 (um) ano anterior à data da pesquisa de preços, observado o índice de atualização de preços correspondente;</w:t>
      </w:r>
      <w:r w:rsidRPr="0051439E">
        <w:rPr>
          <w:rFonts w:ascii="Times New Roman" w:eastAsiaTheme="minorEastAsia" w:hAnsi="Times New Roman" w:cs="Times New Roman"/>
          <w:lang w:eastAsia="pt-BR"/>
        </w:rPr>
        <w:t> </w:t>
      </w:r>
    </w:p>
    <w:p w14:paraId="0A043DE4" w14:textId="77777777" w:rsidR="006D1F90" w:rsidRPr="0051439E" w:rsidRDefault="006D1F90" w:rsidP="006D1F90">
      <w:pPr>
        <w:spacing w:after="100" w:line="240" w:lineRule="auto"/>
        <w:ind w:left="1350"/>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themeColor="text1"/>
          <w:lang w:eastAsia="pt-BR"/>
        </w:rPr>
        <w:t>IV - pesquisa na base nacional de notas fiscais eletrônicas, na forma de regulamento.</w:t>
      </w:r>
      <w:r w:rsidRPr="0051439E">
        <w:rPr>
          <w:rFonts w:ascii="Times New Roman" w:eastAsiaTheme="minorEastAsia" w:hAnsi="Times New Roman" w:cs="Times New Roman"/>
          <w:lang w:eastAsia="pt-BR"/>
        </w:rPr>
        <w:t> </w:t>
      </w:r>
    </w:p>
    <w:p w14:paraId="5FC6F937"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p>
    <w:p w14:paraId="6F53A552"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lang w:eastAsia="pt-BR"/>
        </w:rPr>
        <w:t>A IN SEGES/ME Nº 91, de 16 de dezembro de 2022, autoriza a aplicação do Decreto nº 7.983, de 2013, que estabelece regras e critérios para elaboração do orçamento de referência de obras e serviços de engenharia, contratados e executados com recursos dos orçamentos da União, no que couber, para a definição do valor estimado nos processos de licitação e de contratação direta de obras e serviços de engenharia. </w:t>
      </w:r>
    </w:p>
    <w:p w14:paraId="76FA1BAB"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p>
    <w:p w14:paraId="74046A13"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b/>
          <w:color w:val="000000" w:themeColor="text1"/>
          <w:lang w:eastAsia="pt-BR"/>
        </w:rPr>
        <w:t>Definição de critérios de aceitabilidade dos preços unitários e global:</w:t>
      </w:r>
      <w:r w:rsidRPr="0051439E">
        <w:rPr>
          <w:rFonts w:ascii="Times New Roman" w:eastAsiaTheme="minorEastAsia" w:hAnsi="Times New Roman" w:cs="Times New Roman"/>
          <w:b/>
          <w:lang w:eastAsia="pt-BR"/>
        </w:rPr>
        <w:t> </w:t>
      </w:r>
    </w:p>
    <w:p w14:paraId="68665DF3"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lang w:eastAsia="pt-BR"/>
        </w:rPr>
        <w:t>  </w:t>
      </w:r>
    </w:p>
    <w:p w14:paraId="3A2F27A4"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themeColor="text1"/>
          <w:lang w:eastAsia="pt-BR"/>
        </w:rPr>
        <w:t>No que se refere à produção da planilha orçamentária, é importante que a Administração se paute conforme a expressa determinação do  Decreto nº 7.983, de 2013, não relegando toda a responsabilidade pela definição dos insumos necessários para o serviço de engenharia e o seu quantitativo (material, mão de obra e equipamentos) apenas para os projetistas, mas se certificando de que os elementos constantes dos projetos e planilhas orçamentárias por eles elaboradas estão de acordo com as determinações normativas.</w:t>
      </w:r>
      <w:r w:rsidRPr="0051439E">
        <w:rPr>
          <w:rFonts w:ascii="Times New Roman" w:eastAsiaTheme="minorEastAsia" w:hAnsi="Times New Roman" w:cs="Times New Roman"/>
          <w:lang w:eastAsia="pt-BR"/>
        </w:rPr>
        <w:t>   </w:t>
      </w:r>
    </w:p>
    <w:p w14:paraId="3E109BCA" w14:textId="77777777" w:rsidR="006D1F90" w:rsidRPr="0051439E" w:rsidRDefault="006D1F90" w:rsidP="006D1F90">
      <w:pPr>
        <w:spacing w:beforeAutospacing="1" w:afterAutospacing="1" w:line="240" w:lineRule="auto"/>
        <w:jc w:val="both"/>
        <w:rPr>
          <w:rFonts w:ascii="Times New Roman" w:eastAsiaTheme="minorEastAsia" w:hAnsi="Times New Roman" w:cs="Times New Roman"/>
          <w:color w:val="000000" w:themeColor="text1"/>
          <w:lang w:eastAsia="pt-BR"/>
        </w:rPr>
      </w:pPr>
    </w:p>
    <w:p w14:paraId="1E356CBA"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themeColor="text1"/>
          <w:lang w:eastAsia="pt-BR"/>
        </w:rPr>
        <w:t>Com relação à composição dos custos dos serviços de engenharia ao preço total estimado para cada despesa, a lei exige que seus elementos estejam muito bem evidenciados na planilha orçamentária prevista no art. 6º, inciso XXIII, alínea "i", art. 18, inciso IV, e § 1º, inciso VI, da Lei nº 14.133, de 2021, incluindo os valores unitários de todos os insumos, imprescindível para orientar o gestor em caso de acréscimos futuros.</w:t>
      </w:r>
      <w:r w:rsidRPr="0051439E">
        <w:rPr>
          <w:rFonts w:ascii="Times New Roman" w:eastAsiaTheme="minorEastAsia" w:hAnsi="Times New Roman" w:cs="Times New Roman"/>
          <w:lang w:eastAsia="pt-BR"/>
        </w:rPr>
        <w:t>   </w:t>
      </w:r>
    </w:p>
    <w:p w14:paraId="0298D4F8" w14:textId="77777777" w:rsidR="006D1F90" w:rsidRPr="0051439E" w:rsidRDefault="006D1F90" w:rsidP="006D1F90">
      <w:pPr>
        <w:spacing w:beforeAutospacing="1" w:afterAutospacing="1" w:line="240" w:lineRule="auto"/>
        <w:jc w:val="both"/>
        <w:rPr>
          <w:rFonts w:ascii="Times New Roman" w:eastAsiaTheme="minorEastAsia" w:hAnsi="Times New Roman" w:cs="Times New Roman"/>
          <w:color w:val="000000" w:themeColor="text1"/>
          <w:lang w:eastAsia="pt-BR"/>
        </w:rPr>
      </w:pPr>
    </w:p>
    <w:p w14:paraId="3C2EE6D1"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themeColor="text1"/>
          <w:lang w:eastAsia="pt-BR"/>
        </w:rPr>
        <w:t>Tais disposições são aplicáveis de acordo com as particularidades de cada obra ou serviço de engenharia.</w:t>
      </w:r>
      <w:r w:rsidRPr="0051439E">
        <w:rPr>
          <w:rFonts w:ascii="Times New Roman" w:eastAsiaTheme="minorEastAsia" w:hAnsi="Times New Roman" w:cs="Times New Roman"/>
          <w:lang w:eastAsia="pt-BR"/>
        </w:rPr>
        <w:t>   </w:t>
      </w:r>
    </w:p>
    <w:p w14:paraId="6E59A6A8" w14:textId="77777777" w:rsidR="006D1F90" w:rsidRPr="0051439E" w:rsidRDefault="006D1F90" w:rsidP="006D1F90">
      <w:pPr>
        <w:spacing w:beforeAutospacing="1" w:afterAutospacing="1" w:line="240" w:lineRule="auto"/>
        <w:jc w:val="both"/>
        <w:rPr>
          <w:rFonts w:ascii="Times New Roman" w:eastAsiaTheme="minorEastAsia" w:hAnsi="Times New Roman" w:cs="Times New Roman"/>
          <w:color w:val="000000" w:themeColor="text1"/>
          <w:lang w:eastAsia="pt-BR"/>
        </w:rPr>
      </w:pPr>
    </w:p>
    <w:p w14:paraId="005B7DDC"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themeColor="text1"/>
          <w:lang w:eastAsia="pt-BR"/>
        </w:rPr>
        <w:t>O Decreto nº 7.983, de 2013, determina que se devem utilizar primordialmente os valores constantes no SICRO/SINAPI.</w:t>
      </w:r>
      <w:r w:rsidRPr="0051439E">
        <w:rPr>
          <w:rFonts w:ascii="Times New Roman" w:eastAsiaTheme="minorEastAsia" w:hAnsi="Times New Roman" w:cs="Times New Roman"/>
          <w:lang w:eastAsia="pt-BR"/>
        </w:rPr>
        <w:t>   </w:t>
      </w:r>
    </w:p>
    <w:p w14:paraId="50F81A17" w14:textId="77777777" w:rsidR="006D1F90" w:rsidRPr="0051439E" w:rsidRDefault="006D1F90" w:rsidP="006D1F90">
      <w:pPr>
        <w:spacing w:beforeAutospacing="1" w:afterAutospacing="1" w:line="240" w:lineRule="auto"/>
        <w:jc w:val="both"/>
        <w:rPr>
          <w:rFonts w:ascii="Times New Roman" w:eastAsiaTheme="minorEastAsia" w:hAnsi="Times New Roman" w:cs="Times New Roman"/>
          <w:color w:val="000000" w:themeColor="text1"/>
          <w:lang w:eastAsia="pt-BR"/>
        </w:rPr>
      </w:pPr>
    </w:p>
    <w:p w14:paraId="590DD4E6"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themeColor="text1"/>
          <w:lang w:eastAsia="pt-BR"/>
        </w:rPr>
        <w:t>Para as obras e serviços de engenharia, aplica-se a Súmula TCU n° 258/2010:</w:t>
      </w:r>
      <w:r w:rsidRPr="0051439E">
        <w:rPr>
          <w:rFonts w:ascii="Times New Roman" w:eastAsiaTheme="minorEastAsia" w:hAnsi="Times New Roman" w:cs="Times New Roman"/>
          <w:lang w:eastAsia="pt-BR"/>
        </w:rPr>
        <w:t> </w:t>
      </w:r>
    </w:p>
    <w:p w14:paraId="02AD5D0A" w14:textId="77777777" w:rsidR="006D1F90" w:rsidRPr="0051439E" w:rsidRDefault="006D1F90" w:rsidP="006D1F90">
      <w:pPr>
        <w:spacing w:after="100" w:line="240" w:lineRule="auto"/>
        <w:jc w:val="both"/>
        <w:rPr>
          <w:rFonts w:ascii="Times New Roman" w:eastAsiaTheme="minorEastAsia" w:hAnsi="Times New Roman" w:cs="Times New Roman"/>
          <w:color w:val="000000" w:themeColor="text1"/>
          <w:lang w:eastAsia="pt-BR"/>
        </w:rPr>
      </w:pPr>
    </w:p>
    <w:p w14:paraId="4FD7082C" w14:textId="77777777" w:rsidR="006D1F90" w:rsidRPr="0051439E" w:rsidRDefault="006D1F90" w:rsidP="006D1F90">
      <w:pPr>
        <w:spacing w:after="100" w:line="240" w:lineRule="auto"/>
        <w:ind w:left="1350"/>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themeColor="text1"/>
          <w:lang w:eastAsia="pt-BR"/>
        </w:rPr>
        <w:t>Súmula TCU n° 258 - As composições de custos unitários e o detalhamento de encargos sociais e do BDI integram o orçamento que compõe o projeto básico da obra ou serviço de engenharia, devem constar dos anexos do edital de licitação e das propostas das licitantes e não podem ser indicados mediante uso da expressão 'verba' ou de unidades genéricas.</w:t>
      </w:r>
      <w:r w:rsidRPr="0051439E">
        <w:rPr>
          <w:rFonts w:ascii="Times New Roman" w:eastAsiaTheme="minorEastAsia" w:hAnsi="Times New Roman" w:cs="Times New Roman"/>
          <w:lang w:eastAsia="pt-BR"/>
        </w:rPr>
        <w:t> </w:t>
      </w:r>
    </w:p>
    <w:p w14:paraId="07615B07"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lang w:eastAsia="pt-BR"/>
        </w:rPr>
        <w:t>  </w:t>
      </w:r>
    </w:p>
    <w:p w14:paraId="3CEDDA42"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themeColor="text1"/>
          <w:lang w:eastAsia="pt-BR"/>
        </w:rPr>
        <w:t>Na definição do art. 2°, inciso VIII, do Decreto n° 7.983, de 2013, o orçamento de referência é o “</w:t>
      </w:r>
      <w:r w:rsidRPr="0051439E">
        <w:rPr>
          <w:rFonts w:ascii="Times New Roman" w:eastAsiaTheme="minorEastAsia" w:hAnsi="Times New Roman" w:cs="Times New Roman"/>
          <w:i/>
          <w:iCs/>
          <w:color w:val="000000" w:themeColor="text1"/>
          <w:lang w:eastAsia="pt-BR"/>
        </w:rPr>
        <w:t>detalhamento do preço global de referência que expressa a descrição, quantidades e custos unitários de todos os serviços, incluídas as respectivas composições de custos unitários, necessários à execução da obra e compatíveis com o projeto que integra o edital de licitação</w:t>
      </w:r>
      <w:r w:rsidRPr="0051439E">
        <w:rPr>
          <w:rFonts w:ascii="Times New Roman" w:eastAsiaTheme="minorEastAsia" w:hAnsi="Times New Roman" w:cs="Times New Roman"/>
          <w:color w:val="000000" w:themeColor="text1"/>
          <w:lang w:eastAsia="pt-BR"/>
        </w:rPr>
        <w:t>”.</w:t>
      </w:r>
      <w:r w:rsidRPr="0051439E">
        <w:rPr>
          <w:rFonts w:ascii="Times New Roman" w:eastAsiaTheme="minorEastAsia" w:hAnsi="Times New Roman" w:cs="Times New Roman"/>
          <w:lang w:eastAsia="pt-BR"/>
        </w:rPr>
        <w:t>   </w:t>
      </w:r>
    </w:p>
    <w:p w14:paraId="0BDAF118" w14:textId="77777777" w:rsidR="006D1F90" w:rsidRPr="0051439E" w:rsidRDefault="006D1F90" w:rsidP="006D1F90">
      <w:pPr>
        <w:spacing w:beforeAutospacing="1" w:afterAutospacing="1" w:line="240" w:lineRule="auto"/>
        <w:jc w:val="both"/>
        <w:rPr>
          <w:rFonts w:ascii="Times New Roman" w:eastAsiaTheme="minorEastAsia" w:hAnsi="Times New Roman" w:cs="Times New Roman"/>
          <w:color w:val="000000" w:themeColor="text1"/>
          <w:lang w:eastAsia="pt-BR"/>
        </w:rPr>
      </w:pPr>
    </w:p>
    <w:p w14:paraId="695FD466"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themeColor="text1"/>
          <w:lang w:eastAsia="pt-BR"/>
        </w:rPr>
        <w:t>No caso, a decomposição dos custos unitários é passo essencial para a previsão dos critérios de aceitabilidade dos preços unitários e global a serem aplicados no julgamento das propostas – medida obrigatória para as obras e serviços de engenharia, conforme Orientação Normativa AGU n° 5/2009 e Súmula TCU n° 259, que assim dispõem respectivamente:</w:t>
      </w:r>
      <w:r w:rsidRPr="0051439E">
        <w:rPr>
          <w:rFonts w:ascii="Times New Roman" w:eastAsiaTheme="minorEastAsia" w:hAnsi="Times New Roman" w:cs="Times New Roman"/>
          <w:lang w:eastAsia="pt-BR"/>
        </w:rPr>
        <w:t> </w:t>
      </w:r>
    </w:p>
    <w:p w14:paraId="1C642D1E" w14:textId="77777777" w:rsidR="006D1F90" w:rsidRPr="0051439E" w:rsidRDefault="006D1F90" w:rsidP="006D1F90">
      <w:pPr>
        <w:spacing w:after="100" w:line="240" w:lineRule="auto"/>
        <w:jc w:val="both"/>
        <w:rPr>
          <w:rFonts w:ascii="Times New Roman" w:eastAsiaTheme="minorEastAsia" w:hAnsi="Times New Roman" w:cs="Times New Roman"/>
          <w:color w:val="000000" w:themeColor="text1"/>
          <w:lang w:eastAsia="pt-BR"/>
        </w:rPr>
      </w:pPr>
    </w:p>
    <w:p w14:paraId="4A238621" w14:textId="77777777" w:rsidR="006D1F90" w:rsidRPr="0051439E" w:rsidRDefault="006D1F90" w:rsidP="006D1F90">
      <w:pPr>
        <w:spacing w:after="100" w:line="240" w:lineRule="auto"/>
        <w:ind w:left="1350"/>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themeColor="text1"/>
          <w:lang w:eastAsia="pt-BR"/>
        </w:rPr>
        <w:t>Orientação Normativa nº 5: Na contratação de obra ou serviço de engenharia, o instrumento convocatório deve estabelecer critérios de aceitabilidade dos preços unitários e global.</w:t>
      </w:r>
      <w:r w:rsidRPr="0051439E">
        <w:rPr>
          <w:rFonts w:ascii="Times New Roman" w:eastAsiaTheme="minorEastAsia" w:hAnsi="Times New Roman" w:cs="Times New Roman"/>
          <w:lang w:eastAsia="pt-BR"/>
        </w:rPr>
        <w:t> </w:t>
      </w:r>
    </w:p>
    <w:p w14:paraId="4FDD7C99" w14:textId="77777777" w:rsidR="006D1F90" w:rsidRPr="0051439E" w:rsidRDefault="006D1F90" w:rsidP="006D1F90">
      <w:pPr>
        <w:spacing w:after="100" w:line="240" w:lineRule="auto"/>
        <w:ind w:left="1350"/>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themeColor="text1"/>
          <w:lang w:eastAsia="pt-BR"/>
        </w:rPr>
        <w:t>Súmula nº 259: Nas contratações de obras e serviços de engenharia, a definição do critério de aceitabilidade dos preços unitários e global, com fixação de preços máximos para ambos, é obrigação e não faculdade do gestor.</w:t>
      </w:r>
      <w:r w:rsidRPr="0051439E">
        <w:rPr>
          <w:rFonts w:ascii="Times New Roman" w:eastAsiaTheme="minorEastAsia" w:hAnsi="Times New Roman" w:cs="Times New Roman"/>
          <w:lang w:eastAsia="pt-BR"/>
        </w:rPr>
        <w:t> </w:t>
      </w:r>
    </w:p>
    <w:p w14:paraId="7F01E6E6" w14:textId="77777777" w:rsidR="006D1F90" w:rsidRPr="0051439E" w:rsidRDefault="006D1F90" w:rsidP="006D1F90">
      <w:pPr>
        <w:spacing w:after="100"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lang w:eastAsia="pt-BR"/>
        </w:rPr>
        <w:t>  </w:t>
      </w:r>
    </w:p>
    <w:p w14:paraId="07040649"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themeColor="text1"/>
          <w:lang w:eastAsia="pt-BR"/>
        </w:rPr>
        <w:lastRenderedPageBreak/>
        <w:t>Nos termos do art. 11 do Decreto n° 7.983, de 2013, e na esteira da Súmula TCU n° 259 e Orientação Normativa AGU n° 5, de 2009, deverão constar do edital de licitação de obras e serviços de engenharia os critérios de aceitabilidade de preços – unitários e global.</w:t>
      </w:r>
      <w:r w:rsidRPr="0051439E">
        <w:rPr>
          <w:rFonts w:ascii="Times New Roman" w:eastAsiaTheme="minorEastAsia" w:hAnsi="Times New Roman" w:cs="Times New Roman"/>
          <w:lang w:eastAsia="pt-BR"/>
        </w:rPr>
        <w:t>   </w:t>
      </w:r>
    </w:p>
    <w:p w14:paraId="4071D465" w14:textId="77777777" w:rsidR="006D1F90" w:rsidRPr="0051439E" w:rsidRDefault="006D1F90" w:rsidP="006D1F90">
      <w:pPr>
        <w:spacing w:beforeAutospacing="1" w:afterAutospacing="1" w:line="240" w:lineRule="auto"/>
        <w:jc w:val="both"/>
        <w:rPr>
          <w:rFonts w:ascii="Times New Roman" w:eastAsiaTheme="minorEastAsia" w:hAnsi="Times New Roman" w:cs="Times New Roman"/>
          <w:color w:val="000000" w:themeColor="text1"/>
          <w:lang w:eastAsia="pt-BR"/>
        </w:rPr>
      </w:pPr>
    </w:p>
    <w:p w14:paraId="69EDF12B"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themeColor="text1"/>
          <w:lang w:eastAsia="pt-BR"/>
        </w:rPr>
        <w:t>Conforme art. 2°, inciso IX, do Decreto n° 7.983, de 2013, são os “</w:t>
      </w:r>
      <w:r w:rsidRPr="0051439E">
        <w:rPr>
          <w:rFonts w:ascii="Times New Roman" w:eastAsiaTheme="minorEastAsia" w:hAnsi="Times New Roman" w:cs="Times New Roman"/>
          <w:i/>
          <w:iCs/>
          <w:color w:val="000000" w:themeColor="text1"/>
          <w:lang w:eastAsia="pt-BR"/>
        </w:rPr>
        <w:t>parâmetros de preços máximos, unitários e global, a serem fixados pela administração pública e publicados no edital de licitação para aceitação e julgamento das propostas dos licitantes</w:t>
      </w:r>
      <w:r w:rsidRPr="0051439E">
        <w:rPr>
          <w:rFonts w:ascii="Times New Roman" w:eastAsiaTheme="minorEastAsia" w:hAnsi="Times New Roman" w:cs="Times New Roman"/>
          <w:color w:val="000000" w:themeColor="text1"/>
          <w:lang w:eastAsia="pt-BR"/>
        </w:rPr>
        <w:t>”.</w:t>
      </w:r>
      <w:r w:rsidRPr="0051439E">
        <w:rPr>
          <w:rFonts w:ascii="Times New Roman" w:eastAsiaTheme="minorEastAsia" w:hAnsi="Times New Roman" w:cs="Times New Roman"/>
          <w:lang w:eastAsia="pt-BR"/>
        </w:rPr>
        <w:t>   </w:t>
      </w:r>
    </w:p>
    <w:p w14:paraId="6849ED96" w14:textId="77777777" w:rsidR="006D1F90" w:rsidRPr="0051439E" w:rsidRDefault="006D1F90" w:rsidP="006D1F90">
      <w:pPr>
        <w:spacing w:beforeAutospacing="1" w:afterAutospacing="1" w:line="240" w:lineRule="auto"/>
        <w:jc w:val="both"/>
        <w:rPr>
          <w:rFonts w:ascii="Times New Roman" w:eastAsiaTheme="minorEastAsia" w:hAnsi="Times New Roman" w:cs="Times New Roman"/>
          <w:color w:val="FF0000"/>
          <w:lang w:eastAsia="pt-BR"/>
        </w:rPr>
      </w:pPr>
    </w:p>
    <w:p w14:paraId="772C9411" w14:textId="77777777" w:rsidR="006D1F90" w:rsidRPr="0051439E" w:rsidRDefault="006D1F90" w:rsidP="006D1F90">
      <w:pPr>
        <w:jc w:val="both"/>
        <w:rPr>
          <w:rFonts w:ascii="Times New Roman" w:hAnsi="Times New Roman" w:cs="Times New Roman"/>
        </w:rPr>
      </w:pPr>
      <w:r w:rsidRPr="0051439E">
        <w:rPr>
          <w:rFonts w:ascii="Times New Roman" w:eastAsia="Calibri" w:hAnsi="Times New Roman" w:cs="Times New Roman"/>
          <w:color w:val="FF0000"/>
          <w:highlight w:val="green"/>
          <w:u w:val="single"/>
        </w:rPr>
        <w:t>Se o regime é o de empreitada por preço unitário</w:t>
      </w:r>
      <w:r w:rsidRPr="0051439E">
        <w:rPr>
          <w:rFonts w:ascii="Times New Roman" w:eastAsia="Calibri" w:hAnsi="Times New Roman" w:cs="Times New Roman"/>
          <w:color w:val="FF0000"/>
          <w:highlight w:val="green"/>
        </w:rPr>
        <w:t xml:space="preserve">, cabe desclassificação em razão de custos unitários superiores aos orçados pela Administração, conforme </w:t>
      </w:r>
      <w:hyperlink r:id="rId39" w:anchor="art59%C2%A73">
        <w:r w:rsidRPr="0051439E">
          <w:rPr>
            <w:rStyle w:val="Hyperlink"/>
            <w:rFonts w:ascii="Times New Roman" w:eastAsia="Calibri" w:hAnsi="Times New Roman" w:cs="Times New Roman"/>
            <w:i/>
            <w:iCs/>
            <w:color w:val="FF0000"/>
            <w:highlight w:val="green"/>
          </w:rPr>
          <w:t>art. 59, §3º, da Lei nº 14.133/2021</w:t>
        </w:r>
      </w:hyperlink>
      <w:r w:rsidRPr="0051439E">
        <w:rPr>
          <w:rFonts w:ascii="Times New Roman" w:eastAsia="Calibri" w:hAnsi="Times New Roman" w:cs="Times New Roman"/>
          <w:color w:val="FF0000"/>
          <w:highlight w:val="green"/>
        </w:rPr>
        <w:t>, que expressamente se refere ao critério de aceitabilidade de preços unitário e global a ser fixado no edital, bem como pela definição de sobrepreço do art. 6º, LVI, que expressamente estabelece que esse pode ocorrer em relação ao preço unitário nesse regime. Assim, em princípio, é cabível estabelecer um critério próprio, conforme as peculiaridades do caso, que pode envolver os custos tidos como relevantes, eventual margem em relação ao preço de referência etc. A menção aos custos unitários tidos como relevantes acima é mera sugestão, podendo o órgão ou entidade estabelecer o critério que lhe parecer mais adequado tecnicamente. (Vide nota explicativas ao item 7.10.2 da minuta de pregão e item 7.9.2 da minuta de concorrência, elaboradas Câmara Nacional de Modelos de Licitações e Contratos da Consultoria-Geral da União</w:t>
      </w:r>
      <w:r w:rsidRPr="0051439E">
        <w:rPr>
          <w:rFonts w:ascii="Times New Roman" w:eastAsia="Calibri" w:hAnsi="Times New Roman" w:cs="Times New Roman"/>
        </w:rPr>
        <w:t xml:space="preserve"> </w:t>
      </w:r>
      <w:r w:rsidRPr="0051439E">
        <w:rPr>
          <w:rFonts w:ascii="Times New Roman" w:eastAsia="Calibri" w:hAnsi="Times New Roman" w:cs="Times New Roman"/>
          <w:color w:val="FF0000"/>
          <w:highlight w:val="green"/>
        </w:rPr>
        <w:t>e disponíveis no site da AGU).</w:t>
      </w:r>
    </w:p>
    <w:p w14:paraId="043944B1" w14:textId="77777777" w:rsidR="006D1F90" w:rsidRPr="0051439E" w:rsidRDefault="006D1F90" w:rsidP="006D1F90">
      <w:pPr>
        <w:spacing w:beforeAutospacing="1" w:afterAutospacing="1" w:line="240" w:lineRule="auto"/>
        <w:jc w:val="both"/>
        <w:rPr>
          <w:rFonts w:ascii="Times New Roman" w:eastAsiaTheme="minorEastAsia" w:hAnsi="Times New Roman" w:cs="Times New Roman"/>
          <w:color w:val="FF0000"/>
          <w:lang w:eastAsia="pt-BR"/>
        </w:rPr>
      </w:pPr>
    </w:p>
    <w:p w14:paraId="240CFF29"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FF0000"/>
          <w:lang w:eastAsia="pt-BR"/>
        </w:rPr>
        <w:t>Especificamente para o regime de empreitada por preço global, os critérios de aceitabilidade de preços serão definidos em relação aos preços global e de cada uma das etapas previstas no cronograma físico-financeiro do contrato. Assim, na formação do preço que constará das propostas dos licitantes, poderão ser utilizados custos unitários diferentes daqueles obtidos a partir dos sistemas de custos de referência, desde que o preço global orçado e o de cada uma das etapas previstas no cronograma físico-financeiro do contrato fiquem iguais ou abaixo dos preços de referência da Administração, assegurado aos órgãos de controle o acesso irrestrito a essas informações (art. 13, inciso I, e parágrafo único, do Decreto n° 7.983, de 2013).</w:t>
      </w:r>
      <w:r w:rsidRPr="0051439E">
        <w:rPr>
          <w:rFonts w:ascii="Times New Roman" w:eastAsiaTheme="minorEastAsia" w:hAnsi="Times New Roman" w:cs="Times New Roman"/>
          <w:lang w:eastAsia="pt-BR"/>
        </w:rPr>
        <w:t>   </w:t>
      </w:r>
    </w:p>
    <w:p w14:paraId="21A59EF7" w14:textId="77777777" w:rsidR="006D1F90" w:rsidRPr="0051439E" w:rsidRDefault="006D1F90" w:rsidP="006D1F90">
      <w:pPr>
        <w:spacing w:beforeAutospacing="1" w:afterAutospacing="1" w:line="240" w:lineRule="auto"/>
        <w:jc w:val="both"/>
        <w:rPr>
          <w:rFonts w:ascii="Times New Roman" w:eastAsiaTheme="minorEastAsia" w:hAnsi="Times New Roman" w:cs="Times New Roman"/>
          <w:color w:val="000000" w:themeColor="text1"/>
          <w:lang w:eastAsia="pt-BR"/>
        </w:rPr>
      </w:pPr>
    </w:p>
    <w:p w14:paraId="69D01FC0"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themeColor="text1"/>
          <w:lang w:eastAsia="pt-BR"/>
        </w:rPr>
        <w:t>Cumpre registrar que a definição do critério de aceitabilidade dos preços unitários e global nos editais para a contratação de obras e serviços de engenharia, com a fixação de preços máximos para ambos, é obrigação e não faculdade do gestor (Súmula TCU 259), ainda que se trate de empreitada por preço global. Essa obrigação tem por objetivo mitigar a ocorrência dos riscos associados tanto ao “jogo de cronograma” quanto ao “jogo de planilha” (Acórdão 1695/2018 TCU-Plenário).</w:t>
      </w:r>
      <w:r w:rsidRPr="0051439E">
        <w:rPr>
          <w:rFonts w:ascii="Times New Roman" w:eastAsiaTheme="minorEastAsia" w:hAnsi="Times New Roman" w:cs="Times New Roman"/>
          <w:lang w:eastAsia="pt-BR"/>
        </w:rPr>
        <w:t> </w:t>
      </w:r>
    </w:p>
    <w:p w14:paraId="705F0787" w14:textId="77777777" w:rsidR="006D1F90" w:rsidRPr="0051439E" w:rsidRDefault="006D1F90" w:rsidP="006D1F90">
      <w:pPr>
        <w:spacing w:beforeAutospacing="1" w:afterAutospacing="1" w:line="240" w:lineRule="auto"/>
        <w:jc w:val="both"/>
        <w:rPr>
          <w:rFonts w:ascii="Times New Roman" w:eastAsia="Times New Roman" w:hAnsi="Times New Roman" w:cs="Times New Roman"/>
          <w:color w:val="000000" w:themeColor="text1"/>
          <w:sz w:val="24"/>
          <w:szCs w:val="24"/>
          <w:highlight w:val="green"/>
        </w:rPr>
      </w:pPr>
    </w:p>
    <w:p w14:paraId="08B0ACC6" w14:textId="77777777" w:rsidR="006D1F90" w:rsidRPr="0051439E" w:rsidRDefault="006D1F90" w:rsidP="006D1F90">
      <w:pPr>
        <w:jc w:val="both"/>
        <w:rPr>
          <w:rFonts w:ascii="Times New Roman" w:hAnsi="Times New Roman" w:cs="Times New Roman"/>
        </w:rPr>
      </w:pPr>
      <w:r w:rsidRPr="0051439E">
        <w:rPr>
          <w:rFonts w:ascii="Times New Roman" w:eastAsia="Times New Roman" w:hAnsi="Times New Roman" w:cs="Times New Roman"/>
          <w:color w:val="000000" w:themeColor="text1"/>
          <w:sz w:val="24"/>
          <w:szCs w:val="24"/>
          <w:highlight w:val="green"/>
        </w:rPr>
        <w:t xml:space="preserve">Destaca-se, no entanto, o disposto no </w:t>
      </w:r>
      <w:r w:rsidRPr="0051439E">
        <w:rPr>
          <w:rFonts w:ascii="Times New Roman" w:eastAsia="Times New Roman" w:hAnsi="Times New Roman" w:cs="Times New Roman"/>
          <w:sz w:val="24"/>
          <w:szCs w:val="24"/>
          <w:highlight w:val="green"/>
        </w:rPr>
        <w:t>art. 59, § 3º, da Lei n.º 14.133/2021 segundo o qual, “</w:t>
      </w:r>
      <w:r w:rsidRPr="0051439E">
        <w:rPr>
          <w:rFonts w:ascii="Times New Roman" w:eastAsia="Times New Roman" w:hAnsi="Times New Roman" w:cs="Times New Roman"/>
          <w:i/>
          <w:iCs/>
          <w:sz w:val="24"/>
          <w:szCs w:val="24"/>
          <w:highlight w:val="green"/>
        </w:rPr>
        <w:t xml:space="preserve">no caso de obras e serviços de engenharia e arquitetura, para efeito de avaliação da exequibilidade e de sobrepreço, serão considerados o preço global, os quantitativos e os preços unitários tidos como </w:t>
      </w:r>
      <w:r w:rsidRPr="0051439E">
        <w:rPr>
          <w:rFonts w:ascii="Times New Roman" w:eastAsia="Times New Roman" w:hAnsi="Times New Roman" w:cs="Times New Roman"/>
          <w:b/>
          <w:bCs/>
          <w:i/>
          <w:iCs/>
          <w:sz w:val="24"/>
          <w:szCs w:val="24"/>
          <w:highlight w:val="green"/>
          <w:u w:val="single"/>
        </w:rPr>
        <w:t>relevantes</w:t>
      </w:r>
      <w:r w:rsidRPr="0051439E">
        <w:rPr>
          <w:rFonts w:ascii="Times New Roman" w:eastAsia="Times New Roman" w:hAnsi="Times New Roman" w:cs="Times New Roman"/>
          <w:i/>
          <w:iCs/>
          <w:sz w:val="24"/>
          <w:szCs w:val="24"/>
          <w:highlight w:val="green"/>
        </w:rPr>
        <w:t>, </w:t>
      </w:r>
      <w:r w:rsidRPr="0051439E">
        <w:rPr>
          <w:rFonts w:ascii="Times New Roman" w:eastAsia="Times New Roman" w:hAnsi="Times New Roman" w:cs="Times New Roman"/>
          <w:i/>
          <w:iCs/>
          <w:sz w:val="24"/>
          <w:szCs w:val="24"/>
          <w:highlight w:val="green"/>
          <w:u w:val="single"/>
        </w:rPr>
        <w:t>observado o critério de aceitabilidade de preços unitário e global a ser fixado no edital</w:t>
      </w:r>
      <w:r w:rsidRPr="0051439E">
        <w:rPr>
          <w:rFonts w:ascii="Times New Roman" w:eastAsia="Times New Roman" w:hAnsi="Times New Roman" w:cs="Times New Roman"/>
          <w:i/>
          <w:iCs/>
          <w:sz w:val="24"/>
          <w:szCs w:val="24"/>
          <w:highlight w:val="green"/>
        </w:rPr>
        <w:t>, conforme as especificidades do mercado correspondente</w:t>
      </w:r>
      <w:r w:rsidRPr="0051439E">
        <w:rPr>
          <w:rFonts w:ascii="Times New Roman" w:eastAsia="Times New Roman" w:hAnsi="Times New Roman" w:cs="Times New Roman"/>
          <w:sz w:val="24"/>
          <w:szCs w:val="24"/>
          <w:highlight w:val="green"/>
        </w:rPr>
        <w:t xml:space="preserve">.” </w:t>
      </w:r>
    </w:p>
    <w:p w14:paraId="7CE0DC9A" w14:textId="77777777" w:rsidR="006D1F90" w:rsidRPr="0051439E" w:rsidRDefault="006D1F90" w:rsidP="006D1F90">
      <w:pPr>
        <w:jc w:val="both"/>
        <w:rPr>
          <w:rFonts w:ascii="Times New Roman" w:hAnsi="Times New Roman" w:cs="Times New Roman"/>
        </w:rPr>
      </w:pPr>
      <w:r w:rsidRPr="0051439E">
        <w:rPr>
          <w:rFonts w:ascii="Times New Roman" w:eastAsia="Times New Roman" w:hAnsi="Times New Roman" w:cs="Times New Roman"/>
          <w:sz w:val="24"/>
          <w:szCs w:val="24"/>
        </w:rPr>
        <w:lastRenderedPageBreak/>
        <w:t xml:space="preserve"> </w:t>
      </w:r>
    </w:p>
    <w:p w14:paraId="597BF462" w14:textId="77777777" w:rsidR="006D1F90" w:rsidRPr="0051439E" w:rsidRDefault="006D1F90" w:rsidP="006D1F90">
      <w:pPr>
        <w:jc w:val="both"/>
        <w:rPr>
          <w:rFonts w:ascii="Times New Roman" w:hAnsi="Times New Roman" w:cs="Times New Roman"/>
        </w:rPr>
      </w:pPr>
      <w:r w:rsidRPr="0051439E">
        <w:rPr>
          <w:rFonts w:ascii="Times New Roman" w:eastAsia="Times New Roman" w:hAnsi="Times New Roman" w:cs="Times New Roman"/>
          <w:color w:val="000000" w:themeColor="text1"/>
          <w:sz w:val="24"/>
          <w:szCs w:val="24"/>
          <w:highlight w:val="green"/>
        </w:rPr>
        <w:t>Desse modo a súmula 259 e orientação normativa n.º 5 da AGU devem ser lidas à luz do citado dispositivo legal.</w:t>
      </w:r>
      <w:r w:rsidRPr="0051439E">
        <w:rPr>
          <w:rFonts w:ascii="Times New Roman" w:eastAsia="Times New Roman" w:hAnsi="Times New Roman" w:cs="Times New Roman"/>
          <w:sz w:val="24"/>
          <w:szCs w:val="24"/>
        </w:rPr>
        <w:t xml:space="preserve"> </w:t>
      </w:r>
    </w:p>
    <w:p w14:paraId="035B37EF" w14:textId="77777777" w:rsidR="006D1F90" w:rsidRPr="0051439E" w:rsidRDefault="006D1F90" w:rsidP="006D1F90">
      <w:pPr>
        <w:jc w:val="both"/>
        <w:rPr>
          <w:rFonts w:ascii="Times New Roman" w:hAnsi="Times New Roman" w:cs="Times New Roman"/>
        </w:rPr>
      </w:pPr>
      <w:r w:rsidRPr="0051439E">
        <w:rPr>
          <w:rFonts w:ascii="Times New Roman" w:eastAsia="Times New Roman" w:hAnsi="Times New Roman" w:cs="Times New Roman"/>
          <w:sz w:val="24"/>
          <w:szCs w:val="24"/>
        </w:rPr>
        <w:t xml:space="preserve"> </w:t>
      </w:r>
    </w:p>
    <w:p w14:paraId="5D7D879E" w14:textId="77777777" w:rsidR="006D1F90" w:rsidRPr="0051439E" w:rsidRDefault="006D1F90" w:rsidP="006D1F90">
      <w:pPr>
        <w:jc w:val="both"/>
        <w:rPr>
          <w:rFonts w:ascii="Times New Roman" w:hAnsi="Times New Roman" w:cs="Times New Roman"/>
        </w:rPr>
      </w:pPr>
      <w:r w:rsidRPr="0051439E">
        <w:rPr>
          <w:rFonts w:ascii="Times New Roman" w:eastAsia="Times New Roman" w:hAnsi="Times New Roman" w:cs="Times New Roman"/>
          <w:color w:val="000000" w:themeColor="text1"/>
          <w:sz w:val="24"/>
          <w:szCs w:val="24"/>
          <w:highlight w:val="green"/>
        </w:rPr>
        <w:t xml:space="preserve">Por fim, destaca-se que nas licitações de obras ou serviços de engenharia, após o julgamento, o licitante vencedor deverá reelaborar e apresentar à Administração, por meio eletrônico, as planilhas com indicação dos quantitativos e dos custos unitários, bem como com detalhamento das Bonificações e Despesas Indiretas (BDI) e dos Encargos Sociais (ES), com os respectivos valores adequados ao valor final da proposta vencedora, </w:t>
      </w:r>
      <w:r w:rsidRPr="0051439E">
        <w:rPr>
          <w:rFonts w:ascii="Times New Roman" w:eastAsia="Times New Roman" w:hAnsi="Times New Roman" w:cs="Times New Roman"/>
          <w:sz w:val="24"/>
          <w:szCs w:val="24"/>
          <w:highlight w:val="green"/>
          <w:u w:val="single"/>
        </w:rPr>
        <w:t>admitida a utilização dos preços unitários</w:t>
      </w:r>
      <w:r w:rsidRPr="0051439E">
        <w:rPr>
          <w:rFonts w:ascii="Times New Roman" w:eastAsia="Times New Roman" w:hAnsi="Times New Roman" w:cs="Times New Roman"/>
          <w:sz w:val="24"/>
          <w:szCs w:val="24"/>
          <w:highlight w:val="green"/>
        </w:rPr>
        <w:t xml:space="preserve">, </w:t>
      </w:r>
      <w:r w:rsidRPr="0051439E">
        <w:rPr>
          <w:rFonts w:ascii="Times New Roman" w:eastAsia="Times New Roman" w:hAnsi="Times New Roman" w:cs="Times New Roman"/>
          <w:sz w:val="24"/>
          <w:szCs w:val="24"/>
          <w:highlight w:val="green"/>
          <w:u w:val="single"/>
        </w:rPr>
        <w:t xml:space="preserve">no caso de empreitada por preço global, empreitada integral, contratação </w:t>
      </w:r>
      <w:proofErr w:type="spellStart"/>
      <w:r w:rsidRPr="0051439E">
        <w:rPr>
          <w:rFonts w:ascii="Times New Roman" w:eastAsia="Times New Roman" w:hAnsi="Times New Roman" w:cs="Times New Roman"/>
          <w:sz w:val="24"/>
          <w:szCs w:val="24"/>
          <w:highlight w:val="green"/>
          <w:u w:val="single"/>
        </w:rPr>
        <w:t>semi-integrada</w:t>
      </w:r>
      <w:proofErr w:type="spellEnd"/>
      <w:r w:rsidRPr="0051439E">
        <w:rPr>
          <w:rFonts w:ascii="Times New Roman" w:eastAsia="Times New Roman" w:hAnsi="Times New Roman" w:cs="Times New Roman"/>
          <w:sz w:val="24"/>
          <w:szCs w:val="24"/>
          <w:highlight w:val="green"/>
          <w:u w:val="single"/>
        </w:rPr>
        <w:t xml:space="preserve"> e contratação integrada,</w:t>
      </w:r>
      <w:r w:rsidRPr="0051439E">
        <w:rPr>
          <w:rFonts w:ascii="Times New Roman" w:eastAsia="Times New Roman" w:hAnsi="Times New Roman" w:cs="Times New Roman"/>
          <w:sz w:val="24"/>
          <w:szCs w:val="24"/>
        </w:rPr>
        <w:t xml:space="preserve"> </w:t>
      </w:r>
      <w:r w:rsidRPr="0051439E">
        <w:rPr>
          <w:rFonts w:ascii="Times New Roman" w:eastAsia="Times New Roman" w:hAnsi="Times New Roman" w:cs="Times New Roman"/>
          <w:sz w:val="24"/>
          <w:szCs w:val="24"/>
          <w:highlight w:val="green"/>
          <w:u w:val="single"/>
        </w:rPr>
        <w:t>exclusivamente para eventuais adequações indispensáveis no cronograma físico-financeiro e para balizar excepcional aditamento posterior do contrato</w:t>
      </w:r>
      <w:r w:rsidRPr="0051439E">
        <w:rPr>
          <w:rFonts w:ascii="Times New Roman" w:eastAsia="Times New Roman" w:hAnsi="Times New Roman" w:cs="Times New Roman"/>
          <w:sz w:val="24"/>
          <w:szCs w:val="24"/>
          <w:highlight w:val="green"/>
        </w:rPr>
        <w:t xml:space="preserve"> (art. 56, § 5º, da Lei n.º 14.133/2021). </w:t>
      </w:r>
    </w:p>
    <w:p w14:paraId="33C8904A" w14:textId="77777777" w:rsidR="006D1F90" w:rsidRPr="0051439E" w:rsidRDefault="006D1F90" w:rsidP="006D1F90">
      <w:pPr>
        <w:spacing w:beforeAutospacing="1" w:afterAutospacing="1" w:line="240" w:lineRule="auto"/>
        <w:jc w:val="both"/>
        <w:rPr>
          <w:rFonts w:ascii="Times New Roman" w:eastAsia="Times New Roman" w:hAnsi="Times New Roman" w:cs="Times New Roman"/>
          <w:color w:val="000000" w:themeColor="text1"/>
          <w:sz w:val="24"/>
          <w:szCs w:val="24"/>
        </w:rPr>
      </w:pPr>
    </w:p>
    <w:p w14:paraId="30544332"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p>
    <w:p w14:paraId="2BA2A69D"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b/>
          <w:color w:val="000000" w:themeColor="text1"/>
          <w:lang w:eastAsia="pt-BR"/>
        </w:rPr>
        <w:t>Composições de custos unitários menores ou iguais à mediana do SINAPI:</w:t>
      </w:r>
      <w:r w:rsidRPr="0051439E">
        <w:rPr>
          <w:rFonts w:ascii="Times New Roman" w:eastAsiaTheme="minorEastAsia" w:hAnsi="Times New Roman" w:cs="Times New Roman"/>
          <w:b/>
          <w:lang w:eastAsia="pt-BR"/>
        </w:rPr>
        <w:t> </w:t>
      </w:r>
    </w:p>
    <w:p w14:paraId="19DE9986"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lang w:eastAsia="pt-BR"/>
        </w:rPr>
        <w:t>  </w:t>
      </w:r>
    </w:p>
    <w:p w14:paraId="0BB45DE9"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themeColor="text1"/>
          <w:lang w:eastAsia="pt-BR"/>
        </w:rPr>
        <w:t>Nos termos do art. 3° do Decreto n° 7.983, de 2013, no âmbito da administração pública federal, o SINAPI é o sistema de referência para a fixação dos custos unitários das obras e serviços de engenharia, excetuados os itens caracterizados como montagem industrial ou que não possam ser considerados como de construção civil.</w:t>
      </w:r>
      <w:r w:rsidRPr="0051439E">
        <w:rPr>
          <w:rFonts w:ascii="Times New Roman" w:eastAsiaTheme="minorEastAsia" w:hAnsi="Times New Roman" w:cs="Times New Roman"/>
          <w:lang w:eastAsia="pt-BR"/>
        </w:rPr>
        <w:t>   </w:t>
      </w:r>
    </w:p>
    <w:p w14:paraId="218357E9" w14:textId="77777777" w:rsidR="006D1F90" w:rsidRPr="0051439E" w:rsidRDefault="006D1F90" w:rsidP="006D1F90">
      <w:pPr>
        <w:spacing w:beforeAutospacing="1" w:afterAutospacing="1" w:line="240" w:lineRule="auto"/>
        <w:jc w:val="both"/>
        <w:rPr>
          <w:rFonts w:ascii="Times New Roman" w:eastAsiaTheme="minorEastAsia" w:hAnsi="Times New Roman" w:cs="Times New Roman"/>
          <w:color w:val="000000" w:themeColor="text1"/>
          <w:lang w:eastAsia="pt-BR"/>
        </w:rPr>
      </w:pPr>
    </w:p>
    <w:p w14:paraId="46D05C30"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themeColor="text1"/>
          <w:lang w:eastAsia="pt-BR"/>
        </w:rPr>
        <w:t>Na definição do art. 2°, inciso II, do Decreto n° 7.983, de 2013, composição de custo unitário é o “</w:t>
      </w:r>
      <w:r w:rsidRPr="0051439E">
        <w:rPr>
          <w:rFonts w:ascii="Times New Roman" w:eastAsiaTheme="minorEastAsia" w:hAnsi="Times New Roman" w:cs="Times New Roman"/>
          <w:i/>
          <w:iCs/>
          <w:color w:val="000000" w:themeColor="text1"/>
          <w:lang w:eastAsia="pt-BR"/>
        </w:rPr>
        <w:t>detalhamento do custo unitário do serviço que expresse a descrição, quantidades, produtividades e custos unitários dos materiais, mão de obra e equipamentos necessários à execução de uma unidade de medida”</w:t>
      </w:r>
      <w:r w:rsidRPr="0051439E">
        <w:rPr>
          <w:rFonts w:ascii="Times New Roman" w:eastAsiaTheme="minorEastAsia" w:hAnsi="Times New Roman" w:cs="Times New Roman"/>
          <w:color w:val="000000" w:themeColor="text1"/>
          <w:lang w:eastAsia="pt-BR"/>
        </w:rPr>
        <w:t>.</w:t>
      </w:r>
      <w:r w:rsidRPr="0051439E">
        <w:rPr>
          <w:rFonts w:ascii="Times New Roman" w:eastAsiaTheme="minorEastAsia" w:hAnsi="Times New Roman" w:cs="Times New Roman"/>
          <w:lang w:eastAsia="pt-BR"/>
        </w:rPr>
        <w:t>   </w:t>
      </w:r>
    </w:p>
    <w:p w14:paraId="426D6F69" w14:textId="77777777" w:rsidR="006D1F90" w:rsidRPr="0051439E" w:rsidRDefault="006D1F90" w:rsidP="006D1F90">
      <w:pPr>
        <w:spacing w:beforeAutospacing="1" w:afterAutospacing="1" w:line="240" w:lineRule="auto"/>
        <w:jc w:val="both"/>
        <w:rPr>
          <w:rFonts w:ascii="Times New Roman" w:eastAsiaTheme="minorEastAsia" w:hAnsi="Times New Roman" w:cs="Times New Roman"/>
          <w:color w:val="000000" w:themeColor="text1"/>
          <w:lang w:eastAsia="pt-BR"/>
        </w:rPr>
      </w:pPr>
    </w:p>
    <w:p w14:paraId="7B57DE0A"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themeColor="text1"/>
          <w:lang w:eastAsia="pt-BR"/>
        </w:rPr>
        <w:t>Já o custo unitário de referência é o “</w:t>
      </w:r>
      <w:r w:rsidRPr="0051439E">
        <w:rPr>
          <w:rFonts w:ascii="Times New Roman" w:eastAsiaTheme="minorEastAsia" w:hAnsi="Times New Roman" w:cs="Times New Roman"/>
          <w:i/>
          <w:iCs/>
          <w:color w:val="000000" w:themeColor="text1"/>
          <w:lang w:eastAsia="pt-BR"/>
        </w:rPr>
        <w:t>valor unitário para execução de uma unidade de medida do serviço previsto no orçamento de referência e obtido com base nos sistemas de referência de custos ou pesquisa de mercado</w:t>
      </w:r>
      <w:r w:rsidRPr="0051439E">
        <w:rPr>
          <w:rFonts w:ascii="Times New Roman" w:eastAsiaTheme="minorEastAsia" w:hAnsi="Times New Roman" w:cs="Times New Roman"/>
          <w:color w:val="000000" w:themeColor="text1"/>
          <w:lang w:eastAsia="pt-BR"/>
        </w:rPr>
        <w:t>” (art. 2°, inciso I).</w:t>
      </w:r>
      <w:r w:rsidRPr="0051439E">
        <w:rPr>
          <w:rFonts w:ascii="Times New Roman" w:eastAsiaTheme="minorEastAsia" w:hAnsi="Times New Roman" w:cs="Times New Roman"/>
          <w:lang w:eastAsia="pt-BR"/>
        </w:rPr>
        <w:t> </w:t>
      </w:r>
    </w:p>
    <w:p w14:paraId="74EE3019" w14:textId="77777777" w:rsidR="006D1F90" w:rsidRPr="0051439E" w:rsidRDefault="006D1F90" w:rsidP="006D1F90">
      <w:pPr>
        <w:spacing w:beforeAutospacing="1" w:afterAutospacing="1" w:line="240" w:lineRule="auto"/>
        <w:jc w:val="both"/>
        <w:rPr>
          <w:rFonts w:ascii="Times New Roman" w:eastAsiaTheme="minorEastAsia" w:hAnsi="Times New Roman" w:cs="Times New Roman"/>
          <w:color w:val="000000" w:themeColor="text1"/>
          <w:lang w:eastAsia="pt-BR"/>
        </w:rPr>
      </w:pPr>
    </w:p>
    <w:p w14:paraId="70B822B2"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themeColor="text1"/>
          <w:lang w:eastAsia="pt-BR"/>
        </w:rPr>
        <w:t>Na elaboração dos orçamentos de referência, poderão ser adotadas especificidades locais ou de projeto na elaboração das respectivas composições de custo unitário, desde que demonstrada a pertinência dos ajustes para a obra ou serviço de engenharia em relatório técnico elaborado por profissional habilitado (art. 8°, caput, do Decreto n° 7.983, de 2013).</w:t>
      </w:r>
      <w:r w:rsidRPr="0051439E">
        <w:rPr>
          <w:rFonts w:ascii="Times New Roman" w:eastAsiaTheme="minorEastAsia" w:hAnsi="Times New Roman" w:cs="Times New Roman"/>
          <w:lang w:eastAsia="pt-BR"/>
        </w:rPr>
        <w:t>   </w:t>
      </w:r>
    </w:p>
    <w:p w14:paraId="6317EAFE" w14:textId="77777777" w:rsidR="006D1F90" w:rsidRPr="0051439E" w:rsidRDefault="006D1F90" w:rsidP="006D1F90">
      <w:pPr>
        <w:spacing w:beforeAutospacing="1" w:afterAutospacing="1" w:line="240" w:lineRule="auto"/>
        <w:jc w:val="both"/>
        <w:rPr>
          <w:rFonts w:ascii="Times New Roman" w:eastAsiaTheme="minorEastAsia" w:hAnsi="Times New Roman" w:cs="Times New Roman"/>
          <w:color w:val="000000" w:themeColor="text1"/>
          <w:lang w:eastAsia="pt-BR"/>
        </w:rPr>
      </w:pPr>
    </w:p>
    <w:p w14:paraId="279EF482"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themeColor="text1"/>
          <w:lang w:eastAsia="pt-BR"/>
        </w:rPr>
        <w:lastRenderedPageBreak/>
        <w:t>Somente em condições especiais, devidamente justificadas, poderão os custos unitários de referência exceder os seus correspondentes do SINAPI, sem prejuízo da avaliação dos órgãos de controle (art. 8°, parágrafo único, do Decreto n° 7.983, de 2013).</w:t>
      </w:r>
      <w:r w:rsidRPr="0051439E">
        <w:rPr>
          <w:rFonts w:ascii="Times New Roman" w:eastAsiaTheme="minorEastAsia" w:hAnsi="Times New Roman" w:cs="Times New Roman"/>
          <w:lang w:eastAsia="pt-BR"/>
        </w:rPr>
        <w:t>   </w:t>
      </w:r>
    </w:p>
    <w:p w14:paraId="1816D7BA" w14:textId="77777777" w:rsidR="006D1F90" w:rsidRPr="0051439E" w:rsidRDefault="006D1F90" w:rsidP="006D1F90">
      <w:pPr>
        <w:spacing w:beforeAutospacing="1" w:afterAutospacing="1" w:line="240" w:lineRule="auto"/>
        <w:jc w:val="both"/>
        <w:rPr>
          <w:rFonts w:ascii="Times New Roman" w:eastAsiaTheme="minorEastAsia" w:hAnsi="Times New Roman" w:cs="Times New Roman"/>
          <w:color w:val="000000" w:themeColor="text1"/>
          <w:lang w:eastAsia="pt-BR"/>
        </w:rPr>
      </w:pPr>
    </w:p>
    <w:p w14:paraId="3F5EAC66"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themeColor="text1"/>
          <w:lang w:eastAsia="pt-BR"/>
        </w:rPr>
        <w:t>No caso de inviabilidade da definição dos custos com base no SINAPI, a estimativa de custo global poderá ser apurada por meio da utilização dos demais parâmetros elencados no art. 23, § 2º da Lei nº 14.133, de 2021.</w:t>
      </w:r>
      <w:r w:rsidRPr="0051439E">
        <w:rPr>
          <w:rFonts w:ascii="Times New Roman" w:eastAsiaTheme="minorEastAsia" w:hAnsi="Times New Roman" w:cs="Times New Roman"/>
          <w:lang w:eastAsia="pt-BR"/>
        </w:rPr>
        <w:t> </w:t>
      </w:r>
    </w:p>
    <w:p w14:paraId="2E0896E1"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lang w:eastAsia="pt-BR"/>
        </w:rPr>
        <w:t>  </w:t>
      </w:r>
    </w:p>
    <w:p w14:paraId="1A90F6B4"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b/>
          <w:color w:val="000000" w:themeColor="text1"/>
          <w:lang w:eastAsia="pt-BR"/>
        </w:rPr>
        <w:t>Detalhamento da composição do percentual de BDI:</w:t>
      </w:r>
      <w:r w:rsidRPr="0051439E">
        <w:rPr>
          <w:rFonts w:ascii="Times New Roman" w:eastAsiaTheme="minorEastAsia" w:hAnsi="Times New Roman" w:cs="Times New Roman"/>
          <w:b/>
          <w:lang w:eastAsia="pt-BR"/>
        </w:rPr>
        <w:t> </w:t>
      </w:r>
    </w:p>
    <w:p w14:paraId="46551D60"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lang w:eastAsia="pt-BR"/>
        </w:rPr>
        <w:t>  </w:t>
      </w:r>
    </w:p>
    <w:p w14:paraId="4A54B860"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themeColor="text1"/>
          <w:lang w:eastAsia="pt-BR"/>
        </w:rPr>
        <w:t>Conforme a já mencionada Súmula TCU n° 258, é obrigatório o detalhamento dos encargos sociais e do BDI no orçamento de referência da licitação.</w:t>
      </w:r>
      <w:r w:rsidRPr="0051439E">
        <w:rPr>
          <w:rFonts w:ascii="Times New Roman" w:eastAsiaTheme="minorEastAsia" w:hAnsi="Times New Roman" w:cs="Times New Roman"/>
          <w:lang w:eastAsia="pt-BR"/>
        </w:rPr>
        <w:t>   </w:t>
      </w:r>
    </w:p>
    <w:p w14:paraId="2F32262C" w14:textId="77777777" w:rsidR="006D1F90" w:rsidRPr="0051439E" w:rsidRDefault="006D1F90" w:rsidP="006D1F90">
      <w:pPr>
        <w:spacing w:beforeAutospacing="1" w:afterAutospacing="1" w:line="240" w:lineRule="auto"/>
        <w:jc w:val="both"/>
        <w:rPr>
          <w:rFonts w:ascii="Times New Roman" w:eastAsiaTheme="minorEastAsia" w:hAnsi="Times New Roman" w:cs="Times New Roman"/>
          <w:color w:val="000000" w:themeColor="text1"/>
          <w:lang w:eastAsia="pt-BR"/>
        </w:rPr>
      </w:pPr>
    </w:p>
    <w:p w14:paraId="31EF4405"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themeColor="text1"/>
          <w:lang w:eastAsia="pt-BR"/>
        </w:rPr>
        <w:t>A mesma premissa consta do art. 9° do Decreto n° 7.983, de 2013, de acordo com o qual devem ser evidenciados, no mínimo, os seguintes componentes do BDI: taxa de rateio da administração central; percentuais de tributos incidentes sobre o preço do serviço, excluídos aqueles de natureza direta e personalíssima que oneram o contratado; taxa de risco, seguro e garantia do empreendimento, e taxa de lucro.</w:t>
      </w:r>
      <w:r w:rsidRPr="0051439E">
        <w:rPr>
          <w:rFonts w:ascii="Times New Roman" w:eastAsiaTheme="minorEastAsia" w:hAnsi="Times New Roman" w:cs="Times New Roman"/>
          <w:lang w:eastAsia="pt-BR"/>
        </w:rPr>
        <w:t>   </w:t>
      </w:r>
    </w:p>
    <w:p w14:paraId="43114C15" w14:textId="77777777" w:rsidR="006D1F90" w:rsidRPr="0051439E" w:rsidRDefault="006D1F90" w:rsidP="006D1F90">
      <w:pPr>
        <w:spacing w:beforeAutospacing="1" w:afterAutospacing="1" w:line="240" w:lineRule="auto"/>
        <w:jc w:val="both"/>
        <w:rPr>
          <w:rFonts w:ascii="Times New Roman" w:eastAsiaTheme="minorEastAsia" w:hAnsi="Times New Roman" w:cs="Times New Roman"/>
          <w:color w:val="000000" w:themeColor="text1"/>
          <w:lang w:eastAsia="pt-BR"/>
        </w:rPr>
      </w:pPr>
    </w:p>
    <w:p w14:paraId="09A09A6C"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themeColor="text1"/>
          <w:lang w:eastAsia="pt-BR"/>
        </w:rPr>
        <w:t>É preciso destacar o disposto na súmula 254 do TCU a respeito do IRPJ e CSLL na composição do BDI, conforme o enunciado assim lançado:</w:t>
      </w:r>
      <w:r w:rsidRPr="0051439E">
        <w:rPr>
          <w:rFonts w:ascii="Times New Roman" w:eastAsiaTheme="minorEastAsia" w:hAnsi="Times New Roman" w:cs="Times New Roman"/>
          <w:lang w:eastAsia="pt-BR"/>
        </w:rPr>
        <w:t> </w:t>
      </w:r>
    </w:p>
    <w:p w14:paraId="7150DE13" w14:textId="77777777" w:rsidR="006D1F90" w:rsidRPr="0051439E" w:rsidRDefault="006D1F90" w:rsidP="006D1F90">
      <w:pPr>
        <w:spacing w:after="100" w:line="240" w:lineRule="auto"/>
        <w:jc w:val="both"/>
        <w:rPr>
          <w:rFonts w:ascii="Times New Roman" w:eastAsiaTheme="minorEastAsia" w:hAnsi="Times New Roman" w:cs="Times New Roman"/>
          <w:color w:val="000000" w:themeColor="text1"/>
          <w:lang w:eastAsia="pt-BR"/>
        </w:rPr>
      </w:pPr>
    </w:p>
    <w:p w14:paraId="46646BA0" w14:textId="77777777" w:rsidR="006D1F90" w:rsidRPr="0051439E" w:rsidRDefault="006D1F90" w:rsidP="006D1F90">
      <w:pPr>
        <w:spacing w:after="100" w:line="240" w:lineRule="auto"/>
        <w:ind w:left="1440"/>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themeColor="text1"/>
          <w:lang w:eastAsia="pt-BR"/>
        </w:rPr>
        <w:t xml:space="preserve">O IRPJ – Imposto de Renda Pessoa Jurídica – e a CSLL – Contribuição Social sobre o Lucro Líquido – não se consubstanciam em despesa indireta passível de inclusão na taxa de Bonificações e Despesas Indiretas - BDI do orçamento-base da licitação, haja vista a natureza direta e </w:t>
      </w:r>
      <w:proofErr w:type="spellStart"/>
      <w:r w:rsidRPr="0051439E">
        <w:rPr>
          <w:rFonts w:ascii="Times New Roman" w:eastAsiaTheme="minorEastAsia" w:hAnsi="Times New Roman" w:cs="Times New Roman"/>
          <w:color w:val="000000" w:themeColor="text1"/>
          <w:lang w:eastAsia="pt-BR"/>
        </w:rPr>
        <w:t>personalística</w:t>
      </w:r>
      <w:proofErr w:type="spellEnd"/>
      <w:r w:rsidRPr="0051439E">
        <w:rPr>
          <w:rFonts w:ascii="Times New Roman" w:eastAsiaTheme="minorEastAsia" w:hAnsi="Times New Roman" w:cs="Times New Roman"/>
          <w:color w:val="000000" w:themeColor="text1"/>
          <w:lang w:eastAsia="pt-BR"/>
        </w:rPr>
        <w:t xml:space="preserve"> desses tributos, que oneram pessoalmente o contratado.</w:t>
      </w:r>
      <w:r w:rsidRPr="0051439E">
        <w:rPr>
          <w:rFonts w:ascii="Times New Roman" w:eastAsiaTheme="minorEastAsia" w:hAnsi="Times New Roman" w:cs="Times New Roman"/>
          <w:lang w:eastAsia="pt-BR"/>
        </w:rPr>
        <w:t> </w:t>
      </w:r>
    </w:p>
    <w:p w14:paraId="1581A22F"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lang w:eastAsia="pt-BR"/>
        </w:rPr>
        <w:t>  </w:t>
      </w:r>
    </w:p>
    <w:p w14:paraId="29379C5F"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themeColor="text1"/>
          <w:lang w:eastAsia="pt-BR"/>
        </w:rPr>
        <w:t>Em pronunciamentos posteriores, o TCU esclareceu o seu entendimento, de que tanto a Súmula TCU nº 254/2010 como o art. 9º, do Decreto 7.983, de 2013, vedam a inclusão de tais rubricas apenas no orçamento-base da licitação, não sendo tais entendimentos aplicáveis aos preços ofertados pelos privados, conforme noticiado no informativo n. 279, nos seguintes termos:</w:t>
      </w:r>
      <w:r w:rsidRPr="0051439E">
        <w:rPr>
          <w:rFonts w:ascii="Times New Roman" w:eastAsiaTheme="minorEastAsia" w:hAnsi="Times New Roman" w:cs="Times New Roman"/>
          <w:lang w:eastAsia="pt-BR"/>
        </w:rPr>
        <w:t> </w:t>
      </w:r>
    </w:p>
    <w:p w14:paraId="5576C44C" w14:textId="77777777" w:rsidR="006D1F90" w:rsidRPr="0051439E" w:rsidRDefault="006D1F90" w:rsidP="006D1F90">
      <w:pPr>
        <w:spacing w:after="100" w:line="240" w:lineRule="auto"/>
        <w:jc w:val="both"/>
        <w:rPr>
          <w:rFonts w:ascii="Times New Roman" w:eastAsiaTheme="minorEastAsia" w:hAnsi="Times New Roman" w:cs="Times New Roman"/>
          <w:color w:val="000000" w:themeColor="text1"/>
          <w:lang w:eastAsia="pt-BR"/>
        </w:rPr>
      </w:pPr>
    </w:p>
    <w:p w14:paraId="48558501" w14:textId="77777777" w:rsidR="006D1F90" w:rsidRPr="0051439E" w:rsidRDefault="006D1F90" w:rsidP="006D1F90">
      <w:pPr>
        <w:spacing w:after="100" w:line="240" w:lineRule="auto"/>
        <w:ind w:left="1350"/>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themeColor="text1"/>
          <w:lang w:eastAsia="pt-BR"/>
        </w:rPr>
        <w:t xml:space="preserve">A inclusão, na composição do BDI constante das propostas das licitantes, do Imposto de Renda Pessoa Jurídica (IRPJ) e da Contribuição Social sobre o Lucro Líquido (CSLL) não é vedada nem acarreta, por si só, prejuízos ao erário, pois é legítimo que empresas considerem esses tributos quando do cálculo da equação econômico-financeira de suas </w:t>
      </w:r>
      <w:r w:rsidRPr="0051439E">
        <w:rPr>
          <w:rFonts w:ascii="Times New Roman" w:eastAsiaTheme="minorEastAsia" w:hAnsi="Times New Roman" w:cs="Times New Roman"/>
          <w:color w:val="000000" w:themeColor="text1"/>
          <w:lang w:eastAsia="pt-BR"/>
        </w:rPr>
        <w:lastRenderedPageBreak/>
        <w:t>propostas, desde que os preços praticados estejam de acordo com os paradigmas de mercado. O que é vedado é a inclusão do IRPJ e da CSLL no orçamento estimativo da licitação.</w:t>
      </w:r>
      <w:r w:rsidRPr="0051439E">
        <w:rPr>
          <w:rFonts w:ascii="Times New Roman" w:eastAsiaTheme="minorEastAsia" w:hAnsi="Times New Roman" w:cs="Times New Roman"/>
          <w:lang w:eastAsia="pt-BR"/>
        </w:rPr>
        <w:t> </w:t>
      </w:r>
    </w:p>
    <w:p w14:paraId="13DC58B3"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lang w:eastAsia="pt-BR"/>
        </w:rPr>
        <w:t>  </w:t>
      </w:r>
    </w:p>
    <w:p w14:paraId="07437CA2"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themeColor="text1"/>
          <w:lang w:eastAsia="pt-BR"/>
        </w:rPr>
        <w:t>Dessa forma, é vedada a inclusão do Imposto de Renda Pessoa Jurídica (IRPJ) e da Contribuição Social sobre o Lucro Líquido (CSLL) no orçamento estimativo da licitação.</w:t>
      </w:r>
      <w:r w:rsidRPr="0051439E">
        <w:rPr>
          <w:rFonts w:ascii="Times New Roman" w:eastAsiaTheme="minorEastAsia" w:hAnsi="Times New Roman" w:cs="Times New Roman"/>
          <w:lang w:eastAsia="pt-BR"/>
        </w:rPr>
        <w:t>   </w:t>
      </w:r>
    </w:p>
    <w:p w14:paraId="43110FC5" w14:textId="77777777" w:rsidR="006D1F90" w:rsidRPr="0051439E" w:rsidRDefault="006D1F90" w:rsidP="006D1F90">
      <w:pPr>
        <w:spacing w:beforeAutospacing="1" w:afterAutospacing="1" w:line="240" w:lineRule="auto"/>
        <w:jc w:val="both"/>
        <w:rPr>
          <w:rFonts w:ascii="Times New Roman" w:eastAsiaTheme="minorEastAsia" w:hAnsi="Times New Roman" w:cs="Times New Roman"/>
          <w:color w:val="000000" w:themeColor="text1"/>
          <w:lang w:eastAsia="pt-BR"/>
        </w:rPr>
      </w:pPr>
    </w:p>
    <w:p w14:paraId="0096C5E6"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themeColor="text1"/>
          <w:lang w:eastAsia="pt-BR"/>
        </w:rPr>
        <w:t>No entanto, é lícita a inclusão na composição do BDI do Imposto de Renda Pessoa Jurídica (IRPJ) e da Contribuição Social sobre o Lucro Líquido (CSLL) constante das propostas das licitantes. É legítimo que empresas considerem esses tributos quando do cálculo da equação econômico-financeira de suas propostas, desde que os preços praticados estejam de acordo com os paradigmas de mercado.</w:t>
      </w:r>
      <w:r w:rsidRPr="0051439E">
        <w:rPr>
          <w:rFonts w:ascii="Times New Roman" w:eastAsiaTheme="minorEastAsia" w:hAnsi="Times New Roman" w:cs="Times New Roman"/>
          <w:lang w:eastAsia="pt-BR"/>
        </w:rPr>
        <w:t>   </w:t>
      </w:r>
    </w:p>
    <w:p w14:paraId="3332A70D" w14:textId="77777777" w:rsidR="006D1F90" w:rsidRPr="0051439E" w:rsidRDefault="006D1F90" w:rsidP="006D1F90">
      <w:pPr>
        <w:spacing w:beforeAutospacing="1" w:afterAutospacing="1" w:line="240" w:lineRule="auto"/>
        <w:jc w:val="both"/>
        <w:rPr>
          <w:rFonts w:ascii="Times New Roman" w:eastAsiaTheme="minorEastAsia" w:hAnsi="Times New Roman" w:cs="Times New Roman"/>
          <w:color w:val="000000" w:themeColor="text1"/>
          <w:lang w:eastAsia="pt-BR"/>
        </w:rPr>
      </w:pPr>
    </w:p>
    <w:p w14:paraId="393F74CB"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themeColor="text1"/>
          <w:lang w:eastAsia="pt-BR"/>
        </w:rPr>
        <w:t>Em relação ao BDI para materiais e equipamentos, a Administração deve observar o que dispõe a Súmula n. 253 do TCU, que trata do BDI reduzido:</w:t>
      </w:r>
      <w:r w:rsidRPr="0051439E">
        <w:rPr>
          <w:rFonts w:ascii="Times New Roman" w:eastAsiaTheme="minorEastAsia" w:hAnsi="Times New Roman" w:cs="Times New Roman"/>
          <w:lang w:eastAsia="pt-BR"/>
        </w:rPr>
        <w:t> </w:t>
      </w:r>
    </w:p>
    <w:p w14:paraId="52705145" w14:textId="77777777" w:rsidR="006D1F90" w:rsidRPr="0051439E" w:rsidRDefault="006D1F90" w:rsidP="006D1F90">
      <w:pPr>
        <w:spacing w:after="100" w:line="240" w:lineRule="auto"/>
        <w:jc w:val="both"/>
        <w:rPr>
          <w:rFonts w:ascii="Times New Roman" w:eastAsiaTheme="minorEastAsia" w:hAnsi="Times New Roman" w:cs="Times New Roman"/>
          <w:color w:val="000000" w:themeColor="text1"/>
          <w:lang w:eastAsia="pt-BR"/>
        </w:rPr>
      </w:pPr>
    </w:p>
    <w:p w14:paraId="39EAAB2B" w14:textId="77777777" w:rsidR="006D1F90" w:rsidRPr="0051439E" w:rsidRDefault="006D1F90" w:rsidP="006D1F90">
      <w:pPr>
        <w:spacing w:after="100" w:line="240" w:lineRule="auto"/>
        <w:ind w:left="1440"/>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themeColor="text1"/>
          <w:lang w:eastAsia="pt-BR"/>
        </w:rPr>
        <w:t>Comprovada a inviabilidade técnico-econômica de parcelamento do objeto da licitação, nos termos da legislação em vigor, os itens de fornecimento de materiais e equipamentos de natureza específica que possam ser fornecidos por empresas com especialidades próprias e diversas e que representem percentual significativo do preço global da obra devem apresentar incidência de taxa de Bonificação e Despesas Indiretas - BDI reduzida em relação à taxa aplicável aos demais itens.</w:t>
      </w:r>
      <w:r w:rsidRPr="0051439E">
        <w:rPr>
          <w:rFonts w:ascii="Times New Roman" w:eastAsiaTheme="minorEastAsia" w:hAnsi="Times New Roman" w:cs="Times New Roman"/>
          <w:lang w:eastAsia="pt-BR"/>
        </w:rPr>
        <w:t> </w:t>
      </w:r>
    </w:p>
    <w:p w14:paraId="7AB5680F"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lang w:eastAsia="pt-BR"/>
        </w:rPr>
        <w:t>  </w:t>
      </w:r>
    </w:p>
    <w:p w14:paraId="1C6606AE"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themeColor="text1"/>
          <w:lang w:eastAsia="pt-BR"/>
        </w:rPr>
        <w:t xml:space="preserve">Como se trata de tópico referente a matéria técnica, </w:t>
      </w:r>
      <w:r w:rsidRPr="0051439E">
        <w:rPr>
          <w:rFonts w:ascii="Times New Roman" w:eastAsiaTheme="minorEastAsia" w:hAnsi="Times New Roman" w:cs="Times New Roman"/>
          <w:color w:val="000000" w:themeColor="text1"/>
          <w:u w:val="single"/>
          <w:lang w:eastAsia="pt-BR"/>
        </w:rPr>
        <w:t>cabe exclusivamente à Administração manifestar-se a respeito das exigências acima mencionadas</w:t>
      </w:r>
      <w:r w:rsidRPr="0051439E">
        <w:rPr>
          <w:rFonts w:ascii="Times New Roman" w:eastAsiaTheme="minorEastAsia" w:hAnsi="Times New Roman" w:cs="Times New Roman"/>
          <w:color w:val="000000" w:themeColor="text1"/>
          <w:lang w:eastAsia="pt-BR"/>
        </w:rPr>
        <w:t>.</w:t>
      </w:r>
      <w:r w:rsidRPr="0051439E">
        <w:rPr>
          <w:rFonts w:ascii="Times New Roman" w:eastAsiaTheme="minorEastAsia" w:hAnsi="Times New Roman" w:cs="Times New Roman"/>
          <w:lang w:eastAsia="pt-BR"/>
        </w:rPr>
        <w:t> </w:t>
      </w:r>
    </w:p>
    <w:p w14:paraId="111B052D"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lang w:eastAsia="pt-BR"/>
        </w:rPr>
        <w:t>  </w:t>
      </w:r>
    </w:p>
    <w:p w14:paraId="54A23928"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b/>
          <w:color w:val="000000" w:themeColor="text1"/>
          <w:lang w:eastAsia="pt-BR"/>
        </w:rPr>
        <w:t>Cálculo da Contribuição Previdenciária - Orçamento onerado e desonerado</w:t>
      </w:r>
      <w:r w:rsidRPr="0051439E">
        <w:rPr>
          <w:rFonts w:ascii="Times New Roman" w:eastAsiaTheme="minorEastAsia" w:hAnsi="Times New Roman" w:cs="Times New Roman"/>
          <w:b/>
          <w:lang w:eastAsia="pt-BR"/>
        </w:rPr>
        <w:t> </w:t>
      </w:r>
    </w:p>
    <w:p w14:paraId="6E779B01"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lang w:eastAsia="pt-BR"/>
        </w:rPr>
        <w:t>  </w:t>
      </w:r>
    </w:p>
    <w:p w14:paraId="7D826FA5"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themeColor="text1"/>
          <w:lang w:eastAsia="pt-BR"/>
        </w:rPr>
        <w:t>Por força do art. 7º da Lei nº 12.546, de 2011 foi afastado o caráter obrigatório do recolhimento das contribuições previdenciárias mediante alíquota da receita bruta e permitido que a empresa opte pela regra veiculada, ou pela tradicional, definida no art. 22 da Lei nº 8.212, de 1991.</w:t>
      </w:r>
      <w:r w:rsidRPr="0051439E">
        <w:rPr>
          <w:rFonts w:ascii="Times New Roman" w:eastAsiaTheme="minorEastAsia" w:hAnsi="Times New Roman" w:cs="Times New Roman"/>
          <w:lang w:eastAsia="pt-BR"/>
        </w:rPr>
        <w:t>   </w:t>
      </w:r>
    </w:p>
    <w:p w14:paraId="1001F791" w14:textId="77777777" w:rsidR="006D1F90" w:rsidRPr="0051439E" w:rsidRDefault="006D1F90" w:rsidP="006D1F90">
      <w:pPr>
        <w:spacing w:beforeAutospacing="1" w:afterAutospacing="1" w:line="240" w:lineRule="auto"/>
        <w:jc w:val="both"/>
        <w:rPr>
          <w:rFonts w:ascii="Times New Roman" w:eastAsiaTheme="minorEastAsia" w:hAnsi="Times New Roman" w:cs="Times New Roman"/>
          <w:color w:val="000000" w:themeColor="text1"/>
          <w:lang w:eastAsia="pt-BR"/>
        </w:rPr>
      </w:pPr>
    </w:p>
    <w:p w14:paraId="36833B6F"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themeColor="text1"/>
          <w:lang w:eastAsia="pt-BR"/>
        </w:rPr>
        <w:t>Assim, ante a possibilidade de escolha da forma de recolhimento do tributo pelas empresas, surge para a Administração o dever de buscar a proposta mais vantajosa, prestigiando o princípio de economicidade. Nesses termos, as planilhas para licitações de obras e serviços de engenharia devem ser avaliadas quanto ao melhor critério de tributação, seja o previsto no art. 7 º da Lei nº 12.546, de 2011, ou o estabelecido no art. 22, da Lei nº 8.212, de 1991.</w:t>
      </w:r>
      <w:r w:rsidRPr="0051439E">
        <w:rPr>
          <w:rFonts w:ascii="Times New Roman" w:eastAsiaTheme="minorEastAsia" w:hAnsi="Times New Roman" w:cs="Times New Roman"/>
          <w:lang w:eastAsia="pt-BR"/>
        </w:rPr>
        <w:t>   </w:t>
      </w:r>
    </w:p>
    <w:p w14:paraId="638BEF48"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lang w:eastAsia="pt-BR"/>
        </w:rPr>
        <w:lastRenderedPageBreak/>
        <w:t>Portanto, para que a Administração elabore seu orçamento de referência, deverá avaliar o regime tributário que lhe for mais vantajoso. Para tanto, recomenda-se a simulação das duas condições possíveis de recolhimento da contribuição previdenciária pelas empresas, elaborando duas planilhas, a fim de constatar qual será o mais vantajoso.   </w:t>
      </w:r>
    </w:p>
    <w:p w14:paraId="0A6794D2" w14:textId="77777777" w:rsidR="006D1F90" w:rsidRPr="0051439E" w:rsidRDefault="006D1F90" w:rsidP="006D1F90">
      <w:pPr>
        <w:spacing w:beforeAutospacing="1" w:afterAutospacing="1" w:line="240" w:lineRule="auto"/>
        <w:jc w:val="both"/>
        <w:rPr>
          <w:rFonts w:ascii="Times New Roman" w:eastAsiaTheme="minorEastAsia" w:hAnsi="Times New Roman" w:cs="Times New Roman"/>
          <w:color w:val="000000" w:themeColor="text1"/>
          <w:lang w:eastAsia="pt-BR"/>
        </w:rPr>
      </w:pPr>
    </w:p>
    <w:p w14:paraId="42C4F2D6"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themeColor="text1"/>
          <w:lang w:eastAsia="pt-BR"/>
        </w:rPr>
        <w:t>O menor valor global obtido a partir dos orçamentos elaborados deverá ser utilizado como referência para a licitação das obras e serviços, cabendo à Administração dar ampla publicidade a respeito do regime de tributação adotado para a elaboração dos orçamentos no termo de referência ou projeto básico e no edital da licitação.</w:t>
      </w:r>
      <w:r w:rsidRPr="0051439E">
        <w:rPr>
          <w:rFonts w:ascii="Times New Roman" w:eastAsiaTheme="minorEastAsia" w:hAnsi="Times New Roman" w:cs="Times New Roman"/>
          <w:lang w:eastAsia="pt-BR"/>
        </w:rPr>
        <w:t>   </w:t>
      </w:r>
    </w:p>
    <w:p w14:paraId="18A4DE93"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p>
    <w:p w14:paraId="07FB7749"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b/>
          <w:color w:val="000000" w:themeColor="text1"/>
          <w:lang w:eastAsia="pt-BR"/>
        </w:rPr>
        <w:t>Da exigência de Anotação de Responsabilidade Técnica - ART, Registro de Responsabilidade Técnica - RRT ou Termo de Responsabilidade Técnica - TRT</w:t>
      </w:r>
      <w:r w:rsidRPr="0051439E">
        <w:rPr>
          <w:rFonts w:ascii="Times New Roman" w:eastAsiaTheme="minorEastAsia" w:hAnsi="Times New Roman" w:cs="Times New Roman"/>
          <w:b/>
          <w:lang w:eastAsia="pt-BR"/>
        </w:rPr>
        <w:t> </w:t>
      </w:r>
    </w:p>
    <w:p w14:paraId="551BE2BE"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lang w:eastAsia="pt-BR"/>
        </w:rPr>
        <w:t>  </w:t>
      </w:r>
    </w:p>
    <w:p w14:paraId="29D667D8"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themeColor="text1"/>
          <w:lang w:eastAsia="pt-BR"/>
        </w:rPr>
        <w:t>Nos termos do art. 10 do Decreto n° 7.983, de 2013, a anotação de responsabilidade técnica pelas planilhas orçamentárias deverá constar do projeto que integrar o edital de licitação, inclusive de suas eventuais alterações.</w:t>
      </w:r>
      <w:r w:rsidRPr="0051439E">
        <w:rPr>
          <w:rFonts w:ascii="Times New Roman" w:eastAsiaTheme="minorEastAsia" w:hAnsi="Times New Roman" w:cs="Times New Roman"/>
          <w:lang w:eastAsia="pt-BR"/>
        </w:rPr>
        <w:t>   </w:t>
      </w:r>
    </w:p>
    <w:p w14:paraId="215A94A0" w14:textId="77777777" w:rsidR="006D1F90" w:rsidRPr="0051439E" w:rsidRDefault="006D1F90" w:rsidP="006D1F90">
      <w:pPr>
        <w:spacing w:beforeAutospacing="1" w:afterAutospacing="1" w:line="240" w:lineRule="auto"/>
        <w:jc w:val="both"/>
        <w:rPr>
          <w:rFonts w:ascii="Times New Roman" w:eastAsiaTheme="minorEastAsia" w:hAnsi="Times New Roman" w:cs="Times New Roman"/>
          <w:color w:val="000000" w:themeColor="text1"/>
          <w:lang w:eastAsia="pt-BR"/>
        </w:rPr>
      </w:pPr>
    </w:p>
    <w:p w14:paraId="2B0478B8"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themeColor="text1"/>
          <w:lang w:eastAsia="pt-BR"/>
        </w:rPr>
        <w:t>De acordo com a Súmula TCU n° 260, “</w:t>
      </w:r>
      <w:r w:rsidRPr="0051439E">
        <w:rPr>
          <w:rFonts w:ascii="Times New Roman" w:eastAsiaTheme="minorEastAsia" w:hAnsi="Times New Roman" w:cs="Times New Roman"/>
          <w:i/>
          <w:iCs/>
          <w:color w:val="000000" w:themeColor="text1"/>
          <w:lang w:eastAsia="pt-BR"/>
        </w:rPr>
        <w:t>é dever do gestor exigir apresentação de Anotação de Responsabilidade Técnica - ART referente a projeto, execução, supervisão e fiscalização de obras e serviços de engenharia, com indicação do responsável pela elaboração de plantas, orçamento-base, especificações técnicas, composições de custos unitários, cronograma físico-financeiro e outras peças técnicas</w:t>
      </w:r>
      <w:r w:rsidRPr="0051439E">
        <w:rPr>
          <w:rFonts w:ascii="Times New Roman" w:eastAsiaTheme="minorEastAsia" w:hAnsi="Times New Roman" w:cs="Times New Roman"/>
          <w:color w:val="000000" w:themeColor="text1"/>
          <w:lang w:eastAsia="pt-BR"/>
        </w:rPr>
        <w:t>”.</w:t>
      </w:r>
      <w:r w:rsidRPr="0051439E">
        <w:rPr>
          <w:rFonts w:ascii="Times New Roman" w:eastAsiaTheme="minorEastAsia" w:hAnsi="Times New Roman" w:cs="Times New Roman"/>
          <w:lang w:eastAsia="pt-BR"/>
        </w:rPr>
        <w:t> </w:t>
      </w:r>
    </w:p>
    <w:p w14:paraId="65980654" w14:textId="77777777" w:rsidR="006D1F90" w:rsidRPr="0051439E" w:rsidRDefault="006D1F90" w:rsidP="006D1F90">
      <w:pPr>
        <w:spacing w:beforeAutospacing="1" w:afterAutospacing="1" w:line="240" w:lineRule="auto"/>
        <w:jc w:val="both"/>
        <w:rPr>
          <w:rFonts w:ascii="Times New Roman" w:eastAsiaTheme="minorEastAsia" w:hAnsi="Times New Roman" w:cs="Times New Roman"/>
          <w:color w:val="000000" w:themeColor="text1"/>
          <w:lang w:eastAsia="pt-BR"/>
        </w:rPr>
      </w:pPr>
    </w:p>
    <w:p w14:paraId="1437BC67"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themeColor="text1"/>
          <w:lang w:eastAsia="pt-BR"/>
        </w:rPr>
        <w:t>Dessa forma, a elaboração das planilhas orçamentárias e demais peças técnicas relativas a serviço de engenharia, arquitetura ou de técnica industrial exige a emissão de ART, RRT ou TRT, conforme Resolução CONFEA nº 361/1991, Resolução CAU nº 91/2014 e Resolução CFT nº 101/2020, respectivamente, independentemente de o profissional pertencer aos quadros da Administração Pública ou ser contratado por esta. </w:t>
      </w:r>
      <w:r w:rsidRPr="0051439E">
        <w:rPr>
          <w:rFonts w:ascii="Times New Roman" w:eastAsiaTheme="minorEastAsia" w:hAnsi="Times New Roman" w:cs="Times New Roman"/>
          <w:lang w:eastAsia="pt-BR"/>
        </w:rPr>
        <w:t> </w:t>
      </w:r>
    </w:p>
    <w:p w14:paraId="394386DF" w14:textId="77777777" w:rsidR="006D1F90" w:rsidRPr="0051439E" w:rsidRDefault="006D1F90" w:rsidP="006D1F90">
      <w:pPr>
        <w:spacing w:beforeAutospacing="1" w:afterAutospacing="1" w:line="240" w:lineRule="auto"/>
        <w:jc w:val="both"/>
        <w:rPr>
          <w:rFonts w:ascii="Times New Roman" w:eastAsiaTheme="minorEastAsia" w:hAnsi="Times New Roman" w:cs="Times New Roman"/>
          <w:color w:val="000000" w:themeColor="text1"/>
          <w:lang w:eastAsia="pt-BR"/>
        </w:rPr>
      </w:pPr>
    </w:p>
    <w:p w14:paraId="6E99EF7A"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themeColor="text1"/>
          <w:lang w:eastAsia="pt-BR"/>
        </w:rPr>
        <w:t>Embora o Decreto e a Súmula TCU nº 260 mencionem apenas a ART, entende-se cabível a interpretação extensiva, nos termos do art. 6º, inciso XXI, da Lei nº 14.133, de 2021, para abarcar também o RRT e o TRT, conforme os trabalhos forem elaborados por arquiteto ou por técnico industrial.</w:t>
      </w:r>
      <w:r w:rsidRPr="0051439E">
        <w:rPr>
          <w:rFonts w:ascii="Times New Roman" w:eastAsiaTheme="minorEastAsia" w:hAnsi="Times New Roman" w:cs="Times New Roman"/>
          <w:lang w:eastAsia="pt-BR"/>
        </w:rPr>
        <w:t>    </w:t>
      </w:r>
    </w:p>
    <w:p w14:paraId="22850CB0" w14:textId="77777777" w:rsidR="006D1F90" w:rsidRPr="0051439E" w:rsidRDefault="006D1F90" w:rsidP="006D1F90">
      <w:pPr>
        <w:spacing w:beforeAutospacing="1" w:afterAutospacing="1" w:line="240" w:lineRule="auto"/>
        <w:jc w:val="both"/>
        <w:rPr>
          <w:rFonts w:ascii="Times New Roman" w:eastAsiaTheme="minorEastAsia" w:hAnsi="Times New Roman" w:cs="Times New Roman"/>
          <w:color w:val="FF0000"/>
          <w:lang w:eastAsia="pt-BR"/>
        </w:rPr>
      </w:pPr>
    </w:p>
    <w:p w14:paraId="65448F08"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FF0000"/>
          <w:lang w:eastAsia="pt-BR"/>
        </w:rPr>
        <w:t>A matéria a respeito da constitucionalidade das taxas de polícias pela ART restou superada pelo STF no julgamento do Recurso Extraordinário 838.284, que declarou a constitucionalidade da cobrança de ART. Segundo o STF, "</w:t>
      </w:r>
      <w:r w:rsidRPr="0051439E">
        <w:rPr>
          <w:rFonts w:ascii="Times New Roman" w:eastAsiaTheme="minorEastAsia" w:hAnsi="Times New Roman" w:cs="Times New Roman"/>
          <w:i/>
          <w:iCs/>
          <w:color w:val="FF0000"/>
          <w:lang w:eastAsia="pt-BR"/>
        </w:rPr>
        <w:t xml:space="preserve">não viola a legalidade tributária a lei que, prescrevendo o teto, possibilita o ato normativo infralegal fixar o valor de taxa em proporção razoável com os custos da atuação estatal, </w:t>
      </w:r>
      <w:r w:rsidRPr="0051439E">
        <w:rPr>
          <w:rFonts w:ascii="Times New Roman" w:eastAsiaTheme="minorEastAsia" w:hAnsi="Times New Roman" w:cs="Times New Roman"/>
          <w:i/>
          <w:iCs/>
          <w:color w:val="FF0000"/>
          <w:lang w:eastAsia="pt-BR"/>
        </w:rPr>
        <w:lastRenderedPageBreak/>
        <w:t>valor esse que não pode ser atualizado por ato do próprio conselho de fiscalização em percentual superior aos índices de correção monetária legalmente previstos</w:t>
      </w:r>
      <w:r w:rsidRPr="0051439E">
        <w:rPr>
          <w:rFonts w:ascii="Times New Roman" w:eastAsiaTheme="minorEastAsia" w:hAnsi="Times New Roman" w:cs="Times New Roman"/>
          <w:color w:val="FF0000"/>
          <w:lang w:eastAsia="pt-BR"/>
        </w:rPr>
        <w:t>.".</w:t>
      </w:r>
      <w:r w:rsidRPr="0051439E">
        <w:rPr>
          <w:rFonts w:ascii="Times New Roman" w:eastAsiaTheme="minorEastAsia" w:hAnsi="Times New Roman" w:cs="Times New Roman"/>
          <w:lang w:eastAsia="pt-BR"/>
        </w:rPr>
        <w:t>   </w:t>
      </w:r>
    </w:p>
    <w:p w14:paraId="1230109B" w14:textId="77777777" w:rsidR="006D1F90" w:rsidRPr="0051439E" w:rsidRDefault="006D1F90" w:rsidP="006D1F90">
      <w:pPr>
        <w:spacing w:beforeAutospacing="1" w:afterAutospacing="1" w:line="240" w:lineRule="auto"/>
        <w:jc w:val="both"/>
        <w:rPr>
          <w:rFonts w:ascii="Times New Roman" w:eastAsiaTheme="minorEastAsia" w:hAnsi="Times New Roman" w:cs="Times New Roman"/>
          <w:color w:val="FF0000"/>
          <w:lang w:eastAsia="pt-BR"/>
        </w:rPr>
      </w:pPr>
    </w:p>
    <w:p w14:paraId="58F9D6F6"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FF0000"/>
          <w:lang w:eastAsia="pt-BR"/>
        </w:rPr>
        <w:t>Conforme a Nota Interna n. 02/2016/CPLC/DEPCONSU/PGF/AGU, o ente público produtor do trabalho técnico especializado é o sujeito passivo das taxas referentes à Anotação de Responsabilidade Técnica, decorrente do exercício do poder de polícia do CREA, e das taxas referentes ao Registro de Responsabilidade Técnica, em razão do exercício do poder de polícia do CAU.</w:t>
      </w:r>
      <w:r w:rsidRPr="0051439E">
        <w:rPr>
          <w:rFonts w:ascii="Times New Roman" w:eastAsiaTheme="minorEastAsia" w:hAnsi="Times New Roman" w:cs="Times New Roman"/>
          <w:lang w:eastAsia="pt-BR"/>
        </w:rPr>
        <w:t> </w:t>
      </w:r>
    </w:p>
    <w:p w14:paraId="03B86E3E" w14:textId="77777777" w:rsidR="006D1F90" w:rsidRPr="0051439E" w:rsidRDefault="006D1F90" w:rsidP="006D1F90">
      <w:pPr>
        <w:spacing w:beforeAutospacing="1" w:afterAutospacing="1" w:line="240" w:lineRule="auto"/>
        <w:jc w:val="both"/>
        <w:rPr>
          <w:rFonts w:ascii="Times New Roman" w:eastAsiaTheme="minorEastAsia" w:hAnsi="Times New Roman" w:cs="Times New Roman"/>
          <w:color w:val="000000" w:themeColor="text1"/>
          <w:lang w:eastAsia="pt-BR"/>
        </w:rPr>
      </w:pPr>
    </w:p>
    <w:p w14:paraId="5569EFF4"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shd w:val="clear" w:color="auto" w:fill="00FFFF"/>
          <w:lang w:eastAsia="pt-BR"/>
        </w:rPr>
        <w:t xml:space="preserve">No caso, verifica-se que foi juntada </w:t>
      </w:r>
      <w:r w:rsidRPr="0051439E">
        <w:rPr>
          <w:rFonts w:ascii="Times New Roman" w:eastAsiaTheme="minorEastAsia" w:hAnsi="Times New Roman" w:cs="Times New Roman"/>
          <w:color w:val="FF0000"/>
          <w:shd w:val="clear" w:color="auto" w:fill="00FFFF"/>
          <w:lang w:eastAsia="pt-BR"/>
        </w:rPr>
        <w:t>ART/RRT/TRT</w:t>
      </w:r>
      <w:r w:rsidRPr="0051439E">
        <w:rPr>
          <w:rFonts w:ascii="Times New Roman" w:eastAsiaTheme="minorEastAsia" w:hAnsi="Times New Roman" w:cs="Times New Roman"/>
          <w:color w:val="000000"/>
          <w:shd w:val="clear" w:color="auto" w:fill="00FFFF"/>
          <w:lang w:eastAsia="pt-BR"/>
        </w:rPr>
        <w:t xml:space="preserve">, conforme consta </w:t>
      </w:r>
      <w:r w:rsidRPr="0051439E">
        <w:rPr>
          <w:rFonts w:ascii="Times New Roman" w:eastAsiaTheme="minorEastAsia" w:hAnsi="Times New Roman" w:cs="Times New Roman"/>
          <w:color w:val="FF0000"/>
          <w:shd w:val="clear" w:color="auto" w:fill="00FFFF"/>
          <w:lang w:eastAsia="pt-BR"/>
        </w:rPr>
        <w:t>às fls. XXX/ do doc. SEI XXX</w:t>
      </w:r>
      <w:r w:rsidRPr="0051439E">
        <w:rPr>
          <w:rFonts w:ascii="Times New Roman" w:eastAsiaTheme="minorEastAsia" w:hAnsi="Times New Roman" w:cs="Times New Roman"/>
          <w:color w:val="FF0000"/>
          <w:lang w:eastAsia="pt-BR"/>
        </w:rPr>
        <w:t>.</w:t>
      </w:r>
      <w:r w:rsidRPr="0051439E">
        <w:rPr>
          <w:rFonts w:ascii="Times New Roman" w:eastAsiaTheme="minorEastAsia" w:hAnsi="Times New Roman" w:cs="Times New Roman"/>
          <w:lang w:eastAsia="pt-BR"/>
        </w:rPr>
        <w:t> </w:t>
      </w:r>
    </w:p>
    <w:p w14:paraId="5C273CA7"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b/>
          <w:color w:val="000000"/>
          <w:u w:val="single"/>
          <w:shd w:val="clear" w:color="auto" w:fill="00FFFF"/>
          <w:lang w:eastAsia="pt-BR"/>
        </w:rPr>
        <w:t>OU</w:t>
      </w:r>
    </w:p>
    <w:p w14:paraId="684ECAC7"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shd w:val="clear" w:color="auto" w:fill="00FFFF"/>
          <w:lang w:eastAsia="pt-BR"/>
        </w:rPr>
        <w:t xml:space="preserve">No caso, </w:t>
      </w:r>
      <w:r w:rsidRPr="0051439E">
        <w:rPr>
          <w:rFonts w:ascii="Times New Roman" w:eastAsiaTheme="minorEastAsia" w:hAnsi="Times New Roman" w:cs="Times New Roman"/>
          <w:color w:val="000000"/>
          <w:u w:val="single"/>
          <w:shd w:val="clear" w:color="auto" w:fill="00FFFF"/>
          <w:lang w:eastAsia="pt-BR"/>
        </w:rPr>
        <w:t xml:space="preserve">verifica-se que não foi juntada </w:t>
      </w:r>
      <w:r w:rsidRPr="0051439E">
        <w:rPr>
          <w:rFonts w:ascii="Times New Roman" w:eastAsiaTheme="minorEastAsia" w:hAnsi="Times New Roman" w:cs="Times New Roman"/>
          <w:color w:val="FF0000"/>
          <w:u w:val="single"/>
          <w:shd w:val="clear" w:color="auto" w:fill="00FFFF"/>
          <w:lang w:eastAsia="pt-BR"/>
        </w:rPr>
        <w:t>ART/RRT/TRT</w:t>
      </w:r>
      <w:r w:rsidRPr="0051439E">
        <w:rPr>
          <w:rFonts w:ascii="Times New Roman" w:eastAsiaTheme="minorEastAsia" w:hAnsi="Times New Roman" w:cs="Times New Roman"/>
          <w:color w:val="000000"/>
          <w:u w:val="single"/>
          <w:shd w:val="clear" w:color="auto" w:fill="00FFFF"/>
          <w:lang w:eastAsia="pt-BR"/>
        </w:rPr>
        <w:t>, razão pela qual deverá a Administração providenciar tais documentos antes da deflagração do certame</w:t>
      </w:r>
      <w:r w:rsidRPr="0051439E">
        <w:rPr>
          <w:rFonts w:ascii="Times New Roman" w:eastAsiaTheme="minorEastAsia" w:hAnsi="Times New Roman" w:cs="Times New Roman"/>
          <w:color w:val="000000"/>
          <w:shd w:val="clear" w:color="auto" w:fill="00FFFF"/>
          <w:lang w:eastAsia="pt-BR"/>
        </w:rPr>
        <w:t>.</w:t>
      </w:r>
      <w:r w:rsidRPr="0051439E">
        <w:rPr>
          <w:rFonts w:ascii="Times New Roman" w:eastAsiaTheme="minorEastAsia" w:hAnsi="Times New Roman" w:cs="Times New Roman"/>
          <w:lang w:eastAsia="pt-BR"/>
        </w:rPr>
        <w:t> </w:t>
      </w:r>
    </w:p>
    <w:p w14:paraId="31C614A7"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p>
    <w:p w14:paraId="171314C6"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b/>
          <w:bCs/>
          <w:color w:val="000000" w:themeColor="text1"/>
          <w:lang w:eastAsia="pt-BR"/>
        </w:rPr>
        <w:t>Designação formal do agente de contratação ou comissão de contratação e da equipe de apoio</w:t>
      </w:r>
      <w:r w:rsidRPr="0051439E">
        <w:rPr>
          <w:rFonts w:ascii="Times New Roman" w:eastAsiaTheme="minorEastAsia" w:hAnsi="Times New Roman" w:cs="Times New Roman"/>
          <w:b/>
          <w:bCs/>
          <w:lang w:eastAsia="pt-BR"/>
        </w:rPr>
        <w:t> </w:t>
      </w:r>
    </w:p>
    <w:p w14:paraId="5210BC0E" w14:textId="77777777" w:rsidR="006D1F90" w:rsidRPr="0051439E" w:rsidRDefault="006D1F90" w:rsidP="006D1F90">
      <w:pPr>
        <w:spacing w:beforeAutospacing="1" w:afterAutospacing="1" w:line="240" w:lineRule="auto"/>
        <w:jc w:val="both"/>
        <w:rPr>
          <w:rFonts w:ascii="Times New Roman" w:eastAsiaTheme="minorEastAsia" w:hAnsi="Times New Roman" w:cs="Times New Roman"/>
          <w:lang w:eastAsia="pt-BR"/>
        </w:rPr>
      </w:pPr>
    </w:p>
    <w:p w14:paraId="670B53E7"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FF0000"/>
          <w:lang w:eastAsia="pt-BR"/>
        </w:rPr>
        <w:t xml:space="preserve">De acordo com o art. 8º, §§ 1 e 2º, da Lei n.º 14.133, de 2021 e Decreto n. 11. 246, de 2022, a licitação será conduzida por agente de contratação, que poderá ser substituído por comissão de contratação formada por, no mínimo, 3 (três) membros, </w:t>
      </w:r>
      <w:r w:rsidRPr="0051439E">
        <w:rPr>
          <w:rFonts w:ascii="Times New Roman" w:eastAsiaTheme="minorEastAsia" w:hAnsi="Times New Roman" w:cs="Times New Roman"/>
          <w:color w:val="FF0000"/>
          <w:u w:val="single"/>
          <w:lang w:eastAsia="pt-BR"/>
        </w:rPr>
        <w:t>em licitação que envolva bens ou serviços especiais</w:t>
      </w:r>
      <w:r w:rsidRPr="0051439E">
        <w:rPr>
          <w:rFonts w:ascii="Times New Roman" w:eastAsiaTheme="minorEastAsia" w:hAnsi="Times New Roman" w:cs="Times New Roman"/>
          <w:color w:val="FF0000"/>
          <w:lang w:eastAsia="pt-BR"/>
        </w:rPr>
        <w:t xml:space="preserve">, desde que observados os requisitos estabelecidos no art. 7º, da Lei 14.133, de 2021. </w:t>
      </w:r>
      <w:r w:rsidRPr="0051439E">
        <w:rPr>
          <w:rFonts w:ascii="Times New Roman" w:eastAsiaTheme="minorEastAsia" w:hAnsi="Times New Roman" w:cs="Times New Roman"/>
          <w:lang w:eastAsia="pt-BR"/>
        </w:rPr>
        <w:t>  </w:t>
      </w:r>
    </w:p>
    <w:p w14:paraId="389EB78F" w14:textId="77777777" w:rsidR="006D1F90" w:rsidRPr="0051439E" w:rsidRDefault="006D1F90" w:rsidP="006D1F90">
      <w:pPr>
        <w:spacing w:beforeAutospacing="1" w:afterAutospacing="1" w:line="240" w:lineRule="auto"/>
        <w:jc w:val="both"/>
        <w:rPr>
          <w:rFonts w:ascii="Times New Roman" w:eastAsiaTheme="minorEastAsia" w:hAnsi="Times New Roman" w:cs="Times New Roman"/>
          <w:color w:val="000000" w:themeColor="text1"/>
          <w:lang w:eastAsia="pt-BR"/>
        </w:rPr>
      </w:pPr>
    </w:p>
    <w:p w14:paraId="3BF4BF58"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shd w:val="clear" w:color="auto" w:fill="00FFFF"/>
          <w:lang w:eastAsia="pt-BR"/>
        </w:rPr>
        <w:t>Houve a juntada,</w:t>
      </w:r>
      <w:r w:rsidRPr="0051439E">
        <w:rPr>
          <w:rFonts w:ascii="Times New Roman" w:eastAsiaTheme="minorEastAsia" w:hAnsi="Times New Roman" w:cs="Times New Roman"/>
          <w:color w:val="FF0000"/>
          <w:shd w:val="clear" w:color="auto" w:fill="00FFFF"/>
          <w:lang w:eastAsia="pt-BR"/>
        </w:rPr>
        <w:t xml:space="preserve"> à fl. XXX/no doc. SEI XXX</w:t>
      </w:r>
      <w:r w:rsidRPr="0051439E">
        <w:rPr>
          <w:rFonts w:ascii="Times New Roman" w:eastAsiaTheme="minorEastAsia" w:hAnsi="Times New Roman" w:cs="Times New Roman"/>
          <w:color w:val="000000"/>
          <w:shd w:val="clear" w:color="auto" w:fill="00FFFF"/>
          <w:lang w:eastAsia="pt-BR"/>
        </w:rPr>
        <w:t xml:space="preserve">, de documento que comprova a designação do agente de contratação e da equipe de apoio (art. 8º, §§1º ao 4º, da Lei nº 14.133, de 2021 e </w:t>
      </w:r>
      <w:r w:rsidRPr="0051439E">
        <w:rPr>
          <w:rFonts w:ascii="Times New Roman" w:eastAsiaTheme="minorEastAsia" w:hAnsi="Times New Roman" w:cs="Times New Roman"/>
          <w:shd w:val="clear" w:color="auto" w:fill="00FFFF"/>
          <w:lang w:eastAsia="pt-BR"/>
        </w:rPr>
        <w:t>Decreto nº 11.246, de 2022</w:t>
      </w:r>
      <w:r w:rsidRPr="0051439E">
        <w:rPr>
          <w:rFonts w:ascii="Times New Roman" w:eastAsiaTheme="minorEastAsia" w:hAnsi="Times New Roman" w:cs="Times New Roman"/>
          <w:color w:val="000000"/>
          <w:shd w:val="clear" w:color="auto" w:fill="00FFFF"/>
          <w:lang w:eastAsia="pt-BR"/>
        </w:rPr>
        <w:t>), estando o feito regularmente instruído quanto ao ponto.</w:t>
      </w:r>
      <w:r w:rsidRPr="0051439E">
        <w:rPr>
          <w:rFonts w:ascii="Times New Roman" w:eastAsiaTheme="minorEastAsia" w:hAnsi="Times New Roman" w:cs="Times New Roman"/>
          <w:lang w:eastAsia="pt-BR"/>
        </w:rPr>
        <w:t> </w:t>
      </w:r>
    </w:p>
    <w:p w14:paraId="375D5701"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b/>
          <w:color w:val="000000"/>
          <w:u w:val="single"/>
          <w:shd w:val="clear" w:color="auto" w:fill="00FFFF"/>
          <w:lang w:eastAsia="pt-BR"/>
        </w:rPr>
      </w:pPr>
      <w:r w:rsidRPr="0051439E">
        <w:rPr>
          <w:rFonts w:ascii="Times New Roman" w:eastAsiaTheme="minorEastAsia" w:hAnsi="Times New Roman" w:cs="Times New Roman"/>
          <w:b/>
          <w:bCs/>
          <w:color w:val="000000"/>
          <w:u w:val="single"/>
          <w:shd w:val="clear" w:color="auto" w:fill="00FFFF"/>
          <w:lang w:eastAsia="pt-BR"/>
        </w:rPr>
        <w:t>OU</w:t>
      </w:r>
    </w:p>
    <w:p w14:paraId="12DF9882" w14:textId="77777777" w:rsidR="006D1F90" w:rsidRPr="0051439E" w:rsidRDefault="006D1F90" w:rsidP="006D1F90">
      <w:pPr>
        <w:spacing w:beforeAutospacing="1" w:afterAutospacing="1" w:line="240" w:lineRule="auto"/>
        <w:jc w:val="both"/>
        <w:rPr>
          <w:rFonts w:ascii="Times New Roman" w:eastAsiaTheme="minorEastAsia" w:hAnsi="Times New Roman" w:cs="Times New Roman"/>
          <w:color w:val="000000" w:themeColor="text1"/>
          <w:lang w:eastAsia="pt-BR"/>
        </w:rPr>
      </w:pPr>
    </w:p>
    <w:p w14:paraId="26EA7038"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shd w:val="clear" w:color="auto" w:fill="00FFFF"/>
          <w:lang w:eastAsia="pt-BR"/>
        </w:rPr>
        <w:t>Houve a juntada,</w:t>
      </w:r>
      <w:r w:rsidRPr="0051439E">
        <w:rPr>
          <w:rFonts w:ascii="Times New Roman" w:eastAsiaTheme="minorEastAsia" w:hAnsi="Times New Roman" w:cs="Times New Roman"/>
          <w:color w:val="FF0000"/>
          <w:shd w:val="clear" w:color="auto" w:fill="00FFFF"/>
          <w:lang w:eastAsia="pt-BR"/>
        </w:rPr>
        <w:t xml:space="preserve"> à fl. XXX/no doc. SEI XXX</w:t>
      </w:r>
      <w:r w:rsidRPr="0051439E">
        <w:rPr>
          <w:rFonts w:ascii="Times New Roman" w:eastAsiaTheme="minorEastAsia" w:hAnsi="Times New Roman" w:cs="Times New Roman"/>
          <w:color w:val="000000"/>
          <w:shd w:val="clear" w:color="auto" w:fill="00FFFF"/>
          <w:lang w:eastAsia="pt-BR"/>
        </w:rPr>
        <w:t xml:space="preserve">, de documento que comprova a designação de comissão de contratação em substituição ao agente de contratação e da equipe de apoio (art. 8º, §§1º ao 4º, da Lei nº 14.133, de 2021 e </w:t>
      </w:r>
      <w:r w:rsidRPr="0051439E">
        <w:rPr>
          <w:rFonts w:ascii="Times New Roman" w:eastAsiaTheme="minorEastAsia" w:hAnsi="Times New Roman" w:cs="Times New Roman"/>
          <w:shd w:val="clear" w:color="auto" w:fill="00FFFF"/>
          <w:lang w:eastAsia="pt-BR"/>
        </w:rPr>
        <w:t>Decreto nº 11.246, de 2022</w:t>
      </w:r>
      <w:r w:rsidRPr="0051439E">
        <w:rPr>
          <w:rFonts w:ascii="Times New Roman" w:eastAsiaTheme="minorEastAsia" w:hAnsi="Times New Roman" w:cs="Times New Roman"/>
          <w:color w:val="000000"/>
          <w:shd w:val="clear" w:color="auto" w:fill="00FFFF"/>
          <w:lang w:eastAsia="pt-BR"/>
        </w:rPr>
        <w:t>), estando o feito regularmente instruído quanto ao ponto.</w:t>
      </w:r>
      <w:r w:rsidRPr="0051439E">
        <w:rPr>
          <w:rFonts w:ascii="Times New Roman" w:eastAsiaTheme="minorEastAsia" w:hAnsi="Times New Roman" w:cs="Times New Roman"/>
          <w:lang w:eastAsia="pt-BR"/>
        </w:rPr>
        <w:t> </w:t>
      </w:r>
    </w:p>
    <w:p w14:paraId="0ADFE8A4"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shd w:val="clear" w:color="auto" w:fill="00FFFF"/>
          <w:lang w:eastAsia="pt-BR"/>
        </w:rPr>
        <w:t>A exigência de designação do agente de contratação e sua equipe de apoio, ou a sua substituição por comissão de contratação</w:t>
      </w:r>
      <w:r w:rsidRPr="0051439E">
        <w:rPr>
          <w:rFonts w:ascii="Times New Roman" w:eastAsiaTheme="minorEastAsia" w:hAnsi="Times New Roman" w:cs="Times New Roman"/>
          <w:color w:val="000000"/>
          <w:u w:val="single"/>
          <w:shd w:val="clear" w:color="auto" w:fill="00FFFF"/>
          <w:lang w:eastAsia="pt-BR"/>
        </w:rPr>
        <w:t> não foi cumprida</w:t>
      </w:r>
      <w:r w:rsidRPr="0051439E">
        <w:rPr>
          <w:rFonts w:ascii="Times New Roman" w:eastAsiaTheme="minorEastAsia" w:hAnsi="Times New Roman" w:cs="Times New Roman"/>
          <w:color w:val="000000"/>
          <w:shd w:val="clear" w:color="auto" w:fill="00FFFF"/>
          <w:lang w:eastAsia="pt-BR"/>
        </w:rPr>
        <w:t xml:space="preserve"> (art. 8º, §§1º ao 4º, da Lei nº 14.133, de 2021 e </w:t>
      </w:r>
      <w:r w:rsidRPr="0051439E">
        <w:rPr>
          <w:rFonts w:ascii="Times New Roman" w:eastAsiaTheme="minorEastAsia" w:hAnsi="Times New Roman" w:cs="Times New Roman"/>
          <w:shd w:val="clear" w:color="auto" w:fill="00FFFF"/>
          <w:lang w:eastAsia="pt-BR"/>
        </w:rPr>
        <w:t>Decreto nº 11.246, de 2022</w:t>
      </w:r>
      <w:r w:rsidRPr="0051439E">
        <w:rPr>
          <w:rFonts w:ascii="Times New Roman" w:eastAsiaTheme="minorEastAsia" w:hAnsi="Times New Roman" w:cs="Times New Roman"/>
          <w:color w:val="000000"/>
          <w:shd w:val="clear" w:color="auto" w:fill="00FFFF"/>
          <w:lang w:eastAsia="pt-BR"/>
        </w:rPr>
        <w:t>), </w:t>
      </w:r>
      <w:r w:rsidRPr="0051439E">
        <w:rPr>
          <w:rFonts w:ascii="Times New Roman" w:eastAsiaTheme="minorEastAsia" w:hAnsi="Times New Roman" w:cs="Times New Roman"/>
          <w:color w:val="000000"/>
          <w:u w:val="single"/>
          <w:shd w:val="clear" w:color="auto" w:fill="00FFFF"/>
          <w:lang w:eastAsia="pt-BR"/>
        </w:rPr>
        <w:t>razão pela qual se recomenda a correção do vício.</w:t>
      </w:r>
      <w:r w:rsidRPr="0051439E">
        <w:rPr>
          <w:rFonts w:ascii="Times New Roman" w:eastAsiaTheme="minorEastAsia" w:hAnsi="Times New Roman" w:cs="Times New Roman"/>
          <w:lang w:eastAsia="pt-BR"/>
        </w:rPr>
        <w:t> </w:t>
      </w:r>
    </w:p>
    <w:p w14:paraId="4AEC9C51"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lang w:eastAsia="pt-BR"/>
        </w:rPr>
        <w:t>  </w:t>
      </w:r>
    </w:p>
    <w:p w14:paraId="7235A6DD"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b/>
          <w:color w:val="000000" w:themeColor="text1"/>
          <w:lang w:eastAsia="pt-BR"/>
        </w:rPr>
        <w:t>Participação de Microempresas e</w:t>
      </w:r>
      <w:r w:rsidRPr="0051439E">
        <w:rPr>
          <w:rFonts w:ascii="Times New Roman" w:eastAsiaTheme="minorEastAsia" w:hAnsi="Times New Roman" w:cs="Times New Roman"/>
          <w:b/>
          <w:lang w:eastAsia="pt-BR"/>
        </w:rPr>
        <w:t> </w:t>
      </w:r>
      <w:r w:rsidRPr="0051439E">
        <w:rPr>
          <w:rFonts w:ascii="Times New Roman" w:eastAsiaTheme="minorEastAsia" w:hAnsi="Times New Roman" w:cs="Times New Roman"/>
          <w:b/>
          <w:color w:val="000000" w:themeColor="text1"/>
          <w:lang w:eastAsia="pt-BR"/>
        </w:rPr>
        <w:t>Empresas de Pequeno Porte</w:t>
      </w:r>
      <w:r w:rsidRPr="0051439E">
        <w:rPr>
          <w:rFonts w:ascii="Times New Roman" w:eastAsiaTheme="minorEastAsia" w:hAnsi="Times New Roman" w:cs="Times New Roman"/>
          <w:b/>
          <w:lang w:eastAsia="pt-BR"/>
        </w:rPr>
        <w:t> </w:t>
      </w:r>
    </w:p>
    <w:p w14:paraId="0F4F6B84"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lang w:eastAsia="pt-BR"/>
        </w:rPr>
        <w:lastRenderedPageBreak/>
        <w:t>  </w:t>
      </w:r>
    </w:p>
    <w:p w14:paraId="74DC6AE9"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themeColor="text1"/>
          <w:lang w:eastAsia="pt-BR"/>
        </w:rPr>
        <w:t>O Decreto nº 8.538, de 6 de outubro de 2015, prevê tratamento favorecido, diferenciado e simplificado para as microempresas e empresas de pequeno porte nas contratações públicas de bens, serviços e obras.</w:t>
      </w:r>
      <w:r w:rsidRPr="0051439E">
        <w:rPr>
          <w:rFonts w:ascii="Times New Roman" w:eastAsiaTheme="minorEastAsia" w:hAnsi="Times New Roman" w:cs="Times New Roman"/>
          <w:lang w:eastAsia="pt-BR"/>
        </w:rPr>
        <w:t>   </w:t>
      </w:r>
    </w:p>
    <w:p w14:paraId="46FE632E" w14:textId="77777777" w:rsidR="006D1F90" w:rsidRPr="0051439E" w:rsidRDefault="006D1F90" w:rsidP="006D1F90">
      <w:pPr>
        <w:spacing w:beforeAutospacing="1" w:afterAutospacing="1" w:line="240" w:lineRule="auto"/>
        <w:jc w:val="both"/>
        <w:rPr>
          <w:rFonts w:ascii="Times New Roman" w:eastAsiaTheme="minorEastAsia" w:hAnsi="Times New Roman" w:cs="Times New Roman"/>
          <w:color w:val="000000" w:themeColor="text1"/>
          <w:lang w:eastAsia="pt-BR"/>
        </w:rPr>
      </w:pPr>
    </w:p>
    <w:p w14:paraId="282FC357"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themeColor="text1"/>
          <w:lang w:eastAsia="pt-BR"/>
        </w:rPr>
        <w:t>O art. 6º do referido decreto estabelece que, nos itens ou lotes de licitação cujo valor esteja abaixo de R$ 80.000,00 (oitenta mil reais), a participação no processo licitatório deve ser exclusivamente destinada às microempresas e empresas de pequeno porte. A Orientação Normativa AGU nº 10/2009, por sua vez, pacifica a forma de aferição do valor de R$ 80.000,00 como sendo a referente ao período de um ano da contratação.</w:t>
      </w:r>
      <w:r w:rsidRPr="0051439E">
        <w:rPr>
          <w:rFonts w:ascii="Times New Roman" w:eastAsiaTheme="minorEastAsia" w:hAnsi="Times New Roman" w:cs="Times New Roman"/>
          <w:lang w:eastAsia="pt-BR"/>
        </w:rPr>
        <w:t>   </w:t>
      </w:r>
    </w:p>
    <w:p w14:paraId="4B659C19" w14:textId="77777777" w:rsidR="006D1F90" w:rsidRPr="0051439E" w:rsidRDefault="006D1F90" w:rsidP="006D1F90">
      <w:pPr>
        <w:spacing w:beforeAutospacing="1" w:afterAutospacing="1" w:line="240" w:lineRule="auto"/>
        <w:jc w:val="both"/>
        <w:rPr>
          <w:rFonts w:ascii="Times New Roman" w:eastAsiaTheme="minorEastAsia" w:hAnsi="Times New Roman" w:cs="Times New Roman"/>
          <w:color w:val="000000" w:themeColor="text1"/>
          <w:lang w:eastAsia="pt-BR"/>
        </w:rPr>
      </w:pPr>
    </w:p>
    <w:p w14:paraId="14224D77"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themeColor="text1"/>
          <w:lang w:eastAsia="pt-BR"/>
        </w:rPr>
        <w:t>Adicionalmente, vale lembrar que, de acordo com a Orientação Normativa AGU n. 47/2014, é obrigatória a participação exclusiva de ME e EPP na licitação quando os itens ou lotes/grupos tiverem valor igual ou inferior a R$ 80.000,00.</w:t>
      </w:r>
      <w:r w:rsidRPr="0051439E">
        <w:rPr>
          <w:rFonts w:ascii="Times New Roman" w:eastAsiaTheme="minorEastAsia" w:hAnsi="Times New Roman" w:cs="Times New Roman"/>
          <w:lang w:eastAsia="pt-BR"/>
        </w:rPr>
        <w:t>   </w:t>
      </w:r>
    </w:p>
    <w:p w14:paraId="030294AB" w14:textId="77777777" w:rsidR="006D1F90" w:rsidRPr="0051439E" w:rsidRDefault="006D1F90" w:rsidP="006D1F90">
      <w:pPr>
        <w:spacing w:beforeAutospacing="1" w:afterAutospacing="1" w:line="240" w:lineRule="auto"/>
        <w:jc w:val="both"/>
        <w:rPr>
          <w:rFonts w:ascii="Times New Roman" w:eastAsiaTheme="minorEastAsia" w:hAnsi="Times New Roman" w:cs="Times New Roman"/>
          <w:color w:val="000000" w:themeColor="text1"/>
          <w:lang w:eastAsia="pt-BR"/>
        </w:rPr>
      </w:pPr>
    </w:p>
    <w:p w14:paraId="150E0DB6"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themeColor="text1"/>
          <w:lang w:eastAsia="pt-BR"/>
        </w:rPr>
        <w:t>Há, ainda, previsão facultativa de estabelecimento, nos instrumentos convocatórios:</w:t>
      </w:r>
      <w:r w:rsidRPr="0051439E">
        <w:rPr>
          <w:rFonts w:ascii="Times New Roman" w:eastAsiaTheme="minorEastAsia" w:hAnsi="Times New Roman" w:cs="Times New Roman"/>
          <w:lang w:eastAsia="pt-BR"/>
        </w:rPr>
        <w:t> </w:t>
      </w:r>
    </w:p>
    <w:p w14:paraId="5730AB53" w14:textId="77777777" w:rsidR="006D1F90" w:rsidRPr="0051439E" w:rsidRDefault="006D1F90" w:rsidP="006D1F90">
      <w:pPr>
        <w:spacing w:after="100" w:line="240" w:lineRule="auto"/>
        <w:ind w:left="1440"/>
        <w:jc w:val="both"/>
        <w:rPr>
          <w:rFonts w:ascii="Times New Roman" w:eastAsiaTheme="minorEastAsia" w:hAnsi="Times New Roman" w:cs="Times New Roman"/>
          <w:color w:val="000000" w:themeColor="text1"/>
          <w:lang w:eastAsia="pt-BR"/>
        </w:rPr>
      </w:pPr>
    </w:p>
    <w:p w14:paraId="01298671" w14:textId="77777777" w:rsidR="006D1F90" w:rsidRPr="0051439E" w:rsidRDefault="006D1F90" w:rsidP="006D1F90">
      <w:pPr>
        <w:spacing w:after="100" w:line="240" w:lineRule="auto"/>
        <w:ind w:left="1440"/>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themeColor="text1"/>
          <w:lang w:eastAsia="pt-BR"/>
        </w:rPr>
        <w:t>i) de exigência de subcontratação de microempresas ou empresas de pequeno porte nos termos do art. 7º do Decreto nº 8.538, de 2015;</w:t>
      </w:r>
      <w:r w:rsidRPr="0051439E">
        <w:rPr>
          <w:rFonts w:ascii="Times New Roman" w:eastAsiaTheme="minorEastAsia" w:hAnsi="Times New Roman" w:cs="Times New Roman"/>
          <w:lang w:eastAsia="pt-BR"/>
        </w:rPr>
        <w:t> </w:t>
      </w:r>
    </w:p>
    <w:p w14:paraId="3117571F" w14:textId="77777777" w:rsidR="006D1F90" w:rsidRPr="0051439E" w:rsidRDefault="006D1F90" w:rsidP="006D1F90">
      <w:pPr>
        <w:spacing w:after="100" w:line="240" w:lineRule="auto"/>
        <w:ind w:left="1440"/>
        <w:jc w:val="both"/>
        <w:rPr>
          <w:rFonts w:ascii="Times New Roman" w:eastAsiaTheme="minorEastAsia" w:hAnsi="Times New Roman" w:cs="Times New Roman"/>
          <w:lang w:eastAsia="pt-BR"/>
        </w:rPr>
      </w:pPr>
      <w:proofErr w:type="spellStart"/>
      <w:r w:rsidRPr="0051439E">
        <w:rPr>
          <w:rFonts w:ascii="Times New Roman" w:eastAsiaTheme="minorEastAsia" w:hAnsi="Times New Roman" w:cs="Times New Roman"/>
          <w:color w:val="000000" w:themeColor="text1"/>
          <w:lang w:eastAsia="pt-BR"/>
        </w:rPr>
        <w:t>ii</w:t>
      </w:r>
      <w:proofErr w:type="spellEnd"/>
      <w:r w:rsidRPr="0051439E">
        <w:rPr>
          <w:rFonts w:ascii="Times New Roman" w:eastAsiaTheme="minorEastAsia" w:hAnsi="Times New Roman" w:cs="Times New Roman"/>
          <w:color w:val="000000" w:themeColor="text1"/>
          <w:lang w:eastAsia="pt-BR"/>
        </w:rPr>
        <w:t>) de prioridade de contratação de microempresas e empresas de pequeno porte sediadas local ou regionalmente, até o limite de dez por cento do melhor preço válido nos termos do art. 9º, II, do Decreto nº 8.538, de 2015.</w:t>
      </w:r>
      <w:r w:rsidRPr="0051439E">
        <w:rPr>
          <w:rFonts w:ascii="Times New Roman" w:eastAsiaTheme="minorEastAsia" w:hAnsi="Times New Roman" w:cs="Times New Roman"/>
          <w:lang w:eastAsia="pt-BR"/>
        </w:rPr>
        <w:t> </w:t>
      </w:r>
    </w:p>
    <w:p w14:paraId="67761155"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lang w:eastAsia="pt-BR"/>
        </w:rPr>
        <w:t>  </w:t>
      </w:r>
    </w:p>
    <w:p w14:paraId="3783E3C0"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themeColor="text1"/>
          <w:lang w:eastAsia="pt-BR"/>
        </w:rPr>
        <w:t>Registre-se que os tratamentos diferenciados previstos no presente tópico também se aplicam às cooperativas com receita bruta equivalente à das empresas de pequeno porte, por força do art. 34 da Lei nº 11.488, de 2007.</w:t>
      </w:r>
      <w:r w:rsidRPr="0051439E">
        <w:rPr>
          <w:rFonts w:ascii="Times New Roman" w:eastAsiaTheme="minorEastAsia" w:hAnsi="Times New Roman" w:cs="Times New Roman"/>
          <w:lang w:eastAsia="pt-BR"/>
        </w:rPr>
        <w:t>   </w:t>
      </w:r>
    </w:p>
    <w:p w14:paraId="59C51444" w14:textId="77777777" w:rsidR="006D1F90" w:rsidRPr="0051439E" w:rsidRDefault="006D1F90" w:rsidP="006D1F90">
      <w:pPr>
        <w:spacing w:beforeAutospacing="1" w:afterAutospacing="1" w:line="240" w:lineRule="auto"/>
        <w:jc w:val="both"/>
        <w:rPr>
          <w:rFonts w:ascii="Times New Roman" w:eastAsiaTheme="minorEastAsia" w:hAnsi="Times New Roman" w:cs="Times New Roman"/>
          <w:color w:val="000000" w:themeColor="text1"/>
          <w:lang w:eastAsia="pt-BR"/>
        </w:rPr>
      </w:pPr>
    </w:p>
    <w:p w14:paraId="78A75489"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themeColor="text1"/>
          <w:lang w:eastAsia="pt-BR"/>
        </w:rPr>
        <w:t xml:space="preserve">Por fim, os tratamentos diferenciados devem ser afastados quando incidente alguma das situações previstas no art. 10 do Decreto nº 8.538, de 2015, o que requer a devida justificativa. </w:t>
      </w:r>
      <w:r w:rsidRPr="0051439E">
        <w:rPr>
          <w:rFonts w:ascii="Times New Roman" w:eastAsiaTheme="minorEastAsia" w:hAnsi="Times New Roman" w:cs="Times New Roman"/>
          <w:color w:val="FF0000"/>
          <w:lang w:eastAsia="pt-BR"/>
        </w:rPr>
        <w:t>Dispõe referido artigo:</w:t>
      </w:r>
      <w:r w:rsidRPr="0051439E">
        <w:rPr>
          <w:rFonts w:ascii="Times New Roman" w:eastAsiaTheme="minorEastAsia" w:hAnsi="Times New Roman" w:cs="Times New Roman"/>
          <w:lang w:eastAsia="pt-BR"/>
        </w:rPr>
        <w:t> </w:t>
      </w:r>
    </w:p>
    <w:p w14:paraId="4662F1D2" w14:textId="77777777" w:rsidR="006D1F90" w:rsidRPr="0051439E" w:rsidRDefault="006D1F90" w:rsidP="006D1F90">
      <w:pPr>
        <w:spacing w:after="100" w:line="240" w:lineRule="auto"/>
        <w:ind w:left="1701"/>
        <w:jc w:val="both"/>
        <w:rPr>
          <w:rFonts w:ascii="Times New Roman" w:eastAsiaTheme="minorEastAsia" w:hAnsi="Times New Roman" w:cs="Times New Roman"/>
          <w:color w:val="FF0000"/>
          <w:lang w:eastAsia="pt-BR"/>
        </w:rPr>
      </w:pPr>
    </w:p>
    <w:p w14:paraId="5CE3EE69" w14:textId="77777777" w:rsidR="006D1F90" w:rsidRPr="0051439E" w:rsidRDefault="006D1F90" w:rsidP="006D1F90">
      <w:pPr>
        <w:spacing w:after="100" w:line="240" w:lineRule="auto"/>
        <w:ind w:left="1701"/>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FF0000"/>
          <w:lang w:eastAsia="pt-BR"/>
        </w:rPr>
        <w:t>Art. 10.  Não se aplica o disposto nos art. 6º ao art. 8º quando:</w:t>
      </w:r>
      <w:r w:rsidRPr="0051439E">
        <w:rPr>
          <w:rFonts w:ascii="Times New Roman" w:eastAsiaTheme="minorEastAsia" w:hAnsi="Times New Roman" w:cs="Times New Roman"/>
          <w:lang w:eastAsia="pt-BR"/>
        </w:rPr>
        <w:t> </w:t>
      </w:r>
    </w:p>
    <w:p w14:paraId="2F3E2C47" w14:textId="77777777" w:rsidR="006D1F90" w:rsidRPr="0051439E" w:rsidRDefault="006D1F90" w:rsidP="006D1F90">
      <w:pPr>
        <w:spacing w:after="100" w:line="240" w:lineRule="auto"/>
        <w:ind w:left="1701"/>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FF0000"/>
          <w:lang w:eastAsia="pt-BR"/>
        </w:rPr>
        <w:t>I - não houver o mínimo de três fornecedores competitivos enquadrados como microempresas ou empresas de pequeno porte sediadas local ou regionalmente e capazes de cumprir as exigências estabelecidas no instrumento convocatório;</w:t>
      </w:r>
      <w:r w:rsidRPr="0051439E">
        <w:rPr>
          <w:rFonts w:ascii="Times New Roman" w:eastAsiaTheme="minorEastAsia" w:hAnsi="Times New Roman" w:cs="Times New Roman"/>
          <w:lang w:eastAsia="pt-BR"/>
        </w:rPr>
        <w:t> </w:t>
      </w:r>
    </w:p>
    <w:p w14:paraId="7F357C7A" w14:textId="77777777" w:rsidR="006D1F90" w:rsidRPr="0051439E" w:rsidRDefault="006D1F90" w:rsidP="006D1F90">
      <w:pPr>
        <w:spacing w:after="100" w:line="240" w:lineRule="auto"/>
        <w:ind w:left="1701"/>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FF0000"/>
          <w:lang w:eastAsia="pt-BR"/>
        </w:rPr>
        <w:lastRenderedPageBreak/>
        <w:t>II - o tratamento diferenciado e simplificado para as microempresas e as empresas de pequeno porte não for vantajoso para a administração pública ou representar prejuízo ao conjunto ou ao complexo do objeto a ser contratado, justificadamente;</w:t>
      </w:r>
      <w:r w:rsidRPr="0051439E">
        <w:rPr>
          <w:rFonts w:ascii="Times New Roman" w:eastAsiaTheme="minorEastAsia" w:hAnsi="Times New Roman" w:cs="Times New Roman"/>
          <w:lang w:eastAsia="pt-BR"/>
        </w:rPr>
        <w:t> </w:t>
      </w:r>
    </w:p>
    <w:p w14:paraId="41F5489C" w14:textId="77777777" w:rsidR="006D1F90" w:rsidRPr="0051439E" w:rsidRDefault="006D1F90" w:rsidP="006D1F90">
      <w:pPr>
        <w:spacing w:after="100" w:line="240" w:lineRule="auto"/>
        <w:ind w:left="1701"/>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FF0000"/>
          <w:lang w:eastAsia="pt-BR"/>
        </w:rPr>
        <w:t>III - a licitação for dispensável ou inexigível, nos termos dos arts. 24 e 25 da Lei nº 8.666, de 1993, excetuadas as dispensas tratadas pelos incisos I e II do caput do referido art. 24, nas quais a compra deverá ser feita preferencialmente por microempresas e empresas de pequeno porte, observados, no que couber, os incisos I, II e IV do caput deste artigo; ou</w:t>
      </w:r>
      <w:r w:rsidRPr="0051439E">
        <w:rPr>
          <w:rFonts w:ascii="Times New Roman" w:eastAsiaTheme="minorEastAsia" w:hAnsi="Times New Roman" w:cs="Times New Roman"/>
          <w:lang w:eastAsia="pt-BR"/>
        </w:rPr>
        <w:t> </w:t>
      </w:r>
    </w:p>
    <w:p w14:paraId="79EF5EE9" w14:textId="77777777" w:rsidR="006D1F90" w:rsidRPr="0051439E" w:rsidRDefault="006D1F90" w:rsidP="006D1F90">
      <w:pPr>
        <w:spacing w:after="100" w:line="240" w:lineRule="auto"/>
        <w:ind w:left="1701"/>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FF0000"/>
          <w:lang w:eastAsia="pt-BR"/>
        </w:rPr>
        <w:t>IV - o tratamento diferenciado e simplificado não for capaz de alcançar, justificadamente, pelo menos um dos objetivos previstos no art. 1º.</w:t>
      </w:r>
      <w:r w:rsidRPr="0051439E">
        <w:rPr>
          <w:rFonts w:ascii="Times New Roman" w:eastAsiaTheme="minorEastAsia" w:hAnsi="Times New Roman" w:cs="Times New Roman"/>
          <w:lang w:eastAsia="pt-BR"/>
        </w:rPr>
        <w:t> </w:t>
      </w:r>
    </w:p>
    <w:p w14:paraId="6F191377" w14:textId="77777777" w:rsidR="006D1F90" w:rsidRPr="0051439E" w:rsidRDefault="006D1F90" w:rsidP="006D1F90">
      <w:pPr>
        <w:spacing w:after="100" w:line="240" w:lineRule="auto"/>
        <w:ind w:left="1701"/>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FF0000"/>
          <w:lang w:eastAsia="pt-BR"/>
        </w:rPr>
        <w:t>Parágrafo único.  Para o disposto no inciso II do caput, considera-se não vantajosa a contratação quando:</w:t>
      </w:r>
      <w:r w:rsidRPr="0051439E">
        <w:rPr>
          <w:rFonts w:ascii="Times New Roman" w:eastAsiaTheme="minorEastAsia" w:hAnsi="Times New Roman" w:cs="Times New Roman"/>
          <w:lang w:eastAsia="pt-BR"/>
        </w:rPr>
        <w:t> </w:t>
      </w:r>
    </w:p>
    <w:p w14:paraId="300CC221" w14:textId="77777777" w:rsidR="006D1F90" w:rsidRPr="0051439E" w:rsidRDefault="006D1F90" w:rsidP="006D1F90">
      <w:pPr>
        <w:spacing w:after="100" w:line="240" w:lineRule="auto"/>
        <w:ind w:left="1701"/>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FF0000"/>
          <w:lang w:eastAsia="pt-BR"/>
        </w:rPr>
        <w:t>I - resultar em preço superior ao valor estabelecido como referência; ou</w:t>
      </w:r>
      <w:r w:rsidRPr="0051439E">
        <w:rPr>
          <w:rFonts w:ascii="Times New Roman" w:eastAsiaTheme="minorEastAsia" w:hAnsi="Times New Roman" w:cs="Times New Roman"/>
          <w:lang w:eastAsia="pt-BR"/>
        </w:rPr>
        <w:t> </w:t>
      </w:r>
    </w:p>
    <w:p w14:paraId="7480363D" w14:textId="77777777" w:rsidR="006D1F90" w:rsidRPr="0051439E" w:rsidRDefault="006D1F90" w:rsidP="006D1F90">
      <w:pPr>
        <w:spacing w:after="100" w:line="240" w:lineRule="auto"/>
        <w:ind w:left="1701"/>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FF0000"/>
          <w:lang w:eastAsia="pt-BR"/>
        </w:rPr>
        <w:t>II - a natureza do bem, serviço ou obra for incompatível com a aplicação dos benefícios.</w:t>
      </w:r>
      <w:r w:rsidRPr="0051439E">
        <w:rPr>
          <w:rFonts w:ascii="Times New Roman" w:eastAsiaTheme="minorEastAsia" w:hAnsi="Times New Roman" w:cs="Times New Roman"/>
          <w:lang w:eastAsia="pt-BR"/>
        </w:rPr>
        <w:t> </w:t>
      </w:r>
    </w:p>
    <w:p w14:paraId="75ADC296" w14:textId="77777777" w:rsidR="006D1F90" w:rsidRPr="0051439E" w:rsidRDefault="006D1F90" w:rsidP="006D1F90">
      <w:pPr>
        <w:spacing w:after="100" w:line="240" w:lineRule="auto"/>
        <w:jc w:val="both"/>
        <w:rPr>
          <w:rFonts w:ascii="Times New Roman" w:eastAsiaTheme="minorEastAsia" w:hAnsi="Times New Roman" w:cs="Times New Roman"/>
          <w:lang w:eastAsia="pt-BR"/>
        </w:rPr>
      </w:pPr>
    </w:p>
    <w:tbl>
      <w:tblPr>
        <w:tblW w:w="9000"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000"/>
      </w:tblGrid>
      <w:tr w:rsidR="006D1F90" w:rsidRPr="0051439E" w14:paraId="578653AD" w14:textId="77777777" w:rsidTr="00F13739">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60EDB39" w14:textId="77777777" w:rsidR="006D1F90" w:rsidRPr="0051439E" w:rsidRDefault="006D1F90" w:rsidP="00F13739">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b/>
                <w:shd w:val="clear" w:color="auto" w:fill="FFFF99"/>
                <w:lang w:eastAsia="pt-BR"/>
              </w:rPr>
              <w:t>Nota Explicativa:</w:t>
            </w:r>
            <w:r w:rsidRPr="0051439E">
              <w:rPr>
                <w:rFonts w:ascii="Times New Roman" w:eastAsiaTheme="minorEastAsia" w:hAnsi="Times New Roman" w:cs="Times New Roman"/>
                <w:shd w:val="clear" w:color="auto" w:fill="FFFF99"/>
                <w:lang w:eastAsia="pt-BR"/>
              </w:rPr>
              <w:t> Seguem abaixo sugestões alternativas de redação para as diferentes hipóteses sobre a participação exclusiva ou não de microempresas e empresas de pequeno porte:  </w:t>
            </w:r>
          </w:p>
          <w:p w14:paraId="22FCCE62" w14:textId="77777777" w:rsidR="006D1F90" w:rsidRPr="0051439E" w:rsidRDefault="006D1F90" w:rsidP="00F13739">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b/>
                <w:shd w:val="clear" w:color="auto" w:fill="FFFF99"/>
                <w:lang w:eastAsia="pt-BR"/>
              </w:rPr>
              <w:t>Hipótese 1</w:t>
            </w:r>
            <w:r w:rsidRPr="0051439E">
              <w:rPr>
                <w:rFonts w:ascii="Times New Roman" w:eastAsiaTheme="minorEastAsia" w:hAnsi="Times New Roman" w:cs="Times New Roman"/>
                <w:shd w:val="clear" w:color="auto" w:fill="FFFF99"/>
                <w:lang w:eastAsia="pt-BR"/>
              </w:rPr>
              <w:t xml:space="preserve"> - valor estimado da licitação supera R$ 80.000,00 por item/grupo: </w:t>
            </w:r>
          </w:p>
        </w:tc>
      </w:tr>
    </w:tbl>
    <w:p w14:paraId="5744F807"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lang w:eastAsia="pt-BR"/>
        </w:rPr>
        <w:t>​  </w:t>
      </w:r>
    </w:p>
    <w:p w14:paraId="0BEBF8C4"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shd w:val="clear" w:color="auto" w:fill="00FFFF"/>
          <w:lang w:eastAsia="pt-BR"/>
        </w:rPr>
        <w:t>Diante disso, verifica-se que, no caso, a estimativa do </w:t>
      </w:r>
      <w:r w:rsidRPr="0051439E">
        <w:rPr>
          <w:rFonts w:ascii="Times New Roman" w:eastAsiaTheme="minorEastAsia" w:hAnsi="Times New Roman" w:cs="Times New Roman"/>
          <w:color w:val="FF0000"/>
          <w:shd w:val="clear" w:color="auto" w:fill="00FFFF"/>
          <w:lang w:eastAsia="pt-BR"/>
        </w:rPr>
        <w:t>valor da contratação (OU</w:t>
      </w:r>
      <w:r w:rsidRPr="0051439E">
        <w:rPr>
          <w:rFonts w:ascii="Times New Roman" w:eastAsiaTheme="minorEastAsia" w:hAnsi="Times New Roman" w:cs="Times New Roman"/>
          <w:color w:val="000000"/>
          <w:shd w:val="clear" w:color="auto" w:fill="00FFFF"/>
          <w:lang w:eastAsia="pt-BR"/>
        </w:rPr>
        <w:t> de cada item/grupo/lote) ultrapassa R$ 80.000,00. Foi acertada, portanto, a não exigência da participação exclusiva das microempresas e empresas de pequeno porte no presente certame.</w:t>
      </w:r>
      <w:r w:rsidRPr="0051439E">
        <w:rPr>
          <w:rFonts w:ascii="Times New Roman" w:eastAsiaTheme="minorEastAsia" w:hAnsi="Times New Roman" w:cs="Times New Roman"/>
          <w:lang w:eastAsia="pt-BR"/>
        </w:rPr>
        <w:t> </w:t>
      </w:r>
    </w:p>
    <w:p w14:paraId="76B330F8"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b/>
          <w:color w:val="000000"/>
          <w:u w:val="single"/>
          <w:shd w:val="clear" w:color="auto" w:fill="00FFFF"/>
          <w:lang w:eastAsia="pt-BR"/>
        </w:rPr>
        <w:t>OU</w:t>
      </w:r>
      <w:r w:rsidRPr="0051439E">
        <w:rPr>
          <w:rFonts w:ascii="Times New Roman" w:eastAsiaTheme="minorEastAsia" w:hAnsi="Times New Roman" w:cs="Times New Roman"/>
          <w:lang w:eastAsia="pt-BR"/>
        </w:rPr>
        <w:t> </w:t>
      </w:r>
    </w:p>
    <w:tbl>
      <w:tblPr>
        <w:tblW w:w="9000"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000"/>
      </w:tblGrid>
      <w:tr w:rsidR="006D1F90" w:rsidRPr="0051439E" w14:paraId="3BF04475" w14:textId="77777777" w:rsidTr="00F13739">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36A9C05" w14:textId="77777777" w:rsidR="006D1F90" w:rsidRPr="0051439E" w:rsidRDefault="006D1F90" w:rsidP="00F13739">
            <w:pPr>
              <w:spacing w:after="0"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b/>
                <w:shd w:val="clear" w:color="auto" w:fill="FFFF99"/>
                <w:lang w:eastAsia="pt-BR"/>
              </w:rPr>
              <w:t>Nota Explicativa: Hipótese 2 -</w:t>
            </w:r>
            <w:r w:rsidRPr="0051439E">
              <w:rPr>
                <w:rFonts w:ascii="Times New Roman" w:eastAsiaTheme="minorEastAsia" w:hAnsi="Times New Roman" w:cs="Times New Roman"/>
                <w:shd w:val="clear" w:color="auto" w:fill="FFFF99"/>
                <w:lang w:eastAsia="pt-BR"/>
              </w:rPr>
              <w:t xml:space="preserve"> participação exclusiva garantida, com pronunciamento expresso sobre o art. 10 do Decreto n. 8.538, de 2015: </w:t>
            </w:r>
          </w:p>
        </w:tc>
      </w:tr>
    </w:tbl>
    <w:p w14:paraId="0B7F11C7"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lang w:eastAsia="pt-BR"/>
        </w:rPr>
        <w:t>  </w:t>
      </w:r>
    </w:p>
    <w:p w14:paraId="24D9A788"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shd w:val="clear" w:color="auto" w:fill="00FFFF"/>
          <w:lang w:eastAsia="pt-BR"/>
        </w:rPr>
        <w:t>Diante disso, verifica-se que, no caso, </w:t>
      </w:r>
      <w:r w:rsidRPr="0051439E">
        <w:rPr>
          <w:rFonts w:ascii="Times New Roman" w:eastAsiaTheme="minorEastAsia" w:hAnsi="Times New Roman" w:cs="Times New Roman"/>
          <w:color w:val="FF0000"/>
          <w:shd w:val="clear" w:color="auto" w:fill="00FFFF"/>
          <w:lang w:eastAsia="pt-BR"/>
        </w:rPr>
        <w:t>a estimativa do valor da contratação (OU</w:t>
      </w:r>
      <w:r w:rsidRPr="0051439E">
        <w:rPr>
          <w:rFonts w:ascii="Times New Roman" w:eastAsiaTheme="minorEastAsia" w:hAnsi="Times New Roman" w:cs="Times New Roman"/>
          <w:lang w:eastAsia="pt-BR"/>
        </w:rPr>
        <w:t> </w:t>
      </w:r>
      <w:r w:rsidRPr="0051439E">
        <w:rPr>
          <w:rFonts w:ascii="Times New Roman" w:eastAsiaTheme="minorEastAsia" w:hAnsi="Times New Roman" w:cs="Times New Roman"/>
          <w:color w:val="FF0000"/>
          <w:shd w:val="clear" w:color="auto" w:fill="00FFFF"/>
          <w:lang w:eastAsia="pt-BR"/>
        </w:rPr>
        <w:t>de cada item/grupo/lote)</w:t>
      </w:r>
      <w:r w:rsidRPr="0051439E">
        <w:rPr>
          <w:rFonts w:ascii="Times New Roman" w:eastAsiaTheme="minorEastAsia" w:hAnsi="Times New Roman" w:cs="Times New Roman"/>
          <w:color w:val="000000"/>
          <w:shd w:val="clear" w:color="auto" w:fill="00FFFF"/>
          <w:lang w:eastAsia="pt-BR"/>
        </w:rPr>
        <w:t> não ultrapassa R$ 80.000,00, e o certame contempla o tratamento favorecido. Não há, portanto, observações adicionais a fazer, pois a Administração se pronunciou, expressamente, sobre a não incidência de qualquer das hipóteses do art. 10 do Decreto nº 8.538, de 2015</w:t>
      </w:r>
      <w:r w:rsidRPr="0051439E">
        <w:rPr>
          <w:rFonts w:ascii="Times New Roman" w:eastAsiaTheme="minorEastAsia" w:hAnsi="Times New Roman" w:cs="Times New Roman"/>
          <w:color w:val="FF0000"/>
          <w:shd w:val="clear" w:color="auto" w:fill="00FFFF"/>
          <w:lang w:eastAsia="pt-BR"/>
        </w:rPr>
        <w:t> (fls. XXX)</w:t>
      </w:r>
      <w:r w:rsidRPr="0051439E">
        <w:rPr>
          <w:rFonts w:ascii="Times New Roman" w:eastAsiaTheme="minorEastAsia" w:hAnsi="Times New Roman" w:cs="Times New Roman"/>
          <w:color w:val="000000"/>
          <w:shd w:val="clear" w:color="auto" w:fill="00FFFF"/>
          <w:lang w:eastAsia="pt-BR"/>
        </w:rPr>
        <w:t>.</w:t>
      </w:r>
      <w:r w:rsidRPr="0051439E">
        <w:rPr>
          <w:rFonts w:ascii="Times New Roman" w:eastAsiaTheme="minorEastAsia" w:hAnsi="Times New Roman" w:cs="Times New Roman"/>
          <w:lang w:eastAsia="pt-BR"/>
        </w:rPr>
        <w:t> </w:t>
      </w:r>
    </w:p>
    <w:p w14:paraId="4CFCD4A3"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b/>
          <w:color w:val="000000"/>
          <w:u w:val="single"/>
          <w:shd w:val="clear" w:color="auto" w:fill="00FFFF"/>
          <w:lang w:eastAsia="pt-BR"/>
        </w:rPr>
        <w:t>OU</w:t>
      </w:r>
    </w:p>
    <w:p w14:paraId="1A764EF4"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p>
    <w:tbl>
      <w:tblPr>
        <w:tblW w:w="9000"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000"/>
      </w:tblGrid>
      <w:tr w:rsidR="006D1F90" w:rsidRPr="0051439E" w14:paraId="1DDE532F" w14:textId="77777777" w:rsidTr="00F13739">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7BFA308" w14:textId="77777777" w:rsidR="006D1F90" w:rsidRPr="0051439E" w:rsidRDefault="006D1F90" w:rsidP="00F13739">
            <w:pPr>
              <w:spacing w:after="0"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b/>
                <w:color w:val="000000"/>
                <w:shd w:val="clear" w:color="auto" w:fill="FFFF99"/>
                <w:lang w:eastAsia="pt-BR"/>
              </w:rPr>
              <w:t>Nota Explicativa: Hipótese 3</w:t>
            </w:r>
            <w:r w:rsidRPr="0051439E">
              <w:rPr>
                <w:rFonts w:ascii="Times New Roman" w:eastAsiaTheme="minorEastAsia" w:hAnsi="Times New Roman" w:cs="Times New Roman"/>
                <w:color w:val="000000"/>
                <w:shd w:val="clear" w:color="auto" w:fill="FFFF99"/>
                <w:lang w:eastAsia="pt-BR"/>
              </w:rPr>
              <w:t xml:space="preserve"> - participação exclusiva garantida, mas há a necessidade de verificação da não incidência do art. 10 do Decreto nº 8.535, de 2015:</w:t>
            </w:r>
            <w:r w:rsidRPr="0051439E">
              <w:rPr>
                <w:rFonts w:ascii="Times New Roman" w:eastAsiaTheme="minorEastAsia" w:hAnsi="Times New Roman" w:cs="Times New Roman"/>
                <w:lang w:eastAsia="pt-BR"/>
              </w:rPr>
              <w:t> </w:t>
            </w:r>
          </w:p>
        </w:tc>
      </w:tr>
    </w:tbl>
    <w:p w14:paraId="7529ED6A"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lang w:eastAsia="pt-BR"/>
        </w:rPr>
        <w:t>  </w:t>
      </w:r>
    </w:p>
    <w:p w14:paraId="6485F650"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shd w:val="clear" w:color="auto" w:fill="00FFFF"/>
          <w:lang w:eastAsia="pt-BR"/>
        </w:rPr>
        <w:lastRenderedPageBreak/>
        <w:t>No caso, a estimativa do valor </w:t>
      </w:r>
      <w:r w:rsidRPr="0051439E">
        <w:rPr>
          <w:rFonts w:ascii="Times New Roman" w:eastAsiaTheme="minorEastAsia" w:hAnsi="Times New Roman" w:cs="Times New Roman"/>
          <w:color w:val="FF0000"/>
          <w:shd w:val="clear" w:color="auto" w:fill="00FFFF"/>
          <w:lang w:eastAsia="pt-BR"/>
        </w:rPr>
        <w:t>de cada item/grupo/lote</w:t>
      </w:r>
      <w:r w:rsidRPr="0051439E">
        <w:rPr>
          <w:rFonts w:ascii="Times New Roman" w:eastAsiaTheme="minorEastAsia" w:hAnsi="Times New Roman" w:cs="Times New Roman"/>
          <w:color w:val="000000"/>
          <w:shd w:val="clear" w:color="auto" w:fill="00FFFF"/>
          <w:lang w:eastAsia="pt-BR"/>
        </w:rPr>
        <w:t> não ultrapassa R$ 80.000,00. Acertada, portanto, a opção da Administração </w:t>
      </w:r>
      <w:r w:rsidRPr="0051439E">
        <w:rPr>
          <w:rFonts w:ascii="Times New Roman" w:eastAsiaTheme="minorEastAsia" w:hAnsi="Times New Roman" w:cs="Times New Roman"/>
          <w:color w:val="FF0000"/>
          <w:shd w:val="clear" w:color="auto" w:fill="00FFFF"/>
          <w:lang w:eastAsia="pt-BR"/>
        </w:rPr>
        <w:t>em destinar o certame (OU</w:t>
      </w:r>
      <w:r w:rsidRPr="0051439E">
        <w:rPr>
          <w:rFonts w:ascii="Times New Roman" w:eastAsiaTheme="minorEastAsia" w:hAnsi="Times New Roman" w:cs="Times New Roman"/>
          <w:lang w:eastAsia="pt-BR"/>
        </w:rPr>
        <w:t> </w:t>
      </w:r>
      <w:r w:rsidRPr="0051439E">
        <w:rPr>
          <w:rFonts w:ascii="Times New Roman" w:eastAsiaTheme="minorEastAsia" w:hAnsi="Times New Roman" w:cs="Times New Roman"/>
          <w:color w:val="FF0000"/>
          <w:shd w:val="clear" w:color="auto" w:fill="00FFFF"/>
          <w:lang w:eastAsia="pt-BR"/>
        </w:rPr>
        <w:t>destinar tais itens/grupos/lotes)</w:t>
      </w:r>
      <w:r w:rsidRPr="0051439E">
        <w:rPr>
          <w:rFonts w:ascii="Times New Roman" w:eastAsiaTheme="minorEastAsia" w:hAnsi="Times New Roman" w:cs="Times New Roman"/>
          <w:color w:val="000000"/>
          <w:shd w:val="clear" w:color="auto" w:fill="00FFFF"/>
          <w:lang w:eastAsia="pt-BR"/>
        </w:rPr>
        <w:t> à participação exclusiva de microempresas e empresas de pequeno porte.</w:t>
      </w:r>
      <w:r w:rsidRPr="0051439E">
        <w:rPr>
          <w:rFonts w:ascii="Times New Roman" w:eastAsiaTheme="minorEastAsia" w:hAnsi="Times New Roman" w:cs="Times New Roman"/>
          <w:lang w:eastAsia="pt-BR"/>
        </w:rPr>
        <w:t> </w:t>
      </w:r>
    </w:p>
    <w:p w14:paraId="0247502E"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shd w:val="clear" w:color="auto" w:fill="00FFFF"/>
          <w:lang w:eastAsia="pt-BR"/>
        </w:rPr>
        <w:t>Todavia, </w:t>
      </w:r>
      <w:r w:rsidRPr="0051439E">
        <w:rPr>
          <w:rFonts w:ascii="Times New Roman" w:eastAsiaTheme="minorEastAsia" w:hAnsi="Times New Roman" w:cs="Times New Roman"/>
          <w:color w:val="000000"/>
          <w:u w:val="single"/>
          <w:shd w:val="clear" w:color="auto" w:fill="00FFFF"/>
          <w:lang w:eastAsia="pt-BR"/>
        </w:rPr>
        <w:t>recomenda-se</w:t>
      </w:r>
      <w:r w:rsidRPr="0051439E">
        <w:rPr>
          <w:rFonts w:ascii="Times New Roman" w:eastAsiaTheme="minorEastAsia" w:hAnsi="Times New Roman" w:cs="Times New Roman"/>
          <w:color w:val="000000"/>
          <w:shd w:val="clear" w:color="auto" w:fill="00FFFF"/>
          <w:lang w:eastAsia="pt-BR"/>
        </w:rPr>
        <w:t xml:space="preserve"> a verificação da não incidência de qualquer das hipóteses do art. 10 do Decreto nº 8.538, de 2015, o que imporia, como consequência, o afastamento do tratamento diferenciado e a abertura da competição a todas as empresas interessadas, independentemente de seu porte.</w:t>
      </w:r>
      <w:r w:rsidRPr="0051439E">
        <w:rPr>
          <w:rFonts w:ascii="Times New Roman" w:eastAsiaTheme="minorEastAsia" w:hAnsi="Times New Roman" w:cs="Times New Roman"/>
          <w:lang w:eastAsia="pt-BR"/>
        </w:rPr>
        <w:t> </w:t>
      </w:r>
    </w:p>
    <w:p w14:paraId="04DBA485"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b/>
          <w:color w:val="000000"/>
          <w:u w:val="single"/>
          <w:shd w:val="clear" w:color="auto" w:fill="00FFFF"/>
          <w:lang w:eastAsia="pt-BR"/>
        </w:rPr>
        <w:t>OU</w:t>
      </w:r>
    </w:p>
    <w:tbl>
      <w:tblPr>
        <w:tblW w:w="9000"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000"/>
      </w:tblGrid>
      <w:tr w:rsidR="006D1F90" w:rsidRPr="0051439E" w14:paraId="21CCDCEA" w14:textId="77777777" w:rsidTr="00F13739">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9433172" w14:textId="77777777" w:rsidR="006D1F90" w:rsidRPr="0051439E" w:rsidRDefault="006D1F90" w:rsidP="00F13739">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b/>
                <w:shd w:val="clear" w:color="auto" w:fill="FFFF99"/>
                <w:lang w:eastAsia="pt-BR"/>
              </w:rPr>
              <w:t>Nota Explicativa: Hipótese 4</w:t>
            </w:r>
            <w:r w:rsidRPr="0051439E">
              <w:rPr>
                <w:rFonts w:ascii="Times New Roman" w:eastAsiaTheme="minorEastAsia" w:hAnsi="Times New Roman" w:cs="Times New Roman"/>
                <w:shd w:val="clear" w:color="auto" w:fill="FFFF99"/>
                <w:lang w:eastAsia="pt-BR"/>
              </w:rPr>
              <w:t xml:space="preserve"> - participação exclusiva não garantida, sem qualquer justificativa: </w:t>
            </w:r>
            <w:r w:rsidRPr="0051439E">
              <w:rPr>
                <w:rFonts w:ascii="Times New Roman" w:eastAsiaTheme="minorEastAsia" w:hAnsi="Times New Roman" w:cs="Times New Roman"/>
                <w:lang w:eastAsia="pt-BR"/>
              </w:rPr>
              <w:t>  </w:t>
            </w:r>
          </w:p>
        </w:tc>
      </w:tr>
    </w:tbl>
    <w:p w14:paraId="4B43C6F6"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p>
    <w:p w14:paraId="0234AFED"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shd w:val="clear" w:color="auto" w:fill="00FFFF"/>
          <w:lang w:eastAsia="pt-BR"/>
        </w:rPr>
        <w:t>No caso, a estimativa </w:t>
      </w:r>
      <w:r w:rsidRPr="0051439E">
        <w:rPr>
          <w:rFonts w:ascii="Times New Roman" w:eastAsiaTheme="minorEastAsia" w:hAnsi="Times New Roman" w:cs="Times New Roman"/>
          <w:color w:val="FF0000"/>
          <w:shd w:val="clear" w:color="auto" w:fill="00FFFF"/>
          <w:lang w:eastAsia="pt-BR"/>
        </w:rPr>
        <w:t>do valor da contratação não ultrapassa R$ 80.000,00 (OU</w:t>
      </w:r>
      <w:r w:rsidRPr="0051439E">
        <w:rPr>
          <w:rFonts w:ascii="Times New Roman" w:eastAsiaTheme="minorEastAsia" w:hAnsi="Times New Roman" w:cs="Times New Roman"/>
          <w:lang w:eastAsia="pt-BR"/>
        </w:rPr>
        <w:t> </w:t>
      </w:r>
      <w:r w:rsidRPr="0051439E">
        <w:rPr>
          <w:rFonts w:ascii="Times New Roman" w:eastAsiaTheme="minorEastAsia" w:hAnsi="Times New Roman" w:cs="Times New Roman"/>
          <w:color w:val="FF0000"/>
          <w:shd w:val="clear" w:color="auto" w:fill="00FFFF"/>
          <w:lang w:eastAsia="pt-BR"/>
        </w:rPr>
        <w:t>No caso, a estimativa do valor de cada item/grupo/lote não ultrapassa R$ 80.000,00). </w:t>
      </w:r>
      <w:r w:rsidRPr="0051439E">
        <w:rPr>
          <w:rFonts w:ascii="Times New Roman" w:eastAsiaTheme="minorEastAsia" w:hAnsi="Times New Roman" w:cs="Times New Roman"/>
          <w:color w:val="000000"/>
          <w:u w:val="single"/>
          <w:shd w:val="clear" w:color="auto" w:fill="00FFFF"/>
          <w:lang w:eastAsia="pt-BR"/>
        </w:rPr>
        <w:t>Cabe à Administração, portanto, </w:t>
      </w:r>
      <w:r w:rsidRPr="0051439E">
        <w:rPr>
          <w:rFonts w:ascii="Times New Roman" w:eastAsiaTheme="minorEastAsia" w:hAnsi="Times New Roman" w:cs="Times New Roman"/>
          <w:color w:val="FF0000"/>
          <w:u w:val="single"/>
          <w:shd w:val="clear" w:color="auto" w:fill="00FFFF"/>
          <w:lang w:eastAsia="pt-BR"/>
        </w:rPr>
        <w:t>destinar o certame</w:t>
      </w:r>
      <w:r w:rsidRPr="0051439E">
        <w:rPr>
          <w:rFonts w:ascii="Times New Roman" w:eastAsiaTheme="minorEastAsia" w:hAnsi="Times New Roman" w:cs="Times New Roman"/>
          <w:color w:val="FF0000"/>
          <w:shd w:val="clear" w:color="auto" w:fill="00FFFF"/>
          <w:lang w:eastAsia="pt-BR"/>
        </w:rPr>
        <w:t> (OU tais itens/grupos/lotes do certame) </w:t>
      </w:r>
      <w:r w:rsidRPr="0051439E">
        <w:rPr>
          <w:rFonts w:ascii="Times New Roman" w:eastAsiaTheme="minorEastAsia" w:hAnsi="Times New Roman" w:cs="Times New Roman"/>
          <w:color w:val="000000"/>
          <w:shd w:val="clear" w:color="auto" w:fill="00FFFF"/>
          <w:lang w:eastAsia="pt-BR"/>
        </w:rPr>
        <w:t xml:space="preserve">à participação exclusiva das ME e EPP, </w:t>
      </w:r>
      <w:r w:rsidRPr="0051439E">
        <w:rPr>
          <w:rFonts w:ascii="Times New Roman" w:eastAsiaTheme="minorEastAsia" w:hAnsi="Times New Roman" w:cs="Times New Roman"/>
          <w:color w:val="000000"/>
          <w:u w:val="single"/>
          <w:shd w:val="clear" w:color="auto" w:fill="00FFFF"/>
          <w:lang w:eastAsia="pt-BR"/>
        </w:rPr>
        <w:t>ou apresentar a devida justificativa</w:t>
      </w:r>
      <w:r w:rsidRPr="0051439E">
        <w:rPr>
          <w:rFonts w:ascii="Times New Roman" w:eastAsiaTheme="minorEastAsia" w:hAnsi="Times New Roman" w:cs="Times New Roman"/>
          <w:color w:val="000000"/>
          <w:shd w:val="clear" w:color="auto" w:fill="00FFFF"/>
          <w:lang w:eastAsia="pt-BR"/>
        </w:rPr>
        <w:t>, nos termos do art. 10 do Decreto 8.538, de 2015.</w:t>
      </w:r>
      <w:r w:rsidRPr="0051439E">
        <w:rPr>
          <w:rFonts w:ascii="Times New Roman" w:eastAsiaTheme="minorEastAsia" w:hAnsi="Times New Roman" w:cs="Times New Roman"/>
          <w:lang w:eastAsia="pt-BR"/>
        </w:rPr>
        <w:t> </w:t>
      </w:r>
    </w:p>
    <w:p w14:paraId="3A4DC16F"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b/>
          <w:color w:val="000000"/>
          <w:u w:val="single"/>
          <w:shd w:val="clear" w:color="auto" w:fill="00FFFF"/>
          <w:lang w:eastAsia="pt-BR"/>
        </w:rPr>
        <w:t>OU</w:t>
      </w:r>
    </w:p>
    <w:p w14:paraId="54028ADA"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p>
    <w:tbl>
      <w:tblPr>
        <w:tblW w:w="9000"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000"/>
      </w:tblGrid>
      <w:tr w:rsidR="006D1F90" w:rsidRPr="0051439E" w14:paraId="0C324809" w14:textId="77777777" w:rsidTr="00F13739">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095C1A3" w14:textId="77777777" w:rsidR="006D1F90" w:rsidRPr="0051439E" w:rsidRDefault="006D1F90" w:rsidP="00F13739">
            <w:pPr>
              <w:spacing w:after="0"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b/>
                <w:shd w:val="clear" w:color="auto" w:fill="FFFF99"/>
                <w:lang w:eastAsia="pt-BR"/>
              </w:rPr>
              <w:t>Nota Explicativa: Hipótese 5 -</w:t>
            </w:r>
            <w:r w:rsidRPr="0051439E">
              <w:rPr>
                <w:rFonts w:ascii="Times New Roman" w:eastAsiaTheme="minorEastAsia" w:hAnsi="Times New Roman" w:cs="Times New Roman"/>
                <w:shd w:val="clear" w:color="auto" w:fill="FFFF99"/>
                <w:lang w:eastAsia="pt-BR"/>
              </w:rPr>
              <w:t> participação exclusiva não garantida, com justificativa: </w:t>
            </w:r>
          </w:p>
        </w:tc>
      </w:tr>
    </w:tbl>
    <w:p w14:paraId="00022F22"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lang w:eastAsia="pt-BR"/>
        </w:rPr>
        <w:t>  </w:t>
      </w:r>
    </w:p>
    <w:p w14:paraId="6ED6CA42"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shd w:val="clear" w:color="auto" w:fill="00FFFF"/>
          <w:lang w:eastAsia="pt-BR"/>
        </w:rPr>
        <w:t>No caso, a estimativa </w:t>
      </w:r>
      <w:r w:rsidRPr="0051439E">
        <w:rPr>
          <w:rFonts w:ascii="Times New Roman" w:eastAsiaTheme="minorEastAsia" w:hAnsi="Times New Roman" w:cs="Times New Roman"/>
          <w:color w:val="FF0000"/>
          <w:shd w:val="clear" w:color="auto" w:fill="00FFFF"/>
          <w:lang w:eastAsia="pt-BR"/>
        </w:rPr>
        <w:t>do valor da contratação não ultrapassa R$ 80.000,00 (OU</w:t>
      </w:r>
      <w:r w:rsidRPr="0051439E">
        <w:rPr>
          <w:rFonts w:ascii="Times New Roman" w:eastAsiaTheme="minorEastAsia" w:hAnsi="Times New Roman" w:cs="Times New Roman"/>
          <w:lang w:eastAsia="pt-BR"/>
        </w:rPr>
        <w:t> </w:t>
      </w:r>
      <w:r w:rsidRPr="0051439E">
        <w:rPr>
          <w:rFonts w:ascii="Times New Roman" w:eastAsiaTheme="minorEastAsia" w:hAnsi="Times New Roman" w:cs="Times New Roman"/>
          <w:color w:val="FF0000"/>
          <w:shd w:val="clear" w:color="auto" w:fill="00FFFF"/>
          <w:lang w:eastAsia="pt-BR"/>
        </w:rPr>
        <w:t>No caso dos autos, a estimativa do valor de cada item/grupo/lote não ultrapassa R$ 80.000,00).</w:t>
      </w:r>
      <w:r w:rsidRPr="0051439E">
        <w:rPr>
          <w:rFonts w:ascii="Times New Roman" w:eastAsiaTheme="minorEastAsia" w:hAnsi="Times New Roman" w:cs="Times New Roman"/>
          <w:color w:val="000000"/>
          <w:shd w:val="clear" w:color="auto" w:fill="00FFFF"/>
          <w:lang w:eastAsia="pt-BR"/>
        </w:rPr>
        <w:t> Todavia, foi apresentada justificativa com base no inciso </w:t>
      </w:r>
      <w:r w:rsidRPr="0051439E">
        <w:rPr>
          <w:rFonts w:ascii="Times New Roman" w:eastAsiaTheme="minorEastAsia" w:hAnsi="Times New Roman" w:cs="Times New Roman"/>
          <w:color w:val="FF0000"/>
          <w:shd w:val="clear" w:color="auto" w:fill="00FFFF"/>
          <w:lang w:eastAsia="pt-BR"/>
        </w:rPr>
        <w:t>XXX </w:t>
      </w:r>
      <w:r w:rsidRPr="0051439E">
        <w:rPr>
          <w:rFonts w:ascii="Times New Roman" w:eastAsiaTheme="minorEastAsia" w:hAnsi="Times New Roman" w:cs="Times New Roman"/>
          <w:color w:val="000000"/>
          <w:shd w:val="clear" w:color="auto" w:fill="00FFFF"/>
          <w:lang w:eastAsia="pt-BR"/>
        </w:rPr>
        <w:t>do art. 10 do Decreto nº 8.538, de 2015, o que fundamenta a exclusão do tratamento favorecido no caso concreto.</w:t>
      </w:r>
      <w:r w:rsidRPr="0051439E">
        <w:rPr>
          <w:rFonts w:ascii="Times New Roman" w:eastAsiaTheme="minorEastAsia" w:hAnsi="Times New Roman" w:cs="Times New Roman"/>
          <w:lang w:eastAsia="pt-BR"/>
        </w:rPr>
        <w:t> </w:t>
      </w:r>
    </w:p>
    <w:p w14:paraId="411A3030"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lang w:eastAsia="pt-BR"/>
        </w:rPr>
        <w:t>  </w:t>
      </w:r>
    </w:p>
    <w:p w14:paraId="24B78851"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b/>
          <w:lang w:eastAsia="pt-BR"/>
        </w:rPr>
        <w:t> </w:t>
      </w:r>
      <w:r w:rsidRPr="0051439E">
        <w:rPr>
          <w:rFonts w:ascii="Times New Roman" w:eastAsiaTheme="minorEastAsia" w:hAnsi="Times New Roman" w:cs="Times New Roman"/>
          <w:b/>
          <w:color w:val="FF0000"/>
          <w:lang w:eastAsia="pt-BR"/>
        </w:rPr>
        <w:t>Do Regime de Execução</w:t>
      </w:r>
      <w:r w:rsidRPr="0051439E">
        <w:rPr>
          <w:rFonts w:ascii="Times New Roman" w:eastAsiaTheme="minorEastAsia" w:hAnsi="Times New Roman" w:cs="Times New Roman"/>
          <w:b/>
          <w:lang w:eastAsia="pt-BR"/>
        </w:rPr>
        <w:t> </w:t>
      </w:r>
    </w:p>
    <w:p w14:paraId="2FF54DF7"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p>
    <w:tbl>
      <w:tblPr>
        <w:tblW w:w="9000"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000"/>
      </w:tblGrid>
      <w:tr w:rsidR="006D1F90" w:rsidRPr="0051439E" w14:paraId="13759F45" w14:textId="77777777" w:rsidTr="00F13739">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0BCBB98" w14:textId="77777777" w:rsidR="006D1F90" w:rsidRPr="0051439E" w:rsidRDefault="006D1F90" w:rsidP="00F13739">
            <w:pPr>
              <w:spacing w:after="0"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b/>
                <w:color w:val="000000"/>
                <w:shd w:val="clear" w:color="auto" w:fill="FFFF99"/>
                <w:lang w:eastAsia="pt-BR"/>
              </w:rPr>
              <w:t>Nota Explicativa:</w:t>
            </w:r>
            <w:r w:rsidRPr="0051439E">
              <w:rPr>
                <w:rFonts w:ascii="Times New Roman" w:eastAsiaTheme="minorEastAsia" w:hAnsi="Times New Roman" w:cs="Times New Roman"/>
                <w:color w:val="000000"/>
                <w:lang w:eastAsia="pt-BR"/>
              </w:rPr>
              <w:t xml:space="preserve"> </w:t>
            </w:r>
            <w:r w:rsidRPr="0051439E">
              <w:rPr>
                <w:rFonts w:ascii="Times New Roman" w:eastAsiaTheme="minorEastAsia" w:hAnsi="Times New Roman" w:cs="Times New Roman"/>
                <w:color w:val="000000"/>
                <w:shd w:val="clear" w:color="auto" w:fill="FFFF99"/>
                <w:lang w:eastAsia="pt-BR"/>
              </w:rPr>
              <w:t>A fundamentação constante do presente tópico destina-se às situações em que não conste dos autos a apresentação da devida justificativa para a escolha do regime de execução. Caso a área técnica tenha motivado a escolha do regime de execução, deverá ser suprimido o presente item do parecer.</w:t>
            </w:r>
          </w:p>
        </w:tc>
      </w:tr>
    </w:tbl>
    <w:p w14:paraId="226BE705"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p>
    <w:p w14:paraId="208A7333"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FF0000"/>
          <w:lang w:eastAsia="pt-BR"/>
        </w:rPr>
        <w:t>O regime de execução deve ser sopesado pela Administração, em particular em termos de eficiência na gestão contratual.</w:t>
      </w:r>
      <w:r w:rsidRPr="0051439E">
        <w:rPr>
          <w:rFonts w:ascii="Times New Roman" w:eastAsiaTheme="minorEastAsia" w:hAnsi="Times New Roman" w:cs="Times New Roman"/>
          <w:lang w:eastAsia="pt-BR"/>
        </w:rPr>
        <w:t>   </w:t>
      </w:r>
    </w:p>
    <w:p w14:paraId="7A7230D5" w14:textId="77777777" w:rsidR="006D1F90" w:rsidRPr="0051439E" w:rsidRDefault="006D1F90" w:rsidP="006D1F90">
      <w:pPr>
        <w:spacing w:beforeAutospacing="1" w:afterAutospacing="1" w:line="240" w:lineRule="auto"/>
        <w:jc w:val="both"/>
        <w:rPr>
          <w:rFonts w:ascii="Times New Roman" w:eastAsiaTheme="minorEastAsia" w:hAnsi="Times New Roman" w:cs="Times New Roman"/>
          <w:color w:val="FF0000"/>
          <w:lang w:eastAsia="pt-BR"/>
        </w:rPr>
      </w:pPr>
    </w:p>
    <w:p w14:paraId="09C85C42"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FF0000"/>
          <w:lang w:eastAsia="pt-BR"/>
        </w:rPr>
        <w:lastRenderedPageBreak/>
        <w:t>Como regra, exige-se que as características qualitativas e quantitativas do objeto sejam previamente definidas no edital, permitindo-se aos licitantes a elaboração de proposta fundada em dados objetivos e seguros.</w:t>
      </w:r>
      <w:r w:rsidRPr="0051439E">
        <w:rPr>
          <w:rFonts w:ascii="Times New Roman" w:eastAsiaTheme="minorEastAsia" w:hAnsi="Times New Roman" w:cs="Times New Roman"/>
          <w:lang w:eastAsia="pt-BR"/>
        </w:rPr>
        <w:t>   </w:t>
      </w:r>
    </w:p>
    <w:p w14:paraId="668813A3" w14:textId="77777777" w:rsidR="006D1F90" w:rsidRPr="0051439E" w:rsidRDefault="006D1F90" w:rsidP="006D1F90">
      <w:pPr>
        <w:spacing w:beforeAutospacing="1" w:afterAutospacing="1" w:line="240" w:lineRule="auto"/>
        <w:jc w:val="both"/>
        <w:rPr>
          <w:rFonts w:ascii="Times New Roman" w:eastAsiaTheme="minorEastAsia" w:hAnsi="Times New Roman" w:cs="Times New Roman"/>
          <w:color w:val="FF0000"/>
          <w:lang w:eastAsia="pt-BR"/>
        </w:rPr>
      </w:pPr>
    </w:p>
    <w:p w14:paraId="0D662EE2"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FF0000"/>
          <w:lang w:eastAsia="pt-BR"/>
        </w:rPr>
        <w:t>Quando isso não é possível, ou seja, quando não se sabe ao certo a estimativa precisa dos itens e quantitativos que compõem o objeto a ser contratado, o gestor deve avaliar a melhor forma de execução contratual.</w:t>
      </w:r>
      <w:r w:rsidRPr="0051439E">
        <w:rPr>
          <w:rFonts w:ascii="Times New Roman" w:eastAsiaTheme="minorEastAsia" w:hAnsi="Times New Roman" w:cs="Times New Roman"/>
          <w:lang w:eastAsia="pt-BR"/>
        </w:rPr>
        <w:t>   </w:t>
      </w:r>
    </w:p>
    <w:p w14:paraId="24213F56" w14:textId="77777777" w:rsidR="006D1F90" w:rsidRPr="0051439E" w:rsidRDefault="006D1F90" w:rsidP="006D1F90">
      <w:pPr>
        <w:spacing w:beforeAutospacing="1" w:afterAutospacing="1" w:line="240" w:lineRule="auto"/>
        <w:jc w:val="both"/>
        <w:rPr>
          <w:rFonts w:ascii="Times New Roman" w:eastAsiaTheme="minorEastAsia" w:hAnsi="Times New Roman" w:cs="Times New Roman"/>
          <w:color w:val="FF0000"/>
          <w:lang w:eastAsia="pt-BR"/>
        </w:rPr>
      </w:pPr>
    </w:p>
    <w:p w14:paraId="2A8798AA"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FF0000"/>
          <w:lang w:eastAsia="pt-BR"/>
        </w:rPr>
        <w:t>Na empreitada por preço global, cada parte assume, em tese, o risco de eventuais distorções nos quantitativos a serem executados, que podem ser superiores ou inferiores àqueles originalmente previstos na planilha orçamentária da contratação. Justamente por isso, a adoção de tal regime pressupõe um termo de referência de boa qualidade, que estime com adequado nível de precisão as especificações e quantitativos da obra ou serviço, fornecendo aos licitantes todos os elementos e informações necessários para o total e completo conhecimento do objeto e a elaboração de proposta fidedigna (art. 6º, inciso XXIX, Lei nº 14.133, de 2021), para evitar distorções relevantes no decorrer da execução contratual (TCU. Acórdão 1978/2013-Plenário, TC 007.109/2013-0, relator Ministro Valmir Campelo, 31.7.2013).</w:t>
      </w:r>
      <w:r w:rsidRPr="0051439E">
        <w:rPr>
          <w:rFonts w:ascii="Times New Roman" w:eastAsiaTheme="minorEastAsia" w:hAnsi="Times New Roman" w:cs="Times New Roman"/>
          <w:lang w:eastAsia="pt-BR"/>
        </w:rPr>
        <w:t>   </w:t>
      </w:r>
    </w:p>
    <w:p w14:paraId="2EF8841B" w14:textId="77777777" w:rsidR="006D1F90" w:rsidRPr="0051439E" w:rsidRDefault="006D1F90" w:rsidP="006D1F90">
      <w:pPr>
        <w:spacing w:beforeAutospacing="1" w:afterAutospacing="1" w:line="240" w:lineRule="auto"/>
        <w:jc w:val="both"/>
        <w:rPr>
          <w:rFonts w:ascii="Times New Roman" w:eastAsiaTheme="minorEastAsia" w:hAnsi="Times New Roman" w:cs="Times New Roman"/>
          <w:color w:val="FF0000"/>
          <w:lang w:eastAsia="pt-BR"/>
        </w:rPr>
      </w:pPr>
    </w:p>
    <w:p w14:paraId="0EF0CB31"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FF0000"/>
          <w:lang w:eastAsia="pt-BR"/>
        </w:rPr>
        <w:t>Já na empreitada por preço unitário (art. 6º, inciso XXVIII, Lei nº 14.133, de 2021), em que o preço é fixado por unidades determinadas, os pagamentos correspondem à medição dos serviços efetivamente executados, de modo que os riscos dos contratantes em relação a diferenças de quantitativos são menores. Tal regime é mais apropriado para os casos em que não se conhecem de antemão, com adequado nível de precisão, os quantitativos totais da obra ou serviço: a execução das “unidades” se dará de acordo com a necessidade observada, com a realização de medições periódicas a fim de quantificar os serviços efetivamente executados e os correspondentes valores devidos (TCU. Acórdão 1978/2013-Plenário, TC 007.109/2013-0, relator Ministro Valmir Campelo, 31.7.2013).</w:t>
      </w:r>
      <w:r w:rsidRPr="0051439E">
        <w:rPr>
          <w:rFonts w:ascii="Times New Roman" w:eastAsiaTheme="minorEastAsia" w:hAnsi="Times New Roman" w:cs="Times New Roman"/>
          <w:lang w:eastAsia="pt-BR"/>
        </w:rPr>
        <w:t>   </w:t>
      </w:r>
    </w:p>
    <w:p w14:paraId="46AFBFF0" w14:textId="77777777" w:rsidR="006D1F90" w:rsidRPr="0051439E" w:rsidRDefault="006D1F90" w:rsidP="006D1F90">
      <w:pPr>
        <w:spacing w:beforeAutospacing="1" w:afterAutospacing="1" w:line="240" w:lineRule="auto"/>
        <w:jc w:val="both"/>
        <w:rPr>
          <w:rFonts w:ascii="Times New Roman" w:eastAsiaTheme="minorEastAsia" w:hAnsi="Times New Roman" w:cs="Times New Roman"/>
          <w:color w:val="FF0000"/>
          <w:lang w:eastAsia="pt-BR"/>
        </w:rPr>
      </w:pPr>
    </w:p>
    <w:p w14:paraId="5F63294F"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FF0000"/>
          <w:lang w:eastAsia="pt-BR"/>
        </w:rPr>
        <w:t>Assim, na empreitada por preço unitário haverá a execução do contrato conforme a demanda, e esse regime de execução foi criado para resolver o problema da necessidade de fixar uma remuneração sem que se tivesse, desde logo, a quantidade exata do encargo a ser executado.</w:t>
      </w:r>
      <w:r w:rsidRPr="0051439E">
        <w:rPr>
          <w:rFonts w:ascii="Times New Roman" w:eastAsiaTheme="minorEastAsia" w:hAnsi="Times New Roman" w:cs="Times New Roman"/>
          <w:lang w:eastAsia="pt-BR"/>
        </w:rPr>
        <w:t>   </w:t>
      </w:r>
    </w:p>
    <w:p w14:paraId="7A34B4B5" w14:textId="77777777" w:rsidR="006D1F90" w:rsidRPr="0051439E" w:rsidRDefault="006D1F90" w:rsidP="006D1F90">
      <w:pPr>
        <w:spacing w:beforeAutospacing="1" w:afterAutospacing="1" w:line="240" w:lineRule="auto"/>
        <w:jc w:val="both"/>
        <w:rPr>
          <w:rFonts w:ascii="Times New Roman" w:eastAsiaTheme="minorEastAsia" w:hAnsi="Times New Roman" w:cs="Times New Roman"/>
          <w:color w:val="FF0000"/>
          <w:lang w:eastAsia="pt-BR"/>
        </w:rPr>
      </w:pPr>
    </w:p>
    <w:p w14:paraId="53056B01"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FF0000"/>
          <w:lang w:eastAsia="pt-BR"/>
        </w:rPr>
        <w:t>Nessa senda, não é demais destacar o disposto no Enunciado Consultivo n.: 93 LICITAÇÕES: '</w:t>
      </w:r>
      <w:r w:rsidRPr="0051439E">
        <w:rPr>
          <w:rFonts w:ascii="Times New Roman" w:eastAsiaTheme="minorEastAsia" w:hAnsi="Times New Roman" w:cs="Times New Roman"/>
          <w:i/>
          <w:color w:val="FF0000"/>
          <w:lang w:eastAsia="pt-BR"/>
        </w:rPr>
        <w:t xml:space="preserve">É lícita a contratação para </w:t>
      </w:r>
      <w:r w:rsidRPr="0051439E">
        <w:rPr>
          <w:rFonts w:ascii="Times New Roman" w:eastAsiaTheme="minorEastAsia" w:hAnsi="Times New Roman" w:cs="Times New Roman"/>
          <w:i/>
          <w:color w:val="FF0000"/>
          <w:u w:val="single"/>
          <w:lang w:eastAsia="pt-BR"/>
        </w:rPr>
        <w:t>execução conforme a demanda</w:t>
      </w:r>
      <w:r w:rsidRPr="0051439E">
        <w:rPr>
          <w:rFonts w:ascii="Times New Roman" w:eastAsiaTheme="minorEastAsia" w:hAnsi="Times New Roman" w:cs="Times New Roman"/>
          <w:i/>
          <w:color w:val="FF0000"/>
          <w:lang w:eastAsia="pt-BR"/>
        </w:rPr>
        <w:t xml:space="preserve"> para serviços, adotando-se como regime de execução a empreitada por preço unitário e a tarefa.</w:t>
      </w:r>
      <w:r w:rsidRPr="0051439E">
        <w:rPr>
          <w:rFonts w:ascii="Times New Roman" w:eastAsiaTheme="minorEastAsia" w:hAnsi="Times New Roman" w:cs="Times New Roman"/>
          <w:color w:val="FF0000"/>
          <w:lang w:eastAsia="pt-BR"/>
        </w:rPr>
        <w:t>" Fonte: Parecer n. 00010/2013/CPLC/DEPCONSU/PGF/AGU. NUP 00407.000072/2020-36 (Seq. 116).​</w:t>
      </w:r>
    </w:p>
    <w:p w14:paraId="11E6EAE5"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FF0000"/>
          <w:lang w:eastAsia="pt-BR"/>
        </w:rPr>
        <w:t>A opção da Administração por um ou outro regime não decorre de mera conveniência, mas sim da possibilidade, no caso concreto, de predefinir uma estimativa precisa dos itens e respectivos quantitativos que compõem o objeto a ser licitado. Se tal possibilidade existir, a regra é a adoção da empreitada por preço global – normalmente atrelada às obras e serviços de menor complexidade. Do contrário, deve ser adotada a empreitada por preço unitário.</w:t>
      </w:r>
      <w:r w:rsidRPr="0051439E">
        <w:rPr>
          <w:rFonts w:ascii="Times New Roman" w:eastAsiaTheme="minorEastAsia" w:hAnsi="Times New Roman" w:cs="Times New Roman"/>
          <w:lang w:eastAsia="pt-BR"/>
        </w:rPr>
        <w:t>   </w:t>
      </w:r>
    </w:p>
    <w:p w14:paraId="62CE0B63" w14:textId="77777777" w:rsidR="006D1F90" w:rsidRPr="0051439E" w:rsidRDefault="006D1F90" w:rsidP="006D1F90">
      <w:pPr>
        <w:spacing w:beforeAutospacing="1" w:afterAutospacing="1" w:line="240" w:lineRule="auto"/>
        <w:jc w:val="both"/>
        <w:rPr>
          <w:rFonts w:ascii="Times New Roman" w:eastAsiaTheme="minorEastAsia" w:hAnsi="Times New Roman" w:cs="Times New Roman"/>
          <w:color w:val="FF0000"/>
          <w:lang w:eastAsia="pt-BR"/>
        </w:rPr>
      </w:pPr>
    </w:p>
    <w:p w14:paraId="1597B7A6"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FF0000"/>
          <w:lang w:eastAsia="pt-BR"/>
        </w:rPr>
        <w:t>Como desdobramento direto disso, em contratações por empreitada por preço global, a tramitação de eventuais aditivos contratuais quantitativos e qualitativos exigirá a apresentação de robusta justificativa.</w:t>
      </w:r>
      <w:r w:rsidRPr="0051439E">
        <w:rPr>
          <w:rFonts w:ascii="Times New Roman" w:eastAsiaTheme="minorEastAsia" w:hAnsi="Times New Roman" w:cs="Times New Roman"/>
          <w:lang w:eastAsia="pt-BR"/>
        </w:rPr>
        <w:t>   </w:t>
      </w:r>
    </w:p>
    <w:p w14:paraId="786D173F" w14:textId="77777777" w:rsidR="006D1F90" w:rsidRPr="0051439E" w:rsidRDefault="006D1F90" w:rsidP="006D1F90">
      <w:pPr>
        <w:spacing w:beforeAutospacing="1" w:afterAutospacing="1" w:line="240" w:lineRule="auto"/>
        <w:jc w:val="both"/>
        <w:rPr>
          <w:rFonts w:ascii="Times New Roman" w:eastAsiaTheme="minorEastAsia" w:hAnsi="Times New Roman" w:cs="Times New Roman"/>
          <w:color w:val="FF0000"/>
          <w:lang w:eastAsia="pt-BR"/>
        </w:rPr>
      </w:pPr>
    </w:p>
    <w:p w14:paraId="0C21B1B8"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FF0000"/>
          <w:lang w:eastAsia="pt-BR"/>
        </w:rPr>
        <w:t>Ocorre que a análise sobre a suficiência da descrição quantitativa e qualitativa não tem como ser feita por este órgão jurídico, motivo pelo qual tal incumbência recai sobre os órgãos e autoridades técnicas responsáveis pela descrição do objeto, cabendo-lhes a observância ao tanto quanto exposto até aqui.</w:t>
      </w:r>
      <w:r w:rsidRPr="0051439E">
        <w:rPr>
          <w:rFonts w:ascii="Times New Roman" w:eastAsiaTheme="minorEastAsia" w:hAnsi="Times New Roman" w:cs="Times New Roman"/>
          <w:lang w:eastAsia="pt-BR"/>
        </w:rPr>
        <w:t>   </w:t>
      </w:r>
    </w:p>
    <w:p w14:paraId="03AB8DA1" w14:textId="77777777" w:rsidR="006D1F90" w:rsidRPr="0051439E" w:rsidRDefault="006D1F90" w:rsidP="006D1F90">
      <w:pPr>
        <w:spacing w:beforeAutospacing="1" w:afterAutospacing="1" w:line="240" w:lineRule="auto"/>
        <w:jc w:val="both"/>
        <w:rPr>
          <w:rFonts w:ascii="Times New Roman" w:eastAsiaTheme="minorEastAsia" w:hAnsi="Times New Roman" w:cs="Times New Roman"/>
          <w:color w:val="FF0000"/>
          <w:lang w:eastAsia="pt-BR"/>
        </w:rPr>
      </w:pPr>
    </w:p>
    <w:p w14:paraId="67650C4A"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FF0000"/>
          <w:lang w:eastAsia="pt-BR"/>
        </w:rPr>
        <w:t xml:space="preserve">No caso concreto, </w:t>
      </w:r>
      <w:r w:rsidRPr="0051439E">
        <w:rPr>
          <w:rFonts w:ascii="Times New Roman" w:eastAsiaTheme="minorEastAsia" w:hAnsi="Times New Roman" w:cs="Times New Roman"/>
          <w:color w:val="FF0000"/>
          <w:u w:val="single"/>
          <w:lang w:eastAsia="pt-BR"/>
        </w:rPr>
        <w:t>não houve maiores justificativas</w:t>
      </w:r>
      <w:r w:rsidRPr="0051439E">
        <w:rPr>
          <w:rFonts w:ascii="Times New Roman" w:eastAsiaTheme="minorEastAsia" w:hAnsi="Times New Roman" w:cs="Times New Roman"/>
          <w:color w:val="FF0000"/>
          <w:lang w:eastAsia="pt-BR"/>
        </w:rPr>
        <w:t xml:space="preserve"> a respeito da escolha pela empreitada por preço </w:t>
      </w:r>
      <w:r w:rsidRPr="0051439E">
        <w:rPr>
          <w:rFonts w:ascii="Times New Roman" w:eastAsiaTheme="minorEastAsia" w:hAnsi="Times New Roman" w:cs="Times New Roman"/>
          <w:color w:val="FF0000"/>
          <w:shd w:val="clear" w:color="auto" w:fill="00FFFF"/>
          <w:lang w:eastAsia="pt-BR"/>
        </w:rPr>
        <w:t>global/unitário</w:t>
      </w:r>
      <w:r w:rsidRPr="0051439E">
        <w:rPr>
          <w:rFonts w:ascii="Times New Roman" w:eastAsiaTheme="minorEastAsia" w:hAnsi="Times New Roman" w:cs="Times New Roman"/>
          <w:color w:val="FF0000"/>
          <w:lang w:eastAsia="pt-BR"/>
        </w:rPr>
        <w:t>. Assim sendo, </w:t>
      </w:r>
      <w:r w:rsidRPr="0051439E">
        <w:rPr>
          <w:rFonts w:ascii="Times New Roman" w:eastAsiaTheme="minorEastAsia" w:hAnsi="Times New Roman" w:cs="Times New Roman"/>
          <w:color w:val="FF0000"/>
          <w:u w:val="single"/>
          <w:lang w:eastAsia="pt-BR"/>
        </w:rPr>
        <w:t xml:space="preserve">recomenda-se </w:t>
      </w:r>
      <w:r w:rsidRPr="0051439E">
        <w:rPr>
          <w:rFonts w:ascii="Times New Roman" w:eastAsiaTheme="minorEastAsia" w:hAnsi="Times New Roman" w:cs="Times New Roman"/>
          <w:color w:val="FF0000"/>
          <w:lang w:eastAsia="pt-BR"/>
        </w:rPr>
        <w:t>que sejam trazidas ao processo maiores justificativas para o regime de execução escolhido para a presente contratação.</w:t>
      </w:r>
      <w:r w:rsidRPr="0051439E">
        <w:rPr>
          <w:rFonts w:ascii="Times New Roman" w:eastAsiaTheme="minorEastAsia" w:hAnsi="Times New Roman" w:cs="Times New Roman"/>
          <w:lang w:eastAsia="pt-BR"/>
        </w:rPr>
        <w:t> </w:t>
      </w:r>
    </w:p>
    <w:p w14:paraId="2A955291" w14:textId="77777777" w:rsidR="006D1F90" w:rsidRPr="0051439E" w:rsidRDefault="006D1F90" w:rsidP="006D1F90">
      <w:pPr>
        <w:spacing w:after="48" w:line="288" w:lineRule="atLeast"/>
        <w:jc w:val="both"/>
        <w:rPr>
          <w:rFonts w:ascii="Times New Roman" w:eastAsiaTheme="minorEastAsia" w:hAnsi="Times New Roman" w:cs="Times New Roman"/>
          <w:color w:val="000000"/>
          <w:lang w:eastAsia="pt-BR"/>
        </w:rPr>
      </w:pPr>
      <w:r w:rsidRPr="0051439E">
        <w:rPr>
          <w:rFonts w:ascii="Times New Roman" w:eastAsiaTheme="minorEastAsia" w:hAnsi="Times New Roman" w:cs="Times New Roman"/>
          <w:color w:val="000000" w:themeColor="text1"/>
          <w:lang w:eastAsia="pt-BR"/>
        </w:rPr>
        <w:t> </w:t>
      </w:r>
    </w:p>
    <w:p w14:paraId="3D8D5CCB" w14:textId="77777777" w:rsidR="006D1F90" w:rsidRPr="0051439E" w:rsidRDefault="006D1F90" w:rsidP="006D1F90">
      <w:pPr>
        <w:spacing w:after="48" w:line="288" w:lineRule="atLeast"/>
        <w:jc w:val="both"/>
        <w:rPr>
          <w:rFonts w:ascii="Times New Roman" w:hAnsi="Times New Roman" w:cs="Times New Roman"/>
        </w:rPr>
      </w:pPr>
      <w:r w:rsidRPr="0051439E">
        <w:rPr>
          <w:rFonts w:ascii="Times New Roman" w:eastAsia="Calibri" w:hAnsi="Times New Roman" w:cs="Times New Roman"/>
          <w:b/>
          <w:bCs/>
          <w:color w:val="000000" w:themeColor="text1"/>
        </w:rPr>
        <w:t>DAS MINUTAS PADRONIZADAS DA AGU – EDITAL</w:t>
      </w:r>
      <w:r w:rsidRPr="0051439E">
        <w:rPr>
          <w:rFonts w:ascii="Times New Roman" w:eastAsia="Calibri" w:hAnsi="Times New Roman" w:cs="Times New Roman"/>
          <w:b/>
          <w:bCs/>
          <w:color w:val="FF0000"/>
        </w:rPr>
        <w:t>, ATA DE REGISTRO DE PREÇO</w:t>
      </w:r>
      <w:r w:rsidRPr="0051439E">
        <w:rPr>
          <w:rFonts w:ascii="Times New Roman" w:eastAsia="Calibri" w:hAnsi="Times New Roman" w:cs="Times New Roman"/>
          <w:b/>
          <w:bCs/>
          <w:color w:val="000000" w:themeColor="text1"/>
        </w:rPr>
        <w:t xml:space="preserve"> E CONTRATO</w:t>
      </w:r>
      <w:r w:rsidRPr="0051439E">
        <w:rPr>
          <w:rFonts w:ascii="Times New Roman" w:eastAsia="Calibri" w:hAnsi="Times New Roman" w:cs="Times New Roman"/>
          <w:b/>
          <w:bCs/>
        </w:rPr>
        <w:t xml:space="preserve">   </w:t>
      </w:r>
      <w:r w:rsidRPr="0051439E">
        <w:rPr>
          <w:rFonts w:ascii="Times New Roman" w:eastAsia="Calibri" w:hAnsi="Times New Roman" w:cs="Times New Roman"/>
        </w:rPr>
        <w:t xml:space="preserve"> </w:t>
      </w:r>
    </w:p>
    <w:p w14:paraId="732DA299" w14:textId="77777777" w:rsidR="006D1F90" w:rsidRPr="0051439E" w:rsidRDefault="006D1F90" w:rsidP="006D1F90">
      <w:pPr>
        <w:spacing w:line="257"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themeColor="text1"/>
          <w:lang w:eastAsia="pt-BR"/>
        </w:rPr>
        <w:t> </w:t>
      </w:r>
      <w:r w:rsidRPr="0051439E">
        <w:rPr>
          <w:rFonts w:ascii="Times New Roman" w:eastAsiaTheme="minorEastAsia" w:hAnsi="Times New Roman" w:cs="Times New Roman"/>
        </w:rPr>
        <w:t xml:space="preserve">Recomenda-se a utilização das minutas disponibilizadas pela AGU, conforme art. 19, inciso IV, c/c art. 25, § 1º, da Lei nº 14.133, de 2021, bem como que as alterações realizadas nos modelos sejam destacadas visualmente e justificadas por escrito no processo (art. 19, § 2º, da Lei nº 14.133, de 2021). </w:t>
      </w:r>
    </w:p>
    <w:p w14:paraId="38C3B308" w14:textId="77777777" w:rsidR="006D1F90" w:rsidRPr="0051439E" w:rsidRDefault="006D1F90" w:rsidP="006D1F90">
      <w:pPr>
        <w:spacing w:line="257" w:lineRule="auto"/>
        <w:jc w:val="both"/>
        <w:rPr>
          <w:rFonts w:ascii="Times New Roman" w:eastAsiaTheme="minorEastAsia" w:hAnsi="Times New Roman" w:cs="Times New Roman"/>
          <w:color w:val="FF0000"/>
        </w:rPr>
      </w:pPr>
      <w:r w:rsidRPr="0051439E">
        <w:rPr>
          <w:rFonts w:ascii="Times New Roman" w:eastAsiaTheme="minorEastAsia" w:hAnsi="Times New Roman" w:cs="Times New Roman"/>
          <w:color w:val="000000" w:themeColor="text1"/>
        </w:rPr>
        <w:t>A padronização de modelos de editais e contratos é medida de eficiência e celeridade administrativa e há muito tempo vem sendo recomendada pela AGU. Tal postulado foi registrado na quarta edição do seu Manual de Boas Práticas Consultivas, vazado no enunciado do BPC nº 06</w:t>
      </w:r>
      <w:r w:rsidRPr="0051439E">
        <w:rPr>
          <w:rFonts w:ascii="Times New Roman" w:eastAsiaTheme="minorEastAsia" w:hAnsi="Times New Roman" w:cs="Times New Roman"/>
          <w:color w:val="FF0000"/>
        </w:rPr>
        <w:t xml:space="preserve">: </w:t>
      </w:r>
    </w:p>
    <w:p w14:paraId="46B7FFAA" w14:textId="77777777" w:rsidR="006D1F90" w:rsidRPr="0051439E" w:rsidRDefault="006D1F90" w:rsidP="006D1F90">
      <w:pPr>
        <w:spacing w:line="257" w:lineRule="auto"/>
        <w:ind w:left="1701"/>
        <w:jc w:val="both"/>
        <w:rPr>
          <w:rFonts w:ascii="Times New Roman" w:eastAsiaTheme="minorEastAsia" w:hAnsi="Times New Roman" w:cs="Times New Roman"/>
          <w:color w:val="FF0000"/>
        </w:rPr>
      </w:pPr>
      <w:r w:rsidRPr="0051439E">
        <w:rPr>
          <w:rFonts w:ascii="Times New Roman" w:eastAsiaTheme="minorEastAsia" w:hAnsi="Times New Roman" w:cs="Times New Roman"/>
          <w:color w:val="FF0000"/>
          <w:u w:val="single"/>
        </w:rPr>
        <w:t>A atuação consultiva na análise de processos de contratação pública deve fomentar a utilização das listas de verificação documental (</w:t>
      </w:r>
      <w:proofErr w:type="spellStart"/>
      <w:r w:rsidRPr="0051439E">
        <w:rPr>
          <w:rFonts w:ascii="Times New Roman" w:eastAsiaTheme="minorEastAsia" w:hAnsi="Times New Roman" w:cs="Times New Roman"/>
          <w:color w:val="FF0000"/>
          <w:u w:val="single"/>
        </w:rPr>
        <w:t>check</w:t>
      </w:r>
      <w:proofErr w:type="spellEnd"/>
      <w:r w:rsidRPr="0051439E">
        <w:rPr>
          <w:rFonts w:ascii="Times New Roman" w:eastAsiaTheme="minorEastAsia" w:hAnsi="Times New Roman" w:cs="Times New Roman"/>
          <w:color w:val="FF0000"/>
          <w:u w:val="single"/>
        </w:rPr>
        <w:t xml:space="preserve"> </w:t>
      </w:r>
      <w:proofErr w:type="spellStart"/>
      <w:r w:rsidRPr="0051439E">
        <w:rPr>
          <w:rFonts w:ascii="Times New Roman" w:eastAsiaTheme="minorEastAsia" w:hAnsi="Times New Roman" w:cs="Times New Roman"/>
          <w:color w:val="FF0000"/>
          <w:u w:val="single"/>
        </w:rPr>
        <w:t>lists</w:t>
      </w:r>
      <w:proofErr w:type="spellEnd"/>
      <w:r w:rsidRPr="0051439E">
        <w:rPr>
          <w:rFonts w:ascii="Times New Roman" w:eastAsiaTheme="minorEastAsia" w:hAnsi="Times New Roman" w:cs="Times New Roman"/>
          <w:color w:val="FF0000"/>
          <w:u w:val="single"/>
        </w:rPr>
        <w:t>), do Guia Nacional de Licitações Sustentáveis e das minutas de editais, contratos, convênios e congêneres, disponibilizadas nos sítios eletrônicos da Advocacia-Geral da União</w:t>
      </w:r>
      <w:r w:rsidRPr="0051439E">
        <w:rPr>
          <w:rFonts w:ascii="Times New Roman" w:eastAsiaTheme="minorEastAsia" w:hAnsi="Times New Roman" w:cs="Times New Roman"/>
          <w:color w:val="FF0000"/>
        </w:rPr>
        <w:t xml:space="preserve"> e da Procuradoria-Geral da Fazenda Nacional.</w:t>
      </w:r>
    </w:p>
    <w:p w14:paraId="1BD7FAB8" w14:textId="77777777" w:rsidR="006D1F90" w:rsidRPr="0051439E" w:rsidRDefault="006D1F90" w:rsidP="006D1F90">
      <w:pPr>
        <w:spacing w:line="257" w:lineRule="auto"/>
        <w:ind w:left="1701"/>
        <w:jc w:val="both"/>
        <w:rPr>
          <w:rFonts w:ascii="Times New Roman" w:eastAsiaTheme="minorEastAsia" w:hAnsi="Times New Roman" w:cs="Times New Roman"/>
          <w:color w:val="FF0000"/>
        </w:rPr>
      </w:pPr>
      <w:r w:rsidRPr="0051439E">
        <w:rPr>
          <w:rFonts w:ascii="Times New Roman" w:eastAsiaTheme="minorEastAsia" w:hAnsi="Times New Roman" w:cs="Times New Roman"/>
          <w:color w:val="FF0000"/>
        </w:rPr>
        <w:t xml:space="preserve">No intuito de padronização nacional, </w:t>
      </w:r>
      <w:r w:rsidRPr="0051439E">
        <w:rPr>
          <w:rFonts w:ascii="Times New Roman" w:eastAsiaTheme="minorEastAsia" w:hAnsi="Times New Roman" w:cs="Times New Roman"/>
          <w:color w:val="FF0000"/>
          <w:u w:val="single"/>
        </w:rPr>
        <w:t>incumbe aos Órgãos Consultivos recomendar a utilização das minutas disponibilizadas pelos Órgãos de Direção Superior da AGU</w:t>
      </w:r>
      <w:r w:rsidRPr="0051439E">
        <w:rPr>
          <w:rFonts w:ascii="Times New Roman" w:eastAsiaTheme="minorEastAsia" w:hAnsi="Times New Roman" w:cs="Times New Roman"/>
          <w:color w:val="FF0000"/>
        </w:rPr>
        <w:t>, cujas atualizações devem ser informadas aos assessorados.</w:t>
      </w:r>
    </w:p>
    <w:p w14:paraId="47BA3624" w14:textId="77777777" w:rsidR="006D1F90" w:rsidRPr="0051439E" w:rsidRDefault="006D1F90" w:rsidP="006D1F90">
      <w:pPr>
        <w:spacing w:line="257" w:lineRule="auto"/>
        <w:ind w:left="1701"/>
        <w:jc w:val="both"/>
        <w:rPr>
          <w:rFonts w:ascii="Times New Roman" w:eastAsiaTheme="minorEastAsia" w:hAnsi="Times New Roman" w:cs="Times New Roman"/>
          <w:color w:val="FF0000"/>
        </w:rPr>
      </w:pPr>
      <w:r w:rsidRPr="0051439E">
        <w:rPr>
          <w:rFonts w:ascii="Times New Roman" w:eastAsiaTheme="minorEastAsia" w:hAnsi="Times New Roman" w:cs="Times New Roman"/>
          <w:color w:val="FF0000"/>
        </w:rPr>
        <w:t xml:space="preserve">Convém ainda que os Órgãos Consultivos </w:t>
      </w:r>
      <w:r w:rsidRPr="0051439E">
        <w:rPr>
          <w:rFonts w:ascii="Times New Roman" w:eastAsiaTheme="minorEastAsia" w:hAnsi="Times New Roman" w:cs="Times New Roman"/>
          <w:color w:val="FF0000"/>
          <w:u w:val="single"/>
        </w:rPr>
        <w:t>articulem-se com os assessorados, de modo a que edições de texto por estes produzidas em concreto a partir das minutas-padrão sejam destacadas, visando a agilizar o exame jurídico posterior pela instância consultiva da AGU</w:t>
      </w:r>
      <w:r w:rsidRPr="0051439E">
        <w:rPr>
          <w:rFonts w:ascii="Times New Roman" w:eastAsiaTheme="minorEastAsia" w:hAnsi="Times New Roman" w:cs="Times New Roman"/>
          <w:color w:val="FF0000"/>
        </w:rPr>
        <w:t xml:space="preserve"> (grifos nossos).</w:t>
      </w:r>
    </w:p>
    <w:p w14:paraId="4DBBDFFD" w14:textId="77777777" w:rsidR="006D1F90" w:rsidRPr="0051439E" w:rsidRDefault="006D1F90" w:rsidP="006D1F90">
      <w:pPr>
        <w:spacing w:line="257" w:lineRule="auto"/>
        <w:jc w:val="both"/>
        <w:rPr>
          <w:rFonts w:ascii="Times New Roman" w:eastAsiaTheme="minorEastAsia" w:hAnsi="Times New Roman" w:cs="Times New Roman"/>
          <w:color w:val="000000" w:themeColor="text1"/>
          <w:highlight w:val="green"/>
        </w:rPr>
      </w:pPr>
    </w:p>
    <w:p w14:paraId="3B8CCFBE" w14:textId="77777777" w:rsidR="006D1F90" w:rsidRPr="0051439E" w:rsidRDefault="006D1F90" w:rsidP="006D1F90">
      <w:pPr>
        <w:spacing w:line="257" w:lineRule="auto"/>
        <w:jc w:val="both"/>
        <w:rPr>
          <w:rFonts w:ascii="Times New Roman" w:eastAsiaTheme="minorEastAsia" w:hAnsi="Times New Roman" w:cs="Times New Roman"/>
          <w:color w:val="000000" w:themeColor="text1"/>
        </w:rPr>
      </w:pPr>
      <w:r w:rsidRPr="0051439E">
        <w:rPr>
          <w:rFonts w:ascii="Times New Roman" w:eastAsiaTheme="minorEastAsia" w:hAnsi="Times New Roman" w:cs="Times New Roman"/>
          <w:color w:val="000000" w:themeColor="text1"/>
        </w:rPr>
        <w:t xml:space="preserve">Dito isso, consta dos autos que foram utilizadas as minutas padronizadas de edital, contrato </w:t>
      </w:r>
      <w:r w:rsidRPr="0051439E">
        <w:rPr>
          <w:rFonts w:ascii="Times New Roman" w:eastAsiaTheme="minorEastAsia" w:hAnsi="Times New Roman" w:cs="Times New Roman"/>
          <w:color w:val="FF0000"/>
        </w:rPr>
        <w:t>e ata de registro de preços</w:t>
      </w:r>
      <w:r w:rsidRPr="0051439E">
        <w:rPr>
          <w:rFonts w:ascii="Times New Roman" w:eastAsiaTheme="minorEastAsia" w:hAnsi="Times New Roman" w:cs="Times New Roman"/>
        </w:rPr>
        <w:t xml:space="preserve"> </w:t>
      </w:r>
      <w:r w:rsidRPr="0051439E">
        <w:rPr>
          <w:rFonts w:ascii="Times New Roman" w:eastAsiaTheme="minorEastAsia" w:hAnsi="Times New Roman" w:cs="Times New Roman"/>
          <w:color w:val="000000" w:themeColor="text1"/>
        </w:rPr>
        <w:t>disponibilizadas pela Advocacia-Geral da União</w:t>
      </w:r>
      <w:r w:rsidRPr="0051439E">
        <w:rPr>
          <w:rFonts w:ascii="Times New Roman" w:eastAsiaTheme="minorEastAsia" w:hAnsi="Times New Roman" w:cs="Times New Roman"/>
          <w:color w:val="FF0000"/>
        </w:rPr>
        <w:t xml:space="preserve"> (fls. XXX/doc. SEI XXX)</w:t>
      </w:r>
      <w:r w:rsidRPr="0051439E">
        <w:rPr>
          <w:rFonts w:ascii="Times New Roman" w:eastAsiaTheme="minorEastAsia" w:hAnsi="Times New Roman" w:cs="Times New Roman"/>
          <w:color w:val="000000" w:themeColor="text1"/>
        </w:rPr>
        <w:t>.</w:t>
      </w:r>
    </w:p>
    <w:p w14:paraId="240A75E8" w14:textId="77777777" w:rsidR="006D1F90" w:rsidRPr="0051439E" w:rsidRDefault="006D1F90" w:rsidP="006D1F90">
      <w:pPr>
        <w:spacing w:line="257" w:lineRule="auto"/>
        <w:jc w:val="both"/>
        <w:rPr>
          <w:rFonts w:ascii="Times New Roman" w:eastAsiaTheme="minorEastAsia" w:hAnsi="Times New Roman" w:cs="Times New Roman"/>
          <w:color w:val="000000" w:themeColor="text1"/>
        </w:rPr>
      </w:pPr>
      <w:r w:rsidRPr="0051439E">
        <w:rPr>
          <w:rFonts w:ascii="Times New Roman" w:eastAsiaTheme="minorEastAsia" w:hAnsi="Times New Roman" w:cs="Times New Roman"/>
          <w:color w:val="000000" w:themeColor="text1"/>
        </w:rPr>
        <w:t>Assim, a utilização da minuta-padrão disponibilizada pela AGU, no presente caso, ao tempo em que revela ser medida de eficiência, acaba por restringir a análise jurídica a ser elaborada, tornando-se desarrazoada a revisão e a análise minuciosa de cada cláusula da minuta trazida, pois tal medida iria, na verdade, de encontro à finalidade pretendida com a padronização.</w:t>
      </w:r>
    </w:p>
    <w:p w14:paraId="4059FC81" w14:textId="77777777" w:rsidR="006D1F90" w:rsidRPr="0051439E" w:rsidRDefault="006D1F90" w:rsidP="006D1F90">
      <w:pPr>
        <w:spacing w:line="257" w:lineRule="auto"/>
        <w:jc w:val="both"/>
        <w:rPr>
          <w:rFonts w:ascii="Times New Roman" w:eastAsiaTheme="minorEastAsia" w:hAnsi="Times New Roman" w:cs="Times New Roman"/>
        </w:rPr>
      </w:pPr>
      <w:r w:rsidRPr="0051439E">
        <w:rPr>
          <w:rFonts w:ascii="Times New Roman" w:eastAsiaTheme="minorEastAsia" w:hAnsi="Times New Roman" w:cs="Times New Roman"/>
          <w:color w:val="000000" w:themeColor="text1"/>
        </w:rPr>
        <w:lastRenderedPageBreak/>
        <w:t>Os requisitos e elementos a serem contemplados na minuta de edital são aqueles previstos no art. 25,</w:t>
      </w:r>
      <w:r w:rsidRPr="0051439E">
        <w:rPr>
          <w:rFonts w:ascii="Times New Roman" w:eastAsiaTheme="minorEastAsia" w:hAnsi="Times New Roman" w:cs="Times New Roman"/>
          <w:i/>
          <w:iCs/>
          <w:color w:val="000000" w:themeColor="text1"/>
        </w:rPr>
        <w:t xml:space="preserve"> caput,</w:t>
      </w:r>
      <w:r w:rsidRPr="0051439E">
        <w:rPr>
          <w:rFonts w:ascii="Times New Roman" w:eastAsiaTheme="minorEastAsia" w:hAnsi="Times New Roman" w:cs="Times New Roman"/>
          <w:color w:val="000000" w:themeColor="text1"/>
        </w:rPr>
        <w:t xml:space="preserve"> da Lei nº 14.133, de 2021, com as devidas adaptações às especificidades de cada contratação.</w:t>
      </w:r>
    </w:p>
    <w:p w14:paraId="5738B5AE" w14:textId="77777777" w:rsidR="006D1F90" w:rsidRPr="0051439E" w:rsidRDefault="006D1F90" w:rsidP="006D1F90">
      <w:pPr>
        <w:jc w:val="both"/>
        <w:rPr>
          <w:rFonts w:ascii="Times New Roman" w:eastAsiaTheme="minorEastAsia" w:hAnsi="Times New Roman" w:cs="Times New Roman"/>
          <w:color w:val="FF0000"/>
        </w:rPr>
      </w:pPr>
      <w:r w:rsidRPr="0051439E">
        <w:rPr>
          <w:rFonts w:ascii="Times New Roman" w:eastAsiaTheme="minorEastAsia" w:hAnsi="Times New Roman" w:cs="Times New Roman"/>
          <w:color w:val="000000" w:themeColor="text1"/>
        </w:rPr>
        <w:t xml:space="preserve">Quanto ao uso propriamente dito dos modelos, não há ressalvas a fazer, pois foram adotadas as minutas </w:t>
      </w:r>
      <w:r w:rsidRPr="0051439E">
        <w:rPr>
          <w:rFonts w:ascii="Times New Roman" w:eastAsiaTheme="minorEastAsia" w:hAnsi="Times New Roman" w:cs="Times New Roman"/>
          <w:color w:val="FF0000"/>
        </w:rPr>
        <w:t>[INDICAR OS MODELOS DA AGU].</w:t>
      </w:r>
    </w:p>
    <w:tbl>
      <w:tblPr>
        <w:tblW w:w="0" w:type="auto"/>
        <w:tblLayout w:type="fixed"/>
        <w:tblLook w:val="04A0" w:firstRow="1" w:lastRow="0" w:firstColumn="1" w:lastColumn="0" w:noHBand="0" w:noVBand="1"/>
      </w:tblPr>
      <w:tblGrid>
        <w:gridCol w:w="8490"/>
      </w:tblGrid>
      <w:tr w:rsidR="006D1F90" w:rsidRPr="0051439E" w14:paraId="7D2AC9ED" w14:textId="77777777" w:rsidTr="00F13739">
        <w:trPr>
          <w:trHeight w:val="300"/>
        </w:trPr>
        <w:tc>
          <w:tcPr>
            <w:tcW w:w="8490" w:type="dxa"/>
            <w:tcBorders>
              <w:top w:val="inset" w:sz="8" w:space="0" w:color="000000" w:themeColor="text1"/>
              <w:left w:val="inset" w:sz="8" w:space="0" w:color="000000" w:themeColor="text1"/>
              <w:bottom w:val="inset" w:sz="8" w:space="0" w:color="000000" w:themeColor="text1"/>
              <w:right w:val="inset" w:sz="8" w:space="0" w:color="000000" w:themeColor="text1"/>
            </w:tcBorders>
            <w:shd w:val="clear" w:color="auto" w:fill="FCFC6A"/>
            <w:tcMar>
              <w:top w:w="30" w:type="dxa"/>
              <w:left w:w="30" w:type="dxa"/>
              <w:bottom w:w="30" w:type="dxa"/>
              <w:right w:w="30" w:type="dxa"/>
            </w:tcMar>
            <w:vAlign w:val="center"/>
          </w:tcPr>
          <w:p w14:paraId="359EC5BA" w14:textId="77777777" w:rsidR="006D1F90" w:rsidRPr="0051439E" w:rsidRDefault="006D1F90" w:rsidP="00F13739">
            <w:pPr>
              <w:jc w:val="both"/>
              <w:rPr>
                <w:rFonts w:ascii="Times New Roman" w:eastAsiaTheme="minorEastAsia" w:hAnsi="Times New Roman" w:cs="Times New Roman"/>
                <w:color w:val="000000" w:themeColor="text1"/>
              </w:rPr>
            </w:pPr>
            <w:r w:rsidRPr="0051439E">
              <w:rPr>
                <w:rFonts w:ascii="Times New Roman" w:eastAsiaTheme="minorEastAsia" w:hAnsi="Times New Roman" w:cs="Times New Roman"/>
                <w:b/>
                <w:bCs/>
                <w:i/>
                <w:iCs/>
                <w:color w:val="000000" w:themeColor="text1"/>
              </w:rPr>
              <w:t xml:space="preserve">Nota Explicativa: </w:t>
            </w:r>
            <w:r w:rsidRPr="0051439E">
              <w:rPr>
                <w:rFonts w:ascii="Times New Roman" w:eastAsiaTheme="minorEastAsia" w:hAnsi="Times New Roman" w:cs="Times New Roman"/>
                <w:color w:val="000000" w:themeColor="text1"/>
              </w:rPr>
              <w:t>O apontamento de eventuais falhas, retificações e esclarecimentos relativos ao conteúdo da minuta de Edital, se for o caso, deverá ser feito de acordo com a situação concreta a ser analisada, tomando-se por base, inclusive, as orientações constantes no modelo de minuta de Edital elaborado pela AGU.</w:t>
            </w:r>
          </w:p>
          <w:p w14:paraId="27145188" w14:textId="77777777" w:rsidR="006D1F90" w:rsidRPr="0051439E" w:rsidRDefault="006D1F90" w:rsidP="00F13739">
            <w:pPr>
              <w:jc w:val="both"/>
              <w:rPr>
                <w:rFonts w:ascii="Times New Roman" w:eastAsiaTheme="minorEastAsia" w:hAnsi="Times New Roman" w:cs="Times New Roman"/>
                <w:color w:val="000000" w:themeColor="text1"/>
              </w:rPr>
            </w:pPr>
            <w:r w:rsidRPr="0051439E">
              <w:rPr>
                <w:rFonts w:ascii="Times New Roman" w:eastAsiaTheme="minorEastAsia" w:hAnsi="Times New Roman" w:cs="Times New Roman"/>
                <w:color w:val="000000" w:themeColor="text1"/>
              </w:rPr>
              <w:t>A seguir, foram elencadas questões controversas identificadas de forma recorrente em pareceres elaborados pelos órgãos de execução da PGF. Evidentemente não há exaustividade nos temas tratados abaixo, incumbindo ao Procurador examinar o caso concreto e incluir em sua manifestação apenas aquelas que forem pertinentes, sem prejuízo de recomendações adicionais, fundadas em peculiaridades de cada situação submetida ao seu exame.</w:t>
            </w:r>
          </w:p>
          <w:p w14:paraId="51888388" w14:textId="77777777" w:rsidR="006D1F90" w:rsidRPr="0051439E" w:rsidRDefault="006D1F90" w:rsidP="00F13739">
            <w:pPr>
              <w:jc w:val="both"/>
              <w:rPr>
                <w:rFonts w:ascii="Times New Roman" w:eastAsiaTheme="minorEastAsia" w:hAnsi="Times New Roman" w:cs="Times New Roman"/>
                <w:color w:val="000000" w:themeColor="text1"/>
              </w:rPr>
            </w:pPr>
            <w:r w:rsidRPr="0051439E">
              <w:rPr>
                <w:rFonts w:ascii="Times New Roman" w:eastAsiaTheme="minorEastAsia" w:hAnsi="Times New Roman" w:cs="Times New Roman"/>
                <w:color w:val="000000" w:themeColor="text1"/>
              </w:rPr>
              <w:t>Nas hipóteses sob comento, deverá ser utilizado o texto abaixo colacionado, com indicação das recomendações consideradas necessárias pelo órgão consultivo.</w:t>
            </w:r>
          </w:p>
        </w:tc>
      </w:tr>
    </w:tbl>
    <w:p w14:paraId="6D917AE9" w14:textId="77777777" w:rsidR="006D1F90" w:rsidRPr="0051439E" w:rsidRDefault="006D1F90" w:rsidP="006D1F90">
      <w:pPr>
        <w:spacing w:after="48" w:line="288" w:lineRule="atLeast"/>
        <w:jc w:val="both"/>
        <w:rPr>
          <w:rFonts w:ascii="Times New Roman" w:eastAsiaTheme="minorEastAsia" w:hAnsi="Times New Roman" w:cs="Times New Roman"/>
          <w:color w:val="FF0000"/>
          <w:lang w:eastAsia="pt-BR"/>
        </w:rPr>
      </w:pPr>
    </w:p>
    <w:p w14:paraId="0125398E" w14:textId="77777777" w:rsidR="006D1F90" w:rsidRPr="0051439E" w:rsidRDefault="006D1F90" w:rsidP="006D1F90">
      <w:pPr>
        <w:spacing w:after="48" w:line="288" w:lineRule="atLeast"/>
        <w:jc w:val="both"/>
        <w:rPr>
          <w:rFonts w:ascii="Times New Roman" w:eastAsiaTheme="minorEastAsia" w:hAnsi="Times New Roman" w:cs="Times New Roman"/>
          <w:b/>
        </w:rPr>
      </w:pPr>
      <w:r w:rsidRPr="0051439E">
        <w:rPr>
          <w:rFonts w:ascii="Times New Roman" w:eastAsiaTheme="minorEastAsia" w:hAnsi="Times New Roman" w:cs="Times New Roman"/>
          <w:color w:val="FF0000"/>
        </w:rPr>
        <w:t>Sem embargo disso, quanto ao</w:t>
      </w:r>
      <w:r w:rsidRPr="0051439E">
        <w:rPr>
          <w:rFonts w:ascii="Times New Roman" w:eastAsiaTheme="minorEastAsia" w:hAnsi="Times New Roman" w:cs="Times New Roman"/>
        </w:rPr>
        <w:t xml:space="preserve"> </w:t>
      </w:r>
      <w:r w:rsidRPr="0051439E">
        <w:rPr>
          <w:rFonts w:ascii="Times New Roman" w:eastAsiaTheme="minorEastAsia" w:hAnsi="Times New Roman" w:cs="Times New Roman"/>
          <w:color w:val="FF0000"/>
        </w:rPr>
        <w:t xml:space="preserve">conteúdo das alterações destacadas ou das partes editáveis das minutas, </w:t>
      </w:r>
      <w:r w:rsidRPr="0051439E">
        <w:rPr>
          <w:rFonts w:ascii="Times New Roman" w:eastAsiaTheme="minorEastAsia" w:hAnsi="Times New Roman" w:cs="Times New Roman"/>
          <w:b/>
          <w:color w:val="FF0000"/>
          <w:u w:val="single"/>
        </w:rPr>
        <w:t>constata-se a necessidade de atendimento adicional às recomendações abaixo, a saber:</w:t>
      </w:r>
    </w:p>
    <w:p w14:paraId="0C1DA846" w14:textId="77777777" w:rsidR="006D1F90" w:rsidRPr="0051439E" w:rsidRDefault="006D1F90" w:rsidP="006D1F90">
      <w:pPr>
        <w:spacing w:after="48" w:line="288" w:lineRule="atLeast"/>
        <w:ind w:firstLine="1418"/>
        <w:jc w:val="both"/>
        <w:rPr>
          <w:rFonts w:ascii="Times New Roman" w:eastAsiaTheme="minorEastAsia" w:hAnsi="Times New Roman" w:cs="Times New Roman"/>
          <w:color w:val="000000"/>
          <w:lang w:eastAsia="pt-BR"/>
        </w:rPr>
      </w:pPr>
      <w:r w:rsidRPr="0051439E">
        <w:rPr>
          <w:rFonts w:ascii="Times New Roman" w:eastAsiaTheme="minorEastAsia" w:hAnsi="Times New Roman" w:cs="Times New Roman"/>
          <w:color w:val="000000" w:themeColor="text1"/>
          <w:lang w:eastAsia="pt-BR"/>
        </w:rPr>
        <w:t> </w:t>
      </w:r>
    </w:p>
    <w:p w14:paraId="68CD34EF" w14:textId="77777777" w:rsidR="006D1F90" w:rsidRPr="0051439E" w:rsidRDefault="006D1F90" w:rsidP="006D1F90">
      <w:pPr>
        <w:spacing w:after="100"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FF0000"/>
          <w:lang w:eastAsia="pt-BR"/>
        </w:rPr>
        <w:t>(...)</w:t>
      </w:r>
      <w:r w:rsidRPr="0051439E">
        <w:rPr>
          <w:rFonts w:ascii="Times New Roman" w:eastAsiaTheme="minorEastAsia" w:hAnsi="Times New Roman" w:cs="Times New Roman"/>
          <w:lang w:eastAsia="pt-BR"/>
        </w:rPr>
        <w:t> </w:t>
      </w:r>
    </w:p>
    <w:p w14:paraId="2374A050" w14:textId="77777777" w:rsidR="006D1F90" w:rsidRPr="0051439E" w:rsidRDefault="006D1F90" w:rsidP="006D1F90">
      <w:pPr>
        <w:spacing w:after="100" w:line="240" w:lineRule="auto"/>
        <w:jc w:val="both"/>
        <w:rPr>
          <w:rStyle w:val="normaltextrun"/>
          <w:rFonts w:ascii="Times New Roman" w:eastAsiaTheme="minorEastAsia" w:hAnsi="Times New Roman" w:cs="Times New Roman"/>
          <w:color w:val="FF0000"/>
        </w:rPr>
      </w:pPr>
      <w:r w:rsidRPr="0051439E">
        <w:rPr>
          <w:rStyle w:val="normaltextrun"/>
          <w:rFonts w:ascii="Times New Roman" w:eastAsiaTheme="minorEastAsia" w:hAnsi="Times New Roman" w:cs="Times New Roman"/>
          <w:color w:val="FF0000"/>
          <w:shd w:val="clear" w:color="auto" w:fill="00FF00"/>
        </w:rPr>
        <w:t xml:space="preserve">) o edital de licitação para </w:t>
      </w:r>
      <w:r w:rsidRPr="0051439E">
        <w:rPr>
          <w:rStyle w:val="normaltextrun"/>
          <w:rFonts w:ascii="Times New Roman" w:eastAsiaTheme="minorEastAsia" w:hAnsi="Times New Roman" w:cs="Times New Roman"/>
          <w:b/>
          <w:bCs/>
          <w:color w:val="FF0000"/>
          <w:shd w:val="clear" w:color="auto" w:fill="00FF00"/>
        </w:rPr>
        <w:t>registro de preços</w:t>
      </w:r>
      <w:r w:rsidRPr="0051439E">
        <w:rPr>
          <w:rStyle w:val="normaltextrun"/>
          <w:rFonts w:ascii="Times New Roman" w:eastAsiaTheme="minorEastAsia" w:hAnsi="Times New Roman" w:cs="Times New Roman"/>
          <w:color w:val="FF0000"/>
          <w:shd w:val="clear" w:color="auto" w:fill="00FF00"/>
        </w:rPr>
        <w:t xml:space="preserve"> deverá dispor sobre a quantidade mínima a ser cotada de unidades de bens ou, no caso de serviços, de unidades de medida, desde que justificada (art. 15, inciso II, do Decreto nº 11.462, de 2023), bem como sobre a possibilidade de o licitante oferecer ou não proposta em quantitativo inferior ao máximo previsto no edital e obrigar-se nos limites dela (art. 15, inciso IV, do Decreto nº 11.462, de 2023).</w:t>
      </w:r>
    </w:p>
    <w:p w14:paraId="4C36D303" w14:textId="77777777" w:rsidR="006D1F90" w:rsidRPr="0051439E" w:rsidRDefault="006D1F90" w:rsidP="006D1F90">
      <w:pPr>
        <w:spacing w:after="48" w:line="240" w:lineRule="auto"/>
        <w:jc w:val="both"/>
        <w:rPr>
          <w:rFonts w:ascii="Times New Roman" w:eastAsiaTheme="minorEastAsia" w:hAnsi="Times New Roman" w:cs="Times New Roman"/>
          <w:color w:val="000000" w:themeColor="text1"/>
          <w:lang w:eastAsia="pt-BR"/>
        </w:rPr>
      </w:pPr>
    </w:p>
    <w:p w14:paraId="6E49EB89" w14:textId="77777777" w:rsidR="006D1F90" w:rsidRPr="0051439E" w:rsidRDefault="006D1F90" w:rsidP="006D1F90">
      <w:pPr>
        <w:spacing w:after="100"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FF0000"/>
          <w:lang w:eastAsia="pt-BR"/>
        </w:rPr>
        <w:t xml:space="preserve">) nas contratações de obras e serviços de engenharia, sempre que a responsabilidade pelo </w:t>
      </w:r>
      <w:r w:rsidRPr="0051439E">
        <w:rPr>
          <w:rFonts w:ascii="Times New Roman" w:eastAsiaTheme="minorEastAsia" w:hAnsi="Times New Roman" w:cs="Times New Roman"/>
          <w:b/>
          <w:bCs/>
          <w:color w:val="FF0000"/>
          <w:lang w:eastAsia="pt-BR"/>
        </w:rPr>
        <w:t>licenciamento ambiental</w:t>
      </w:r>
      <w:r w:rsidRPr="0051439E">
        <w:rPr>
          <w:rFonts w:ascii="Times New Roman" w:eastAsiaTheme="minorEastAsia" w:hAnsi="Times New Roman" w:cs="Times New Roman"/>
          <w:color w:val="FF0000"/>
          <w:lang w:eastAsia="pt-BR"/>
        </w:rPr>
        <w:t xml:space="preserve"> for da Administração, a manifestação prévia ou licença prévia, quando cabíveis, deverão ser obtidas antes da divulgação do edital (art. 115, § 4º, da Lei nº 14.133, de 2021), aspecto a ser enfrentado pela Administração nos autos. </w:t>
      </w:r>
      <w:r w:rsidRPr="0051439E">
        <w:rPr>
          <w:rFonts w:ascii="Times New Roman" w:eastAsiaTheme="minorEastAsia" w:hAnsi="Times New Roman" w:cs="Times New Roman"/>
          <w:lang w:eastAsia="pt-BR"/>
        </w:rPr>
        <w:t> </w:t>
      </w:r>
    </w:p>
    <w:p w14:paraId="24DDD19F" w14:textId="77777777" w:rsidR="006D1F90" w:rsidRPr="0051439E" w:rsidRDefault="006D1F90" w:rsidP="006D1F90">
      <w:pPr>
        <w:spacing w:after="100" w:line="240" w:lineRule="auto"/>
        <w:jc w:val="both"/>
        <w:rPr>
          <w:rFonts w:ascii="Times New Roman" w:eastAsiaTheme="minorEastAsia" w:hAnsi="Times New Roman" w:cs="Times New Roman"/>
          <w:color w:val="FF0000"/>
          <w:lang w:eastAsia="pt-BR"/>
        </w:rPr>
      </w:pPr>
    </w:p>
    <w:p w14:paraId="6CBF7522" w14:textId="77777777" w:rsidR="006D1F90" w:rsidRPr="0051439E" w:rsidRDefault="006D1F90" w:rsidP="006D1F90">
      <w:pPr>
        <w:spacing w:after="100" w:line="240" w:lineRule="auto"/>
        <w:jc w:val="both"/>
        <w:rPr>
          <w:rFonts w:ascii="Times New Roman" w:eastAsiaTheme="minorEastAsia" w:hAnsi="Times New Roman" w:cs="Times New Roman"/>
          <w:color w:val="FF0000"/>
          <w:lang w:eastAsia="pt-BR"/>
        </w:rPr>
      </w:pPr>
      <w:r w:rsidRPr="0051439E">
        <w:rPr>
          <w:rFonts w:ascii="Times New Roman" w:eastAsiaTheme="minorEastAsia" w:hAnsi="Times New Roman" w:cs="Times New Roman"/>
          <w:color w:val="FF0000"/>
          <w:lang w:eastAsia="pt-BR"/>
        </w:rPr>
        <w:t xml:space="preserve">) a vedação de participação no processo licitatório de pessoas jurídicas reunidas em consórcio é exceção e essa opção deverá ser devidamente justificada pela Administração, nos termos do art. 15, </w:t>
      </w:r>
      <w:r w:rsidRPr="0051439E">
        <w:rPr>
          <w:rFonts w:ascii="Times New Roman" w:eastAsiaTheme="minorEastAsia" w:hAnsi="Times New Roman" w:cs="Times New Roman"/>
          <w:i/>
          <w:iCs/>
          <w:color w:val="FF0000"/>
          <w:lang w:eastAsia="pt-BR"/>
        </w:rPr>
        <w:t>caput</w:t>
      </w:r>
      <w:r w:rsidRPr="0051439E">
        <w:rPr>
          <w:rFonts w:ascii="Times New Roman" w:eastAsiaTheme="minorEastAsia" w:hAnsi="Times New Roman" w:cs="Times New Roman"/>
          <w:color w:val="FF0000"/>
          <w:lang w:eastAsia="pt-BR"/>
        </w:rPr>
        <w:t>, c/c art. 18, inciso IX, ambos da Lei nº 14.133, de 2021.</w:t>
      </w:r>
    </w:p>
    <w:p w14:paraId="07FD9849" w14:textId="77777777" w:rsidR="006D1F90" w:rsidRPr="0051439E" w:rsidRDefault="006D1F90" w:rsidP="006D1F90">
      <w:pPr>
        <w:spacing w:after="100" w:line="240" w:lineRule="auto"/>
        <w:jc w:val="both"/>
        <w:rPr>
          <w:rFonts w:ascii="Times New Roman" w:eastAsiaTheme="minorEastAsia" w:hAnsi="Times New Roman" w:cs="Times New Roman"/>
          <w:color w:val="FF0000"/>
          <w:lang w:eastAsia="pt-BR"/>
        </w:rPr>
      </w:pPr>
    </w:p>
    <w:p w14:paraId="26C7D09C" w14:textId="77777777" w:rsidR="006D1F90" w:rsidRPr="0051439E" w:rsidRDefault="006D1F90" w:rsidP="006D1F90">
      <w:pPr>
        <w:spacing w:after="100" w:line="240" w:lineRule="auto"/>
        <w:jc w:val="both"/>
        <w:rPr>
          <w:rFonts w:ascii="Times New Roman" w:eastAsia="Calibri" w:hAnsi="Times New Roman" w:cs="Times New Roman"/>
          <w:color w:val="FF0000"/>
          <w:highlight w:val="yellow"/>
        </w:rPr>
      </w:pPr>
      <w:r w:rsidRPr="0051439E">
        <w:rPr>
          <w:rFonts w:ascii="Times New Roman" w:eastAsiaTheme="minorEastAsia" w:hAnsi="Times New Roman" w:cs="Times New Roman"/>
          <w:color w:val="FF0000"/>
          <w:lang w:eastAsia="pt-BR"/>
        </w:rPr>
        <w:t xml:space="preserve">) o </w:t>
      </w:r>
      <w:r w:rsidRPr="0051439E">
        <w:rPr>
          <w:rFonts w:ascii="Times New Roman" w:eastAsia="Arial" w:hAnsi="Times New Roman" w:cs="Times New Roman"/>
          <w:color w:val="FF0000"/>
          <w:sz w:val="20"/>
          <w:szCs w:val="20"/>
        </w:rPr>
        <w:t xml:space="preserve">edital </w:t>
      </w:r>
      <w:r w:rsidRPr="0051439E">
        <w:rPr>
          <w:rFonts w:ascii="Times New Roman" w:eastAsia="Arial" w:hAnsi="Times New Roman" w:cs="Times New Roman"/>
          <w:color w:val="FF0000"/>
          <w:sz w:val="20"/>
          <w:szCs w:val="20"/>
          <w:u w:val="single"/>
        </w:rPr>
        <w:t>poderá</w:t>
      </w:r>
      <w:r w:rsidRPr="0051439E">
        <w:rPr>
          <w:rFonts w:ascii="Times New Roman" w:eastAsia="Arial" w:hAnsi="Times New Roman" w:cs="Times New Roman"/>
          <w:color w:val="FF0000"/>
          <w:sz w:val="20"/>
          <w:szCs w:val="20"/>
        </w:rPr>
        <w:t xml:space="preserve"> contemplar </w:t>
      </w:r>
      <w:r w:rsidRPr="0051439E">
        <w:rPr>
          <w:rFonts w:ascii="Times New Roman" w:eastAsia="Arial" w:hAnsi="Times New Roman" w:cs="Times New Roman"/>
          <w:b/>
          <w:bCs/>
          <w:color w:val="FF0000"/>
          <w:sz w:val="20"/>
          <w:szCs w:val="20"/>
        </w:rPr>
        <w:t>matriz de alocação de riscos</w:t>
      </w:r>
      <w:r w:rsidRPr="0051439E">
        <w:rPr>
          <w:rFonts w:ascii="Times New Roman" w:eastAsia="Arial" w:hAnsi="Times New Roman" w:cs="Times New Roman"/>
          <w:color w:val="FF0000"/>
          <w:sz w:val="20"/>
          <w:szCs w:val="20"/>
        </w:rPr>
        <w:t xml:space="preserve"> entre o contratante e o contratado, hipótese em que o cálculo do valor estimado da contratação poderá considerar taxa de risco compatível com o objeto da licitação e com os riscos atribuídos ao contratado, de acordo com metodologia predefinida pelo ente federativo (</w:t>
      </w:r>
      <w:r w:rsidRPr="0051439E">
        <w:rPr>
          <w:rFonts w:ascii="Times New Roman" w:eastAsia="Arial" w:hAnsi="Times New Roman" w:cs="Times New Roman"/>
          <w:color w:val="FF0000"/>
          <w:sz w:val="19"/>
          <w:szCs w:val="19"/>
        </w:rPr>
        <w:t xml:space="preserve">Art. 22, caput, da </w:t>
      </w:r>
      <w:r w:rsidRPr="0051439E">
        <w:rPr>
          <w:rFonts w:ascii="Times New Roman" w:eastAsiaTheme="minorEastAsia" w:hAnsi="Times New Roman" w:cs="Times New Roman"/>
          <w:color w:val="FF0000"/>
          <w:lang w:eastAsia="pt-BR"/>
        </w:rPr>
        <w:t>Lei nº 14.133, de 2021)</w:t>
      </w:r>
      <w:r w:rsidRPr="0051439E">
        <w:rPr>
          <w:rFonts w:ascii="Times New Roman" w:eastAsia="Arial" w:hAnsi="Times New Roman" w:cs="Times New Roman"/>
          <w:color w:val="FF0000"/>
          <w:sz w:val="20"/>
          <w:szCs w:val="20"/>
        </w:rPr>
        <w:t xml:space="preserve">. </w:t>
      </w:r>
      <w:r w:rsidRPr="0051439E">
        <w:rPr>
          <w:rFonts w:ascii="Times New Roman" w:eastAsia="Arial" w:hAnsi="Times New Roman" w:cs="Times New Roman"/>
          <w:color w:val="FF0000"/>
          <w:sz w:val="19"/>
          <w:szCs w:val="19"/>
        </w:rPr>
        <w:t xml:space="preserve">Quando a contratação se referir a obras e serviços de grande vulto ou forem adotados os regimes de contratação integrada e </w:t>
      </w:r>
      <w:proofErr w:type="spellStart"/>
      <w:r w:rsidRPr="0051439E">
        <w:rPr>
          <w:rFonts w:ascii="Times New Roman" w:eastAsia="Arial" w:hAnsi="Times New Roman" w:cs="Times New Roman"/>
          <w:color w:val="FF0000"/>
          <w:sz w:val="19"/>
          <w:szCs w:val="19"/>
        </w:rPr>
        <w:t>semi-integrada</w:t>
      </w:r>
      <w:proofErr w:type="spellEnd"/>
      <w:r w:rsidRPr="0051439E">
        <w:rPr>
          <w:rFonts w:ascii="Times New Roman" w:eastAsia="Arial" w:hAnsi="Times New Roman" w:cs="Times New Roman"/>
          <w:color w:val="FF0000"/>
          <w:sz w:val="19"/>
          <w:szCs w:val="19"/>
        </w:rPr>
        <w:t xml:space="preserve">, o edital obrigatoriamente contemplará matriz de alocação de riscos entre o contratante e o contratado </w:t>
      </w:r>
      <w:r w:rsidRPr="0051439E">
        <w:rPr>
          <w:rFonts w:ascii="Times New Roman" w:eastAsia="Arial" w:hAnsi="Times New Roman" w:cs="Times New Roman"/>
          <w:color w:val="FF0000"/>
          <w:sz w:val="20"/>
          <w:szCs w:val="20"/>
        </w:rPr>
        <w:t>(</w:t>
      </w:r>
      <w:r w:rsidRPr="0051439E">
        <w:rPr>
          <w:rFonts w:ascii="Times New Roman" w:eastAsia="Arial" w:hAnsi="Times New Roman" w:cs="Times New Roman"/>
          <w:color w:val="FF0000"/>
          <w:sz w:val="19"/>
          <w:szCs w:val="19"/>
        </w:rPr>
        <w:t xml:space="preserve">Art. 22, § 3º, da </w:t>
      </w:r>
      <w:r w:rsidRPr="0051439E">
        <w:rPr>
          <w:rFonts w:ascii="Times New Roman" w:eastAsiaTheme="minorEastAsia" w:hAnsi="Times New Roman" w:cs="Times New Roman"/>
          <w:color w:val="FF0000"/>
          <w:lang w:eastAsia="pt-BR"/>
        </w:rPr>
        <w:t>Lei nº 14.133, de 2021)</w:t>
      </w:r>
      <w:r w:rsidRPr="0051439E">
        <w:rPr>
          <w:rFonts w:ascii="Times New Roman" w:eastAsia="Arial" w:hAnsi="Times New Roman" w:cs="Times New Roman"/>
          <w:color w:val="FF0000"/>
          <w:sz w:val="19"/>
          <w:szCs w:val="19"/>
        </w:rPr>
        <w:t>.</w:t>
      </w:r>
      <w:r w:rsidRPr="0051439E">
        <w:rPr>
          <w:rFonts w:ascii="Times New Roman" w:eastAsia="Arial" w:hAnsi="Times New Roman" w:cs="Times New Roman"/>
          <w:color w:val="FF0000"/>
          <w:sz w:val="20"/>
          <w:szCs w:val="20"/>
        </w:rPr>
        <w:t xml:space="preserve"> A matriz de riscos deverá promover a alocação eficiente dos riscos de cada contrato e estabelecer a responsabilidade que caiba a cada parte contratante, bem como os mecanismos que afastem a ocorrência do sinistro e mitiguem os seus efeitos, caso este ocorra durante a execução contratual (</w:t>
      </w:r>
      <w:r w:rsidRPr="0051439E">
        <w:rPr>
          <w:rFonts w:ascii="Times New Roman" w:eastAsia="Arial" w:hAnsi="Times New Roman" w:cs="Times New Roman"/>
          <w:color w:val="FF0000"/>
          <w:sz w:val="19"/>
          <w:szCs w:val="19"/>
        </w:rPr>
        <w:t xml:space="preserve">Art. 22, § 1º, da </w:t>
      </w:r>
      <w:r w:rsidRPr="0051439E">
        <w:rPr>
          <w:rFonts w:ascii="Times New Roman" w:eastAsiaTheme="minorEastAsia" w:hAnsi="Times New Roman" w:cs="Times New Roman"/>
          <w:color w:val="FF0000"/>
          <w:lang w:eastAsia="pt-BR"/>
        </w:rPr>
        <w:t>Lei nº 14.133, de 2021)</w:t>
      </w:r>
      <w:r w:rsidRPr="0051439E">
        <w:rPr>
          <w:rFonts w:ascii="Times New Roman" w:eastAsia="Arial" w:hAnsi="Times New Roman" w:cs="Times New Roman"/>
          <w:color w:val="FF0000"/>
          <w:sz w:val="20"/>
          <w:szCs w:val="20"/>
        </w:rPr>
        <w:t>. Nessa hipótese, o contrato deverá refletir a alocação realizada pela matriz de riscos, especialmente quanto</w:t>
      </w:r>
      <w:r w:rsidRPr="0051439E">
        <w:rPr>
          <w:rFonts w:ascii="Times New Roman" w:eastAsia="Arial" w:hAnsi="Times New Roman" w:cs="Times New Roman"/>
          <w:color w:val="FF0000"/>
          <w:sz w:val="19"/>
          <w:szCs w:val="19"/>
        </w:rPr>
        <w:t xml:space="preserve"> ao disposto no Art. 22, § 2º, da </w:t>
      </w:r>
      <w:r w:rsidRPr="0051439E">
        <w:rPr>
          <w:rFonts w:ascii="Times New Roman" w:eastAsiaTheme="minorEastAsia" w:hAnsi="Times New Roman" w:cs="Times New Roman"/>
          <w:color w:val="FF0000"/>
          <w:lang w:eastAsia="pt-BR"/>
        </w:rPr>
        <w:t xml:space="preserve">Lei nº 14.133, de 2021, </w:t>
      </w:r>
      <w:r w:rsidRPr="0051439E">
        <w:rPr>
          <w:rFonts w:ascii="Times New Roman" w:eastAsiaTheme="minorEastAsia" w:hAnsi="Times New Roman" w:cs="Times New Roman"/>
          <w:color w:val="FF0000"/>
          <w:u w:val="single"/>
          <w:lang w:eastAsia="pt-BR"/>
        </w:rPr>
        <w:t>o que deve ser observado pelo setor técnico competente</w:t>
      </w:r>
      <w:r w:rsidRPr="0051439E">
        <w:rPr>
          <w:rFonts w:ascii="Times New Roman" w:eastAsiaTheme="minorEastAsia" w:hAnsi="Times New Roman" w:cs="Times New Roman"/>
          <w:color w:val="FF0000"/>
          <w:lang w:eastAsia="pt-BR"/>
        </w:rPr>
        <w:t xml:space="preserve">. </w:t>
      </w:r>
      <w:r w:rsidRPr="0051439E">
        <w:rPr>
          <w:rFonts w:ascii="Times New Roman" w:eastAsia="Arial" w:hAnsi="Times New Roman" w:cs="Times New Roman"/>
          <w:color w:val="FF0000"/>
          <w:sz w:val="19"/>
          <w:szCs w:val="19"/>
          <w:highlight w:val="yellow"/>
        </w:rPr>
        <w:t xml:space="preserve">Nas contratações integradas </w:t>
      </w:r>
      <w:r w:rsidRPr="0051439E">
        <w:rPr>
          <w:rFonts w:ascii="Times New Roman" w:eastAsia="Arial" w:hAnsi="Times New Roman" w:cs="Times New Roman"/>
          <w:color w:val="FF0000"/>
          <w:sz w:val="19"/>
          <w:szCs w:val="19"/>
          <w:highlight w:val="yellow"/>
        </w:rPr>
        <w:lastRenderedPageBreak/>
        <w:t xml:space="preserve">ou </w:t>
      </w:r>
      <w:proofErr w:type="spellStart"/>
      <w:r w:rsidRPr="0051439E">
        <w:rPr>
          <w:rFonts w:ascii="Times New Roman" w:eastAsia="Arial" w:hAnsi="Times New Roman" w:cs="Times New Roman"/>
          <w:color w:val="FF0000"/>
          <w:sz w:val="19"/>
          <w:szCs w:val="19"/>
          <w:highlight w:val="yellow"/>
        </w:rPr>
        <w:t>semi-integradas</w:t>
      </w:r>
      <w:proofErr w:type="spellEnd"/>
      <w:r w:rsidRPr="0051439E">
        <w:rPr>
          <w:rFonts w:ascii="Times New Roman" w:eastAsia="Arial" w:hAnsi="Times New Roman" w:cs="Times New Roman"/>
          <w:color w:val="FF0000"/>
          <w:sz w:val="19"/>
          <w:szCs w:val="19"/>
          <w:highlight w:val="yellow"/>
        </w:rPr>
        <w:t xml:space="preserve">, os riscos decorrentes de fatos supervenientes à contratação associados à escolha da solução de projeto básico pelo contratado </w:t>
      </w:r>
      <w:r w:rsidRPr="0051439E">
        <w:rPr>
          <w:rFonts w:ascii="Times New Roman" w:eastAsia="Arial" w:hAnsi="Times New Roman" w:cs="Times New Roman"/>
          <w:color w:val="FF0000"/>
          <w:sz w:val="19"/>
          <w:szCs w:val="19"/>
          <w:highlight w:val="yellow"/>
          <w:u w:val="single"/>
        </w:rPr>
        <w:t>deverão ser alocados como de sua responsabilidade na matriz de riscos</w:t>
      </w:r>
      <w:r w:rsidRPr="0051439E">
        <w:rPr>
          <w:rFonts w:ascii="Times New Roman" w:eastAsia="Arial" w:hAnsi="Times New Roman" w:cs="Times New Roman"/>
          <w:color w:val="FF0000"/>
          <w:sz w:val="19"/>
          <w:szCs w:val="19"/>
          <w:highlight w:val="yellow"/>
        </w:rPr>
        <w:t xml:space="preserve"> </w:t>
      </w:r>
      <w:r w:rsidRPr="0051439E">
        <w:rPr>
          <w:rFonts w:ascii="Times New Roman" w:eastAsia="Arial" w:hAnsi="Times New Roman" w:cs="Times New Roman"/>
          <w:color w:val="FF0000"/>
          <w:sz w:val="20"/>
          <w:szCs w:val="20"/>
          <w:highlight w:val="yellow"/>
        </w:rPr>
        <w:t>(a</w:t>
      </w:r>
      <w:r w:rsidRPr="0051439E">
        <w:rPr>
          <w:rFonts w:ascii="Times New Roman" w:eastAsia="Arial" w:hAnsi="Times New Roman" w:cs="Times New Roman"/>
          <w:color w:val="FF0000"/>
          <w:sz w:val="19"/>
          <w:szCs w:val="19"/>
          <w:highlight w:val="yellow"/>
        </w:rPr>
        <w:t xml:space="preserve">rt. 22, §4º, da </w:t>
      </w:r>
      <w:r w:rsidRPr="0051439E">
        <w:rPr>
          <w:rFonts w:ascii="Times New Roman" w:eastAsiaTheme="minorEastAsia" w:hAnsi="Times New Roman" w:cs="Times New Roman"/>
          <w:color w:val="FF0000"/>
          <w:highlight w:val="yellow"/>
          <w:lang w:eastAsia="pt-BR"/>
        </w:rPr>
        <w:t>Lei nº 14.133, de 2021)</w:t>
      </w:r>
      <w:r w:rsidRPr="0051439E">
        <w:rPr>
          <w:rFonts w:ascii="Times New Roman" w:eastAsia="Arial" w:hAnsi="Times New Roman" w:cs="Times New Roman"/>
          <w:color w:val="FF0000"/>
          <w:sz w:val="19"/>
          <w:szCs w:val="19"/>
          <w:highlight w:val="yellow"/>
        </w:rPr>
        <w:t>.</w:t>
      </w:r>
    </w:p>
    <w:p w14:paraId="5A9AAAF7" w14:textId="77777777" w:rsidR="006D1F90" w:rsidRPr="0051439E" w:rsidRDefault="006D1F90" w:rsidP="006D1F90">
      <w:pPr>
        <w:spacing w:after="100" w:line="240" w:lineRule="auto"/>
        <w:jc w:val="both"/>
        <w:rPr>
          <w:rFonts w:ascii="Times New Roman" w:eastAsiaTheme="minorEastAsia" w:hAnsi="Times New Roman" w:cs="Times New Roman"/>
          <w:lang w:eastAsia="pt-BR"/>
        </w:rPr>
      </w:pPr>
    </w:p>
    <w:p w14:paraId="7A9DABB4" w14:textId="77777777" w:rsidR="006D1F90" w:rsidRPr="0051439E" w:rsidRDefault="006D1F90" w:rsidP="006D1F90">
      <w:pPr>
        <w:spacing w:after="100"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FF0000"/>
          <w:lang w:eastAsia="pt-BR"/>
        </w:rPr>
        <w:t>) observar o disposto no art. 92, § 2º, da Lei nº 14.133, de 2021, ao estabelecer que, de acordo com as peculiaridades de seu objeto e de seu regime de execução, o contrato conterá cláusula que preveja período antecedente à expedição da ordem de serviço para verificação de pendências, liberação de áreas ou adoção de outras providências cabíveis para a regularidade do início de sua execução.</w:t>
      </w:r>
      <w:r w:rsidRPr="0051439E">
        <w:rPr>
          <w:rFonts w:ascii="Times New Roman" w:eastAsiaTheme="minorEastAsia" w:hAnsi="Times New Roman" w:cs="Times New Roman"/>
          <w:lang w:eastAsia="pt-BR"/>
        </w:rPr>
        <w:t> </w:t>
      </w:r>
    </w:p>
    <w:p w14:paraId="0DD120C3" w14:textId="77777777" w:rsidR="006D1F90" w:rsidRPr="0051439E" w:rsidRDefault="006D1F90" w:rsidP="006D1F90">
      <w:pPr>
        <w:spacing w:after="100" w:line="240" w:lineRule="auto"/>
        <w:jc w:val="both"/>
        <w:rPr>
          <w:rFonts w:ascii="Times New Roman" w:eastAsiaTheme="minorEastAsia" w:hAnsi="Times New Roman" w:cs="Times New Roman"/>
          <w:color w:val="FF0000"/>
          <w:lang w:eastAsia="pt-BR"/>
        </w:rPr>
      </w:pPr>
    </w:p>
    <w:p w14:paraId="2AE2A2CC" w14:textId="77777777" w:rsidR="006D1F90" w:rsidRPr="0051439E" w:rsidRDefault="006D1F90" w:rsidP="006D1F90">
      <w:pPr>
        <w:spacing w:after="100"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FF0000"/>
          <w:lang w:eastAsia="pt-BR"/>
        </w:rPr>
        <w:t>) na cláusula contratual do reajuste, indicar o índice adequado para o reajustamento dos custos decorrentes do mercado, preenchendo o subitem XXX. Para tanto, devem ser adotadas as orientações abaixo: </w:t>
      </w:r>
      <w:r w:rsidRPr="0051439E">
        <w:rPr>
          <w:rFonts w:ascii="Times New Roman" w:eastAsiaTheme="minorEastAsia" w:hAnsi="Times New Roman" w:cs="Times New Roman"/>
          <w:lang w:eastAsia="pt-BR"/>
        </w:rPr>
        <w:t> </w:t>
      </w:r>
    </w:p>
    <w:p w14:paraId="538C2A4D" w14:textId="77777777" w:rsidR="006D1F90" w:rsidRPr="0051439E" w:rsidRDefault="006D1F90" w:rsidP="006D1F90">
      <w:pPr>
        <w:spacing w:after="100" w:line="240" w:lineRule="auto"/>
        <w:jc w:val="both"/>
        <w:rPr>
          <w:rFonts w:ascii="Times New Roman" w:eastAsiaTheme="minorEastAsia" w:hAnsi="Times New Roman" w:cs="Times New Roman"/>
          <w:lang w:eastAsia="pt-BR"/>
        </w:rPr>
      </w:pPr>
    </w:p>
    <w:p w14:paraId="433F9CAC" w14:textId="77777777" w:rsidR="006D1F90" w:rsidRPr="0051439E" w:rsidRDefault="006D1F90" w:rsidP="006D1F90">
      <w:pPr>
        <w:spacing w:after="100" w:line="240" w:lineRule="auto"/>
        <w:ind w:left="1350"/>
        <w:jc w:val="both"/>
        <w:rPr>
          <w:rFonts w:ascii="Times New Roman" w:eastAsiaTheme="minorEastAsia" w:hAnsi="Times New Roman" w:cs="Times New Roman"/>
          <w:lang w:eastAsia="pt-BR"/>
        </w:rPr>
      </w:pPr>
      <w:r w:rsidRPr="0051439E">
        <w:rPr>
          <w:rFonts w:ascii="Times New Roman" w:eastAsiaTheme="minorEastAsia" w:hAnsi="Times New Roman" w:cs="Times New Roman"/>
          <w:i/>
          <w:iCs/>
          <w:color w:val="FF0000"/>
          <w:lang w:eastAsia="pt-BR"/>
        </w:rPr>
        <w:t>1) adotar o índice específico ou setorial que guarde a maior correlação possível com o segmento econômico em que estejam inseridos tais insumos diversos; </w:t>
      </w:r>
      <w:r w:rsidRPr="0051439E">
        <w:rPr>
          <w:rFonts w:ascii="Times New Roman" w:eastAsiaTheme="minorEastAsia" w:hAnsi="Times New Roman" w:cs="Times New Roman"/>
          <w:i/>
          <w:iCs/>
          <w:lang w:eastAsia="pt-BR"/>
        </w:rPr>
        <w:t> </w:t>
      </w:r>
    </w:p>
    <w:p w14:paraId="7A6A3E02" w14:textId="77777777" w:rsidR="006D1F90" w:rsidRPr="0051439E" w:rsidRDefault="006D1F90" w:rsidP="006D1F90">
      <w:pPr>
        <w:spacing w:after="100" w:line="240" w:lineRule="auto"/>
        <w:ind w:left="1350"/>
        <w:jc w:val="both"/>
        <w:rPr>
          <w:rFonts w:ascii="Times New Roman" w:eastAsiaTheme="minorEastAsia" w:hAnsi="Times New Roman" w:cs="Times New Roman"/>
          <w:lang w:eastAsia="pt-BR"/>
        </w:rPr>
      </w:pPr>
      <w:r w:rsidRPr="0051439E">
        <w:rPr>
          <w:rFonts w:ascii="Times New Roman" w:eastAsiaTheme="minorEastAsia" w:hAnsi="Times New Roman" w:cs="Times New Roman"/>
          <w:i/>
          <w:iCs/>
          <w:color w:val="FF0000"/>
          <w:lang w:eastAsia="pt-BR"/>
        </w:rPr>
        <w:t>2) na falta de qualquer índice específico ou setorial, escolher o índice geral melhor correlacionado com a variação inflacionária dos custos da contratação ou ainda, em caráter subsidiário, verificar se existe, no mercado, algum índice geral de adoção consagrada para o objeto contratado; </w:t>
      </w:r>
      <w:r w:rsidRPr="0051439E">
        <w:rPr>
          <w:rFonts w:ascii="Times New Roman" w:eastAsiaTheme="minorEastAsia" w:hAnsi="Times New Roman" w:cs="Times New Roman"/>
          <w:i/>
          <w:iCs/>
          <w:lang w:eastAsia="pt-BR"/>
        </w:rPr>
        <w:t> </w:t>
      </w:r>
    </w:p>
    <w:p w14:paraId="58D9D686" w14:textId="77777777" w:rsidR="006D1F90" w:rsidRPr="0051439E" w:rsidRDefault="006D1F90" w:rsidP="006D1F90">
      <w:pPr>
        <w:spacing w:after="100" w:line="240" w:lineRule="auto"/>
        <w:ind w:left="1350"/>
        <w:jc w:val="both"/>
        <w:rPr>
          <w:rFonts w:ascii="Times New Roman" w:eastAsiaTheme="minorEastAsia" w:hAnsi="Times New Roman" w:cs="Times New Roman"/>
          <w:lang w:eastAsia="pt-BR"/>
        </w:rPr>
      </w:pPr>
      <w:r w:rsidRPr="0051439E">
        <w:rPr>
          <w:rFonts w:ascii="Times New Roman" w:eastAsiaTheme="minorEastAsia" w:hAnsi="Times New Roman" w:cs="Times New Roman"/>
          <w:i/>
          <w:iCs/>
          <w:color w:val="FF0000"/>
          <w:lang w:eastAsia="pt-BR"/>
        </w:rPr>
        <w:t>3) na falta de qualquer índice geral com a característica do item anterior, adotar o Índice Nacional de Preços ao Consumidor Amplo - IPCA/IBGE. </w:t>
      </w:r>
      <w:r w:rsidRPr="0051439E">
        <w:rPr>
          <w:rFonts w:ascii="Times New Roman" w:eastAsiaTheme="minorEastAsia" w:hAnsi="Times New Roman" w:cs="Times New Roman"/>
          <w:i/>
          <w:iCs/>
          <w:lang w:eastAsia="pt-BR"/>
        </w:rPr>
        <w:t> </w:t>
      </w:r>
    </w:p>
    <w:p w14:paraId="3807C000" w14:textId="77777777" w:rsidR="006D1F90" w:rsidRPr="0051439E" w:rsidRDefault="006D1F90" w:rsidP="006D1F90">
      <w:pPr>
        <w:spacing w:after="100" w:line="240" w:lineRule="auto"/>
        <w:ind w:left="1350"/>
        <w:jc w:val="both"/>
        <w:rPr>
          <w:rFonts w:ascii="Times New Roman" w:eastAsiaTheme="minorEastAsia" w:hAnsi="Times New Roman" w:cs="Times New Roman"/>
          <w:lang w:eastAsia="pt-BR"/>
        </w:rPr>
      </w:pPr>
      <w:r w:rsidRPr="0051439E">
        <w:rPr>
          <w:rFonts w:ascii="Times New Roman" w:eastAsiaTheme="minorEastAsia" w:hAnsi="Times New Roman" w:cs="Times New Roman"/>
          <w:i/>
          <w:iCs/>
          <w:color w:val="FF0000"/>
          <w:lang w:eastAsia="pt-BR"/>
        </w:rPr>
        <w:t>Qualquer que seja o índice utilizado, deverá haver a justificativa técnica de sua escolha (item 7, b, do anexo IX da IN SEGES/MP nº 05/2017 c/c item III da Conclusão DEPCONSU/PGF/AGU Nº 38/2013).</w:t>
      </w:r>
      <w:r w:rsidRPr="0051439E">
        <w:rPr>
          <w:rFonts w:ascii="Times New Roman" w:eastAsiaTheme="minorEastAsia" w:hAnsi="Times New Roman" w:cs="Times New Roman"/>
          <w:i/>
          <w:iCs/>
          <w:lang w:eastAsia="pt-BR"/>
        </w:rPr>
        <w:t> </w:t>
      </w:r>
    </w:p>
    <w:p w14:paraId="1C5D9A5E" w14:textId="77777777" w:rsidR="006D1F90" w:rsidRPr="0051439E" w:rsidRDefault="006D1F90" w:rsidP="006D1F90">
      <w:pPr>
        <w:spacing w:after="100"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lang w:eastAsia="pt-BR"/>
        </w:rPr>
        <w:t>  </w:t>
      </w:r>
    </w:p>
    <w:p w14:paraId="4DF7BDDF" w14:textId="77777777" w:rsidR="006D1F90" w:rsidRPr="0051439E" w:rsidRDefault="006D1F90" w:rsidP="006D1F90">
      <w:pPr>
        <w:spacing w:after="100"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FF0000"/>
          <w:lang w:eastAsia="pt-BR"/>
        </w:rPr>
        <w:t>) a minuta de contrato deverá prever, entre as obrigações da contratada, a juntada ulterior do RRT (arts. 45 e 46 da Lei 12.378, de 2010) e/ou da ART (arts. 1º e 2º da Lei 6.496, de 1977) e/ou do TRT (arts. 16 e 19 da Lei nº 13.639, de 2018), relativos aos serviços de arquitetura, engenharia ou técnica industrial, respectivamente, para fins de identificação da responsabilidade técnica pela execução contratual (Súmula TCU nº 260).</w:t>
      </w:r>
      <w:r w:rsidRPr="0051439E">
        <w:rPr>
          <w:rFonts w:ascii="Times New Roman" w:eastAsiaTheme="minorEastAsia" w:hAnsi="Times New Roman" w:cs="Times New Roman"/>
          <w:lang w:eastAsia="pt-BR"/>
        </w:rPr>
        <w:t> </w:t>
      </w:r>
    </w:p>
    <w:tbl>
      <w:tblPr>
        <w:tblW w:w="9000"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000"/>
      </w:tblGrid>
      <w:tr w:rsidR="006D1F90" w:rsidRPr="0051439E" w14:paraId="7B7C6637" w14:textId="77777777" w:rsidTr="00F13739">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43BF6EB" w14:textId="77777777" w:rsidR="006D1F90" w:rsidRPr="0051439E" w:rsidRDefault="006D1F90" w:rsidP="00F13739">
            <w:pPr>
              <w:spacing w:after="0"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b/>
                <w:shd w:val="clear" w:color="auto" w:fill="FFFF99"/>
                <w:lang w:eastAsia="pt-BR"/>
              </w:rPr>
              <w:t>​</w:t>
            </w:r>
            <w:r w:rsidRPr="0051439E">
              <w:rPr>
                <w:rFonts w:ascii="Times New Roman" w:eastAsiaTheme="minorEastAsia" w:hAnsi="Times New Roman" w:cs="Times New Roman"/>
                <w:b/>
                <w:color w:val="000000"/>
                <w:shd w:val="clear" w:color="auto" w:fill="FFFF99"/>
                <w:lang w:eastAsia="pt-BR"/>
              </w:rPr>
              <w:t>Nota Explicativa</w:t>
            </w:r>
            <w:r w:rsidRPr="0051439E">
              <w:rPr>
                <w:rFonts w:ascii="Times New Roman" w:eastAsiaTheme="minorEastAsia" w:hAnsi="Times New Roman" w:cs="Times New Roman"/>
                <w:color w:val="000000"/>
                <w:shd w:val="clear" w:color="auto" w:fill="FFFF99"/>
                <w:lang w:eastAsia="pt-BR"/>
              </w:rPr>
              <w:t>: Os itens abaixo se aplicam na hipótese de licitação para serviços</w:t>
            </w:r>
            <w:r w:rsidRPr="0051439E">
              <w:rPr>
                <w:rFonts w:ascii="Times New Roman" w:eastAsiaTheme="minorEastAsia" w:hAnsi="Times New Roman" w:cs="Times New Roman"/>
                <w:lang w:eastAsia="pt-BR"/>
              </w:rPr>
              <w:t xml:space="preserve"> </w:t>
            </w:r>
            <w:r w:rsidRPr="0051439E">
              <w:rPr>
                <w:rFonts w:ascii="Times New Roman" w:eastAsiaTheme="minorEastAsia" w:hAnsi="Times New Roman" w:cs="Times New Roman"/>
                <w:color w:val="000000"/>
                <w:shd w:val="clear" w:color="auto" w:fill="FFFF99"/>
                <w:lang w:eastAsia="pt-BR"/>
              </w:rPr>
              <w:t>por escopo (não continuados):</w:t>
            </w:r>
            <w:r w:rsidRPr="0051439E">
              <w:rPr>
                <w:rFonts w:ascii="Times New Roman" w:eastAsiaTheme="minorEastAsia" w:hAnsi="Times New Roman" w:cs="Times New Roman"/>
                <w:lang w:eastAsia="pt-BR"/>
              </w:rPr>
              <w:t>   </w:t>
            </w:r>
          </w:p>
        </w:tc>
      </w:tr>
    </w:tbl>
    <w:p w14:paraId="6E6A4BCE" w14:textId="77777777" w:rsidR="006D1F90" w:rsidRPr="0051439E" w:rsidRDefault="006D1F90" w:rsidP="006D1F90">
      <w:pPr>
        <w:spacing w:after="100"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FF0000"/>
          <w:lang w:eastAsia="pt-BR"/>
        </w:rPr>
        <w:t>) incluir, no contrato ou em anexo do edital, cronograma físico-financeiro com a especificação completa das etapas necessária à medição, ao monitoramento e ao controle das obras/serviços (art. 12 do Decreto nº 7.983, de 2013).</w:t>
      </w:r>
      <w:r w:rsidRPr="0051439E">
        <w:rPr>
          <w:rFonts w:ascii="Times New Roman" w:eastAsiaTheme="minorEastAsia" w:hAnsi="Times New Roman" w:cs="Times New Roman"/>
          <w:lang w:eastAsia="pt-BR"/>
        </w:rPr>
        <w:t> </w:t>
      </w:r>
    </w:p>
    <w:p w14:paraId="7EEB198A" w14:textId="77777777" w:rsidR="006D1F90" w:rsidRPr="0051439E" w:rsidRDefault="006D1F90" w:rsidP="006D1F90">
      <w:pPr>
        <w:spacing w:after="100" w:line="240" w:lineRule="auto"/>
        <w:jc w:val="both"/>
        <w:rPr>
          <w:rFonts w:ascii="Times New Roman" w:eastAsiaTheme="minorEastAsia" w:hAnsi="Times New Roman" w:cs="Times New Roman"/>
          <w:color w:val="FF0000"/>
          <w:lang w:eastAsia="pt-BR"/>
        </w:rPr>
      </w:pPr>
    </w:p>
    <w:p w14:paraId="1C3FBF24" w14:textId="77777777" w:rsidR="006D1F90" w:rsidRPr="0051439E" w:rsidRDefault="006D1F90" w:rsidP="006D1F90">
      <w:pPr>
        <w:spacing w:after="100"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FF0000"/>
          <w:lang w:eastAsia="pt-BR"/>
        </w:rPr>
        <w:t>) da análise da vigência contratual que consta da minuta de contrato, percebemos que haverá extrapolação do exercício financeiro. Desse modo, somente será possível essa contratação se o presente objeto contiver produto previsto nas metas do Plano Plurianual (art. 105 da Lei nº 14.133, de 2021) - devendo haver a comprovação nos autos desse fato -, ou, se todo o empenho necessário à execução contratual for realizado até o dia 31 de dezembro do ano da conclusão da licitação.</w:t>
      </w:r>
      <w:r w:rsidRPr="0051439E">
        <w:rPr>
          <w:rFonts w:ascii="Times New Roman" w:eastAsiaTheme="minorEastAsia" w:hAnsi="Times New Roman" w:cs="Times New Roman"/>
          <w:lang w:eastAsia="pt-BR"/>
        </w:rPr>
        <w:t> </w:t>
      </w:r>
    </w:p>
    <w:p w14:paraId="5494933B" w14:textId="77777777" w:rsidR="006D1F90" w:rsidRPr="0051439E" w:rsidRDefault="006D1F90" w:rsidP="006D1F90">
      <w:pPr>
        <w:spacing w:beforeAutospacing="1" w:afterAutospacing="1" w:line="240" w:lineRule="auto"/>
        <w:jc w:val="both"/>
        <w:rPr>
          <w:rFonts w:ascii="Times New Roman" w:eastAsiaTheme="minorEastAsia" w:hAnsi="Times New Roman" w:cs="Times New Roman"/>
          <w:color w:val="000000" w:themeColor="text1"/>
          <w:lang w:eastAsia="pt-BR"/>
        </w:rPr>
      </w:pPr>
    </w:p>
    <w:p w14:paraId="62E11F64"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themeColor="text1"/>
          <w:lang w:eastAsia="pt-BR"/>
        </w:rPr>
        <w:t xml:space="preserve">O PARECER n. 00004/2022/CNMLC/CGU/AGU (NUP: 00688.000716/2019-43), ao tratar sobre a aplicação da Lei Geral de Proteção de Dados nos modelos de licitação e contratos, fixou o entendimento de que, nos contratos administrativos, </w:t>
      </w:r>
      <w:r w:rsidRPr="0051439E">
        <w:rPr>
          <w:rFonts w:ascii="Times New Roman" w:eastAsiaTheme="minorEastAsia" w:hAnsi="Times New Roman" w:cs="Times New Roman"/>
          <w:i/>
          <w:iCs/>
          <w:color w:val="000000" w:themeColor="text1"/>
          <w:lang w:eastAsia="pt-BR"/>
        </w:rPr>
        <w:t xml:space="preserve">“[...] não constem os números de documentos pessoais das pessoas naturais que irão assiná-los, como ocorre normalmente com os representantes da </w:t>
      </w:r>
      <w:r w:rsidRPr="0051439E">
        <w:rPr>
          <w:rFonts w:ascii="Times New Roman" w:eastAsiaTheme="minorEastAsia" w:hAnsi="Times New Roman" w:cs="Times New Roman"/>
          <w:i/>
          <w:iCs/>
          <w:color w:val="000000" w:themeColor="text1"/>
          <w:lang w:eastAsia="pt-BR"/>
        </w:rPr>
        <w:lastRenderedPageBreak/>
        <w:t>Administração e da empresa contratada. Em vez disso, propõe-se nos instrumentos contratuais os representantes da Administração sejam identificados apenas com a matrícula funcional [...]. Com relação aos representantes da contratada também se propõe que os instrumentos contratuais os identifiquem apenas pelo nome, até porque o art. 61 da Lei nº 8.666, de 1993, e o §1º do art. 89 da Lei nº 14.133, de 1º de abril de 2021, exigem apenas esse dado (...)</w:t>
      </w:r>
      <w:r w:rsidRPr="0051439E">
        <w:rPr>
          <w:rFonts w:ascii="Times New Roman" w:eastAsiaTheme="minorEastAsia" w:hAnsi="Times New Roman" w:cs="Times New Roman"/>
          <w:color w:val="000000" w:themeColor="text1"/>
          <w:lang w:eastAsia="pt-BR"/>
        </w:rPr>
        <w:t xml:space="preserve">", </w:t>
      </w:r>
      <w:r w:rsidRPr="0051439E">
        <w:rPr>
          <w:rFonts w:ascii="Times New Roman" w:eastAsiaTheme="minorEastAsia" w:hAnsi="Times New Roman" w:cs="Times New Roman"/>
          <w:b/>
          <w:bCs/>
          <w:color w:val="000000" w:themeColor="text1"/>
          <w:u w:val="single"/>
          <w:lang w:eastAsia="pt-BR"/>
        </w:rPr>
        <w:t>o que deve ser observado pela Administração</w:t>
      </w:r>
      <w:r w:rsidRPr="0051439E">
        <w:rPr>
          <w:rFonts w:ascii="Times New Roman" w:eastAsiaTheme="minorEastAsia" w:hAnsi="Times New Roman" w:cs="Times New Roman"/>
          <w:color w:val="000000" w:themeColor="text1"/>
          <w:u w:val="single"/>
          <w:lang w:eastAsia="pt-BR"/>
        </w:rPr>
        <w:t>.</w:t>
      </w:r>
      <w:r w:rsidRPr="0051439E">
        <w:rPr>
          <w:rFonts w:ascii="Times New Roman" w:eastAsiaTheme="minorEastAsia" w:hAnsi="Times New Roman" w:cs="Times New Roman"/>
          <w:color w:val="000000" w:themeColor="text1"/>
          <w:lang w:eastAsia="pt-BR"/>
        </w:rPr>
        <w:t> </w:t>
      </w:r>
    </w:p>
    <w:p w14:paraId="717E1AD0" w14:textId="77777777" w:rsidR="006D1F90" w:rsidRPr="0051439E" w:rsidRDefault="006D1F90" w:rsidP="006D1F90">
      <w:pPr>
        <w:spacing w:beforeAutospacing="1" w:afterAutospacing="1" w:line="240" w:lineRule="auto"/>
        <w:jc w:val="both"/>
        <w:rPr>
          <w:rFonts w:ascii="Times New Roman" w:eastAsiaTheme="minorEastAsia" w:hAnsi="Times New Roman" w:cs="Times New Roman"/>
          <w:color w:val="000000" w:themeColor="text1"/>
          <w:lang w:eastAsia="pt-BR"/>
        </w:rPr>
      </w:pPr>
    </w:p>
    <w:tbl>
      <w:tblPr>
        <w:tblW w:w="9000"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000"/>
      </w:tblGrid>
      <w:tr w:rsidR="006D1F90" w:rsidRPr="0051439E" w14:paraId="228D283B" w14:textId="77777777" w:rsidTr="00F13739">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DD79573" w14:textId="77777777" w:rsidR="006D1F90" w:rsidRPr="0051439E" w:rsidRDefault="006D1F90" w:rsidP="00F13739">
            <w:pPr>
              <w:spacing w:after="0"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b/>
                <w:color w:val="000000"/>
                <w:shd w:val="clear" w:color="auto" w:fill="FFFF99"/>
                <w:lang w:eastAsia="pt-BR"/>
              </w:rPr>
              <w:t>Nota Explicativa:</w:t>
            </w:r>
            <w:r w:rsidRPr="0051439E">
              <w:rPr>
                <w:rFonts w:ascii="Times New Roman" w:eastAsiaTheme="minorEastAsia" w:hAnsi="Times New Roman" w:cs="Times New Roman"/>
                <w:color w:val="000000"/>
                <w:shd w:val="clear" w:color="auto" w:fill="FFFF99"/>
                <w:lang w:eastAsia="pt-BR"/>
              </w:rPr>
              <w:t xml:space="preserve"> Caso não tenha sido juntado termo de contrato, deverá ser utilizada a redação abaixo:</w:t>
            </w:r>
            <w:r w:rsidRPr="0051439E">
              <w:rPr>
                <w:rFonts w:ascii="Times New Roman" w:eastAsiaTheme="minorEastAsia" w:hAnsi="Times New Roman" w:cs="Times New Roman"/>
                <w:lang w:eastAsia="pt-BR"/>
              </w:rPr>
              <w:t> </w:t>
            </w:r>
          </w:p>
        </w:tc>
      </w:tr>
    </w:tbl>
    <w:p w14:paraId="1C4D35E7"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lang w:eastAsia="pt-BR"/>
        </w:rPr>
        <w:t> </w:t>
      </w:r>
      <w:r w:rsidRPr="0051439E">
        <w:rPr>
          <w:rFonts w:ascii="Times New Roman" w:eastAsiaTheme="minorEastAsia" w:hAnsi="Times New Roman" w:cs="Times New Roman"/>
          <w:color w:val="FF0000"/>
          <w:lang w:eastAsia="pt-BR"/>
        </w:rPr>
        <w:t xml:space="preserve">No caso, verifica-se que </w:t>
      </w:r>
      <w:r w:rsidRPr="0051439E">
        <w:rPr>
          <w:rFonts w:ascii="Times New Roman" w:eastAsiaTheme="minorEastAsia" w:hAnsi="Times New Roman" w:cs="Times New Roman"/>
          <w:color w:val="FF0000"/>
          <w:u w:val="single"/>
          <w:lang w:eastAsia="pt-BR"/>
        </w:rPr>
        <w:t>não foi anexado o termo de contrato</w:t>
      </w:r>
      <w:r w:rsidRPr="0051439E">
        <w:rPr>
          <w:rFonts w:ascii="Times New Roman" w:eastAsiaTheme="minorEastAsia" w:hAnsi="Times New Roman" w:cs="Times New Roman"/>
          <w:color w:val="FF0000"/>
          <w:lang w:eastAsia="pt-BR"/>
        </w:rPr>
        <w:t xml:space="preserve"> e, por outro lado, tratando-se de licitação para a contratação de obra ou de serviços, tal situação não encontra amparo no art. 95 da Lei nº 14.133, de 2021, que admite a sua substituição por outro instrumento hábil, nas hipóteses de dispensa de licitação em razão de valor e para compras com entrega imediata e integral dos bens adquiridos e dos quais não resultem obrigações futuras, inclusive quanto à assistência técnica, independentemente de seu valor.</w:t>
      </w:r>
      <w:r w:rsidRPr="0051439E">
        <w:rPr>
          <w:rFonts w:ascii="Times New Roman" w:eastAsiaTheme="minorEastAsia" w:hAnsi="Times New Roman" w:cs="Times New Roman"/>
          <w:lang w:eastAsia="pt-BR"/>
        </w:rPr>
        <w:t>   </w:t>
      </w:r>
    </w:p>
    <w:p w14:paraId="5919A9EC" w14:textId="77777777" w:rsidR="006D1F90" w:rsidRPr="0051439E" w:rsidRDefault="006D1F90" w:rsidP="006D1F90">
      <w:pPr>
        <w:spacing w:beforeAutospacing="1" w:afterAutospacing="1" w:line="240" w:lineRule="auto"/>
        <w:jc w:val="both"/>
        <w:rPr>
          <w:rFonts w:ascii="Times New Roman" w:eastAsiaTheme="minorEastAsia" w:hAnsi="Times New Roman" w:cs="Times New Roman"/>
          <w:color w:val="FF0000"/>
          <w:u w:val="single"/>
          <w:lang w:eastAsia="pt-BR"/>
        </w:rPr>
      </w:pPr>
    </w:p>
    <w:p w14:paraId="489895C1"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FF0000"/>
          <w:u w:val="single"/>
          <w:lang w:eastAsia="pt-BR"/>
        </w:rPr>
        <w:t>Necessário, pois, que a Administração providencie a juntada da minuta contratual</w:t>
      </w:r>
      <w:r w:rsidRPr="0051439E">
        <w:rPr>
          <w:rFonts w:ascii="Times New Roman" w:eastAsiaTheme="minorEastAsia" w:hAnsi="Times New Roman" w:cs="Times New Roman"/>
          <w:color w:val="FF0000"/>
          <w:lang w:eastAsia="pt-BR"/>
        </w:rPr>
        <w:t>, elaborada em conformidade com o correspondente modelo padronizado pela AGU, reencaminhando os autos a este órgão consultivo para exame da regularidade jurídica da minuta a ser anexada.</w:t>
      </w:r>
      <w:r w:rsidRPr="0051439E">
        <w:rPr>
          <w:rFonts w:ascii="Times New Roman" w:eastAsiaTheme="minorEastAsia" w:hAnsi="Times New Roman" w:cs="Times New Roman"/>
          <w:lang w:eastAsia="pt-BR"/>
        </w:rPr>
        <w:t> </w:t>
      </w:r>
    </w:p>
    <w:p w14:paraId="20B5F0D8" w14:textId="77777777" w:rsidR="006D1F90" w:rsidRPr="0051439E" w:rsidRDefault="006D1F90" w:rsidP="006D1F90">
      <w:pPr>
        <w:spacing w:after="48" w:line="288" w:lineRule="atLeast"/>
        <w:ind w:firstLine="1418"/>
        <w:jc w:val="both"/>
        <w:rPr>
          <w:rFonts w:ascii="Times New Roman" w:eastAsiaTheme="minorEastAsia" w:hAnsi="Times New Roman" w:cs="Times New Roman"/>
          <w:color w:val="000000"/>
          <w:lang w:eastAsia="pt-BR"/>
        </w:rPr>
      </w:pPr>
      <w:r w:rsidRPr="0051439E">
        <w:rPr>
          <w:rFonts w:ascii="Times New Roman" w:eastAsiaTheme="minorEastAsia" w:hAnsi="Times New Roman" w:cs="Times New Roman"/>
          <w:lang w:eastAsia="pt-BR"/>
        </w:rPr>
        <w:t xml:space="preserve"> </w:t>
      </w:r>
    </w:p>
    <w:p w14:paraId="7EE55F3D" w14:textId="77777777" w:rsidR="006D1F90" w:rsidRPr="0051439E" w:rsidRDefault="006D1F90" w:rsidP="006D1F90">
      <w:pPr>
        <w:spacing w:after="0" w:line="240" w:lineRule="auto"/>
        <w:ind w:firstLine="1410"/>
        <w:jc w:val="both"/>
        <w:rPr>
          <w:rFonts w:ascii="Times New Roman" w:eastAsiaTheme="minorEastAsia" w:hAnsi="Times New Roman" w:cs="Times New Roman"/>
          <w:color w:val="FF0000"/>
        </w:rPr>
      </w:pPr>
      <w:r w:rsidRPr="0051439E">
        <w:rPr>
          <w:rFonts w:ascii="Times New Roman" w:eastAsiaTheme="minorEastAsia" w:hAnsi="Times New Roman" w:cs="Times New Roman"/>
          <w:b/>
          <w:bCs/>
          <w:color w:val="FF0000"/>
        </w:rPr>
        <w:t xml:space="preserve">DA ADESÃO À ATA DE REGISTRO DE PREÇOS   </w:t>
      </w:r>
      <w:r w:rsidRPr="0051439E">
        <w:rPr>
          <w:rFonts w:ascii="Times New Roman" w:eastAsiaTheme="minorEastAsia" w:hAnsi="Times New Roman" w:cs="Times New Roman"/>
          <w:color w:val="FF0000"/>
        </w:rPr>
        <w:t xml:space="preserve"> </w:t>
      </w:r>
    </w:p>
    <w:p w14:paraId="4083A005" w14:textId="77777777" w:rsidR="006D1F90" w:rsidRPr="0051439E" w:rsidRDefault="006D1F90" w:rsidP="006D1F90">
      <w:pPr>
        <w:spacing w:after="0" w:line="240" w:lineRule="auto"/>
        <w:ind w:firstLine="1410"/>
        <w:jc w:val="both"/>
        <w:rPr>
          <w:rFonts w:ascii="Times New Roman" w:eastAsiaTheme="minorEastAsia" w:hAnsi="Times New Roman" w:cs="Times New Roman"/>
          <w:color w:val="FF0000"/>
        </w:rPr>
      </w:pPr>
      <w:r w:rsidRPr="0051439E">
        <w:rPr>
          <w:rFonts w:ascii="Times New Roman" w:eastAsiaTheme="minorEastAsia" w:hAnsi="Times New Roman" w:cs="Times New Roman"/>
          <w:color w:val="FF0000"/>
        </w:rPr>
        <w:t xml:space="preserve"> </w:t>
      </w:r>
    </w:p>
    <w:p w14:paraId="149EB935" w14:textId="77777777" w:rsidR="006D1F90" w:rsidRPr="0051439E" w:rsidRDefault="006D1F90" w:rsidP="006D1F90">
      <w:pPr>
        <w:spacing w:after="0" w:line="240" w:lineRule="auto"/>
        <w:jc w:val="both"/>
        <w:rPr>
          <w:rFonts w:ascii="Times New Roman" w:eastAsiaTheme="minorEastAsia" w:hAnsi="Times New Roman" w:cs="Times New Roman"/>
          <w:color w:val="FF0000"/>
          <w:highlight w:val="cyan"/>
        </w:rPr>
      </w:pPr>
      <w:r w:rsidRPr="0051439E">
        <w:rPr>
          <w:rFonts w:ascii="Times New Roman" w:eastAsiaTheme="minorEastAsia" w:hAnsi="Times New Roman" w:cs="Times New Roman"/>
          <w:color w:val="FF0000"/>
          <w:highlight w:val="cyan"/>
        </w:rPr>
        <w:t>No presente caso, foi vedada a adesão à ata de registro de preços, conforme consta na minuta em exame.</w:t>
      </w:r>
      <w:r w:rsidRPr="0051439E">
        <w:rPr>
          <w:rFonts w:ascii="Times New Roman" w:eastAsiaTheme="minorEastAsia" w:hAnsi="Times New Roman" w:cs="Times New Roman"/>
          <w:color w:val="FF0000"/>
        </w:rPr>
        <w:t xml:space="preserve"> </w:t>
      </w:r>
    </w:p>
    <w:p w14:paraId="2833F47B" w14:textId="77777777" w:rsidR="006D1F90" w:rsidRPr="0051439E" w:rsidRDefault="006D1F90" w:rsidP="006D1F90">
      <w:pPr>
        <w:spacing w:after="0" w:line="240" w:lineRule="auto"/>
        <w:ind w:firstLine="1410"/>
        <w:jc w:val="both"/>
        <w:rPr>
          <w:rFonts w:ascii="Times New Roman" w:eastAsiaTheme="minorEastAsia" w:hAnsi="Times New Roman" w:cs="Times New Roman"/>
          <w:color w:val="FF0000"/>
          <w:highlight w:val="cyan"/>
        </w:rPr>
      </w:pPr>
      <w:r w:rsidRPr="0051439E">
        <w:rPr>
          <w:rFonts w:ascii="Times New Roman" w:eastAsiaTheme="minorEastAsia" w:hAnsi="Times New Roman" w:cs="Times New Roman"/>
          <w:b/>
          <w:bCs/>
          <w:color w:val="FF0000"/>
          <w:highlight w:val="cyan"/>
          <w:u w:val="single"/>
        </w:rPr>
        <w:t>OU</w:t>
      </w:r>
      <w:r w:rsidRPr="0051439E">
        <w:rPr>
          <w:rFonts w:ascii="Times New Roman" w:eastAsiaTheme="minorEastAsia" w:hAnsi="Times New Roman" w:cs="Times New Roman"/>
          <w:color w:val="FF0000"/>
        </w:rPr>
        <w:t xml:space="preserve"> </w:t>
      </w:r>
    </w:p>
    <w:p w14:paraId="6C36DE6F" w14:textId="77777777" w:rsidR="006D1F90" w:rsidRPr="0051439E" w:rsidRDefault="006D1F90" w:rsidP="006D1F90">
      <w:pPr>
        <w:spacing w:after="0" w:line="240" w:lineRule="auto"/>
        <w:ind w:firstLine="1410"/>
        <w:jc w:val="both"/>
        <w:rPr>
          <w:rFonts w:ascii="Times New Roman" w:eastAsiaTheme="minorEastAsia" w:hAnsi="Times New Roman" w:cs="Times New Roman"/>
          <w:color w:val="FF0000"/>
          <w:highlight w:val="cyan"/>
        </w:rPr>
      </w:pPr>
      <w:r w:rsidRPr="0051439E">
        <w:rPr>
          <w:rFonts w:ascii="Times New Roman" w:eastAsiaTheme="minorEastAsia" w:hAnsi="Times New Roman" w:cs="Times New Roman"/>
          <w:color w:val="FF0000"/>
          <w:highlight w:val="cyan"/>
        </w:rPr>
        <w:t xml:space="preserve"> </w:t>
      </w:r>
    </w:p>
    <w:p w14:paraId="10003AAB" w14:textId="77777777" w:rsidR="006D1F90" w:rsidRPr="0051439E" w:rsidRDefault="006D1F90" w:rsidP="006D1F90">
      <w:pPr>
        <w:spacing w:after="0" w:line="240" w:lineRule="auto"/>
        <w:ind w:firstLine="1410"/>
        <w:jc w:val="both"/>
        <w:rPr>
          <w:rFonts w:ascii="Times New Roman" w:eastAsiaTheme="minorEastAsia" w:hAnsi="Times New Roman" w:cs="Times New Roman"/>
          <w:color w:val="FF0000"/>
          <w:highlight w:val="cyan"/>
        </w:rPr>
      </w:pPr>
      <w:r w:rsidRPr="0051439E">
        <w:rPr>
          <w:rFonts w:ascii="Times New Roman" w:eastAsiaTheme="minorEastAsia" w:hAnsi="Times New Roman" w:cs="Times New Roman"/>
          <w:color w:val="FF0000"/>
          <w:highlight w:val="cyan"/>
        </w:rPr>
        <w:t>Verifica-se que a Administração optou por admitir a adesão de entidades não participantes, conforme informações e justificativas apresentadas às fls. XXXX/no doc. SEI n. XXXX.</w:t>
      </w:r>
      <w:r w:rsidRPr="0051439E">
        <w:rPr>
          <w:rFonts w:ascii="Times New Roman" w:eastAsiaTheme="minorEastAsia" w:hAnsi="Times New Roman" w:cs="Times New Roman"/>
          <w:color w:val="FF0000"/>
        </w:rPr>
        <w:t xml:space="preserve"> </w:t>
      </w:r>
    </w:p>
    <w:p w14:paraId="73D76CCA" w14:textId="77777777" w:rsidR="006D1F90" w:rsidRPr="0051439E" w:rsidRDefault="006D1F90" w:rsidP="006D1F90">
      <w:pPr>
        <w:spacing w:after="0" w:line="240" w:lineRule="auto"/>
        <w:ind w:firstLine="1410"/>
        <w:jc w:val="both"/>
        <w:rPr>
          <w:rFonts w:ascii="Times New Roman" w:eastAsiaTheme="minorEastAsia" w:hAnsi="Times New Roman" w:cs="Times New Roman"/>
          <w:b/>
          <w:bCs/>
          <w:color w:val="FF0000"/>
          <w:highlight w:val="cyan"/>
        </w:rPr>
      </w:pPr>
      <w:r w:rsidRPr="0051439E">
        <w:rPr>
          <w:rFonts w:ascii="Times New Roman" w:eastAsiaTheme="minorEastAsia" w:hAnsi="Times New Roman" w:cs="Times New Roman"/>
          <w:b/>
          <w:bCs/>
          <w:color w:val="FF0000"/>
          <w:highlight w:val="cyan"/>
          <w:u w:val="single"/>
        </w:rPr>
        <w:t>OU</w:t>
      </w:r>
      <w:r w:rsidRPr="0051439E">
        <w:rPr>
          <w:rFonts w:ascii="Times New Roman" w:eastAsiaTheme="minorEastAsia" w:hAnsi="Times New Roman" w:cs="Times New Roman"/>
          <w:b/>
          <w:bCs/>
          <w:color w:val="FF0000"/>
        </w:rPr>
        <w:t xml:space="preserve"> </w:t>
      </w:r>
    </w:p>
    <w:p w14:paraId="2A7563D7" w14:textId="77777777" w:rsidR="006D1F90" w:rsidRPr="0051439E" w:rsidRDefault="006D1F90" w:rsidP="006D1F90">
      <w:pPr>
        <w:spacing w:after="0" w:line="240" w:lineRule="auto"/>
        <w:ind w:firstLine="1410"/>
        <w:jc w:val="both"/>
        <w:rPr>
          <w:rFonts w:ascii="Times New Roman" w:eastAsiaTheme="minorEastAsia" w:hAnsi="Times New Roman" w:cs="Times New Roman"/>
          <w:color w:val="FF0000"/>
          <w:highlight w:val="cyan"/>
        </w:rPr>
      </w:pPr>
      <w:r w:rsidRPr="0051439E">
        <w:rPr>
          <w:rFonts w:ascii="Times New Roman" w:eastAsiaTheme="minorEastAsia" w:hAnsi="Times New Roman" w:cs="Times New Roman"/>
          <w:color w:val="FF0000"/>
          <w:highlight w:val="cyan"/>
        </w:rPr>
        <w:t xml:space="preserve"> </w:t>
      </w:r>
    </w:p>
    <w:p w14:paraId="7483FCA7" w14:textId="77777777" w:rsidR="006D1F90" w:rsidRPr="0051439E" w:rsidRDefault="006D1F90" w:rsidP="006D1F90">
      <w:pPr>
        <w:spacing w:after="0" w:line="240" w:lineRule="auto"/>
        <w:ind w:firstLine="1410"/>
        <w:jc w:val="both"/>
        <w:rPr>
          <w:rFonts w:ascii="Times New Roman" w:eastAsiaTheme="minorEastAsia" w:hAnsi="Times New Roman" w:cs="Times New Roman"/>
          <w:color w:val="FF0000"/>
          <w:highlight w:val="cyan"/>
        </w:rPr>
      </w:pPr>
      <w:r w:rsidRPr="0051439E">
        <w:rPr>
          <w:rFonts w:ascii="Times New Roman" w:eastAsiaTheme="minorEastAsia" w:hAnsi="Times New Roman" w:cs="Times New Roman"/>
          <w:color w:val="FF0000"/>
          <w:highlight w:val="cyan"/>
        </w:rPr>
        <w:t xml:space="preserve">Verifica-se que a Administração optou por admitir a adesão de entidades não participantes, porém </w:t>
      </w:r>
      <w:r w:rsidRPr="0051439E">
        <w:rPr>
          <w:rFonts w:ascii="Times New Roman" w:eastAsiaTheme="minorEastAsia" w:hAnsi="Times New Roman" w:cs="Times New Roman"/>
          <w:b/>
          <w:bCs/>
          <w:color w:val="FF0000"/>
          <w:highlight w:val="cyan"/>
        </w:rPr>
        <w:t>não</w:t>
      </w:r>
      <w:r w:rsidRPr="0051439E">
        <w:rPr>
          <w:rFonts w:ascii="Times New Roman" w:eastAsiaTheme="minorEastAsia" w:hAnsi="Times New Roman" w:cs="Times New Roman"/>
          <w:color w:val="FF0000"/>
          <w:highlight w:val="cyan"/>
        </w:rPr>
        <w:t xml:space="preserve"> apresentou as devidas justificativas, </w:t>
      </w:r>
      <w:r w:rsidRPr="0051439E">
        <w:rPr>
          <w:rFonts w:ascii="Times New Roman" w:eastAsiaTheme="minorEastAsia" w:hAnsi="Times New Roman" w:cs="Times New Roman"/>
          <w:color w:val="FF0000"/>
          <w:highlight w:val="cyan"/>
          <w:u w:val="single"/>
        </w:rPr>
        <w:t>o que demanda a complementação da instrução</w:t>
      </w:r>
      <w:r w:rsidRPr="0051439E">
        <w:rPr>
          <w:rFonts w:ascii="Times New Roman" w:eastAsiaTheme="minorEastAsia" w:hAnsi="Times New Roman" w:cs="Times New Roman"/>
          <w:color w:val="FF0000"/>
          <w:highlight w:val="cyan"/>
        </w:rPr>
        <w:t>.</w:t>
      </w:r>
      <w:r w:rsidRPr="0051439E">
        <w:rPr>
          <w:rFonts w:ascii="Times New Roman" w:eastAsiaTheme="minorEastAsia" w:hAnsi="Times New Roman" w:cs="Times New Roman"/>
          <w:color w:val="FF0000"/>
        </w:rPr>
        <w:t xml:space="preserve"> </w:t>
      </w:r>
    </w:p>
    <w:p w14:paraId="068092CD" w14:textId="77777777" w:rsidR="006D1F90" w:rsidRPr="0051439E" w:rsidRDefault="006D1F90" w:rsidP="006D1F90">
      <w:pPr>
        <w:spacing w:after="0" w:line="240" w:lineRule="auto"/>
        <w:ind w:firstLine="1410"/>
        <w:jc w:val="both"/>
        <w:rPr>
          <w:rFonts w:ascii="Times New Roman" w:eastAsiaTheme="minorEastAsia" w:hAnsi="Times New Roman" w:cs="Times New Roman"/>
          <w:b/>
          <w:color w:val="FF0000"/>
          <w:highlight w:val="cyan"/>
          <w:u w:val="single"/>
        </w:rPr>
      </w:pPr>
      <w:r w:rsidRPr="0051439E">
        <w:rPr>
          <w:rFonts w:ascii="Times New Roman" w:eastAsiaTheme="minorEastAsia" w:hAnsi="Times New Roman" w:cs="Times New Roman"/>
          <w:b/>
          <w:color w:val="FF0000"/>
          <w:highlight w:val="cyan"/>
          <w:u w:val="single"/>
        </w:rPr>
        <w:t>OU</w:t>
      </w:r>
    </w:p>
    <w:p w14:paraId="0D8C66F7" w14:textId="77777777" w:rsidR="006D1F90" w:rsidRPr="0051439E" w:rsidRDefault="006D1F90" w:rsidP="006D1F90">
      <w:pPr>
        <w:spacing w:after="0" w:line="240" w:lineRule="auto"/>
        <w:ind w:firstLine="1410"/>
        <w:jc w:val="both"/>
        <w:rPr>
          <w:rFonts w:ascii="Times New Roman" w:eastAsiaTheme="minorEastAsia" w:hAnsi="Times New Roman" w:cs="Times New Roman"/>
          <w:color w:val="FF0000"/>
          <w:highlight w:val="cyan"/>
        </w:rPr>
      </w:pPr>
      <w:r w:rsidRPr="0051439E">
        <w:rPr>
          <w:rFonts w:ascii="Times New Roman" w:eastAsiaTheme="minorEastAsia" w:hAnsi="Times New Roman" w:cs="Times New Roman"/>
          <w:color w:val="FF0000"/>
          <w:highlight w:val="cyan"/>
        </w:rPr>
        <w:t xml:space="preserve"> </w:t>
      </w:r>
    </w:p>
    <w:p w14:paraId="5E56D6D0" w14:textId="77777777" w:rsidR="006D1F90" w:rsidRPr="0051439E" w:rsidRDefault="006D1F90" w:rsidP="006D1F90">
      <w:pPr>
        <w:spacing w:after="0" w:line="240" w:lineRule="auto"/>
        <w:ind w:firstLine="1410"/>
        <w:jc w:val="both"/>
        <w:rPr>
          <w:rFonts w:ascii="Times New Roman" w:eastAsiaTheme="minorEastAsia" w:hAnsi="Times New Roman" w:cs="Times New Roman"/>
          <w:color w:val="FF0000"/>
          <w:highlight w:val="cyan"/>
        </w:rPr>
      </w:pPr>
      <w:r w:rsidRPr="0051439E">
        <w:rPr>
          <w:rFonts w:ascii="Times New Roman" w:eastAsiaTheme="minorEastAsia" w:hAnsi="Times New Roman" w:cs="Times New Roman"/>
          <w:color w:val="FF0000"/>
          <w:highlight w:val="cyan"/>
        </w:rPr>
        <w:t>Verifica-se que a Administração optou por admitir a adesão de entidades não participantes, conforme informações e justificativas apresentadas às fls. XXXX/no doc. SEI n. XXXX.</w:t>
      </w:r>
      <w:r w:rsidRPr="0051439E">
        <w:rPr>
          <w:rFonts w:ascii="Times New Roman" w:eastAsiaTheme="minorEastAsia" w:hAnsi="Times New Roman" w:cs="Times New Roman"/>
          <w:color w:val="FF0000"/>
        </w:rPr>
        <w:t xml:space="preserve">  </w:t>
      </w:r>
    </w:p>
    <w:p w14:paraId="447BD589" w14:textId="77777777" w:rsidR="006D1F90" w:rsidRPr="0051439E" w:rsidRDefault="006D1F90" w:rsidP="006D1F90">
      <w:pPr>
        <w:spacing w:after="0" w:line="240" w:lineRule="auto"/>
        <w:ind w:firstLine="1410"/>
        <w:jc w:val="both"/>
        <w:rPr>
          <w:rFonts w:ascii="Times New Roman" w:eastAsiaTheme="minorEastAsia" w:hAnsi="Times New Roman" w:cs="Times New Roman"/>
          <w:color w:val="FF0000"/>
          <w:highlight w:val="cyan"/>
        </w:rPr>
      </w:pPr>
      <w:r w:rsidRPr="0051439E">
        <w:rPr>
          <w:rFonts w:ascii="Times New Roman" w:eastAsiaTheme="minorEastAsia" w:hAnsi="Times New Roman" w:cs="Times New Roman"/>
          <w:color w:val="FF0000"/>
          <w:highlight w:val="cyan"/>
        </w:rPr>
        <w:t xml:space="preserve">Contudo, em se tratando de registro de preços com indicação limitada a unidades de contratação, sem indicação do total a ser adquirido, nas hipóteses do art. 4º, do Decreto nº 11.462, de 2023 (item XX do termo de referência), a participação de outro órgão ou entidade na ata é vedada (art. 82, § 4º, da Lei nº 14.133/2021 e artigo 4º, parágrafo único, do Decreto nº 11.462, de 2023). </w:t>
      </w:r>
      <w:r w:rsidRPr="0051439E">
        <w:rPr>
          <w:rFonts w:ascii="Times New Roman" w:eastAsiaTheme="minorEastAsia" w:hAnsi="Times New Roman" w:cs="Times New Roman"/>
          <w:b/>
          <w:bCs/>
          <w:color w:val="FF0000"/>
          <w:highlight w:val="cyan"/>
          <w:u w:val="single"/>
        </w:rPr>
        <w:t>Logo, a ata deve vedar a adesão por órgãos ou entidades não participantes</w:t>
      </w:r>
      <w:r w:rsidRPr="0051439E">
        <w:rPr>
          <w:rFonts w:ascii="Times New Roman" w:eastAsiaTheme="minorEastAsia" w:hAnsi="Times New Roman" w:cs="Times New Roman"/>
          <w:color w:val="FF0000"/>
          <w:highlight w:val="cyan"/>
        </w:rPr>
        <w:t>.</w:t>
      </w:r>
      <w:r w:rsidRPr="0051439E">
        <w:rPr>
          <w:rFonts w:ascii="Times New Roman" w:eastAsiaTheme="minorEastAsia" w:hAnsi="Times New Roman" w:cs="Times New Roman"/>
          <w:color w:val="FF0000"/>
        </w:rPr>
        <w:t xml:space="preserve"> </w:t>
      </w:r>
    </w:p>
    <w:p w14:paraId="5DBBB8CB" w14:textId="77777777" w:rsidR="006D1F90" w:rsidRPr="0051439E" w:rsidRDefault="006D1F90" w:rsidP="006D1F90">
      <w:pPr>
        <w:spacing w:after="0" w:line="240" w:lineRule="auto"/>
        <w:ind w:firstLine="1410"/>
        <w:jc w:val="both"/>
        <w:rPr>
          <w:rFonts w:ascii="Times New Roman" w:eastAsiaTheme="minorEastAsia" w:hAnsi="Times New Roman" w:cs="Times New Roman"/>
          <w:b/>
          <w:bCs/>
          <w:color w:val="FF0000"/>
          <w:highlight w:val="cyan"/>
          <w:u w:val="single"/>
        </w:rPr>
      </w:pPr>
      <w:r w:rsidRPr="0051439E">
        <w:rPr>
          <w:rFonts w:ascii="Times New Roman" w:eastAsiaTheme="minorEastAsia" w:hAnsi="Times New Roman" w:cs="Times New Roman"/>
          <w:b/>
          <w:bCs/>
          <w:color w:val="FF0000"/>
          <w:highlight w:val="cyan"/>
          <w:u w:val="single"/>
        </w:rPr>
        <w:t>OU</w:t>
      </w:r>
    </w:p>
    <w:p w14:paraId="05AD1D4A" w14:textId="77777777" w:rsidR="006D1F90" w:rsidRPr="0051439E" w:rsidRDefault="006D1F90" w:rsidP="006D1F90">
      <w:pPr>
        <w:spacing w:after="48" w:line="288" w:lineRule="atLeast"/>
        <w:ind w:firstLine="1418"/>
        <w:jc w:val="both"/>
        <w:rPr>
          <w:rFonts w:ascii="Times New Roman" w:eastAsiaTheme="minorEastAsia" w:hAnsi="Times New Roman" w:cs="Times New Roman"/>
          <w:color w:val="000000"/>
          <w:highlight w:val="cyan"/>
          <w:lang w:eastAsia="pt-BR"/>
        </w:rPr>
      </w:pPr>
    </w:p>
    <w:p w14:paraId="5D4955AE" w14:textId="77777777" w:rsidR="006D1F90" w:rsidRPr="0051439E" w:rsidRDefault="006D1F90" w:rsidP="006D1F90">
      <w:pPr>
        <w:spacing w:after="48" w:line="288" w:lineRule="atLeast"/>
        <w:ind w:firstLine="1418"/>
        <w:jc w:val="both"/>
        <w:rPr>
          <w:rFonts w:ascii="Times New Roman" w:eastAsiaTheme="minorEastAsia" w:hAnsi="Times New Roman" w:cs="Times New Roman"/>
          <w:color w:val="FF0000"/>
          <w:highlight w:val="cyan"/>
        </w:rPr>
      </w:pPr>
      <w:r w:rsidRPr="0051439E">
        <w:rPr>
          <w:rFonts w:ascii="Times New Roman" w:eastAsiaTheme="minorEastAsia" w:hAnsi="Times New Roman" w:cs="Times New Roman"/>
          <w:color w:val="FF0000"/>
          <w:highlight w:val="cyan"/>
        </w:rPr>
        <w:t xml:space="preserve">No caso, não restou demonstrado nos autos o atendimento </w:t>
      </w:r>
      <w:r w:rsidRPr="0051439E">
        <w:rPr>
          <w:rFonts w:ascii="Times New Roman" w:eastAsiaTheme="minorEastAsia" w:hAnsi="Times New Roman" w:cs="Times New Roman"/>
          <w:b/>
          <w:bCs/>
          <w:color w:val="FF0000"/>
          <w:highlight w:val="cyan"/>
        </w:rPr>
        <w:t>aos requisitos cumulativos do art. 3º,</w:t>
      </w:r>
      <w:r w:rsidRPr="0051439E">
        <w:rPr>
          <w:rFonts w:ascii="Times New Roman" w:eastAsiaTheme="minorEastAsia" w:hAnsi="Times New Roman" w:cs="Times New Roman"/>
          <w:color w:val="FF0000"/>
          <w:highlight w:val="cyan"/>
        </w:rPr>
        <w:t xml:space="preserve"> </w:t>
      </w:r>
      <w:r w:rsidRPr="0051439E">
        <w:rPr>
          <w:rFonts w:ascii="Times New Roman" w:eastAsiaTheme="minorEastAsia" w:hAnsi="Times New Roman" w:cs="Times New Roman"/>
          <w:b/>
          <w:bCs/>
          <w:color w:val="FF0000"/>
          <w:highlight w:val="cyan"/>
        </w:rPr>
        <w:t>parágrafo único,</w:t>
      </w:r>
      <w:r w:rsidRPr="0051439E">
        <w:rPr>
          <w:rFonts w:ascii="Times New Roman" w:eastAsiaTheme="minorEastAsia" w:hAnsi="Times New Roman" w:cs="Times New Roman"/>
          <w:color w:val="FF0000"/>
          <w:highlight w:val="cyan"/>
        </w:rPr>
        <w:t xml:space="preserve"> do Decreto nº 11.462, de 2023, não tendo sido atendido o postulado da </w:t>
      </w:r>
      <w:r w:rsidRPr="0051439E">
        <w:rPr>
          <w:rFonts w:ascii="Times New Roman" w:eastAsiaTheme="minorEastAsia" w:hAnsi="Times New Roman" w:cs="Times New Roman"/>
          <w:color w:val="FF0000"/>
          <w:highlight w:val="cyan"/>
        </w:rPr>
        <w:lastRenderedPageBreak/>
        <w:t xml:space="preserve">padronização, da inexistência de complexidade técnica e operacional e da necessidade permanente ou frequente de obra ou serviço a ser contratado, razão pela qual </w:t>
      </w:r>
      <w:r w:rsidRPr="0051439E">
        <w:rPr>
          <w:rFonts w:ascii="Times New Roman" w:eastAsiaTheme="minorEastAsia" w:hAnsi="Times New Roman" w:cs="Times New Roman"/>
          <w:color w:val="FF0000"/>
          <w:highlight w:val="cyan"/>
          <w:u w:val="single"/>
        </w:rPr>
        <w:t>recomenda-se ao gestor avaliar a vedação à adesão de entidades não participantes,</w:t>
      </w:r>
      <w:r w:rsidRPr="0051439E">
        <w:rPr>
          <w:rFonts w:ascii="Times New Roman" w:eastAsiaTheme="minorEastAsia" w:hAnsi="Times New Roman" w:cs="Times New Roman"/>
          <w:color w:val="FF0000"/>
          <w:highlight w:val="cyan"/>
        </w:rPr>
        <w:t xml:space="preserve"> com maior razão em se tratando de um objeto e/ou demanda específica, afora a questão da necessidade de avaliar a capacidade operacional da contratada em relação ao objeto a ser executado, sem prejuízo ao órgão gerenciador.</w:t>
      </w:r>
    </w:p>
    <w:p w14:paraId="6168DE15" w14:textId="77777777" w:rsidR="006D1F90" w:rsidRPr="0051439E" w:rsidRDefault="006D1F90" w:rsidP="006D1F90">
      <w:pPr>
        <w:spacing w:after="48" w:line="288" w:lineRule="atLeast"/>
        <w:ind w:firstLine="1418"/>
        <w:jc w:val="both"/>
        <w:rPr>
          <w:rFonts w:ascii="Times New Roman" w:eastAsiaTheme="minorEastAsia" w:hAnsi="Times New Roman" w:cs="Times New Roman"/>
          <w:color w:val="000000" w:themeColor="text1"/>
          <w:lang w:eastAsia="pt-BR"/>
        </w:rPr>
      </w:pPr>
    </w:p>
    <w:p w14:paraId="0F1CBEB9" w14:textId="77777777" w:rsidR="006D1F90" w:rsidRPr="0051439E" w:rsidRDefault="006D1F90" w:rsidP="006D1F90">
      <w:pPr>
        <w:spacing w:after="48" w:line="288" w:lineRule="atLeast"/>
        <w:jc w:val="both"/>
        <w:outlineLvl w:val="1"/>
        <w:rPr>
          <w:rFonts w:ascii="Times New Roman" w:eastAsiaTheme="minorEastAsia" w:hAnsi="Times New Roman" w:cs="Times New Roman"/>
          <w:b/>
          <w:color w:val="000000"/>
          <w:lang w:eastAsia="pt-BR"/>
        </w:rPr>
      </w:pPr>
      <w:r w:rsidRPr="0051439E">
        <w:rPr>
          <w:rFonts w:ascii="Times New Roman" w:eastAsiaTheme="minorEastAsia" w:hAnsi="Times New Roman" w:cs="Times New Roman"/>
          <w:b/>
          <w:bCs/>
          <w:color w:val="000000" w:themeColor="text1"/>
          <w:lang w:eastAsia="pt-BR"/>
        </w:rPr>
        <w:t>DOTAÇÃO ORÇAMENTÁRIA E LEI DE RESPONSABILIDADE FISCAL</w:t>
      </w:r>
    </w:p>
    <w:tbl>
      <w:tblPr>
        <w:tblW w:w="8622" w:type="dxa"/>
        <w:tblBorders>
          <w:top w:val="outset" w:sz="6" w:space="0" w:color="000000" w:themeColor="text1"/>
          <w:left w:val="outset" w:sz="6" w:space="0" w:color="000000" w:themeColor="text1"/>
          <w:bottom w:val="outset" w:sz="6" w:space="0" w:color="000000" w:themeColor="text1"/>
          <w:right w:val="outset" w:sz="6" w:space="0" w:color="000000" w:themeColor="text1"/>
        </w:tblBorders>
        <w:tblCellMar>
          <w:top w:w="15" w:type="dxa"/>
          <w:left w:w="15" w:type="dxa"/>
          <w:bottom w:w="15" w:type="dxa"/>
          <w:right w:w="15" w:type="dxa"/>
        </w:tblCellMar>
        <w:tblLook w:val="04A0" w:firstRow="1" w:lastRow="0" w:firstColumn="1" w:lastColumn="0" w:noHBand="0" w:noVBand="1"/>
      </w:tblPr>
      <w:tblGrid>
        <w:gridCol w:w="8622"/>
      </w:tblGrid>
      <w:tr w:rsidR="006D1F90" w:rsidRPr="0051439E" w14:paraId="50B5753F" w14:textId="77777777" w:rsidTr="00F13739">
        <w:tc>
          <w:tcPr>
            <w:tcW w:w="8622" w:type="dxa"/>
            <w:tcBorders>
              <w:top w:val="outset" w:sz="6" w:space="0" w:color="000000" w:themeColor="text1"/>
              <w:left w:val="outset" w:sz="6" w:space="0" w:color="000000" w:themeColor="text1"/>
              <w:bottom w:val="outset" w:sz="6" w:space="0" w:color="000000" w:themeColor="text1"/>
              <w:right w:val="outset" w:sz="6" w:space="0" w:color="000000" w:themeColor="text1"/>
            </w:tcBorders>
            <w:shd w:val="clear" w:color="auto" w:fill="FCFC6A"/>
            <w:tcMar>
              <w:top w:w="30" w:type="dxa"/>
              <w:left w:w="30" w:type="dxa"/>
              <w:bottom w:w="30" w:type="dxa"/>
              <w:right w:w="30" w:type="dxa"/>
            </w:tcMar>
            <w:vAlign w:val="center"/>
            <w:hideMark/>
          </w:tcPr>
          <w:p w14:paraId="5CCD72AE" w14:textId="77777777" w:rsidR="006D1F90" w:rsidRPr="0051439E" w:rsidRDefault="006D1F90" w:rsidP="00F13739">
            <w:pPr>
              <w:spacing w:after="0" w:line="240" w:lineRule="auto"/>
              <w:rPr>
                <w:rFonts w:ascii="Times New Roman" w:eastAsiaTheme="minorEastAsia" w:hAnsi="Times New Roman" w:cs="Times New Roman"/>
                <w:color w:val="000000"/>
                <w:lang w:eastAsia="pt-BR"/>
              </w:rPr>
            </w:pPr>
            <w:r w:rsidRPr="0051439E">
              <w:rPr>
                <w:rFonts w:ascii="Times New Roman" w:eastAsiaTheme="minorEastAsia" w:hAnsi="Times New Roman" w:cs="Times New Roman"/>
                <w:b/>
                <w:color w:val="000000"/>
                <w:shd w:val="clear" w:color="auto" w:fill="FFFF99"/>
                <w:lang w:eastAsia="pt-BR"/>
              </w:rPr>
              <w:t>Nota Explicativa:</w:t>
            </w:r>
            <w:r w:rsidRPr="0051439E">
              <w:rPr>
                <w:rFonts w:ascii="Times New Roman" w:eastAsiaTheme="minorEastAsia" w:hAnsi="Times New Roman" w:cs="Times New Roman"/>
                <w:color w:val="000000"/>
                <w:shd w:val="clear" w:color="auto" w:fill="FFFF99"/>
                <w:lang w:eastAsia="pt-BR"/>
              </w:rPr>
              <w:t> Caso a licitação </w:t>
            </w:r>
            <w:r w:rsidRPr="0051439E">
              <w:rPr>
                <w:rFonts w:ascii="Times New Roman" w:eastAsiaTheme="minorEastAsia" w:hAnsi="Times New Roman" w:cs="Times New Roman"/>
                <w:b/>
                <w:color w:val="000000"/>
                <w:shd w:val="clear" w:color="auto" w:fill="FFFF99"/>
                <w:lang w:eastAsia="pt-BR"/>
              </w:rPr>
              <w:t>não</w:t>
            </w:r>
            <w:r w:rsidRPr="0051439E">
              <w:rPr>
                <w:rFonts w:ascii="Times New Roman" w:eastAsiaTheme="minorEastAsia" w:hAnsi="Times New Roman" w:cs="Times New Roman"/>
                <w:color w:val="000000"/>
                <w:shd w:val="clear" w:color="auto" w:fill="FFFF99"/>
                <w:lang w:eastAsia="pt-BR"/>
              </w:rPr>
              <w:t> seja processada sob o Sistema de Registro de Preços, deverá ser utilizada uma das alternativas de redação abaixo: </w:t>
            </w:r>
          </w:p>
        </w:tc>
      </w:tr>
    </w:tbl>
    <w:p w14:paraId="5C5FCB46" w14:textId="77777777" w:rsidR="006D1F90" w:rsidRPr="0051439E" w:rsidRDefault="006D1F90" w:rsidP="006D1F90">
      <w:pPr>
        <w:spacing w:after="48" w:line="288" w:lineRule="atLeast"/>
        <w:jc w:val="both"/>
        <w:rPr>
          <w:rFonts w:ascii="Times New Roman" w:eastAsiaTheme="minorEastAsia" w:hAnsi="Times New Roman" w:cs="Times New Roman"/>
          <w:color w:val="000000" w:themeColor="text1"/>
          <w:lang w:eastAsia="pt-BR"/>
        </w:rPr>
      </w:pPr>
      <w:r w:rsidRPr="0051439E">
        <w:rPr>
          <w:rFonts w:ascii="Times New Roman" w:eastAsiaTheme="minorEastAsia" w:hAnsi="Times New Roman" w:cs="Times New Roman"/>
          <w:color w:val="000000" w:themeColor="text1"/>
          <w:lang w:eastAsia="pt-BR"/>
        </w:rPr>
        <w:t> </w:t>
      </w:r>
    </w:p>
    <w:p w14:paraId="62063104" w14:textId="77777777" w:rsidR="006D1F90" w:rsidRPr="0051439E" w:rsidRDefault="006D1F90" w:rsidP="006D1F90">
      <w:pPr>
        <w:spacing w:after="48" w:line="288" w:lineRule="atLeast"/>
        <w:jc w:val="both"/>
        <w:rPr>
          <w:rFonts w:ascii="Times New Roman" w:eastAsiaTheme="minorEastAsia" w:hAnsi="Times New Roman" w:cs="Times New Roman"/>
          <w:color w:val="000000" w:themeColor="text1"/>
          <w:highlight w:val="cyan"/>
          <w:lang w:eastAsia="pt-BR"/>
        </w:rPr>
      </w:pPr>
      <w:r w:rsidRPr="0051439E">
        <w:rPr>
          <w:rFonts w:ascii="Times New Roman" w:eastAsiaTheme="minorEastAsia" w:hAnsi="Times New Roman" w:cs="Times New Roman"/>
          <w:color w:val="000000" w:themeColor="text1"/>
          <w:highlight w:val="cyan"/>
        </w:rPr>
        <w:t>No presente caso, em atenção ao</w:t>
      </w:r>
      <w:r w:rsidRPr="0051439E">
        <w:rPr>
          <w:rFonts w:ascii="Times New Roman" w:eastAsiaTheme="minorEastAsia" w:hAnsi="Times New Roman" w:cs="Times New Roman"/>
          <w:b/>
          <w:bCs/>
          <w:color w:val="000000" w:themeColor="text1"/>
          <w:highlight w:val="cyan"/>
        </w:rPr>
        <w:t xml:space="preserve"> </w:t>
      </w:r>
      <w:r w:rsidRPr="0051439E">
        <w:rPr>
          <w:rFonts w:ascii="Times New Roman" w:eastAsiaTheme="minorEastAsia" w:hAnsi="Times New Roman" w:cs="Times New Roman"/>
          <w:color w:val="000000" w:themeColor="text1"/>
          <w:highlight w:val="cyan"/>
        </w:rPr>
        <w:t xml:space="preserve">art. 6º, inciso XXIII, alínea "j", c/c art. 18, </w:t>
      </w:r>
      <w:r w:rsidRPr="0051439E">
        <w:rPr>
          <w:rFonts w:ascii="Times New Roman" w:eastAsiaTheme="minorEastAsia" w:hAnsi="Times New Roman" w:cs="Times New Roman"/>
          <w:i/>
          <w:iCs/>
          <w:color w:val="000000" w:themeColor="text1"/>
          <w:highlight w:val="cyan"/>
        </w:rPr>
        <w:t>caput</w:t>
      </w:r>
      <w:r w:rsidRPr="0051439E">
        <w:rPr>
          <w:rFonts w:ascii="Times New Roman" w:eastAsiaTheme="minorEastAsia" w:hAnsi="Times New Roman" w:cs="Times New Roman"/>
          <w:color w:val="000000" w:themeColor="text1"/>
          <w:highlight w:val="cyan"/>
        </w:rPr>
        <w:t>, da Lei nº 14.133, de 2021, consta</w:t>
      </w:r>
      <w:r w:rsidRPr="0051439E">
        <w:rPr>
          <w:rFonts w:ascii="Times New Roman" w:eastAsiaTheme="minorEastAsia" w:hAnsi="Times New Roman" w:cs="Times New Roman"/>
          <w:color w:val="FF0000"/>
          <w:highlight w:val="cyan"/>
        </w:rPr>
        <w:t xml:space="preserve"> às fls. XXXX/do doc. SEI n. XXXX</w:t>
      </w:r>
      <w:r w:rsidRPr="0051439E">
        <w:rPr>
          <w:rFonts w:ascii="Times New Roman" w:eastAsiaTheme="minorEastAsia" w:hAnsi="Times New Roman" w:cs="Times New Roman"/>
          <w:color w:val="000000" w:themeColor="text1"/>
          <w:highlight w:val="cyan"/>
        </w:rPr>
        <w:t xml:space="preserve"> a declaração do setor competente acerca da previsão dos recursos orçamentários necessários para fazer face às despesas decorrentes da futura contratação, com a indicação da respectiva rubrica.  </w:t>
      </w:r>
    </w:p>
    <w:p w14:paraId="22935892" w14:textId="77777777" w:rsidR="006D1F90" w:rsidRPr="0051439E" w:rsidRDefault="006D1F90" w:rsidP="006D1F90">
      <w:pPr>
        <w:spacing w:after="48" w:line="288" w:lineRule="atLeast"/>
        <w:ind w:firstLine="1418"/>
        <w:jc w:val="both"/>
        <w:rPr>
          <w:rFonts w:ascii="Times New Roman" w:eastAsiaTheme="minorEastAsia" w:hAnsi="Times New Roman" w:cs="Times New Roman"/>
          <w:color w:val="000000" w:themeColor="text1"/>
          <w:highlight w:val="cyan"/>
        </w:rPr>
      </w:pPr>
      <w:r w:rsidRPr="0051439E">
        <w:rPr>
          <w:rFonts w:ascii="Times New Roman" w:eastAsiaTheme="minorEastAsia" w:hAnsi="Times New Roman" w:cs="Times New Roman"/>
          <w:b/>
          <w:bCs/>
          <w:color w:val="000000" w:themeColor="text1"/>
          <w:highlight w:val="cyan"/>
          <w:u w:val="single"/>
        </w:rPr>
        <w:t>OU</w:t>
      </w:r>
      <w:r w:rsidRPr="0051439E">
        <w:rPr>
          <w:rFonts w:ascii="Times New Roman" w:eastAsiaTheme="minorEastAsia" w:hAnsi="Times New Roman" w:cs="Times New Roman"/>
          <w:b/>
          <w:bCs/>
          <w:color w:val="000000" w:themeColor="text1"/>
          <w:highlight w:val="cyan"/>
        </w:rPr>
        <w:t xml:space="preserve"> </w:t>
      </w:r>
      <w:r w:rsidRPr="0051439E">
        <w:rPr>
          <w:rFonts w:ascii="Times New Roman" w:eastAsiaTheme="minorEastAsia" w:hAnsi="Times New Roman" w:cs="Times New Roman"/>
          <w:color w:val="000000" w:themeColor="text1"/>
          <w:highlight w:val="cyan"/>
        </w:rPr>
        <w:t xml:space="preserve"> </w:t>
      </w:r>
    </w:p>
    <w:p w14:paraId="09B9A505" w14:textId="77777777" w:rsidR="006D1F90" w:rsidRPr="0051439E" w:rsidRDefault="006D1F90" w:rsidP="006D1F90">
      <w:pPr>
        <w:spacing w:after="48" w:line="288" w:lineRule="atLeast"/>
        <w:ind w:firstLine="1418"/>
        <w:jc w:val="both"/>
        <w:rPr>
          <w:rFonts w:ascii="Times New Roman" w:eastAsiaTheme="minorEastAsia" w:hAnsi="Times New Roman" w:cs="Times New Roman"/>
          <w:color w:val="000000" w:themeColor="text1"/>
          <w:highlight w:val="cyan"/>
        </w:rPr>
      </w:pPr>
      <w:r w:rsidRPr="0051439E">
        <w:rPr>
          <w:rFonts w:ascii="Times New Roman" w:eastAsiaTheme="minorEastAsia" w:hAnsi="Times New Roman" w:cs="Times New Roman"/>
          <w:color w:val="000000" w:themeColor="text1"/>
          <w:highlight w:val="cyan"/>
        </w:rPr>
        <w:t xml:space="preserve">No presente caso, </w:t>
      </w:r>
      <w:r w:rsidRPr="0051439E">
        <w:rPr>
          <w:rFonts w:ascii="Times New Roman" w:eastAsiaTheme="minorEastAsia" w:hAnsi="Times New Roman" w:cs="Times New Roman"/>
          <w:color w:val="000000" w:themeColor="text1"/>
          <w:highlight w:val="cyan"/>
          <w:u w:val="single"/>
        </w:rPr>
        <w:t>não</w:t>
      </w:r>
      <w:r w:rsidRPr="0051439E">
        <w:rPr>
          <w:rFonts w:ascii="Times New Roman" w:eastAsiaTheme="minorEastAsia" w:hAnsi="Times New Roman" w:cs="Times New Roman"/>
          <w:color w:val="000000" w:themeColor="text1"/>
          <w:highlight w:val="cyan"/>
        </w:rPr>
        <w:t xml:space="preserve"> foi trazida aos autos a indispensável declaração do setor competente acerca da previsão dos recursos orçamentários necessários para fazer face às despesas decorrentes da futura contratação, indicando a respectiva rubrica, o que afronta o art. 6º, inciso XXIII, alínea "j", c/c art. 18, </w:t>
      </w:r>
      <w:r w:rsidRPr="0051439E">
        <w:rPr>
          <w:rFonts w:ascii="Times New Roman" w:eastAsiaTheme="minorEastAsia" w:hAnsi="Times New Roman" w:cs="Times New Roman"/>
          <w:i/>
          <w:iCs/>
          <w:color w:val="000000" w:themeColor="text1"/>
          <w:highlight w:val="cyan"/>
        </w:rPr>
        <w:t>caput</w:t>
      </w:r>
      <w:r w:rsidRPr="0051439E">
        <w:rPr>
          <w:rFonts w:ascii="Times New Roman" w:eastAsiaTheme="minorEastAsia" w:hAnsi="Times New Roman" w:cs="Times New Roman"/>
          <w:color w:val="000000" w:themeColor="text1"/>
          <w:highlight w:val="cyan"/>
        </w:rPr>
        <w:t xml:space="preserve">, da Lei nº 14.133, de 2021. Sendo assim, </w:t>
      </w:r>
      <w:r w:rsidRPr="0051439E">
        <w:rPr>
          <w:rFonts w:ascii="Times New Roman" w:eastAsiaTheme="minorEastAsia" w:hAnsi="Times New Roman" w:cs="Times New Roman"/>
          <w:color w:val="000000" w:themeColor="text1"/>
          <w:highlight w:val="cyan"/>
          <w:u w:val="single"/>
        </w:rPr>
        <w:t>a falha deverá ser corrigida antes da deflagração do certame</w:t>
      </w:r>
      <w:r w:rsidRPr="0051439E">
        <w:rPr>
          <w:rFonts w:ascii="Times New Roman" w:eastAsiaTheme="minorEastAsia" w:hAnsi="Times New Roman" w:cs="Times New Roman"/>
          <w:color w:val="000000" w:themeColor="text1"/>
          <w:highlight w:val="cyan"/>
        </w:rPr>
        <w:t>, com a juntada aos autos da declaração de disponibilidade orçamentária, nos termos exigidos pelos dispositivos citados.</w:t>
      </w:r>
      <w:r w:rsidRPr="0051439E">
        <w:rPr>
          <w:rFonts w:ascii="Times New Roman" w:eastAsiaTheme="minorEastAsia" w:hAnsi="Times New Roman" w:cs="Times New Roman"/>
          <w:color w:val="000000" w:themeColor="text1"/>
        </w:rPr>
        <w:t xml:space="preserve">  </w:t>
      </w:r>
    </w:p>
    <w:p w14:paraId="31FC6B56" w14:textId="77777777" w:rsidR="006D1F90" w:rsidRPr="0051439E" w:rsidRDefault="006D1F90" w:rsidP="006D1F90">
      <w:pPr>
        <w:spacing w:after="48" w:line="288" w:lineRule="atLeast"/>
        <w:ind w:firstLine="1418"/>
        <w:jc w:val="both"/>
        <w:rPr>
          <w:rFonts w:ascii="Times New Roman" w:eastAsiaTheme="minorEastAsia" w:hAnsi="Times New Roman" w:cs="Times New Roman"/>
          <w:color w:val="000000"/>
          <w:lang w:eastAsia="pt-BR"/>
        </w:rPr>
      </w:pPr>
    </w:p>
    <w:tbl>
      <w:tblPr>
        <w:tblW w:w="8587" w:type="dxa"/>
        <w:tblBorders>
          <w:top w:val="outset" w:sz="6" w:space="0" w:color="000000" w:themeColor="text1"/>
          <w:left w:val="outset" w:sz="6" w:space="0" w:color="000000" w:themeColor="text1"/>
          <w:bottom w:val="outset" w:sz="6" w:space="0" w:color="000000" w:themeColor="text1"/>
          <w:right w:val="outset" w:sz="6" w:space="0" w:color="000000" w:themeColor="text1"/>
        </w:tblBorders>
        <w:tblCellMar>
          <w:top w:w="15" w:type="dxa"/>
          <w:left w:w="15" w:type="dxa"/>
          <w:bottom w:w="15" w:type="dxa"/>
          <w:right w:w="15" w:type="dxa"/>
        </w:tblCellMar>
        <w:tblLook w:val="04A0" w:firstRow="1" w:lastRow="0" w:firstColumn="1" w:lastColumn="0" w:noHBand="0" w:noVBand="1"/>
      </w:tblPr>
      <w:tblGrid>
        <w:gridCol w:w="8587"/>
      </w:tblGrid>
      <w:tr w:rsidR="006D1F90" w:rsidRPr="0051439E" w14:paraId="33DA8C7C" w14:textId="77777777" w:rsidTr="00F13739">
        <w:tc>
          <w:tcPr>
            <w:tcW w:w="8587" w:type="dxa"/>
            <w:tcBorders>
              <w:top w:val="outset" w:sz="6" w:space="0" w:color="000000" w:themeColor="text1"/>
              <w:left w:val="outset" w:sz="6" w:space="0" w:color="000000" w:themeColor="text1"/>
              <w:bottom w:val="outset" w:sz="6" w:space="0" w:color="000000" w:themeColor="text1"/>
              <w:right w:val="outset" w:sz="6" w:space="0" w:color="000000" w:themeColor="text1"/>
            </w:tcBorders>
            <w:shd w:val="clear" w:color="auto" w:fill="FCFC6A"/>
            <w:tcMar>
              <w:top w:w="30" w:type="dxa"/>
              <w:left w:w="30" w:type="dxa"/>
              <w:bottom w:w="30" w:type="dxa"/>
              <w:right w:w="30" w:type="dxa"/>
            </w:tcMar>
            <w:vAlign w:val="center"/>
            <w:hideMark/>
          </w:tcPr>
          <w:p w14:paraId="3BAE96C3" w14:textId="77777777" w:rsidR="006D1F90" w:rsidRPr="0051439E" w:rsidRDefault="006D1F90" w:rsidP="00F13739">
            <w:pPr>
              <w:spacing w:after="0" w:line="240" w:lineRule="auto"/>
              <w:rPr>
                <w:rFonts w:ascii="Times New Roman" w:eastAsiaTheme="minorEastAsia" w:hAnsi="Times New Roman" w:cs="Times New Roman"/>
                <w:color w:val="000000"/>
                <w:lang w:eastAsia="pt-BR"/>
              </w:rPr>
            </w:pPr>
            <w:r w:rsidRPr="0051439E">
              <w:rPr>
                <w:rFonts w:ascii="Times New Roman" w:eastAsiaTheme="minorEastAsia" w:hAnsi="Times New Roman" w:cs="Times New Roman"/>
                <w:b/>
                <w:color w:val="000000"/>
                <w:shd w:val="clear" w:color="auto" w:fill="FFFF99"/>
                <w:lang w:eastAsia="pt-BR"/>
              </w:rPr>
              <w:t>Nota Explicativa:</w:t>
            </w:r>
            <w:r w:rsidRPr="0051439E">
              <w:rPr>
                <w:rFonts w:ascii="Times New Roman" w:eastAsiaTheme="minorEastAsia" w:hAnsi="Times New Roman" w:cs="Times New Roman"/>
                <w:color w:val="000000"/>
                <w:shd w:val="clear" w:color="auto" w:fill="FFFF99"/>
                <w:lang w:eastAsia="pt-BR"/>
              </w:rPr>
              <w:t> Caso seja licitação processada sob o Sistema de Registro de Preços, deverá ser utilizada a redação abaixo: </w:t>
            </w:r>
          </w:p>
        </w:tc>
      </w:tr>
    </w:tbl>
    <w:p w14:paraId="624C3C20" w14:textId="77777777" w:rsidR="006D1F90" w:rsidRPr="0051439E" w:rsidRDefault="006D1F90" w:rsidP="006D1F90">
      <w:pPr>
        <w:spacing w:after="48" w:line="288" w:lineRule="atLeast"/>
        <w:ind w:firstLine="1418"/>
        <w:jc w:val="both"/>
        <w:rPr>
          <w:rFonts w:ascii="Times New Roman" w:eastAsiaTheme="minorEastAsia" w:hAnsi="Times New Roman" w:cs="Times New Roman"/>
          <w:color w:val="000000"/>
          <w:lang w:eastAsia="pt-BR"/>
        </w:rPr>
      </w:pPr>
      <w:r w:rsidRPr="0051439E">
        <w:rPr>
          <w:rFonts w:ascii="Times New Roman" w:eastAsiaTheme="minorEastAsia" w:hAnsi="Times New Roman" w:cs="Times New Roman"/>
          <w:color w:val="000000" w:themeColor="text1"/>
          <w:lang w:eastAsia="pt-BR"/>
        </w:rPr>
        <w:t> </w:t>
      </w:r>
    </w:p>
    <w:p w14:paraId="21AB719E" w14:textId="77777777" w:rsidR="006D1F90" w:rsidRPr="0051439E" w:rsidRDefault="006D1F90" w:rsidP="006D1F90">
      <w:pPr>
        <w:pStyle w:val="paragraph"/>
        <w:spacing w:before="0" w:beforeAutospacing="0" w:after="0" w:afterAutospacing="0"/>
        <w:jc w:val="both"/>
        <w:textAlignment w:val="baseline"/>
        <w:rPr>
          <w:rFonts w:eastAsiaTheme="minorEastAsia"/>
          <w:sz w:val="22"/>
          <w:szCs w:val="22"/>
        </w:rPr>
      </w:pPr>
      <w:r w:rsidRPr="0051439E">
        <w:rPr>
          <w:rStyle w:val="normaltextrun"/>
          <w:rFonts w:eastAsiaTheme="minorEastAsia"/>
          <w:color w:val="FF0000"/>
          <w:sz w:val="22"/>
          <w:szCs w:val="22"/>
          <w:shd w:val="clear" w:color="auto" w:fill="00FF00"/>
        </w:rPr>
        <w:t>No presente caso, trata-se de licitação destinada ao registro de preços pela Administração, incidindo, pois, o art. 17 do Decreto nº 11.462, de 2023, de forma que a indicação da disponibilidade de créditos orçamentários somente será exigida para a formalização do contrato ou de outro instrumento hábil.</w:t>
      </w:r>
      <w:r w:rsidRPr="0051439E">
        <w:rPr>
          <w:rStyle w:val="normaltextrun"/>
          <w:rFonts w:eastAsiaTheme="minorEastAsia"/>
          <w:color w:val="000000"/>
          <w:sz w:val="22"/>
          <w:szCs w:val="22"/>
        </w:rPr>
        <w:t> </w:t>
      </w:r>
      <w:r w:rsidRPr="0051439E">
        <w:rPr>
          <w:rStyle w:val="eop"/>
          <w:rFonts w:eastAsiaTheme="minorEastAsia"/>
          <w:color w:val="000000"/>
          <w:sz w:val="22"/>
          <w:szCs w:val="22"/>
        </w:rPr>
        <w:t> </w:t>
      </w:r>
    </w:p>
    <w:p w14:paraId="493273A5" w14:textId="77777777" w:rsidR="006D1F90" w:rsidRPr="0051439E" w:rsidRDefault="006D1F90" w:rsidP="006D1F90">
      <w:pPr>
        <w:spacing w:after="48" w:line="288" w:lineRule="atLeast"/>
        <w:ind w:firstLine="1418"/>
        <w:jc w:val="both"/>
        <w:rPr>
          <w:rFonts w:ascii="Times New Roman" w:eastAsiaTheme="minorEastAsia" w:hAnsi="Times New Roman" w:cs="Times New Roman"/>
          <w:color w:val="000000"/>
          <w:lang w:eastAsia="pt-BR"/>
        </w:rPr>
      </w:pPr>
      <w:r w:rsidRPr="0051439E">
        <w:rPr>
          <w:rFonts w:ascii="Times New Roman" w:eastAsiaTheme="minorEastAsia" w:hAnsi="Times New Roman" w:cs="Times New Roman"/>
          <w:color w:val="000000" w:themeColor="text1"/>
          <w:lang w:eastAsia="pt-BR"/>
        </w:rPr>
        <w:t> </w:t>
      </w:r>
    </w:p>
    <w:p w14:paraId="2F8B5217" w14:textId="77777777" w:rsidR="006D1F90" w:rsidRPr="0051439E" w:rsidRDefault="006D1F90" w:rsidP="006D1F90">
      <w:pPr>
        <w:spacing w:after="48" w:line="288" w:lineRule="atLeast"/>
        <w:jc w:val="both"/>
        <w:rPr>
          <w:rFonts w:ascii="Times New Roman" w:eastAsiaTheme="minorEastAsia" w:hAnsi="Times New Roman" w:cs="Times New Roman"/>
          <w:color w:val="000000"/>
          <w:lang w:eastAsia="pt-BR"/>
        </w:rPr>
      </w:pPr>
      <w:r w:rsidRPr="0051439E">
        <w:rPr>
          <w:rFonts w:ascii="Times New Roman" w:eastAsiaTheme="minorEastAsia" w:hAnsi="Times New Roman" w:cs="Times New Roman"/>
          <w:color w:val="000000" w:themeColor="text1"/>
          <w:u w:val="single"/>
          <w:lang w:eastAsia="pt-BR"/>
        </w:rPr>
        <w:t>Alerta-se</w:t>
      </w:r>
      <w:r w:rsidRPr="0051439E">
        <w:rPr>
          <w:rFonts w:ascii="Times New Roman" w:eastAsiaTheme="minorEastAsia" w:hAnsi="Times New Roman" w:cs="Times New Roman"/>
          <w:color w:val="000000" w:themeColor="text1"/>
          <w:lang w:eastAsia="pt-BR"/>
        </w:rPr>
        <w:t>, ainda, para a necessidade de juntar ao feito, antes da celebração do contrato administrativo, a nota de empenho suficiente para o suporte financeiro da respectiva despesa, em atenção ao disposto no art. 60 da Lei nº 4.320/64.</w:t>
      </w:r>
    </w:p>
    <w:p w14:paraId="0ED90B55" w14:textId="77777777" w:rsidR="006D1F90" w:rsidRPr="0051439E" w:rsidRDefault="006D1F90" w:rsidP="006D1F90">
      <w:pPr>
        <w:spacing w:after="48" w:line="288" w:lineRule="atLeast"/>
        <w:ind w:firstLine="1418"/>
        <w:jc w:val="both"/>
        <w:rPr>
          <w:rFonts w:ascii="Times New Roman" w:eastAsiaTheme="minorEastAsia" w:hAnsi="Times New Roman" w:cs="Times New Roman"/>
          <w:color w:val="000000"/>
          <w:lang w:eastAsia="pt-BR"/>
        </w:rPr>
      </w:pPr>
      <w:r w:rsidRPr="0051439E">
        <w:rPr>
          <w:rFonts w:ascii="Times New Roman" w:eastAsiaTheme="minorEastAsia" w:hAnsi="Times New Roman" w:cs="Times New Roman"/>
          <w:color w:val="000000" w:themeColor="text1"/>
          <w:lang w:eastAsia="pt-BR"/>
        </w:rPr>
        <w:t> </w:t>
      </w:r>
    </w:p>
    <w:p w14:paraId="37948097" w14:textId="77777777" w:rsidR="006D1F90" w:rsidRPr="0051439E" w:rsidRDefault="006D1F90" w:rsidP="006D1F90">
      <w:pPr>
        <w:spacing w:after="48" w:line="288" w:lineRule="atLeast"/>
        <w:jc w:val="both"/>
        <w:rPr>
          <w:rFonts w:ascii="Times New Roman" w:eastAsiaTheme="minorEastAsia" w:hAnsi="Times New Roman" w:cs="Times New Roman"/>
          <w:color w:val="000000"/>
          <w:lang w:eastAsia="pt-BR"/>
        </w:rPr>
      </w:pPr>
      <w:r w:rsidRPr="0051439E">
        <w:rPr>
          <w:rFonts w:ascii="Times New Roman" w:eastAsiaTheme="minorEastAsia" w:hAnsi="Times New Roman" w:cs="Times New Roman"/>
          <w:color w:val="000000" w:themeColor="text1"/>
          <w:lang w:eastAsia="pt-BR"/>
        </w:rPr>
        <w:t>Necessário destacar, outrossim, que o atendimento ao art. 16, incisos I e II, da Lei Complementar nº 101/2000, somente será necessário se as despesas que amparam a ação orçamentária em apreço não forem qualificáveis como atividades, mas, sim, como projetos, isto é, se não constituírem despesas rotineiras, como estabelece a Orientação Normativa AGU nº 52/2014 ("</w:t>
      </w:r>
      <w:r w:rsidRPr="0051439E">
        <w:rPr>
          <w:rFonts w:ascii="Times New Roman" w:eastAsiaTheme="minorEastAsia" w:hAnsi="Times New Roman" w:cs="Times New Roman"/>
          <w:i/>
          <w:color w:val="000000" w:themeColor="text1"/>
          <w:lang w:eastAsia="pt-BR"/>
        </w:rPr>
        <w:t>As despesas ordinárias e rotineiras da administração, já previstas no orçamento e destinadas à manutenção das ações governamentais preexistentes, dispensam as exigências previstas nos incisos I e II do art. 16 da Lei Complementar nº 101, de 2000</w:t>
      </w:r>
      <w:r w:rsidRPr="0051439E">
        <w:rPr>
          <w:rFonts w:ascii="Times New Roman" w:eastAsiaTheme="minorEastAsia" w:hAnsi="Times New Roman" w:cs="Times New Roman"/>
          <w:color w:val="000000" w:themeColor="text1"/>
          <w:lang w:eastAsia="pt-BR"/>
        </w:rPr>
        <w:t>"). </w:t>
      </w:r>
    </w:p>
    <w:p w14:paraId="5715E9FC" w14:textId="77777777" w:rsidR="006D1F90" w:rsidRPr="0051439E" w:rsidRDefault="006D1F90" w:rsidP="006D1F90">
      <w:pPr>
        <w:spacing w:after="48" w:line="288" w:lineRule="atLeast"/>
        <w:ind w:firstLine="1418"/>
        <w:jc w:val="both"/>
        <w:rPr>
          <w:rFonts w:ascii="Times New Roman" w:eastAsiaTheme="minorEastAsia" w:hAnsi="Times New Roman" w:cs="Times New Roman"/>
          <w:color w:val="000000"/>
          <w:lang w:eastAsia="pt-BR"/>
        </w:rPr>
      </w:pPr>
      <w:r w:rsidRPr="0051439E">
        <w:rPr>
          <w:rFonts w:ascii="Times New Roman" w:eastAsiaTheme="minorEastAsia" w:hAnsi="Times New Roman" w:cs="Times New Roman"/>
          <w:color w:val="000000" w:themeColor="text1"/>
          <w:lang w:eastAsia="pt-BR"/>
        </w:rPr>
        <w:t> </w:t>
      </w:r>
    </w:p>
    <w:p w14:paraId="7EBE4D2C" w14:textId="77777777" w:rsidR="006D1F90" w:rsidRPr="0051439E" w:rsidRDefault="006D1F90" w:rsidP="006D1F90">
      <w:pPr>
        <w:spacing w:after="48" w:line="288" w:lineRule="atLeast"/>
        <w:jc w:val="both"/>
        <w:rPr>
          <w:rFonts w:ascii="Times New Roman" w:eastAsiaTheme="minorEastAsia" w:hAnsi="Times New Roman" w:cs="Times New Roman"/>
          <w:color w:val="000000"/>
          <w:lang w:eastAsia="pt-BR"/>
        </w:rPr>
      </w:pPr>
      <w:r w:rsidRPr="0051439E">
        <w:rPr>
          <w:rFonts w:ascii="Times New Roman" w:eastAsiaTheme="minorEastAsia" w:hAnsi="Times New Roman" w:cs="Times New Roman"/>
          <w:color w:val="000000"/>
          <w:u w:val="single"/>
          <w:shd w:val="clear" w:color="auto" w:fill="00FFFF"/>
          <w:lang w:eastAsia="pt-BR"/>
        </w:rPr>
        <w:t>Recomenda-se</w:t>
      </w:r>
      <w:r w:rsidRPr="0051439E">
        <w:rPr>
          <w:rFonts w:ascii="Times New Roman" w:eastAsiaTheme="minorEastAsia" w:hAnsi="Times New Roman" w:cs="Times New Roman"/>
          <w:color w:val="000000"/>
          <w:shd w:val="clear" w:color="auto" w:fill="00FFFF"/>
          <w:lang w:eastAsia="pt-BR"/>
        </w:rPr>
        <w:t xml:space="preserve">, pois, que a Administração informe nos autos a natureza da ação que suporta a despesa decorrente da futura contratação, adotando, a depender do caso, as providências previstas no art. 16, incisos I e II, da Lei de Responsabilidade Fiscal, com as premissas da estimativa de impacto </w:t>
      </w:r>
      <w:r w:rsidRPr="0051439E">
        <w:rPr>
          <w:rFonts w:ascii="Times New Roman" w:eastAsiaTheme="minorEastAsia" w:hAnsi="Times New Roman" w:cs="Times New Roman"/>
          <w:color w:val="000000"/>
          <w:shd w:val="clear" w:color="auto" w:fill="00FFFF"/>
          <w:lang w:eastAsia="pt-BR"/>
        </w:rPr>
        <w:lastRenderedPageBreak/>
        <w:t>orçamentário-financeiro e a metodologia de cálculo utilizadas (art. 16, §2º, da </w:t>
      </w:r>
      <w:r w:rsidRPr="0051439E">
        <w:rPr>
          <w:rFonts w:ascii="Times New Roman" w:eastAsiaTheme="minorEastAsia" w:hAnsi="Times New Roman" w:cs="Times New Roman"/>
          <w:i/>
          <w:color w:val="000000"/>
          <w:shd w:val="clear" w:color="auto" w:fill="00FFFF"/>
          <w:lang w:eastAsia="pt-BR"/>
        </w:rPr>
        <w:t>Lei Complementar</w:t>
      </w:r>
      <w:r w:rsidRPr="0051439E">
        <w:rPr>
          <w:rFonts w:ascii="Times New Roman" w:eastAsiaTheme="minorEastAsia" w:hAnsi="Times New Roman" w:cs="Times New Roman"/>
          <w:color w:val="000000"/>
          <w:shd w:val="clear" w:color="auto" w:fill="00FFFF"/>
          <w:lang w:eastAsia="pt-BR"/>
        </w:rPr>
        <w:t> n.º 101/2000).</w:t>
      </w:r>
    </w:p>
    <w:p w14:paraId="65A38F03" w14:textId="77777777" w:rsidR="006D1F90" w:rsidRPr="0051439E" w:rsidRDefault="006D1F90" w:rsidP="006D1F90">
      <w:pPr>
        <w:spacing w:after="48" w:line="288" w:lineRule="atLeast"/>
        <w:ind w:firstLine="1418"/>
        <w:jc w:val="both"/>
        <w:rPr>
          <w:rFonts w:ascii="Times New Roman" w:eastAsiaTheme="minorEastAsia" w:hAnsi="Times New Roman" w:cs="Times New Roman"/>
          <w:color w:val="000000"/>
          <w:lang w:eastAsia="pt-BR"/>
        </w:rPr>
      </w:pPr>
      <w:r w:rsidRPr="0051439E">
        <w:rPr>
          <w:rFonts w:ascii="Times New Roman" w:eastAsiaTheme="minorEastAsia" w:hAnsi="Times New Roman" w:cs="Times New Roman"/>
          <w:b/>
          <w:color w:val="000000"/>
          <w:u w:val="single"/>
          <w:shd w:val="clear" w:color="auto" w:fill="00FFFF"/>
          <w:lang w:eastAsia="pt-BR"/>
        </w:rPr>
        <w:t>OU</w:t>
      </w:r>
    </w:p>
    <w:p w14:paraId="4EB25402" w14:textId="77777777" w:rsidR="006D1F90" w:rsidRPr="0051439E" w:rsidRDefault="006D1F90" w:rsidP="006D1F90">
      <w:pPr>
        <w:spacing w:after="48" w:line="288" w:lineRule="atLeast"/>
        <w:ind w:firstLine="1418"/>
        <w:jc w:val="both"/>
        <w:rPr>
          <w:rFonts w:ascii="Times New Roman" w:eastAsiaTheme="minorEastAsia" w:hAnsi="Times New Roman" w:cs="Times New Roman"/>
          <w:color w:val="000000"/>
          <w:lang w:eastAsia="pt-BR"/>
        </w:rPr>
      </w:pPr>
      <w:r w:rsidRPr="0051439E">
        <w:rPr>
          <w:rFonts w:ascii="Times New Roman" w:eastAsiaTheme="minorEastAsia" w:hAnsi="Times New Roman" w:cs="Times New Roman"/>
          <w:color w:val="000000"/>
          <w:shd w:val="clear" w:color="auto" w:fill="00FFFF"/>
          <w:lang w:eastAsia="pt-BR"/>
        </w:rPr>
        <w:t>No caso, consta nos autos declaração do setor competente no sentido de que se trata de despesa administrativa considerada ordinária, já prevista no orçamento e destinada à manutenção de ação preexistente, pelo que </w:t>
      </w:r>
      <w:r w:rsidRPr="0051439E">
        <w:rPr>
          <w:rFonts w:ascii="Times New Roman" w:eastAsiaTheme="minorEastAsia" w:hAnsi="Times New Roman" w:cs="Times New Roman"/>
          <w:color w:val="000000"/>
          <w:u w:val="single"/>
          <w:shd w:val="clear" w:color="auto" w:fill="00FFFF"/>
          <w:lang w:eastAsia="pt-BR"/>
        </w:rPr>
        <w:t>resta dispensada</w:t>
      </w:r>
      <w:r w:rsidRPr="0051439E">
        <w:rPr>
          <w:rFonts w:ascii="Times New Roman" w:eastAsiaTheme="minorEastAsia" w:hAnsi="Times New Roman" w:cs="Times New Roman"/>
          <w:color w:val="000000"/>
          <w:shd w:val="clear" w:color="auto" w:fill="00FFFF"/>
          <w:lang w:eastAsia="pt-BR"/>
        </w:rPr>
        <w:t>, com base na autorização constante da Orientação Normativa AGU nº 52/2014,</w:t>
      </w:r>
      <w:r w:rsidRPr="0051439E">
        <w:rPr>
          <w:rFonts w:ascii="Times New Roman" w:eastAsiaTheme="minorEastAsia" w:hAnsi="Times New Roman" w:cs="Times New Roman"/>
          <w:color w:val="000000"/>
          <w:u w:val="single"/>
          <w:shd w:val="clear" w:color="auto" w:fill="00FFFF"/>
          <w:lang w:eastAsia="pt-BR"/>
        </w:rPr>
        <w:t> a juntada aos autos dos documentos </w:t>
      </w:r>
      <w:r w:rsidRPr="0051439E">
        <w:rPr>
          <w:rFonts w:ascii="Times New Roman" w:eastAsiaTheme="minorEastAsia" w:hAnsi="Times New Roman" w:cs="Times New Roman"/>
          <w:color w:val="000000"/>
          <w:shd w:val="clear" w:color="auto" w:fill="00FFFF"/>
          <w:lang w:eastAsia="pt-BR"/>
        </w:rPr>
        <w:t>indicados no art. 16, incisos I e II, da Lei de Responsabilidade Fiscal.</w:t>
      </w:r>
      <w:r w:rsidRPr="0051439E">
        <w:rPr>
          <w:rFonts w:ascii="Times New Roman" w:eastAsiaTheme="minorEastAsia" w:hAnsi="Times New Roman" w:cs="Times New Roman"/>
          <w:color w:val="000000"/>
          <w:lang w:eastAsia="pt-BR"/>
        </w:rPr>
        <w:t> </w:t>
      </w:r>
    </w:p>
    <w:p w14:paraId="2A4DBC7A" w14:textId="77777777" w:rsidR="006D1F90" w:rsidRPr="0051439E" w:rsidRDefault="006D1F90" w:rsidP="006D1F90">
      <w:pPr>
        <w:spacing w:after="48" w:line="288" w:lineRule="atLeast"/>
        <w:ind w:firstLine="1418"/>
        <w:jc w:val="both"/>
        <w:rPr>
          <w:rFonts w:ascii="Times New Roman" w:eastAsiaTheme="minorEastAsia" w:hAnsi="Times New Roman" w:cs="Times New Roman"/>
          <w:color w:val="000000"/>
          <w:lang w:eastAsia="pt-BR"/>
        </w:rPr>
      </w:pPr>
      <w:r w:rsidRPr="0051439E">
        <w:rPr>
          <w:rFonts w:ascii="Times New Roman" w:eastAsiaTheme="minorEastAsia" w:hAnsi="Times New Roman" w:cs="Times New Roman"/>
          <w:color w:val="000000" w:themeColor="text1"/>
          <w:lang w:eastAsia="pt-BR"/>
        </w:rPr>
        <w:t> </w:t>
      </w:r>
    </w:p>
    <w:p w14:paraId="03444F71" w14:textId="77777777" w:rsidR="006D1F90" w:rsidRPr="0051439E" w:rsidRDefault="006D1F90" w:rsidP="006D1F90">
      <w:pPr>
        <w:jc w:val="both"/>
        <w:rPr>
          <w:rFonts w:ascii="Times New Roman" w:eastAsiaTheme="minorEastAsia" w:hAnsi="Times New Roman" w:cs="Times New Roman"/>
          <w:b/>
          <w:color w:val="000000" w:themeColor="text1"/>
        </w:rPr>
      </w:pPr>
      <w:r w:rsidRPr="0051439E">
        <w:rPr>
          <w:rFonts w:ascii="Times New Roman" w:eastAsiaTheme="minorEastAsia" w:hAnsi="Times New Roman" w:cs="Times New Roman"/>
          <w:b/>
          <w:bCs/>
          <w:color w:val="000000" w:themeColor="text1"/>
        </w:rPr>
        <w:t>DA PUBLICAÇÃO DO EDITAL E DA LEI DE ACESSO À INFORMAÇÃO</w:t>
      </w:r>
    </w:p>
    <w:p w14:paraId="6EA86196"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themeColor="text1"/>
          <w:lang w:eastAsia="pt-BR"/>
        </w:rPr>
        <w:t xml:space="preserve">Conforme o art. 54, </w:t>
      </w:r>
      <w:r w:rsidRPr="0051439E">
        <w:rPr>
          <w:rFonts w:ascii="Times New Roman" w:eastAsiaTheme="minorEastAsia" w:hAnsi="Times New Roman" w:cs="Times New Roman"/>
          <w:i/>
          <w:iCs/>
          <w:color w:val="000000" w:themeColor="text1"/>
          <w:lang w:eastAsia="pt-BR"/>
        </w:rPr>
        <w:t xml:space="preserve">caput </w:t>
      </w:r>
      <w:r w:rsidRPr="0051439E">
        <w:rPr>
          <w:rFonts w:ascii="Times New Roman" w:eastAsiaTheme="minorEastAsia" w:hAnsi="Times New Roman" w:cs="Times New Roman"/>
          <w:color w:val="000000" w:themeColor="text1"/>
          <w:lang w:eastAsia="pt-BR"/>
        </w:rPr>
        <w:t xml:space="preserve">e §1º, c/c art. 94 da Lei nº 14.133, de 2021, é obrigatória a divulgação e a manutenção do inteiro teor do edital de licitação e dos seus anexos e do termo de contrato no Portal Nacional de Contratações Públicas e a publicação de extrato do edital no Diário Oficial da União </w:t>
      </w:r>
      <w:r w:rsidRPr="0051439E">
        <w:rPr>
          <w:rStyle w:val="normaltextrun"/>
          <w:rFonts w:ascii="Times New Roman" w:eastAsia="Calibri" w:hAnsi="Times New Roman" w:cs="Times New Roman"/>
          <w:color w:val="000000" w:themeColor="text1"/>
          <w:sz w:val="20"/>
          <w:szCs w:val="20"/>
        </w:rPr>
        <w:t>bem como em jornal de grande circulação</w:t>
      </w:r>
      <w:r w:rsidRPr="0051439E">
        <w:rPr>
          <w:rFonts w:ascii="Times New Roman" w:eastAsiaTheme="minorEastAsia" w:hAnsi="Times New Roman" w:cs="Times New Roman"/>
          <w:color w:val="000000" w:themeColor="text1"/>
          <w:lang w:eastAsia="pt-BR"/>
        </w:rPr>
        <w:t>.</w:t>
      </w:r>
      <w:r w:rsidRPr="0051439E">
        <w:rPr>
          <w:rFonts w:ascii="Times New Roman" w:eastAsiaTheme="minorEastAsia" w:hAnsi="Times New Roman" w:cs="Times New Roman"/>
          <w:lang w:eastAsia="pt-BR"/>
        </w:rPr>
        <w:t> </w:t>
      </w:r>
    </w:p>
    <w:p w14:paraId="4CB4B8E5" w14:textId="77777777" w:rsidR="006D1F90" w:rsidRPr="0051439E" w:rsidRDefault="006D1F90" w:rsidP="006D1F90">
      <w:pPr>
        <w:spacing w:beforeAutospacing="1" w:afterAutospacing="1" w:line="240" w:lineRule="auto"/>
        <w:jc w:val="both"/>
        <w:rPr>
          <w:rFonts w:ascii="Times New Roman" w:eastAsiaTheme="minorEastAsia" w:hAnsi="Times New Roman" w:cs="Times New Roman"/>
          <w:b/>
          <w:bCs/>
          <w:color w:val="000000" w:themeColor="text1"/>
          <w:u w:val="single"/>
          <w:lang w:eastAsia="pt-BR"/>
        </w:rPr>
      </w:pPr>
    </w:p>
    <w:p w14:paraId="4C260E45" w14:textId="77777777" w:rsidR="006D1F90" w:rsidRPr="0051439E" w:rsidRDefault="006D1F90" w:rsidP="006D1F90">
      <w:pPr>
        <w:spacing w:beforeAutospacing="1"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b/>
          <w:bCs/>
          <w:color w:val="000000" w:themeColor="text1"/>
          <w:u w:val="single"/>
          <w:lang w:eastAsia="pt-BR"/>
        </w:rPr>
        <w:t>No caso de obras e serviços comuns de engenharia</w:t>
      </w:r>
      <w:r w:rsidRPr="0051439E">
        <w:rPr>
          <w:rFonts w:ascii="Times New Roman" w:eastAsiaTheme="minorEastAsia" w:hAnsi="Times New Roman" w:cs="Times New Roman"/>
          <w:color w:val="000000" w:themeColor="text1"/>
          <w:lang w:eastAsia="pt-BR"/>
        </w:rPr>
        <w:t xml:space="preserve">, deve ser observado o prazo mínimo de </w:t>
      </w:r>
      <w:r w:rsidRPr="0051439E">
        <w:rPr>
          <w:rFonts w:ascii="Times New Roman" w:eastAsiaTheme="minorEastAsia" w:hAnsi="Times New Roman" w:cs="Times New Roman"/>
          <w:b/>
          <w:bCs/>
          <w:color w:val="000000" w:themeColor="text1"/>
          <w:u w:val="single"/>
          <w:lang w:eastAsia="pt-BR"/>
        </w:rPr>
        <w:t>10 (dez) dias úteis</w:t>
      </w:r>
      <w:r w:rsidRPr="0051439E">
        <w:rPr>
          <w:rFonts w:ascii="Times New Roman" w:eastAsiaTheme="minorEastAsia" w:hAnsi="Times New Roman" w:cs="Times New Roman"/>
          <w:color w:val="000000" w:themeColor="text1"/>
          <w:lang w:eastAsia="pt-BR"/>
        </w:rPr>
        <w:t>, contados a partir da data de divulgação do edital de licitação, para a apresentação das propostas e lances, quando adotados os critérios de julgamento de menor preço ou de maior desconto (art. 55, inciso II, alínea “a”, Lei nº 14.133, de 2021).</w:t>
      </w:r>
      <w:r w:rsidRPr="0051439E">
        <w:rPr>
          <w:rFonts w:ascii="Times New Roman" w:eastAsiaTheme="minorEastAsia" w:hAnsi="Times New Roman" w:cs="Times New Roman"/>
          <w:lang w:eastAsia="pt-BR"/>
        </w:rPr>
        <w:t> </w:t>
      </w:r>
    </w:p>
    <w:p w14:paraId="6AFE482D" w14:textId="77777777" w:rsidR="006D1F90" w:rsidRPr="0051439E" w:rsidRDefault="006D1F90" w:rsidP="006D1F90">
      <w:pPr>
        <w:spacing w:beforeAutospacing="1" w:afterAutospacing="1" w:line="240" w:lineRule="auto"/>
        <w:jc w:val="both"/>
        <w:rPr>
          <w:rFonts w:ascii="Times New Roman" w:eastAsiaTheme="minorEastAsia" w:hAnsi="Times New Roman" w:cs="Times New Roman"/>
          <w:b/>
          <w:bCs/>
          <w:u w:val="single"/>
          <w:lang w:eastAsia="pt-BR"/>
        </w:rPr>
      </w:pPr>
    </w:p>
    <w:p w14:paraId="3823E1C1" w14:textId="77777777" w:rsidR="006D1F90" w:rsidRPr="0051439E" w:rsidRDefault="006D1F90" w:rsidP="006D1F90">
      <w:pPr>
        <w:spacing w:beforeAutospacing="1"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b/>
          <w:bCs/>
          <w:u w:val="single"/>
          <w:lang w:eastAsia="pt-BR"/>
        </w:rPr>
        <w:t>Tratando-se de obras e serviços especiais de engenharia</w:t>
      </w:r>
      <w:r w:rsidRPr="0051439E">
        <w:rPr>
          <w:rFonts w:ascii="Times New Roman" w:eastAsiaTheme="minorEastAsia" w:hAnsi="Times New Roman" w:cs="Times New Roman"/>
          <w:lang w:eastAsia="pt-BR"/>
        </w:rPr>
        <w:t xml:space="preserve">, o referido prazo mínimo passa a ser de </w:t>
      </w:r>
      <w:r w:rsidRPr="0051439E">
        <w:rPr>
          <w:rFonts w:ascii="Times New Roman" w:eastAsiaTheme="minorEastAsia" w:hAnsi="Times New Roman" w:cs="Times New Roman"/>
          <w:b/>
          <w:bCs/>
          <w:u w:val="single"/>
          <w:lang w:eastAsia="pt-BR"/>
        </w:rPr>
        <w:t>25 (vinte e cinco) dias úteis</w:t>
      </w:r>
      <w:r w:rsidRPr="0051439E">
        <w:rPr>
          <w:rFonts w:ascii="Times New Roman" w:eastAsiaTheme="minorEastAsia" w:hAnsi="Times New Roman" w:cs="Times New Roman"/>
          <w:lang w:eastAsia="pt-BR"/>
        </w:rPr>
        <w:t xml:space="preserve">, </w:t>
      </w:r>
      <w:r w:rsidRPr="0051439E">
        <w:rPr>
          <w:rFonts w:ascii="Times New Roman" w:eastAsia="Arial" w:hAnsi="Times New Roman" w:cs="Times New Roman"/>
          <w:color w:val="000000" w:themeColor="text1"/>
          <w:sz w:val="19"/>
          <w:szCs w:val="19"/>
        </w:rPr>
        <w:t>quando adotados os critérios de julgamento de menor preço ou de maior desconto,</w:t>
      </w:r>
      <w:r w:rsidRPr="0051439E">
        <w:rPr>
          <w:rFonts w:ascii="Times New Roman" w:eastAsia="Calibri" w:hAnsi="Times New Roman" w:cs="Times New Roman"/>
        </w:rPr>
        <w:t xml:space="preserve"> </w:t>
      </w:r>
      <w:r w:rsidRPr="0051439E">
        <w:rPr>
          <w:rFonts w:ascii="Times New Roman" w:eastAsiaTheme="minorEastAsia" w:hAnsi="Times New Roman" w:cs="Times New Roman"/>
          <w:lang w:eastAsia="pt-BR"/>
        </w:rPr>
        <w:t>nos termos do art. 55, inciso II, alínea “b”, Lei nº 14.133, de 2021.</w:t>
      </w:r>
    </w:p>
    <w:p w14:paraId="5398893F" w14:textId="77777777" w:rsidR="006D1F90" w:rsidRPr="0051439E" w:rsidRDefault="006D1F90" w:rsidP="006D1F90">
      <w:pPr>
        <w:spacing w:beforeAutospacing="1" w:afterAutospacing="1" w:line="240" w:lineRule="auto"/>
        <w:jc w:val="both"/>
        <w:rPr>
          <w:rFonts w:ascii="Times New Roman" w:eastAsia="Arial" w:hAnsi="Times New Roman" w:cs="Times New Roman"/>
          <w:color w:val="000000" w:themeColor="text1"/>
          <w:sz w:val="19"/>
          <w:szCs w:val="19"/>
          <w:highlight w:val="yellow"/>
          <w:lang w:eastAsia="pt-BR"/>
        </w:rPr>
      </w:pPr>
    </w:p>
    <w:p w14:paraId="1DD61174"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themeColor="text1"/>
          <w:lang w:eastAsia="pt-BR"/>
        </w:rPr>
        <w:t xml:space="preserve">Destaca-se também que, após a homologação do processo licitatório, é obrigatória a </w:t>
      </w:r>
      <w:r w:rsidRPr="0051439E">
        <w:rPr>
          <w:rFonts w:ascii="Times New Roman" w:eastAsiaTheme="minorEastAsia" w:hAnsi="Times New Roman" w:cs="Times New Roman"/>
          <w:color w:val="000000" w:themeColor="text1"/>
          <w:u w:val="single"/>
          <w:lang w:eastAsia="pt-BR"/>
        </w:rPr>
        <w:t xml:space="preserve">disponibilização no Portal Nacional de Contratações Públicas (PNCP) </w:t>
      </w:r>
      <w:r w:rsidRPr="0051439E">
        <w:rPr>
          <w:rFonts w:ascii="Times New Roman" w:eastAsiaTheme="minorEastAsia" w:hAnsi="Times New Roman" w:cs="Times New Roman"/>
          <w:color w:val="000000" w:themeColor="text1"/>
          <w:lang w:eastAsia="pt-BR"/>
        </w:rPr>
        <w:t>dos documentos elaborados na fase preparatória que porventura não tenham integrado o edital e seus anexos, conforme determina o art. 54, § 3º, da Lei nº 14.133, de 2021.</w:t>
      </w:r>
      <w:r w:rsidRPr="0051439E">
        <w:rPr>
          <w:rFonts w:ascii="Times New Roman" w:eastAsiaTheme="minorEastAsia" w:hAnsi="Times New Roman" w:cs="Times New Roman"/>
          <w:lang w:eastAsia="pt-BR"/>
        </w:rPr>
        <w:t> </w:t>
      </w:r>
    </w:p>
    <w:p w14:paraId="38684145" w14:textId="77777777" w:rsidR="006D1F90" w:rsidRPr="0051439E" w:rsidRDefault="006D1F90" w:rsidP="006D1F90">
      <w:pPr>
        <w:spacing w:beforeAutospacing="1" w:afterAutospacing="1" w:line="240" w:lineRule="auto"/>
        <w:jc w:val="both"/>
        <w:rPr>
          <w:rFonts w:ascii="Times New Roman" w:eastAsiaTheme="minorEastAsia" w:hAnsi="Times New Roman" w:cs="Times New Roman"/>
          <w:color w:val="000000" w:themeColor="text1"/>
          <w:lang w:eastAsia="pt-BR"/>
        </w:rPr>
      </w:pPr>
    </w:p>
    <w:p w14:paraId="129CBB67" w14:textId="77777777" w:rsidR="006D1F90" w:rsidRPr="0051439E" w:rsidRDefault="006D1F90" w:rsidP="006D1F90">
      <w:pPr>
        <w:spacing w:before="100" w:beforeAutospacing="1" w:after="100" w:afterAutospacing="1" w:line="240" w:lineRule="auto"/>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themeColor="text1"/>
          <w:lang w:eastAsia="pt-BR"/>
        </w:rPr>
        <w:t xml:space="preserve">Ademais, de acordo com o art. 8º, §2º, da </w:t>
      </w:r>
      <w:r w:rsidRPr="0051439E">
        <w:rPr>
          <w:rFonts w:ascii="Times New Roman" w:eastAsiaTheme="minorEastAsia" w:hAnsi="Times New Roman" w:cs="Times New Roman"/>
          <w:lang w:eastAsia="pt-BR"/>
        </w:rPr>
        <w:t>Lei nº 12.527, de 18 de novembro de 2011</w:t>
      </w:r>
      <w:r w:rsidRPr="0051439E">
        <w:rPr>
          <w:rFonts w:ascii="Times New Roman" w:eastAsiaTheme="minorEastAsia" w:hAnsi="Times New Roman" w:cs="Times New Roman"/>
          <w:color w:val="000000" w:themeColor="text1"/>
          <w:lang w:eastAsia="pt-BR"/>
        </w:rPr>
        <w:t xml:space="preserve">, c/c art. 7º, §3º, inciso V, do </w:t>
      </w:r>
      <w:r w:rsidRPr="0051439E">
        <w:rPr>
          <w:rFonts w:ascii="Times New Roman" w:eastAsiaTheme="minorEastAsia" w:hAnsi="Times New Roman" w:cs="Times New Roman"/>
          <w:lang w:eastAsia="pt-BR"/>
        </w:rPr>
        <w:t>Decreto nº 7.724, de 16 de maio de 2012</w:t>
      </w:r>
      <w:r w:rsidRPr="0051439E">
        <w:rPr>
          <w:rFonts w:ascii="Times New Roman" w:eastAsiaTheme="minorEastAsia" w:hAnsi="Times New Roman" w:cs="Times New Roman"/>
          <w:color w:val="000000" w:themeColor="text1"/>
          <w:lang w:eastAsia="pt-BR"/>
        </w:rPr>
        <w:t>, deverão ser disponibilizados os seguintes documentos e informações no sítio oficial do órgão licitante na internet</w:t>
      </w:r>
      <w:r w:rsidRPr="0051439E">
        <w:rPr>
          <w:rFonts w:ascii="Times New Roman" w:eastAsiaTheme="minorEastAsia" w:hAnsi="Times New Roman" w:cs="Times New Roman"/>
          <w:lang w:eastAsia="pt-BR"/>
        </w:rPr>
        <w:t>:  </w:t>
      </w:r>
    </w:p>
    <w:p w14:paraId="21CE0EE6" w14:textId="77777777" w:rsidR="006D1F90" w:rsidRPr="0051439E" w:rsidRDefault="006D1F90" w:rsidP="006D1F90">
      <w:pPr>
        <w:spacing w:beforeAutospacing="1" w:afterAutospacing="1" w:line="240" w:lineRule="auto"/>
        <w:ind w:left="1350"/>
        <w:jc w:val="both"/>
        <w:rPr>
          <w:rFonts w:ascii="Times New Roman" w:eastAsiaTheme="minorEastAsia" w:hAnsi="Times New Roman" w:cs="Times New Roman"/>
          <w:color w:val="000000" w:themeColor="text1"/>
          <w:lang w:eastAsia="pt-BR"/>
        </w:rPr>
      </w:pPr>
    </w:p>
    <w:p w14:paraId="791E5508" w14:textId="77777777" w:rsidR="006D1F90" w:rsidRPr="0051439E" w:rsidRDefault="006D1F90" w:rsidP="006D1F90">
      <w:pPr>
        <w:spacing w:before="100" w:beforeAutospacing="1" w:after="100" w:afterAutospacing="1" w:line="240" w:lineRule="auto"/>
        <w:ind w:left="1350"/>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themeColor="text1"/>
          <w:lang w:eastAsia="pt-BR"/>
        </w:rPr>
        <w:t>a) cópia integral do edital com seus anexos; </w:t>
      </w:r>
      <w:r w:rsidRPr="0051439E">
        <w:rPr>
          <w:rFonts w:ascii="Times New Roman" w:eastAsiaTheme="minorEastAsia" w:hAnsi="Times New Roman" w:cs="Times New Roman"/>
          <w:lang w:eastAsia="pt-BR"/>
        </w:rPr>
        <w:t> </w:t>
      </w:r>
    </w:p>
    <w:p w14:paraId="1BB11F0D" w14:textId="77777777" w:rsidR="006D1F90" w:rsidRPr="0051439E" w:rsidRDefault="006D1F90" w:rsidP="006D1F90">
      <w:pPr>
        <w:spacing w:before="100" w:beforeAutospacing="1" w:after="100" w:afterAutospacing="1" w:line="240" w:lineRule="auto"/>
        <w:ind w:left="1350"/>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themeColor="text1"/>
          <w:lang w:eastAsia="pt-BR"/>
        </w:rPr>
        <w:t>b) resultado da licitação; </w:t>
      </w:r>
      <w:r w:rsidRPr="0051439E">
        <w:rPr>
          <w:rFonts w:ascii="Times New Roman" w:eastAsiaTheme="minorEastAsia" w:hAnsi="Times New Roman" w:cs="Times New Roman"/>
          <w:lang w:eastAsia="pt-BR"/>
        </w:rPr>
        <w:t> </w:t>
      </w:r>
    </w:p>
    <w:p w14:paraId="7500F509" w14:textId="77777777" w:rsidR="006D1F90" w:rsidRPr="0051439E" w:rsidRDefault="006D1F90" w:rsidP="006D1F90">
      <w:pPr>
        <w:spacing w:before="100" w:beforeAutospacing="1" w:after="100" w:afterAutospacing="1" w:line="240" w:lineRule="auto"/>
        <w:ind w:left="1350"/>
        <w:jc w:val="both"/>
        <w:rPr>
          <w:rFonts w:ascii="Times New Roman" w:eastAsiaTheme="minorEastAsia" w:hAnsi="Times New Roman" w:cs="Times New Roman"/>
          <w:lang w:eastAsia="pt-BR"/>
        </w:rPr>
      </w:pPr>
      <w:r w:rsidRPr="0051439E">
        <w:rPr>
          <w:rFonts w:ascii="Times New Roman" w:eastAsiaTheme="minorEastAsia" w:hAnsi="Times New Roman" w:cs="Times New Roman"/>
          <w:color w:val="000000" w:themeColor="text1"/>
          <w:lang w:eastAsia="pt-BR"/>
        </w:rPr>
        <w:t>c) contratos firmados e notas de empenho emitidas.</w:t>
      </w:r>
      <w:r w:rsidRPr="0051439E">
        <w:rPr>
          <w:rFonts w:ascii="Times New Roman" w:eastAsiaTheme="minorEastAsia" w:hAnsi="Times New Roman" w:cs="Times New Roman"/>
          <w:lang w:eastAsia="pt-BR"/>
        </w:rPr>
        <w:t> </w:t>
      </w:r>
    </w:p>
    <w:p w14:paraId="40C546C4" w14:textId="77777777" w:rsidR="006D1F90" w:rsidRPr="0051439E" w:rsidRDefault="006D1F90" w:rsidP="006D1F90">
      <w:pPr>
        <w:spacing w:beforeAutospacing="1" w:afterAutospacing="1" w:line="240" w:lineRule="auto"/>
        <w:jc w:val="both"/>
        <w:rPr>
          <w:rFonts w:ascii="Times New Roman" w:eastAsia="Times New Roman" w:hAnsi="Times New Roman" w:cs="Times New Roman"/>
          <w:color w:val="000000" w:themeColor="text1"/>
          <w:sz w:val="24"/>
          <w:szCs w:val="24"/>
          <w:highlight w:val="green"/>
          <w:lang w:eastAsia="pt-BR"/>
        </w:rPr>
      </w:pPr>
    </w:p>
    <w:p w14:paraId="6B38A7A4" w14:textId="77777777" w:rsidR="006D1F90" w:rsidRPr="0051439E" w:rsidRDefault="006D1F90" w:rsidP="006D1F90">
      <w:pPr>
        <w:spacing w:beforeAutospacing="1" w:afterAutospacing="1" w:line="240" w:lineRule="auto"/>
        <w:jc w:val="both"/>
        <w:rPr>
          <w:rFonts w:ascii="Times New Roman" w:eastAsiaTheme="minorEastAsia" w:hAnsi="Times New Roman" w:cs="Times New Roman"/>
          <w:color w:val="FF0000"/>
          <w:lang w:eastAsia="pt-BR"/>
        </w:rPr>
      </w:pPr>
      <w:r w:rsidRPr="0051439E">
        <w:rPr>
          <w:rFonts w:ascii="Times New Roman" w:eastAsiaTheme="minorEastAsia" w:hAnsi="Times New Roman" w:cs="Times New Roman"/>
          <w:b/>
          <w:bCs/>
          <w:color w:val="FF0000"/>
          <w:lang w:eastAsia="pt-BR"/>
        </w:rPr>
        <w:t>No caso de obras,</w:t>
      </w:r>
      <w:r w:rsidRPr="0051439E">
        <w:rPr>
          <w:rFonts w:ascii="Times New Roman" w:eastAsiaTheme="minorEastAsia" w:hAnsi="Times New Roman" w:cs="Times New Roman"/>
          <w:color w:val="FF0000"/>
          <w:lang w:eastAsia="pt-BR"/>
        </w:rPr>
        <w:t xml:space="preserve"> a Administração deverá divulgar em sítio eletrônico oficial, em até 25 (vinte e cinco) dias úteis após a assinatura do contrato, os quantitativos e os preços unitários e totais que contratar e, em até 45 (quarenta e cinco) dias úteis após a conclusão do contrato, os quantitativos executados e os preços praticados (art. 94, </w:t>
      </w:r>
      <w:r w:rsidRPr="0051439E">
        <w:rPr>
          <w:rFonts w:ascii="Times New Roman" w:eastAsiaTheme="minorEastAsia" w:hAnsi="Times New Roman" w:cs="Times New Roman"/>
          <w:color w:val="FF0000"/>
        </w:rPr>
        <w:t>§ 3</w:t>
      </w:r>
      <w:r w:rsidRPr="0051439E">
        <w:rPr>
          <w:rFonts w:ascii="Times New Roman" w:eastAsiaTheme="minorEastAsia" w:hAnsi="Times New Roman" w:cs="Times New Roman"/>
          <w:color w:val="FF0000"/>
          <w:lang w:eastAsia="pt-BR"/>
        </w:rPr>
        <w:t>º, da Lei nº 14.133, de 2021). </w:t>
      </w:r>
    </w:p>
    <w:p w14:paraId="778421A1" w14:textId="77777777" w:rsidR="006D1F90" w:rsidRPr="0051439E" w:rsidRDefault="006D1F90" w:rsidP="006D1F90">
      <w:pPr>
        <w:jc w:val="both"/>
        <w:rPr>
          <w:rFonts w:ascii="Times New Roman" w:eastAsiaTheme="minorEastAsia" w:hAnsi="Times New Roman" w:cs="Times New Roman"/>
          <w:color w:val="000000"/>
          <w:lang w:eastAsia="pt-BR"/>
        </w:rPr>
      </w:pPr>
    </w:p>
    <w:p w14:paraId="230B22CA" w14:textId="77777777" w:rsidR="006D1F90" w:rsidRPr="0051439E" w:rsidRDefault="006D1F90" w:rsidP="006D1F90">
      <w:pPr>
        <w:spacing w:after="48" w:line="288" w:lineRule="atLeast"/>
        <w:jc w:val="both"/>
        <w:outlineLvl w:val="0"/>
        <w:rPr>
          <w:rFonts w:ascii="Times New Roman" w:eastAsiaTheme="minorEastAsia" w:hAnsi="Times New Roman" w:cs="Times New Roman"/>
          <w:b/>
          <w:caps/>
          <w:color w:val="000000"/>
          <w:kern w:val="36"/>
          <w:lang w:eastAsia="pt-BR"/>
        </w:rPr>
      </w:pPr>
      <w:r w:rsidRPr="0051439E">
        <w:rPr>
          <w:rFonts w:ascii="Times New Roman" w:eastAsiaTheme="minorEastAsia" w:hAnsi="Times New Roman" w:cs="Times New Roman"/>
          <w:b/>
          <w:bCs/>
          <w:caps/>
          <w:color w:val="000000"/>
          <w:kern w:val="36"/>
          <w:lang w:eastAsia="pt-BR"/>
        </w:rPr>
        <w:t>CONCLUSÃO</w:t>
      </w:r>
    </w:p>
    <w:p w14:paraId="7D425840" w14:textId="77777777" w:rsidR="006D1F90" w:rsidRPr="0051439E" w:rsidRDefault="006D1F90" w:rsidP="006D1F90">
      <w:pPr>
        <w:spacing w:after="48" w:line="288" w:lineRule="atLeast"/>
        <w:jc w:val="both"/>
        <w:outlineLvl w:val="0"/>
        <w:rPr>
          <w:rFonts w:ascii="Times New Roman" w:eastAsiaTheme="minorEastAsia" w:hAnsi="Times New Roman" w:cs="Times New Roman"/>
          <w:b/>
          <w:bCs/>
          <w:caps/>
          <w:color w:val="000000" w:themeColor="text1"/>
          <w:lang w:eastAsia="pt-BR"/>
        </w:rPr>
      </w:pPr>
    </w:p>
    <w:p w14:paraId="75408A48" w14:textId="77777777" w:rsidR="006D1F90" w:rsidRPr="0051439E" w:rsidRDefault="006D1F90" w:rsidP="006D1F90">
      <w:pPr>
        <w:spacing w:after="48" w:line="288" w:lineRule="atLeast"/>
        <w:jc w:val="both"/>
        <w:rPr>
          <w:rFonts w:ascii="Times New Roman" w:eastAsiaTheme="minorEastAsia" w:hAnsi="Times New Roman" w:cs="Times New Roman"/>
          <w:color w:val="000000" w:themeColor="text1"/>
          <w:lang w:eastAsia="pt-BR"/>
        </w:rPr>
      </w:pPr>
      <w:r w:rsidRPr="0051439E">
        <w:rPr>
          <w:rFonts w:ascii="Times New Roman" w:eastAsiaTheme="minorEastAsia" w:hAnsi="Times New Roman" w:cs="Times New Roman"/>
          <w:color w:val="000000" w:themeColor="text1"/>
          <w:lang w:eastAsia="pt-BR"/>
        </w:rPr>
        <w:t> </w:t>
      </w:r>
      <w:r w:rsidRPr="0051439E">
        <w:rPr>
          <w:rFonts w:ascii="Times New Roman" w:eastAsiaTheme="minorEastAsia" w:hAnsi="Times New Roman" w:cs="Times New Roman"/>
          <w:color w:val="000000" w:themeColor="text1"/>
        </w:rPr>
        <w:t xml:space="preserve">Em face do exposto, manifesta-se esta Procuradoria pela </w:t>
      </w:r>
      <w:r w:rsidRPr="0051439E">
        <w:rPr>
          <w:rFonts w:ascii="Times New Roman" w:eastAsiaTheme="minorEastAsia" w:hAnsi="Times New Roman" w:cs="Times New Roman"/>
          <w:b/>
          <w:bCs/>
          <w:color w:val="000000" w:themeColor="text1"/>
        </w:rPr>
        <w:t xml:space="preserve">REGULARIDADE JURÍDICA, </w:t>
      </w:r>
      <w:r w:rsidRPr="0051439E">
        <w:rPr>
          <w:rFonts w:ascii="Times New Roman" w:eastAsiaTheme="minorEastAsia" w:hAnsi="Times New Roman" w:cs="Times New Roman"/>
          <w:b/>
          <w:bCs/>
          <w:color w:val="FF0000"/>
        </w:rPr>
        <w:t>COM RESSALVAS,</w:t>
      </w:r>
      <w:r w:rsidRPr="0051439E">
        <w:rPr>
          <w:rFonts w:ascii="Times New Roman" w:eastAsiaTheme="minorEastAsia" w:hAnsi="Times New Roman" w:cs="Times New Roman"/>
          <w:color w:val="FF0000"/>
        </w:rPr>
        <w:t xml:space="preserve"> </w:t>
      </w:r>
      <w:r w:rsidRPr="0051439E">
        <w:rPr>
          <w:rFonts w:ascii="Times New Roman" w:eastAsiaTheme="minorEastAsia" w:hAnsi="Times New Roman" w:cs="Times New Roman"/>
          <w:color w:val="000000" w:themeColor="text1"/>
        </w:rPr>
        <w:t>do procedimento submetido ao exame desta unidade consultiva, condicionada ao atendimento das recomendações formuladas nos itens XXX deste parecer, ressalvado o juízo de mérito da Administração e os aspectos técnicos, econômicos e financeiros, que escapam à análise deste órgão.</w:t>
      </w:r>
      <w:r w:rsidRPr="0051439E">
        <w:rPr>
          <w:rFonts w:ascii="Times New Roman" w:eastAsiaTheme="minorEastAsia" w:hAnsi="Times New Roman" w:cs="Times New Roman"/>
          <w:color w:val="000000" w:themeColor="text1"/>
          <w:lang w:eastAsia="pt-BR"/>
        </w:rPr>
        <w:t> </w:t>
      </w:r>
    </w:p>
    <w:p w14:paraId="4805CFE3" w14:textId="77777777" w:rsidR="006D1F90" w:rsidRPr="0051439E" w:rsidRDefault="006D1F90" w:rsidP="006D1F90">
      <w:pPr>
        <w:spacing w:after="48" w:line="288" w:lineRule="atLeast"/>
        <w:jc w:val="both"/>
        <w:rPr>
          <w:rFonts w:ascii="Times New Roman" w:eastAsiaTheme="minorEastAsia" w:hAnsi="Times New Roman" w:cs="Times New Roman"/>
          <w:color w:val="000000"/>
          <w:lang w:eastAsia="pt-BR"/>
        </w:rPr>
      </w:pPr>
      <w:r w:rsidRPr="0051439E">
        <w:rPr>
          <w:rFonts w:ascii="Times New Roman" w:eastAsiaTheme="minorEastAsia" w:hAnsi="Times New Roman" w:cs="Times New Roman"/>
          <w:color w:val="000000" w:themeColor="text1"/>
          <w:lang w:eastAsia="pt-BR"/>
        </w:rPr>
        <w:t>Registre-se, por fim, que não há determinação legal a impor a fiscalização posterior de cumprimento de recomendações feitas. Eis o teor do BPC nº 05: "</w:t>
      </w:r>
      <w:r w:rsidRPr="0051439E">
        <w:rPr>
          <w:rFonts w:ascii="Times New Roman" w:eastAsiaTheme="minorEastAsia" w:hAnsi="Times New Roman" w:cs="Times New Roman"/>
          <w:i/>
          <w:color w:val="000000" w:themeColor="text1"/>
          <w:lang w:eastAsia="pt-BR"/>
        </w:rPr>
        <w:t>Ao Órgão Consultivo que em caso concreto haja exteriorizado juízo conclusivo de aprovação de minuta de edital ou contrato e tenha sugerido as alterações necessárias, não incumbe pronunciamento subsequente de verificação do cumprimento das recomendações consignadas"</w:t>
      </w:r>
      <w:r w:rsidRPr="0051439E">
        <w:rPr>
          <w:rFonts w:ascii="Times New Roman" w:eastAsiaTheme="minorEastAsia" w:hAnsi="Times New Roman" w:cs="Times New Roman"/>
          <w:color w:val="000000" w:themeColor="text1"/>
          <w:lang w:eastAsia="pt-BR"/>
        </w:rPr>
        <w:t>. </w:t>
      </w:r>
    </w:p>
    <w:p w14:paraId="22050851" w14:textId="77777777" w:rsidR="006D1F90" w:rsidRPr="0051439E" w:rsidRDefault="006D1F90" w:rsidP="006D1F90">
      <w:pPr>
        <w:spacing w:after="48" w:line="288" w:lineRule="atLeast"/>
        <w:jc w:val="both"/>
        <w:rPr>
          <w:rFonts w:ascii="Times New Roman" w:eastAsiaTheme="minorEastAsia" w:hAnsi="Times New Roman" w:cs="Times New Roman"/>
          <w:color w:val="000000" w:themeColor="text1"/>
          <w:lang w:eastAsia="pt-BR"/>
        </w:rPr>
      </w:pPr>
    </w:p>
    <w:p w14:paraId="361CBE87" w14:textId="77777777" w:rsidR="006D1F90" w:rsidRPr="0051439E" w:rsidRDefault="006D1F90" w:rsidP="006D1F90">
      <w:pPr>
        <w:spacing w:after="48" w:line="288" w:lineRule="atLeast"/>
        <w:jc w:val="both"/>
        <w:rPr>
          <w:rFonts w:ascii="Times New Roman" w:eastAsia="Times New Roman" w:hAnsi="Times New Roman" w:cs="Times New Roman"/>
          <w:color w:val="000000" w:themeColor="text1"/>
          <w:lang w:eastAsia="pt-BR"/>
        </w:rPr>
      </w:pPr>
      <w:r w:rsidRPr="0051439E">
        <w:rPr>
          <w:rFonts w:ascii="Times New Roman" w:eastAsiaTheme="minorEastAsia" w:hAnsi="Times New Roman" w:cs="Times New Roman"/>
          <w:color w:val="000000" w:themeColor="text1"/>
          <w:lang w:eastAsia="pt-BR"/>
        </w:rPr>
        <w:t>É o parecer, elaborado por meio do Sistema AGU de Inteligência Jurídica (Sapiens), assinado digitalmente.</w:t>
      </w:r>
    </w:p>
    <w:p w14:paraId="649556E7" w14:textId="47DF009F" w:rsidR="00E626DF" w:rsidRPr="00E626DF" w:rsidRDefault="00E626DF" w:rsidP="006D1F90">
      <w:pPr>
        <w:pStyle w:val="Ttulo1"/>
        <w:spacing w:after="48"/>
        <w:ind w:left="2268"/>
        <w:jc w:val="both"/>
        <w:rPr>
          <w:sz w:val="24"/>
          <w:szCs w:val="24"/>
        </w:rPr>
      </w:pPr>
    </w:p>
    <w:sectPr w:rsidR="00E626DF" w:rsidRPr="00E626DF" w:rsidSect="00E626DF">
      <w:headerReference w:type="even" r:id="rId40"/>
      <w:headerReference w:type="default" r:id="rId41"/>
      <w:footerReference w:type="even" r:id="rId42"/>
      <w:footerReference w:type="default" r:id="rId43"/>
      <w:headerReference w:type="first" r:id="rId44"/>
      <w:footerReference w:type="first" r:id="rId45"/>
      <w:pgSz w:w="11906" w:h="16838" w:code="9"/>
      <w:pgMar w:top="1701"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8B2CBC" w14:textId="77777777" w:rsidR="00F31113" w:rsidRDefault="00F31113" w:rsidP="00E626DF">
      <w:pPr>
        <w:spacing w:after="0" w:line="240" w:lineRule="auto"/>
      </w:pPr>
      <w:r>
        <w:separator/>
      </w:r>
    </w:p>
  </w:endnote>
  <w:endnote w:type="continuationSeparator" w:id="0">
    <w:p w14:paraId="3FE09064" w14:textId="77777777" w:rsidR="00F31113" w:rsidRDefault="00F31113" w:rsidP="00E626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Ubuntu">
    <w:altName w:val="Microsoft Sans Serif"/>
    <w:charset w:val="00"/>
    <w:family w:val="swiss"/>
    <w:pitch w:val="variable"/>
    <w:sig w:usb0="E00002FF" w:usb1="5000205B" w:usb2="00000000" w:usb3="00000000" w:csb0="0000009F" w:csb1="00000000"/>
  </w:font>
  <w:font w:name="Times">
    <w:panose1 w:val="02020603050405020304"/>
    <w:charset w:val="00"/>
    <w:family w:val="roman"/>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70D6C7" w14:textId="77777777" w:rsidR="00934C40" w:rsidRDefault="00934C40">
    <w:pPr>
      <w:pStyle w:val="Rodap"/>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313F93" w14:textId="77777777" w:rsidR="006E78FA" w:rsidRDefault="006E78FA">
    <w:pPr>
      <w:pStyle w:val="Rodap"/>
    </w:pPr>
    <w:r>
      <w:rPr>
        <w:noProof/>
        <w:lang w:eastAsia="pt-BR"/>
        <w14:ligatures w14:val="standardContextual"/>
      </w:rPr>
      <w:drawing>
        <wp:anchor distT="0" distB="0" distL="114300" distR="114300" simplePos="0" relativeHeight="251661312" behindDoc="1" locked="0" layoutInCell="1" allowOverlap="1" wp14:anchorId="71627BC8" wp14:editId="2FD1A195">
          <wp:simplePos x="0" y="0"/>
          <wp:positionH relativeFrom="column">
            <wp:posOffset>-1199408</wp:posOffset>
          </wp:positionH>
          <wp:positionV relativeFrom="paragraph">
            <wp:posOffset>-100718</wp:posOffset>
          </wp:positionV>
          <wp:extent cx="8579923" cy="865505"/>
          <wp:effectExtent l="0" t="0" r="0" b="0"/>
          <wp:wrapNone/>
          <wp:docPr id="147" name="Imagem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pic:cNvPicPr/>
                </pic:nvPicPr>
                <pic:blipFill>
                  <a:blip r:embed="rId1">
                    <a:extLst>
                      <a:ext uri="{28A0092B-C50C-407E-A947-70E740481C1C}">
                        <a14:useLocalDpi xmlns:a14="http://schemas.microsoft.com/office/drawing/2010/main" val="0"/>
                      </a:ext>
                    </a:extLst>
                  </a:blip>
                  <a:stretch>
                    <a:fillRect/>
                  </a:stretch>
                </pic:blipFill>
                <pic:spPr>
                  <a:xfrm>
                    <a:off x="0" y="0"/>
                    <a:ext cx="8651724" cy="872748"/>
                  </a:xfrm>
                  <a:prstGeom prst="rect">
                    <a:avLst/>
                  </a:prstGeom>
                </pic:spPr>
              </pic:pic>
            </a:graphicData>
          </a:graphic>
          <wp14:sizeRelH relativeFrom="margin">
            <wp14:pctWidth>0</wp14:pctWidth>
          </wp14:sizeRelH>
        </wp:anchor>
      </w:drawing>
    </w:r>
    <w:r>
      <w:rPr>
        <w:noProof/>
        <w:lang w:eastAsia="pt-BR"/>
      </w:rPr>
      <w:drawing>
        <wp:anchor distT="0" distB="0" distL="114300" distR="114300" simplePos="0" relativeHeight="251662336" behindDoc="1" locked="0" layoutInCell="1" allowOverlap="1" wp14:anchorId="5826526A" wp14:editId="513481A0">
          <wp:simplePos x="0" y="0"/>
          <wp:positionH relativeFrom="column">
            <wp:posOffset>5608320</wp:posOffset>
          </wp:positionH>
          <wp:positionV relativeFrom="paragraph">
            <wp:posOffset>13335</wp:posOffset>
          </wp:positionV>
          <wp:extent cx="847090" cy="476250"/>
          <wp:effectExtent l="0" t="0" r="0" b="0"/>
          <wp:wrapNone/>
          <wp:docPr id="148" name="Imagem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pic:cNvPicPr/>
                </pic:nvPicPr>
                <pic:blipFill>
                  <a:blip r:embed="rId2">
                    <a:extLst>
                      <a:ext uri="{28A0092B-C50C-407E-A947-70E740481C1C}">
                        <a14:useLocalDpi xmlns:a14="http://schemas.microsoft.com/office/drawing/2010/main" val="0"/>
                      </a:ext>
                    </a:extLst>
                  </a:blip>
                  <a:stretch>
                    <a:fillRect/>
                  </a:stretch>
                </pic:blipFill>
                <pic:spPr>
                  <a:xfrm>
                    <a:off x="0" y="0"/>
                    <a:ext cx="847090" cy="47625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F1FD0D" w14:textId="77777777" w:rsidR="00934C40" w:rsidRDefault="00934C40">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9FD8EF" w14:textId="77777777" w:rsidR="00F31113" w:rsidRDefault="00F31113" w:rsidP="00E626DF">
      <w:pPr>
        <w:spacing w:after="0" w:line="240" w:lineRule="auto"/>
      </w:pPr>
      <w:r>
        <w:separator/>
      </w:r>
    </w:p>
  </w:footnote>
  <w:footnote w:type="continuationSeparator" w:id="0">
    <w:p w14:paraId="53791768" w14:textId="77777777" w:rsidR="00F31113" w:rsidRDefault="00F31113" w:rsidP="00E626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D1E3D0" w14:textId="77777777" w:rsidR="00934C40" w:rsidRDefault="00934C40">
    <w:pPr>
      <w:pStyle w:val="Cabealh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E59A20" w14:textId="77777777" w:rsidR="006E78FA" w:rsidRDefault="006E78FA">
    <w:pPr>
      <w:pStyle w:val="Cabealho"/>
    </w:pPr>
    <w:r>
      <w:rPr>
        <w:noProof/>
        <w:lang w:eastAsia="pt-BR"/>
        <w14:ligatures w14:val="standardContextual"/>
      </w:rPr>
      <w:drawing>
        <wp:anchor distT="0" distB="0" distL="114300" distR="114300" simplePos="0" relativeHeight="251660288" behindDoc="1" locked="0" layoutInCell="1" allowOverlap="1" wp14:anchorId="0AA5CC94" wp14:editId="15A5FC7F">
          <wp:simplePos x="0" y="0"/>
          <wp:positionH relativeFrom="column">
            <wp:posOffset>-29785</wp:posOffset>
          </wp:positionH>
          <wp:positionV relativeFrom="paragraph">
            <wp:posOffset>-217431</wp:posOffset>
          </wp:positionV>
          <wp:extent cx="1936800" cy="618420"/>
          <wp:effectExtent l="0" t="0" r="6350" b="0"/>
          <wp:wrapNone/>
          <wp:docPr id="146" name="Imagem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pic:cNvPicPr/>
                </pic:nvPicPr>
                <pic:blipFill>
                  <a:blip r:embed="rId1">
                    <a:extLst>
                      <a:ext uri="{28A0092B-C50C-407E-A947-70E740481C1C}">
                        <a14:useLocalDpi xmlns:a14="http://schemas.microsoft.com/office/drawing/2010/main" val="0"/>
                      </a:ext>
                    </a:extLst>
                  </a:blip>
                  <a:stretch>
                    <a:fillRect/>
                  </a:stretch>
                </pic:blipFill>
                <pic:spPr>
                  <a:xfrm>
                    <a:off x="0" y="0"/>
                    <a:ext cx="1936800" cy="618420"/>
                  </a:xfrm>
                  <a:prstGeom prst="rect">
                    <a:avLst/>
                  </a:prstGeom>
                </pic:spPr>
              </pic:pic>
            </a:graphicData>
          </a:graphic>
          <wp14:sizeRelH relativeFrom="margin">
            <wp14:pctWidth>0</wp14:pctWidth>
          </wp14:sizeRelH>
          <wp14:sizeRelV relativeFrom="margin">
            <wp14:pctHeight>0</wp14:pctHeight>
          </wp14:sizeRelV>
        </wp:anchor>
      </w:drawing>
    </w:r>
    <w:r>
      <w:rPr>
        <w:noProof/>
        <w:lang w:eastAsia="pt-BR"/>
      </w:rPr>
      <mc:AlternateContent>
        <mc:Choice Requires="wps">
          <w:drawing>
            <wp:anchor distT="0" distB="0" distL="114300" distR="114300" simplePos="0" relativeHeight="251659264" behindDoc="0" locked="0" layoutInCell="1" allowOverlap="1" wp14:anchorId="1BD4467E" wp14:editId="39A105A6">
              <wp:simplePos x="0" y="0"/>
              <wp:positionH relativeFrom="margin">
                <wp:posOffset>2752725</wp:posOffset>
              </wp:positionH>
              <wp:positionV relativeFrom="paragraph">
                <wp:posOffset>-38100</wp:posOffset>
              </wp:positionV>
              <wp:extent cx="3076575" cy="505839"/>
              <wp:effectExtent l="0" t="0" r="0" b="0"/>
              <wp:wrapNone/>
              <wp:docPr id="7" name="Caixa de Texto 7"/>
              <wp:cNvGraphicFramePr/>
              <a:graphic xmlns:a="http://schemas.openxmlformats.org/drawingml/2006/main">
                <a:graphicData uri="http://schemas.microsoft.com/office/word/2010/wordprocessingShape">
                  <wps:wsp>
                    <wps:cNvSpPr txBox="1"/>
                    <wps:spPr>
                      <a:xfrm>
                        <a:off x="0" y="0"/>
                        <a:ext cx="3076575" cy="505839"/>
                      </a:xfrm>
                      <a:prstGeom prst="rect">
                        <a:avLst/>
                      </a:prstGeom>
                      <a:noFill/>
                      <a:ln w="6350">
                        <a:noFill/>
                      </a:ln>
                    </wps:spPr>
                    <wps:txbx>
                      <w:txbxContent>
                        <w:p w14:paraId="0666916C" w14:textId="4683A17A" w:rsidR="006E78FA" w:rsidRPr="00E83792" w:rsidRDefault="00934C40" w:rsidP="00E83792">
                          <w:pPr>
                            <w:jc w:val="right"/>
                            <w:rPr>
                              <w:rFonts w:ascii="Arial" w:hAnsi="Arial" w:cs="Arial"/>
                              <w:sz w:val="20"/>
                              <w:szCs w:val="20"/>
                            </w:rPr>
                          </w:pPr>
                          <w:r>
                            <w:rPr>
                              <w:rFonts w:ascii="Arial" w:hAnsi="Arial" w:cs="Arial"/>
                              <w:sz w:val="20"/>
                              <w:szCs w:val="20"/>
                            </w:rPr>
                            <w:t xml:space="preserve">Concorrência – Obra e Serviço de Engenharia COM SRP - </w:t>
                          </w:r>
                          <w:r w:rsidR="006E78FA" w:rsidRPr="00E83792">
                            <w:rPr>
                              <w:rFonts w:ascii="Arial" w:hAnsi="Arial" w:cs="Arial"/>
                              <w:sz w:val="20"/>
                              <w:szCs w:val="20"/>
                            </w:rPr>
                            <w:t xml:space="preserve">Versão </w:t>
                          </w:r>
                          <w:r>
                            <w:rPr>
                              <w:rFonts w:ascii="Arial" w:hAnsi="Arial" w:cs="Arial"/>
                              <w:sz w:val="20"/>
                              <w:szCs w:val="20"/>
                            </w:rPr>
                            <w:t>Fevereiro</w:t>
                          </w:r>
                          <w:r w:rsidR="006E78FA" w:rsidRPr="00E83792">
                            <w:rPr>
                              <w:rFonts w:ascii="Arial" w:hAnsi="Arial" w:cs="Arial"/>
                              <w:sz w:val="20"/>
                              <w:szCs w:val="20"/>
                            </w:rPr>
                            <w:t>/202</w:t>
                          </w:r>
                          <w:r>
                            <w:rPr>
                              <w:rFonts w:ascii="Arial" w:hAnsi="Arial" w:cs="Arial"/>
                              <w:sz w:val="20"/>
                              <w:szCs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D4467E" id="_x0000_t202" coordsize="21600,21600" o:spt="202" path="m,l,21600r21600,l21600,xe">
              <v:stroke joinstyle="miter"/>
              <v:path gradientshapeok="t" o:connecttype="rect"/>
            </v:shapetype>
            <v:shape id="Caixa de Texto 7" o:spid="_x0000_s1054" type="#_x0000_t202" style="position:absolute;margin-left:216.75pt;margin-top:-3pt;width:242.25pt;height:39.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" filled="f" stroked="f" strokeweight=".5pt">
              <v:textbox>
                <w:txbxContent>
                  <w:p w14:paraId="0666916C" w14:textId="4683A17A" w:rsidR="006E78FA" w:rsidRPr="00E83792" w:rsidRDefault="00934C40" w:rsidP="00E83792">
                    <w:pPr>
                      <w:jc w:val="right"/>
                      <w:rPr>
                        <w:rFonts w:ascii="Arial" w:hAnsi="Arial" w:cs="Arial"/>
                        <w:sz w:val="20"/>
                        <w:szCs w:val="20"/>
                      </w:rPr>
                    </w:pPr>
                    <w:r>
                      <w:rPr>
                        <w:rFonts w:ascii="Arial" w:hAnsi="Arial" w:cs="Arial"/>
                        <w:sz w:val="20"/>
                        <w:szCs w:val="20"/>
                      </w:rPr>
                      <w:t xml:space="preserve">Concorrência – Obra e Serviço de Engenharia COM SRP - </w:t>
                    </w:r>
                    <w:r w:rsidR="006E78FA" w:rsidRPr="00E83792">
                      <w:rPr>
                        <w:rFonts w:ascii="Arial" w:hAnsi="Arial" w:cs="Arial"/>
                        <w:sz w:val="20"/>
                        <w:szCs w:val="20"/>
                      </w:rPr>
                      <w:t xml:space="preserve">Versão </w:t>
                    </w:r>
                    <w:r>
                      <w:rPr>
                        <w:rFonts w:ascii="Arial" w:hAnsi="Arial" w:cs="Arial"/>
                        <w:sz w:val="20"/>
                        <w:szCs w:val="20"/>
                      </w:rPr>
                      <w:t>Fevereiro</w:t>
                    </w:r>
                    <w:r w:rsidR="006E78FA" w:rsidRPr="00E83792">
                      <w:rPr>
                        <w:rFonts w:ascii="Arial" w:hAnsi="Arial" w:cs="Arial"/>
                        <w:sz w:val="20"/>
                        <w:szCs w:val="20"/>
                      </w:rPr>
                      <w:t>/202</w:t>
                    </w:r>
                    <w:r>
                      <w:rPr>
                        <w:rFonts w:ascii="Arial" w:hAnsi="Arial" w:cs="Arial"/>
                        <w:sz w:val="20"/>
                        <w:szCs w:val="20"/>
                      </w:rPr>
                      <w:t>4</w:t>
                    </w:r>
                  </w:p>
                </w:txbxContent>
              </v:textbox>
              <w10:wrap anchorx="margin"/>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9F2CCD" w14:textId="77777777" w:rsidR="00934C40" w:rsidRDefault="00934C40">
    <w:pPr>
      <w:pStyle w:val="Cabealho"/>
    </w:pPr>
  </w:p>
</w:hdr>
</file>

<file path=word/intelligence2.xml><?xml version="1.0" encoding="utf-8"?>
<int2:intelligence xmlns:int2="http://schemas.microsoft.com/office/intelligence/2020/intelligence" xmlns:oel="http://schemas.microsoft.com/office/2019/extlst">
  <int2:observations>
    <int2:bookmark int2:bookmarkName="_Int_ISJWAyPC" int2:invalidationBookmarkName="" int2:hashCode="wUox31PJ9ujUon" int2:id="DlIF3VwW">
      <int2:state int2:value="Rejected" int2:type="LegacyProofing"/>
    </int2:bookmark>
    <int2:bookmark int2:bookmarkName="_Int_XAnwpK2t" int2:invalidationBookmarkName="" int2:hashCode="oyrusGydhRLAUS" int2:id="H1qIExrS">
      <int2:state int2:value="Rejected" int2:type="LegacyProofing"/>
    </int2:bookmark>
    <int2:bookmark int2:bookmarkName="_Int_pgWQo4kg" int2:invalidationBookmarkName="" int2:hashCode="SCImvSN04Nyi/H" int2:id="sDKf9IOw">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C33C5"/>
    <w:multiLevelType w:val="hybridMultilevel"/>
    <w:tmpl w:val="9BF0C816"/>
    <w:lvl w:ilvl="0" w:tplc="04160001">
      <w:start w:val="1"/>
      <w:numFmt w:val="bullet"/>
      <w:lvlText w:val=""/>
      <w:lvlJc w:val="left"/>
      <w:pPr>
        <w:ind w:left="770" w:hanging="360"/>
      </w:pPr>
      <w:rPr>
        <w:rFonts w:ascii="Symbol" w:hAnsi="Symbol" w:hint="default"/>
      </w:rPr>
    </w:lvl>
    <w:lvl w:ilvl="1" w:tplc="04160003" w:tentative="1">
      <w:start w:val="1"/>
      <w:numFmt w:val="bullet"/>
      <w:lvlText w:val="o"/>
      <w:lvlJc w:val="left"/>
      <w:pPr>
        <w:ind w:left="1490" w:hanging="360"/>
      </w:pPr>
      <w:rPr>
        <w:rFonts w:ascii="Courier New" w:hAnsi="Courier New" w:cs="Courier New" w:hint="default"/>
      </w:rPr>
    </w:lvl>
    <w:lvl w:ilvl="2" w:tplc="04160005" w:tentative="1">
      <w:start w:val="1"/>
      <w:numFmt w:val="bullet"/>
      <w:lvlText w:val=""/>
      <w:lvlJc w:val="left"/>
      <w:pPr>
        <w:ind w:left="2210" w:hanging="360"/>
      </w:pPr>
      <w:rPr>
        <w:rFonts w:ascii="Wingdings" w:hAnsi="Wingdings" w:hint="default"/>
      </w:rPr>
    </w:lvl>
    <w:lvl w:ilvl="3" w:tplc="04160001" w:tentative="1">
      <w:start w:val="1"/>
      <w:numFmt w:val="bullet"/>
      <w:lvlText w:val=""/>
      <w:lvlJc w:val="left"/>
      <w:pPr>
        <w:ind w:left="2930" w:hanging="360"/>
      </w:pPr>
      <w:rPr>
        <w:rFonts w:ascii="Symbol" w:hAnsi="Symbol" w:hint="default"/>
      </w:rPr>
    </w:lvl>
    <w:lvl w:ilvl="4" w:tplc="04160003" w:tentative="1">
      <w:start w:val="1"/>
      <w:numFmt w:val="bullet"/>
      <w:lvlText w:val="o"/>
      <w:lvlJc w:val="left"/>
      <w:pPr>
        <w:ind w:left="3650" w:hanging="360"/>
      </w:pPr>
      <w:rPr>
        <w:rFonts w:ascii="Courier New" w:hAnsi="Courier New" w:cs="Courier New" w:hint="default"/>
      </w:rPr>
    </w:lvl>
    <w:lvl w:ilvl="5" w:tplc="04160005" w:tentative="1">
      <w:start w:val="1"/>
      <w:numFmt w:val="bullet"/>
      <w:lvlText w:val=""/>
      <w:lvlJc w:val="left"/>
      <w:pPr>
        <w:ind w:left="4370" w:hanging="360"/>
      </w:pPr>
      <w:rPr>
        <w:rFonts w:ascii="Wingdings" w:hAnsi="Wingdings" w:hint="default"/>
      </w:rPr>
    </w:lvl>
    <w:lvl w:ilvl="6" w:tplc="04160001" w:tentative="1">
      <w:start w:val="1"/>
      <w:numFmt w:val="bullet"/>
      <w:lvlText w:val=""/>
      <w:lvlJc w:val="left"/>
      <w:pPr>
        <w:ind w:left="5090" w:hanging="360"/>
      </w:pPr>
      <w:rPr>
        <w:rFonts w:ascii="Symbol" w:hAnsi="Symbol" w:hint="default"/>
      </w:rPr>
    </w:lvl>
    <w:lvl w:ilvl="7" w:tplc="04160003" w:tentative="1">
      <w:start w:val="1"/>
      <w:numFmt w:val="bullet"/>
      <w:lvlText w:val="o"/>
      <w:lvlJc w:val="left"/>
      <w:pPr>
        <w:ind w:left="5810" w:hanging="360"/>
      </w:pPr>
      <w:rPr>
        <w:rFonts w:ascii="Courier New" w:hAnsi="Courier New" w:cs="Courier New" w:hint="default"/>
      </w:rPr>
    </w:lvl>
    <w:lvl w:ilvl="8" w:tplc="04160005" w:tentative="1">
      <w:start w:val="1"/>
      <w:numFmt w:val="bullet"/>
      <w:lvlText w:val=""/>
      <w:lvlJc w:val="left"/>
      <w:pPr>
        <w:ind w:left="6530" w:hanging="360"/>
      </w:pPr>
      <w:rPr>
        <w:rFonts w:ascii="Wingdings" w:hAnsi="Wingdings" w:hint="default"/>
      </w:rPr>
    </w:lvl>
  </w:abstractNum>
  <w:abstractNum w:abstractNumId="1" w15:restartNumberingAfterBreak="0">
    <w:nsid w:val="072FEC1F"/>
    <w:multiLevelType w:val="hybridMultilevel"/>
    <w:tmpl w:val="24C061E8"/>
    <w:lvl w:ilvl="0" w:tplc="6A7EE376">
      <w:start w:val="1"/>
      <w:numFmt w:val="bullet"/>
      <w:lvlText w:val=""/>
      <w:lvlJc w:val="left"/>
      <w:pPr>
        <w:ind w:left="720" w:hanging="360"/>
      </w:pPr>
      <w:rPr>
        <w:rFonts w:ascii="Symbol" w:hAnsi="Symbol" w:hint="default"/>
      </w:rPr>
    </w:lvl>
    <w:lvl w:ilvl="1" w:tplc="BB8EEE26">
      <w:start w:val="1"/>
      <w:numFmt w:val="bullet"/>
      <w:lvlText w:val="o"/>
      <w:lvlJc w:val="left"/>
      <w:pPr>
        <w:ind w:left="1440" w:hanging="360"/>
      </w:pPr>
      <w:rPr>
        <w:rFonts w:ascii="Courier New" w:hAnsi="Courier New" w:hint="default"/>
      </w:rPr>
    </w:lvl>
    <w:lvl w:ilvl="2" w:tplc="DC566918">
      <w:start w:val="1"/>
      <w:numFmt w:val="bullet"/>
      <w:lvlText w:val=""/>
      <w:lvlJc w:val="left"/>
      <w:pPr>
        <w:ind w:left="2160" w:hanging="360"/>
      </w:pPr>
      <w:rPr>
        <w:rFonts w:ascii="Symbol" w:hAnsi="Symbol" w:hint="default"/>
      </w:rPr>
    </w:lvl>
    <w:lvl w:ilvl="3" w:tplc="50D2E5BA">
      <w:start w:val="1"/>
      <w:numFmt w:val="bullet"/>
      <w:lvlText w:val=""/>
      <w:lvlJc w:val="left"/>
      <w:pPr>
        <w:ind w:left="2880" w:hanging="360"/>
      </w:pPr>
      <w:rPr>
        <w:rFonts w:ascii="Symbol" w:hAnsi="Symbol" w:hint="default"/>
      </w:rPr>
    </w:lvl>
    <w:lvl w:ilvl="4" w:tplc="B82E5662">
      <w:start w:val="1"/>
      <w:numFmt w:val="bullet"/>
      <w:lvlText w:val="o"/>
      <w:lvlJc w:val="left"/>
      <w:pPr>
        <w:ind w:left="3600" w:hanging="360"/>
      </w:pPr>
      <w:rPr>
        <w:rFonts w:ascii="Courier New" w:hAnsi="Courier New" w:hint="default"/>
      </w:rPr>
    </w:lvl>
    <w:lvl w:ilvl="5" w:tplc="7AF21FA2">
      <w:start w:val="1"/>
      <w:numFmt w:val="bullet"/>
      <w:lvlText w:val=""/>
      <w:lvlJc w:val="left"/>
      <w:pPr>
        <w:ind w:left="4320" w:hanging="360"/>
      </w:pPr>
      <w:rPr>
        <w:rFonts w:ascii="Wingdings" w:hAnsi="Wingdings" w:hint="default"/>
      </w:rPr>
    </w:lvl>
    <w:lvl w:ilvl="6" w:tplc="DFF2F516">
      <w:start w:val="1"/>
      <w:numFmt w:val="bullet"/>
      <w:lvlText w:val=""/>
      <w:lvlJc w:val="left"/>
      <w:pPr>
        <w:ind w:left="5040" w:hanging="360"/>
      </w:pPr>
      <w:rPr>
        <w:rFonts w:ascii="Symbol" w:hAnsi="Symbol" w:hint="default"/>
      </w:rPr>
    </w:lvl>
    <w:lvl w:ilvl="7" w:tplc="FCC01246">
      <w:start w:val="1"/>
      <w:numFmt w:val="bullet"/>
      <w:lvlText w:val="o"/>
      <w:lvlJc w:val="left"/>
      <w:pPr>
        <w:ind w:left="5760" w:hanging="360"/>
      </w:pPr>
      <w:rPr>
        <w:rFonts w:ascii="Courier New" w:hAnsi="Courier New" w:hint="default"/>
      </w:rPr>
    </w:lvl>
    <w:lvl w:ilvl="8" w:tplc="67BC2BA8">
      <w:start w:val="1"/>
      <w:numFmt w:val="bullet"/>
      <w:lvlText w:val=""/>
      <w:lvlJc w:val="left"/>
      <w:pPr>
        <w:ind w:left="6480" w:hanging="360"/>
      </w:pPr>
      <w:rPr>
        <w:rFonts w:ascii="Wingdings" w:hAnsi="Wingdings" w:hint="default"/>
      </w:rPr>
    </w:lvl>
  </w:abstractNum>
  <w:abstractNum w:abstractNumId="2" w15:restartNumberingAfterBreak="0">
    <w:nsid w:val="0C0B665A"/>
    <w:multiLevelType w:val="hybridMultilevel"/>
    <w:tmpl w:val="12DE345E"/>
    <w:lvl w:ilvl="0" w:tplc="64C8CEAC">
      <w:start w:val="1"/>
      <w:numFmt w:val="bullet"/>
      <w:lvlText w:val="o"/>
      <w:lvlJc w:val="left"/>
      <w:pPr>
        <w:ind w:left="720" w:hanging="360"/>
      </w:pPr>
      <w:rPr>
        <w:rFonts w:ascii="Courier New" w:hAnsi="Courier New" w:hint="default"/>
      </w:rPr>
    </w:lvl>
    <w:lvl w:ilvl="1" w:tplc="40DEFEAC">
      <w:start w:val="1"/>
      <w:numFmt w:val="bullet"/>
      <w:lvlText w:val="o"/>
      <w:lvlJc w:val="left"/>
      <w:pPr>
        <w:ind w:left="1440" w:hanging="360"/>
      </w:pPr>
      <w:rPr>
        <w:rFonts w:ascii="Courier New" w:hAnsi="Courier New" w:hint="default"/>
      </w:rPr>
    </w:lvl>
    <w:lvl w:ilvl="2" w:tplc="CD6EAC6A">
      <w:start w:val="1"/>
      <w:numFmt w:val="bullet"/>
      <w:lvlText w:val=""/>
      <w:lvlJc w:val="left"/>
      <w:pPr>
        <w:ind w:left="2160" w:hanging="360"/>
      </w:pPr>
      <w:rPr>
        <w:rFonts w:ascii="Wingdings" w:hAnsi="Wingdings" w:hint="default"/>
      </w:rPr>
    </w:lvl>
    <w:lvl w:ilvl="3" w:tplc="DCB47684">
      <w:start w:val="1"/>
      <w:numFmt w:val="bullet"/>
      <w:lvlText w:val=""/>
      <w:lvlJc w:val="left"/>
      <w:pPr>
        <w:ind w:left="2880" w:hanging="360"/>
      </w:pPr>
      <w:rPr>
        <w:rFonts w:ascii="Symbol" w:hAnsi="Symbol" w:hint="default"/>
      </w:rPr>
    </w:lvl>
    <w:lvl w:ilvl="4" w:tplc="3886FFB8">
      <w:start w:val="1"/>
      <w:numFmt w:val="bullet"/>
      <w:lvlText w:val="o"/>
      <w:lvlJc w:val="left"/>
      <w:pPr>
        <w:ind w:left="3600" w:hanging="360"/>
      </w:pPr>
      <w:rPr>
        <w:rFonts w:ascii="Courier New" w:hAnsi="Courier New" w:hint="default"/>
      </w:rPr>
    </w:lvl>
    <w:lvl w:ilvl="5" w:tplc="D6B2F8B0">
      <w:start w:val="1"/>
      <w:numFmt w:val="bullet"/>
      <w:lvlText w:val=""/>
      <w:lvlJc w:val="left"/>
      <w:pPr>
        <w:ind w:left="4320" w:hanging="360"/>
      </w:pPr>
      <w:rPr>
        <w:rFonts w:ascii="Wingdings" w:hAnsi="Wingdings" w:hint="default"/>
      </w:rPr>
    </w:lvl>
    <w:lvl w:ilvl="6" w:tplc="052236AA">
      <w:start w:val="1"/>
      <w:numFmt w:val="bullet"/>
      <w:lvlText w:val=""/>
      <w:lvlJc w:val="left"/>
      <w:pPr>
        <w:ind w:left="5040" w:hanging="360"/>
      </w:pPr>
      <w:rPr>
        <w:rFonts w:ascii="Symbol" w:hAnsi="Symbol" w:hint="default"/>
      </w:rPr>
    </w:lvl>
    <w:lvl w:ilvl="7" w:tplc="A98AC562">
      <w:start w:val="1"/>
      <w:numFmt w:val="bullet"/>
      <w:lvlText w:val="o"/>
      <w:lvlJc w:val="left"/>
      <w:pPr>
        <w:ind w:left="5760" w:hanging="360"/>
      </w:pPr>
      <w:rPr>
        <w:rFonts w:ascii="Courier New" w:hAnsi="Courier New" w:hint="default"/>
      </w:rPr>
    </w:lvl>
    <w:lvl w:ilvl="8" w:tplc="C1DE0B3C">
      <w:start w:val="1"/>
      <w:numFmt w:val="bullet"/>
      <w:lvlText w:val=""/>
      <w:lvlJc w:val="left"/>
      <w:pPr>
        <w:ind w:left="6480" w:hanging="360"/>
      </w:pPr>
      <w:rPr>
        <w:rFonts w:ascii="Wingdings" w:hAnsi="Wingdings" w:hint="default"/>
      </w:rPr>
    </w:lvl>
  </w:abstractNum>
  <w:abstractNum w:abstractNumId="3" w15:restartNumberingAfterBreak="0">
    <w:nsid w:val="0C65188F"/>
    <w:multiLevelType w:val="hybridMultilevel"/>
    <w:tmpl w:val="C658B09C"/>
    <w:lvl w:ilvl="0" w:tplc="E8547E62">
      <w:start w:val="1"/>
      <w:numFmt w:val="bullet"/>
      <w:lvlText w:val="o"/>
      <w:lvlJc w:val="left"/>
      <w:pPr>
        <w:ind w:left="720" w:hanging="360"/>
      </w:pPr>
      <w:rPr>
        <w:rFonts w:ascii="Courier New" w:hAnsi="Courier New" w:hint="default"/>
      </w:rPr>
    </w:lvl>
    <w:lvl w:ilvl="1" w:tplc="0A12919E">
      <w:start w:val="1"/>
      <w:numFmt w:val="bullet"/>
      <w:lvlText w:val="o"/>
      <w:lvlJc w:val="left"/>
      <w:pPr>
        <w:ind w:left="1440" w:hanging="360"/>
      </w:pPr>
      <w:rPr>
        <w:rFonts w:ascii="Courier New" w:hAnsi="Courier New" w:hint="default"/>
      </w:rPr>
    </w:lvl>
    <w:lvl w:ilvl="2" w:tplc="E95E3834">
      <w:start w:val="1"/>
      <w:numFmt w:val="bullet"/>
      <w:lvlText w:val=""/>
      <w:lvlJc w:val="left"/>
      <w:pPr>
        <w:ind w:left="2160" w:hanging="360"/>
      </w:pPr>
      <w:rPr>
        <w:rFonts w:ascii="Wingdings" w:hAnsi="Wingdings" w:hint="default"/>
      </w:rPr>
    </w:lvl>
    <w:lvl w:ilvl="3" w:tplc="84B6E46C">
      <w:start w:val="1"/>
      <w:numFmt w:val="bullet"/>
      <w:lvlText w:val=""/>
      <w:lvlJc w:val="left"/>
      <w:pPr>
        <w:ind w:left="2880" w:hanging="360"/>
      </w:pPr>
      <w:rPr>
        <w:rFonts w:ascii="Symbol" w:hAnsi="Symbol" w:hint="default"/>
      </w:rPr>
    </w:lvl>
    <w:lvl w:ilvl="4" w:tplc="C5A4B128">
      <w:start w:val="1"/>
      <w:numFmt w:val="bullet"/>
      <w:lvlText w:val="o"/>
      <w:lvlJc w:val="left"/>
      <w:pPr>
        <w:ind w:left="3600" w:hanging="360"/>
      </w:pPr>
      <w:rPr>
        <w:rFonts w:ascii="Courier New" w:hAnsi="Courier New" w:hint="default"/>
      </w:rPr>
    </w:lvl>
    <w:lvl w:ilvl="5" w:tplc="BC8A7C9A">
      <w:start w:val="1"/>
      <w:numFmt w:val="bullet"/>
      <w:lvlText w:val=""/>
      <w:lvlJc w:val="left"/>
      <w:pPr>
        <w:ind w:left="4320" w:hanging="360"/>
      </w:pPr>
      <w:rPr>
        <w:rFonts w:ascii="Wingdings" w:hAnsi="Wingdings" w:hint="default"/>
      </w:rPr>
    </w:lvl>
    <w:lvl w:ilvl="6" w:tplc="B71AFC36">
      <w:start w:val="1"/>
      <w:numFmt w:val="bullet"/>
      <w:lvlText w:val=""/>
      <w:lvlJc w:val="left"/>
      <w:pPr>
        <w:ind w:left="5040" w:hanging="360"/>
      </w:pPr>
      <w:rPr>
        <w:rFonts w:ascii="Symbol" w:hAnsi="Symbol" w:hint="default"/>
      </w:rPr>
    </w:lvl>
    <w:lvl w:ilvl="7" w:tplc="45F67514">
      <w:start w:val="1"/>
      <w:numFmt w:val="bullet"/>
      <w:lvlText w:val="o"/>
      <w:lvlJc w:val="left"/>
      <w:pPr>
        <w:ind w:left="5760" w:hanging="360"/>
      </w:pPr>
      <w:rPr>
        <w:rFonts w:ascii="Courier New" w:hAnsi="Courier New" w:hint="default"/>
      </w:rPr>
    </w:lvl>
    <w:lvl w:ilvl="8" w:tplc="03CE2FDC">
      <w:start w:val="1"/>
      <w:numFmt w:val="bullet"/>
      <w:lvlText w:val=""/>
      <w:lvlJc w:val="left"/>
      <w:pPr>
        <w:ind w:left="6480" w:hanging="360"/>
      </w:pPr>
      <w:rPr>
        <w:rFonts w:ascii="Wingdings" w:hAnsi="Wingdings" w:hint="default"/>
      </w:rPr>
    </w:lvl>
  </w:abstractNum>
  <w:abstractNum w:abstractNumId="4" w15:restartNumberingAfterBreak="0">
    <w:nsid w:val="0CFD0116"/>
    <w:multiLevelType w:val="hybridMultilevel"/>
    <w:tmpl w:val="786A1886"/>
    <w:lvl w:ilvl="0" w:tplc="25709F50">
      <w:start w:val="1"/>
      <w:numFmt w:val="bullet"/>
      <w:lvlText w:val="o"/>
      <w:lvlJc w:val="left"/>
      <w:pPr>
        <w:ind w:left="720" w:hanging="360"/>
      </w:pPr>
      <w:rPr>
        <w:rFonts w:ascii="Courier New" w:hAnsi="Courier New" w:hint="default"/>
      </w:rPr>
    </w:lvl>
    <w:lvl w:ilvl="1" w:tplc="3B7A2CA4">
      <w:start w:val="1"/>
      <w:numFmt w:val="bullet"/>
      <w:lvlText w:val="o"/>
      <w:lvlJc w:val="left"/>
      <w:pPr>
        <w:ind w:left="1440" w:hanging="360"/>
      </w:pPr>
      <w:rPr>
        <w:rFonts w:ascii="Courier New" w:hAnsi="Courier New" w:hint="default"/>
      </w:rPr>
    </w:lvl>
    <w:lvl w:ilvl="2" w:tplc="01EC044A">
      <w:start w:val="1"/>
      <w:numFmt w:val="bullet"/>
      <w:lvlText w:val=""/>
      <w:lvlJc w:val="left"/>
      <w:pPr>
        <w:ind w:left="2160" w:hanging="360"/>
      </w:pPr>
      <w:rPr>
        <w:rFonts w:ascii="Wingdings" w:hAnsi="Wingdings" w:hint="default"/>
      </w:rPr>
    </w:lvl>
    <w:lvl w:ilvl="3" w:tplc="DFB01AFA">
      <w:start w:val="1"/>
      <w:numFmt w:val="bullet"/>
      <w:lvlText w:val=""/>
      <w:lvlJc w:val="left"/>
      <w:pPr>
        <w:ind w:left="2880" w:hanging="360"/>
      </w:pPr>
      <w:rPr>
        <w:rFonts w:ascii="Symbol" w:hAnsi="Symbol" w:hint="default"/>
      </w:rPr>
    </w:lvl>
    <w:lvl w:ilvl="4" w:tplc="547A58DC">
      <w:start w:val="1"/>
      <w:numFmt w:val="bullet"/>
      <w:lvlText w:val="o"/>
      <w:lvlJc w:val="left"/>
      <w:pPr>
        <w:ind w:left="3600" w:hanging="360"/>
      </w:pPr>
      <w:rPr>
        <w:rFonts w:ascii="Courier New" w:hAnsi="Courier New" w:hint="default"/>
      </w:rPr>
    </w:lvl>
    <w:lvl w:ilvl="5" w:tplc="5D4A7C32">
      <w:start w:val="1"/>
      <w:numFmt w:val="bullet"/>
      <w:lvlText w:val=""/>
      <w:lvlJc w:val="left"/>
      <w:pPr>
        <w:ind w:left="4320" w:hanging="360"/>
      </w:pPr>
      <w:rPr>
        <w:rFonts w:ascii="Wingdings" w:hAnsi="Wingdings" w:hint="default"/>
      </w:rPr>
    </w:lvl>
    <w:lvl w:ilvl="6" w:tplc="16645EBE">
      <w:start w:val="1"/>
      <w:numFmt w:val="bullet"/>
      <w:lvlText w:val=""/>
      <w:lvlJc w:val="left"/>
      <w:pPr>
        <w:ind w:left="5040" w:hanging="360"/>
      </w:pPr>
      <w:rPr>
        <w:rFonts w:ascii="Symbol" w:hAnsi="Symbol" w:hint="default"/>
      </w:rPr>
    </w:lvl>
    <w:lvl w:ilvl="7" w:tplc="F78AECF8">
      <w:start w:val="1"/>
      <w:numFmt w:val="bullet"/>
      <w:lvlText w:val="o"/>
      <w:lvlJc w:val="left"/>
      <w:pPr>
        <w:ind w:left="5760" w:hanging="360"/>
      </w:pPr>
      <w:rPr>
        <w:rFonts w:ascii="Courier New" w:hAnsi="Courier New" w:hint="default"/>
      </w:rPr>
    </w:lvl>
    <w:lvl w:ilvl="8" w:tplc="AA7AAA9E">
      <w:start w:val="1"/>
      <w:numFmt w:val="bullet"/>
      <w:lvlText w:val=""/>
      <w:lvlJc w:val="left"/>
      <w:pPr>
        <w:ind w:left="6480" w:hanging="360"/>
      </w:pPr>
      <w:rPr>
        <w:rFonts w:ascii="Wingdings" w:hAnsi="Wingdings" w:hint="default"/>
      </w:rPr>
    </w:lvl>
  </w:abstractNum>
  <w:abstractNum w:abstractNumId="5" w15:restartNumberingAfterBreak="0">
    <w:nsid w:val="0E492EF4"/>
    <w:multiLevelType w:val="hybridMultilevel"/>
    <w:tmpl w:val="49AA7BE4"/>
    <w:lvl w:ilvl="0" w:tplc="04160001">
      <w:start w:val="1"/>
      <w:numFmt w:val="bullet"/>
      <w:lvlText w:val=""/>
      <w:lvlJc w:val="left"/>
      <w:pPr>
        <w:ind w:left="2484" w:hanging="360"/>
      </w:pPr>
      <w:rPr>
        <w:rFonts w:ascii="Symbol" w:hAnsi="Symbol" w:hint="default"/>
      </w:rPr>
    </w:lvl>
    <w:lvl w:ilvl="1" w:tplc="3B7A2CA4">
      <w:start w:val="1"/>
      <w:numFmt w:val="bullet"/>
      <w:lvlText w:val="o"/>
      <w:lvlJc w:val="left"/>
      <w:pPr>
        <w:ind w:left="3204" w:hanging="360"/>
      </w:pPr>
      <w:rPr>
        <w:rFonts w:ascii="Courier New" w:hAnsi="Courier New" w:hint="default"/>
      </w:rPr>
    </w:lvl>
    <w:lvl w:ilvl="2" w:tplc="01EC044A">
      <w:start w:val="1"/>
      <w:numFmt w:val="bullet"/>
      <w:lvlText w:val=""/>
      <w:lvlJc w:val="left"/>
      <w:pPr>
        <w:ind w:left="3924" w:hanging="360"/>
      </w:pPr>
      <w:rPr>
        <w:rFonts w:ascii="Wingdings" w:hAnsi="Wingdings" w:hint="default"/>
      </w:rPr>
    </w:lvl>
    <w:lvl w:ilvl="3" w:tplc="DFB01AFA">
      <w:start w:val="1"/>
      <w:numFmt w:val="bullet"/>
      <w:lvlText w:val=""/>
      <w:lvlJc w:val="left"/>
      <w:pPr>
        <w:ind w:left="4644" w:hanging="360"/>
      </w:pPr>
      <w:rPr>
        <w:rFonts w:ascii="Symbol" w:hAnsi="Symbol" w:hint="default"/>
      </w:rPr>
    </w:lvl>
    <w:lvl w:ilvl="4" w:tplc="547A58DC">
      <w:start w:val="1"/>
      <w:numFmt w:val="bullet"/>
      <w:lvlText w:val="o"/>
      <w:lvlJc w:val="left"/>
      <w:pPr>
        <w:ind w:left="5364" w:hanging="360"/>
      </w:pPr>
      <w:rPr>
        <w:rFonts w:ascii="Courier New" w:hAnsi="Courier New" w:hint="default"/>
      </w:rPr>
    </w:lvl>
    <w:lvl w:ilvl="5" w:tplc="5D4A7C32">
      <w:start w:val="1"/>
      <w:numFmt w:val="bullet"/>
      <w:lvlText w:val=""/>
      <w:lvlJc w:val="left"/>
      <w:pPr>
        <w:ind w:left="6084" w:hanging="360"/>
      </w:pPr>
      <w:rPr>
        <w:rFonts w:ascii="Wingdings" w:hAnsi="Wingdings" w:hint="default"/>
      </w:rPr>
    </w:lvl>
    <w:lvl w:ilvl="6" w:tplc="16645EBE">
      <w:start w:val="1"/>
      <w:numFmt w:val="bullet"/>
      <w:lvlText w:val=""/>
      <w:lvlJc w:val="left"/>
      <w:pPr>
        <w:ind w:left="6804" w:hanging="360"/>
      </w:pPr>
      <w:rPr>
        <w:rFonts w:ascii="Symbol" w:hAnsi="Symbol" w:hint="default"/>
      </w:rPr>
    </w:lvl>
    <w:lvl w:ilvl="7" w:tplc="F78AECF8">
      <w:start w:val="1"/>
      <w:numFmt w:val="bullet"/>
      <w:lvlText w:val="o"/>
      <w:lvlJc w:val="left"/>
      <w:pPr>
        <w:ind w:left="7524" w:hanging="360"/>
      </w:pPr>
      <w:rPr>
        <w:rFonts w:ascii="Courier New" w:hAnsi="Courier New" w:hint="default"/>
      </w:rPr>
    </w:lvl>
    <w:lvl w:ilvl="8" w:tplc="AA7AAA9E">
      <w:start w:val="1"/>
      <w:numFmt w:val="bullet"/>
      <w:lvlText w:val=""/>
      <w:lvlJc w:val="left"/>
      <w:pPr>
        <w:ind w:left="8244" w:hanging="360"/>
      </w:pPr>
      <w:rPr>
        <w:rFonts w:ascii="Wingdings" w:hAnsi="Wingdings" w:hint="default"/>
      </w:rPr>
    </w:lvl>
  </w:abstractNum>
  <w:abstractNum w:abstractNumId="6" w15:restartNumberingAfterBreak="0">
    <w:nsid w:val="0ED239BA"/>
    <w:multiLevelType w:val="hybridMultilevel"/>
    <w:tmpl w:val="5A304FA4"/>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7" w15:restartNumberingAfterBreak="0">
    <w:nsid w:val="1A2E0A83"/>
    <w:multiLevelType w:val="hybridMultilevel"/>
    <w:tmpl w:val="C7C8BA9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1CCE3CAD"/>
    <w:multiLevelType w:val="hybridMultilevel"/>
    <w:tmpl w:val="E93C208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1D0E8150"/>
    <w:multiLevelType w:val="hybridMultilevel"/>
    <w:tmpl w:val="7E7A8B2A"/>
    <w:lvl w:ilvl="0" w:tplc="3C8C52FA">
      <w:start w:val="1"/>
      <w:numFmt w:val="bullet"/>
      <w:lvlText w:val="o"/>
      <w:lvlJc w:val="left"/>
      <w:pPr>
        <w:ind w:left="720" w:hanging="360"/>
      </w:pPr>
      <w:rPr>
        <w:rFonts w:ascii="Courier New" w:hAnsi="Courier New" w:hint="default"/>
      </w:rPr>
    </w:lvl>
    <w:lvl w:ilvl="1" w:tplc="C27A54D8">
      <w:start w:val="1"/>
      <w:numFmt w:val="bullet"/>
      <w:lvlText w:val="o"/>
      <w:lvlJc w:val="left"/>
      <w:pPr>
        <w:ind w:left="1440" w:hanging="360"/>
      </w:pPr>
      <w:rPr>
        <w:rFonts w:ascii="Courier New" w:hAnsi="Courier New" w:hint="default"/>
      </w:rPr>
    </w:lvl>
    <w:lvl w:ilvl="2" w:tplc="4362597C">
      <w:start w:val="1"/>
      <w:numFmt w:val="bullet"/>
      <w:lvlText w:val=""/>
      <w:lvlJc w:val="left"/>
      <w:pPr>
        <w:ind w:left="2160" w:hanging="360"/>
      </w:pPr>
      <w:rPr>
        <w:rFonts w:ascii="Wingdings" w:hAnsi="Wingdings" w:hint="default"/>
      </w:rPr>
    </w:lvl>
    <w:lvl w:ilvl="3" w:tplc="3DC4DB70">
      <w:start w:val="1"/>
      <w:numFmt w:val="bullet"/>
      <w:lvlText w:val=""/>
      <w:lvlJc w:val="left"/>
      <w:pPr>
        <w:ind w:left="2880" w:hanging="360"/>
      </w:pPr>
      <w:rPr>
        <w:rFonts w:ascii="Symbol" w:hAnsi="Symbol" w:hint="default"/>
      </w:rPr>
    </w:lvl>
    <w:lvl w:ilvl="4" w:tplc="F4227E60">
      <w:start w:val="1"/>
      <w:numFmt w:val="bullet"/>
      <w:lvlText w:val="o"/>
      <w:lvlJc w:val="left"/>
      <w:pPr>
        <w:ind w:left="3600" w:hanging="360"/>
      </w:pPr>
      <w:rPr>
        <w:rFonts w:ascii="Courier New" w:hAnsi="Courier New" w:hint="default"/>
      </w:rPr>
    </w:lvl>
    <w:lvl w:ilvl="5" w:tplc="C2D28B6C">
      <w:start w:val="1"/>
      <w:numFmt w:val="bullet"/>
      <w:lvlText w:val=""/>
      <w:lvlJc w:val="left"/>
      <w:pPr>
        <w:ind w:left="4320" w:hanging="360"/>
      </w:pPr>
      <w:rPr>
        <w:rFonts w:ascii="Wingdings" w:hAnsi="Wingdings" w:hint="default"/>
      </w:rPr>
    </w:lvl>
    <w:lvl w:ilvl="6" w:tplc="3DB47FAE">
      <w:start w:val="1"/>
      <w:numFmt w:val="bullet"/>
      <w:lvlText w:val=""/>
      <w:lvlJc w:val="left"/>
      <w:pPr>
        <w:ind w:left="5040" w:hanging="360"/>
      </w:pPr>
      <w:rPr>
        <w:rFonts w:ascii="Symbol" w:hAnsi="Symbol" w:hint="default"/>
      </w:rPr>
    </w:lvl>
    <w:lvl w:ilvl="7" w:tplc="AB486A58">
      <w:start w:val="1"/>
      <w:numFmt w:val="bullet"/>
      <w:lvlText w:val="o"/>
      <w:lvlJc w:val="left"/>
      <w:pPr>
        <w:ind w:left="5760" w:hanging="360"/>
      </w:pPr>
      <w:rPr>
        <w:rFonts w:ascii="Courier New" w:hAnsi="Courier New" w:hint="default"/>
      </w:rPr>
    </w:lvl>
    <w:lvl w:ilvl="8" w:tplc="2D3A715A">
      <w:start w:val="1"/>
      <w:numFmt w:val="bullet"/>
      <w:lvlText w:val=""/>
      <w:lvlJc w:val="left"/>
      <w:pPr>
        <w:ind w:left="6480" w:hanging="360"/>
      </w:pPr>
      <w:rPr>
        <w:rFonts w:ascii="Wingdings" w:hAnsi="Wingdings" w:hint="default"/>
      </w:rPr>
    </w:lvl>
  </w:abstractNum>
  <w:abstractNum w:abstractNumId="10" w15:restartNumberingAfterBreak="0">
    <w:nsid w:val="1DC373FE"/>
    <w:multiLevelType w:val="hybridMultilevel"/>
    <w:tmpl w:val="849009CC"/>
    <w:lvl w:ilvl="0" w:tplc="04160001">
      <w:start w:val="1"/>
      <w:numFmt w:val="bullet"/>
      <w:lvlText w:val=""/>
      <w:lvlJc w:val="left"/>
      <w:pPr>
        <w:ind w:left="783" w:hanging="360"/>
      </w:pPr>
      <w:rPr>
        <w:rFonts w:ascii="Symbol" w:hAnsi="Symbol" w:hint="default"/>
      </w:rPr>
    </w:lvl>
    <w:lvl w:ilvl="1" w:tplc="04160003" w:tentative="1">
      <w:start w:val="1"/>
      <w:numFmt w:val="bullet"/>
      <w:lvlText w:val="o"/>
      <w:lvlJc w:val="left"/>
      <w:pPr>
        <w:ind w:left="1503" w:hanging="360"/>
      </w:pPr>
      <w:rPr>
        <w:rFonts w:ascii="Courier New" w:hAnsi="Courier New" w:cs="Courier New" w:hint="default"/>
      </w:rPr>
    </w:lvl>
    <w:lvl w:ilvl="2" w:tplc="04160005" w:tentative="1">
      <w:start w:val="1"/>
      <w:numFmt w:val="bullet"/>
      <w:lvlText w:val=""/>
      <w:lvlJc w:val="left"/>
      <w:pPr>
        <w:ind w:left="2223" w:hanging="360"/>
      </w:pPr>
      <w:rPr>
        <w:rFonts w:ascii="Wingdings" w:hAnsi="Wingdings" w:hint="default"/>
      </w:rPr>
    </w:lvl>
    <w:lvl w:ilvl="3" w:tplc="04160001" w:tentative="1">
      <w:start w:val="1"/>
      <w:numFmt w:val="bullet"/>
      <w:lvlText w:val=""/>
      <w:lvlJc w:val="left"/>
      <w:pPr>
        <w:ind w:left="2943" w:hanging="360"/>
      </w:pPr>
      <w:rPr>
        <w:rFonts w:ascii="Symbol" w:hAnsi="Symbol" w:hint="default"/>
      </w:rPr>
    </w:lvl>
    <w:lvl w:ilvl="4" w:tplc="04160003" w:tentative="1">
      <w:start w:val="1"/>
      <w:numFmt w:val="bullet"/>
      <w:lvlText w:val="o"/>
      <w:lvlJc w:val="left"/>
      <w:pPr>
        <w:ind w:left="3663" w:hanging="360"/>
      </w:pPr>
      <w:rPr>
        <w:rFonts w:ascii="Courier New" w:hAnsi="Courier New" w:cs="Courier New" w:hint="default"/>
      </w:rPr>
    </w:lvl>
    <w:lvl w:ilvl="5" w:tplc="04160005" w:tentative="1">
      <w:start w:val="1"/>
      <w:numFmt w:val="bullet"/>
      <w:lvlText w:val=""/>
      <w:lvlJc w:val="left"/>
      <w:pPr>
        <w:ind w:left="4383" w:hanging="360"/>
      </w:pPr>
      <w:rPr>
        <w:rFonts w:ascii="Wingdings" w:hAnsi="Wingdings" w:hint="default"/>
      </w:rPr>
    </w:lvl>
    <w:lvl w:ilvl="6" w:tplc="04160001" w:tentative="1">
      <w:start w:val="1"/>
      <w:numFmt w:val="bullet"/>
      <w:lvlText w:val=""/>
      <w:lvlJc w:val="left"/>
      <w:pPr>
        <w:ind w:left="5103" w:hanging="360"/>
      </w:pPr>
      <w:rPr>
        <w:rFonts w:ascii="Symbol" w:hAnsi="Symbol" w:hint="default"/>
      </w:rPr>
    </w:lvl>
    <w:lvl w:ilvl="7" w:tplc="04160003" w:tentative="1">
      <w:start w:val="1"/>
      <w:numFmt w:val="bullet"/>
      <w:lvlText w:val="o"/>
      <w:lvlJc w:val="left"/>
      <w:pPr>
        <w:ind w:left="5823" w:hanging="360"/>
      </w:pPr>
      <w:rPr>
        <w:rFonts w:ascii="Courier New" w:hAnsi="Courier New" w:cs="Courier New" w:hint="default"/>
      </w:rPr>
    </w:lvl>
    <w:lvl w:ilvl="8" w:tplc="04160005" w:tentative="1">
      <w:start w:val="1"/>
      <w:numFmt w:val="bullet"/>
      <w:lvlText w:val=""/>
      <w:lvlJc w:val="left"/>
      <w:pPr>
        <w:ind w:left="6543" w:hanging="360"/>
      </w:pPr>
      <w:rPr>
        <w:rFonts w:ascii="Wingdings" w:hAnsi="Wingdings" w:hint="default"/>
      </w:rPr>
    </w:lvl>
  </w:abstractNum>
  <w:abstractNum w:abstractNumId="11" w15:restartNumberingAfterBreak="0">
    <w:nsid w:val="20FF32FC"/>
    <w:multiLevelType w:val="hybridMultilevel"/>
    <w:tmpl w:val="10D89C6C"/>
    <w:lvl w:ilvl="0" w:tplc="62FA9476">
      <w:start w:val="1"/>
      <w:numFmt w:val="bullet"/>
      <w:lvlText w:val="o"/>
      <w:lvlJc w:val="left"/>
      <w:pPr>
        <w:ind w:left="720" w:hanging="360"/>
      </w:pPr>
      <w:rPr>
        <w:rFonts w:ascii="Courier New" w:hAnsi="Courier New" w:hint="default"/>
      </w:rPr>
    </w:lvl>
    <w:lvl w:ilvl="1" w:tplc="E0022F40">
      <w:start w:val="1"/>
      <w:numFmt w:val="bullet"/>
      <w:lvlText w:val="o"/>
      <w:lvlJc w:val="left"/>
      <w:pPr>
        <w:ind w:left="1440" w:hanging="360"/>
      </w:pPr>
      <w:rPr>
        <w:rFonts w:ascii="Courier New" w:hAnsi="Courier New" w:hint="default"/>
      </w:rPr>
    </w:lvl>
    <w:lvl w:ilvl="2" w:tplc="07386C94">
      <w:start w:val="1"/>
      <w:numFmt w:val="bullet"/>
      <w:lvlText w:val=""/>
      <w:lvlJc w:val="left"/>
      <w:pPr>
        <w:ind w:left="2160" w:hanging="360"/>
      </w:pPr>
      <w:rPr>
        <w:rFonts w:ascii="Wingdings" w:hAnsi="Wingdings" w:hint="default"/>
      </w:rPr>
    </w:lvl>
    <w:lvl w:ilvl="3" w:tplc="FAD8B394">
      <w:start w:val="1"/>
      <w:numFmt w:val="bullet"/>
      <w:lvlText w:val=""/>
      <w:lvlJc w:val="left"/>
      <w:pPr>
        <w:ind w:left="2880" w:hanging="360"/>
      </w:pPr>
      <w:rPr>
        <w:rFonts w:ascii="Symbol" w:hAnsi="Symbol" w:hint="default"/>
      </w:rPr>
    </w:lvl>
    <w:lvl w:ilvl="4" w:tplc="D76A9FCA">
      <w:start w:val="1"/>
      <w:numFmt w:val="bullet"/>
      <w:lvlText w:val="o"/>
      <w:lvlJc w:val="left"/>
      <w:pPr>
        <w:ind w:left="3600" w:hanging="360"/>
      </w:pPr>
      <w:rPr>
        <w:rFonts w:ascii="Courier New" w:hAnsi="Courier New" w:hint="default"/>
      </w:rPr>
    </w:lvl>
    <w:lvl w:ilvl="5" w:tplc="7436A552">
      <w:start w:val="1"/>
      <w:numFmt w:val="bullet"/>
      <w:lvlText w:val=""/>
      <w:lvlJc w:val="left"/>
      <w:pPr>
        <w:ind w:left="4320" w:hanging="360"/>
      </w:pPr>
      <w:rPr>
        <w:rFonts w:ascii="Wingdings" w:hAnsi="Wingdings" w:hint="default"/>
      </w:rPr>
    </w:lvl>
    <w:lvl w:ilvl="6" w:tplc="ACE65E80">
      <w:start w:val="1"/>
      <w:numFmt w:val="bullet"/>
      <w:lvlText w:val=""/>
      <w:lvlJc w:val="left"/>
      <w:pPr>
        <w:ind w:left="5040" w:hanging="360"/>
      </w:pPr>
      <w:rPr>
        <w:rFonts w:ascii="Symbol" w:hAnsi="Symbol" w:hint="default"/>
      </w:rPr>
    </w:lvl>
    <w:lvl w:ilvl="7" w:tplc="C848F282">
      <w:start w:val="1"/>
      <w:numFmt w:val="bullet"/>
      <w:lvlText w:val="o"/>
      <w:lvlJc w:val="left"/>
      <w:pPr>
        <w:ind w:left="5760" w:hanging="360"/>
      </w:pPr>
      <w:rPr>
        <w:rFonts w:ascii="Courier New" w:hAnsi="Courier New" w:hint="default"/>
      </w:rPr>
    </w:lvl>
    <w:lvl w:ilvl="8" w:tplc="1E785EE8">
      <w:start w:val="1"/>
      <w:numFmt w:val="bullet"/>
      <w:lvlText w:val=""/>
      <w:lvlJc w:val="left"/>
      <w:pPr>
        <w:ind w:left="6480" w:hanging="360"/>
      </w:pPr>
      <w:rPr>
        <w:rFonts w:ascii="Wingdings" w:hAnsi="Wingdings" w:hint="default"/>
      </w:rPr>
    </w:lvl>
  </w:abstractNum>
  <w:abstractNum w:abstractNumId="12" w15:restartNumberingAfterBreak="0">
    <w:nsid w:val="229B5695"/>
    <w:multiLevelType w:val="hybridMultilevel"/>
    <w:tmpl w:val="7A3005E8"/>
    <w:lvl w:ilvl="0" w:tplc="5E847AC0">
      <w:numFmt w:val="bullet"/>
      <w:lvlText w:val=""/>
      <w:lvlJc w:val="left"/>
      <w:pPr>
        <w:ind w:left="720" w:hanging="360"/>
      </w:pPr>
      <w:rPr>
        <w:rFonts w:ascii="Symbol" w:eastAsiaTheme="minorEastAsia"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26D58E2B"/>
    <w:multiLevelType w:val="hybridMultilevel"/>
    <w:tmpl w:val="8A426D20"/>
    <w:lvl w:ilvl="0" w:tplc="D53604EA">
      <w:start w:val="1"/>
      <w:numFmt w:val="bullet"/>
      <w:lvlText w:val=""/>
      <w:lvlJc w:val="left"/>
      <w:pPr>
        <w:ind w:left="720" w:hanging="360"/>
      </w:pPr>
      <w:rPr>
        <w:rFonts w:ascii="Symbol" w:hAnsi="Symbol" w:hint="default"/>
      </w:rPr>
    </w:lvl>
    <w:lvl w:ilvl="1" w:tplc="EAE4B026">
      <w:start w:val="1"/>
      <w:numFmt w:val="bullet"/>
      <w:lvlText w:val="o"/>
      <w:lvlJc w:val="left"/>
      <w:pPr>
        <w:ind w:left="1440" w:hanging="360"/>
      </w:pPr>
      <w:rPr>
        <w:rFonts w:ascii="Courier New" w:hAnsi="Courier New" w:hint="default"/>
      </w:rPr>
    </w:lvl>
    <w:lvl w:ilvl="2" w:tplc="3312BF62">
      <w:start w:val="1"/>
      <w:numFmt w:val="bullet"/>
      <w:lvlText w:val=""/>
      <w:lvlJc w:val="left"/>
      <w:pPr>
        <w:ind w:left="2160" w:hanging="360"/>
      </w:pPr>
      <w:rPr>
        <w:rFonts w:ascii="Wingdings" w:hAnsi="Wingdings" w:hint="default"/>
      </w:rPr>
    </w:lvl>
    <w:lvl w:ilvl="3" w:tplc="900477BA">
      <w:start w:val="1"/>
      <w:numFmt w:val="bullet"/>
      <w:lvlText w:val=""/>
      <w:lvlJc w:val="left"/>
      <w:pPr>
        <w:ind w:left="2880" w:hanging="360"/>
      </w:pPr>
      <w:rPr>
        <w:rFonts w:ascii="Symbol" w:hAnsi="Symbol" w:hint="default"/>
      </w:rPr>
    </w:lvl>
    <w:lvl w:ilvl="4" w:tplc="B01CA594">
      <w:start w:val="1"/>
      <w:numFmt w:val="bullet"/>
      <w:lvlText w:val="o"/>
      <w:lvlJc w:val="left"/>
      <w:pPr>
        <w:ind w:left="3600" w:hanging="360"/>
      </w:pPr>
      <w:rPr>
        <w:rFonts w:ascii="Courier New" w:hAnsi="Courier New" w:hint="default"/>
      </w:rPr>
    </w:lvl>
    <w:lvl w:ilvl="5" w:tplc="BD9478EE">
      <w:start w:val="1"/>
      <w:numFmt w:val="bullet"/>
      <w:lvlText w:val=""/>
      <w:lvlJc w:val="left"/>
      <w:pPr>
        <w:ind w:left="4320" w:hanging="360"/>
      </w:pPr>
      <w:rPr>
        <w:rFonts w:ascii="Wingdings" w:hAnsi="Wingdings" w:hint="default"/>
      </w:rPr>
    </w:lvl>
    <w:lvl w:ilvl="6" w:tplc="ABB4A46C">
      <w:start w:val="1"/>
      <w:numFmt w:val="bullet"/>
      <w:lvlText w:val=""/>
      <w:lvlJc w:val="left"/>
      <w:pPr>
        <w:ind w:left="5040" w:hanging="360"/>
      </w:pPr>
      <w:rPr>
        <w:rFonts w:ascii="Symbol" w:hAnsi="Symbol" w:hint="default"/>
      </w:rPr>
    </w:lvl>
    <w:lvl w:ilvl="7" w:tplc="4AFE6F98">
      <w:start w:val="1"/>
      <w:numFmt w:val="bullet"/>
      <w:lvlText w:val="o"/>
      <w:lvlJc w:val="left"/>
      <w:pPr>
        <w:ind w:left="5760" w:hanging="360"/>
      </w:pPr>
      <w:rPr>
        <w:rFonts w:ascii="Courier New" w:hAnsi="Courier New" w:hint="default"/>
      </w:rPr>
    </w:lvl>
    <w:lvl w:ilvl="8" w:tplc="BC4E8988">
      <w:start w:val="1"/>
      <w:numFmt w:val="bullet"/>
      <w:lvlText w:val=""/>
      <w:lvlJc w:val="left"/>
      <w:pPr>
        <w:ind w:left="6480" w:hanging="360"/>
      </w:pPr>
      <w:rPr>
        <w:rFonts w:ascii="Wingdings" w:hAnsi="Wingdings" w:hint="default"/>
      </w:rPr>
    </w:lvl>
  </w:abstractNum>
  <w:abstractNum w:abstractNumId="14" w15:restartNumberingAfterBreak="0">
    <w:nsid w:val="2CFA2177"/>
    <w:multiLevelType w:val="multilevel"/>
    <w:tmpl w:val="24A08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93117B"/>
    <w:multiLevelType w:val="hybridMultilevel"/>
    <w:tmpl w:val="B86A5BF0"/>
    <w:lvl w:ilvl="0" w:tplc="04160001">
      <w:start w:val="1"/>
      <w:numFmt w:val="bullet"/>
      <w:lvlText w:val=""/>
      <w:lvlJc w:val="left"/>
      <w:pPr>
        <w:ind w:left="2988" w:hanging="360"/>
      </w:pPr>
      <w:rPr>
        <w:rFonts w:ascii="Symbol" w:hAnsi="Symbol" w:hint="default"/>
      </w:rPr>
    </w:lvl>
    <w:lvl w:ilvl="1" w:tplc="04160003" w:tentative="1">
      <w:start w:val="1"/>
      <w:numFmt w:val="bullet"/>
      <w:lvlText w:val="o"/>
      <w:lvlJc w:val="left"/>
      <w:pPr>
        <w:ind w:left="3708" w:hanging="360"/>
      </w:pPr>
      <w:rPr>
        <w:rFonts w:ascii="Courier New" w:hAnsi="Courier New" w:cs="Courier New" w:hint="default"/>
      </w:rPr>
    </w:lvl>
    <w:lvl w:ilvl="2" w:tplc="04160005" w:tentative="1">
      <w:start w:val="1"/>
      <w:numFmt w:val="bullet"/>
      <w:lvlText w:val=""/>
      <w:lvlJc w:val="left"/>
      <w:pPr>
        <w:ind w:left="4428" w:hanging="360"/>
      </w:pPr>
      <w:rPr>
        <w:rFonts w:ascii="Wingdings" w:hAnsi="Wingdings" w:hint="default"/>
      </w:rPr>
    </w:lvl>
    <w:lvl w:ilvl="3" w:tplc="04160001" w:tentative="1">
      <w:start w:val="1"/>
      <w:numFmt w:val="bullet"/>
      <w:lvlText w:val=""/>
      <w:lvlJc w:val="left"/>
      <w:pPr>
        <w:ind w:left="5148" w:hanging="360"/>
      </w:pPr>
      <w:rPr>
        <w:rFonts w:ascii="Symbol" w:hAnsi="Symbol" w:hint="default"/>
      </w:rPr>
    </w:lvl>
    <w:lvl w:ilvl="4" w:tplc="04160003" w:tentative="1">
      <w:start w:val="1"/>
      <w:numFmt w:val="bullet"/>
      <w:lvlText w:val="o"/>
      <w:lvlJc w:val="left"/>
      <w:pPr>
        <w:ind w:left="5868" w:hanging="360"/>
      </w:pPr>
      <w:rPr>
        <w:rFonts w:ascii="Courier New" w:hAnsi="Courier New" w:cs="Courier New" w:hint="default"/>
      </w:rPr>
    </w:lvl>
    <w:lvl w:ilvl="5" w:tplc="04160005" w:tentative="1">
      <w:start w:val="1"/>
      <w:numFmt w:val="bullet"/>
      <w:lvlText w:val=""/>
      <w:lvlJc w:val="left"/>
      <w:pPr>
        <w:ind w:left="6588" w:hanging="360"/>
      </w:pPr>
      <w:rPr>
        <w:rFonts w:ascii="Wingdings" w:hAnsi="Wingdings" w:hint="default"/>
      </w:rPr>
    </w:lvl>
    <w:lvl w:ilvl="6" w:tplc="04160001" w:tentative="1">
      <w:start w:val="1"/>
      <w:numFmt w:val="bullet"/>
      <w:lvlText w:val=""/>
      <w:lvlJc w:val="left"/>
      <w:pPr>
        <w:ind w:left="7308" w:hanging="360"/>
      </w:pPr>
      <w:rPr>
        <w:rFonts w:ascii="Symbol" w:hAnsi="Symbol" w:hint="default"/>
      </w:rPr>
    </w:lvl>
    <w:lvl w:ilvl="7" w:tplc="04160003" w:tentative="1">
      <w:start w:val="1"/>
      <w:numFmt w:val="bullet"/>
      <w:lvlText w:val="o"/>
      <w:lvlJc w:val="left"/>
      <w:pPr>
        <w:ind w:left="8028" w:hanging="360"/>
      </w:pPr>
      <w:rPr>
        <w:rFonts w:ascii="Courier New" w:hAnsi="Courier New" w:cs="Courier New" w:hint="default"/>
      </w:rPr>
    </w:lvl>
    <w:lvl w:ilvl="8" w:tplc="04160005" w:tentative="1">
      <w:start w:val="1"/>
      <w:numFmt w:val="bullet"/>
      <w:lvlText w:val=""/>
      <w:lvlJc w:val="left"/>
      <w:pPr>
        <w:ind w:left="8748" w:hanging="360"/>
      </w:pPr>
      <w:rPr>
        <w:rFonts w:ascii="Wingdings" w:hAnsi="Wingdings" w:hint="default"/>
      </w:rPr>
    </w:lvl>
  </w:abstractNum>
  <w:abstractNum w:abstractNumId="16" w15:restartNumberingAfterBreak="0">
    <w:nsid w:val="37CD0CED"/>
    <w:multiLevelType w:val="hybridMultilevel"/>
    <w:tmpl w:val="E0A0EBD8"/>
    <w:lvl w:ilvl="0" w:tplc="67CA168A">
      <w:start w:val="1"/>
      <w:numFmt w:val="bullet"/>
      <w:lvlText w:val="o"/>
      <w:lvlJc w:val="left"/>
      <w:pPr>
        <w:ind w:left="720" w:hanging="360"/>
      </w:pPr>
      <w:rPr>
        <w:rFonts w:ascii="Courier New" w:hAnsi="Courier New" w:hint="default"/>
      </w:rPr>
    </w:lvl>
    <w:lvl w:ilvl="1" w:tplc="EBE0B076">
      <w:start w:val="1"/>
      <w:numFmt w:val="bullet"/>
      <w:lvlText w:val="o"/>
      <w:lvlJc w:val="left"/>
      <w:pPr>
        <w:ind w:left="1440" w:hanging="360"/>
      </w:pPr>
      <w:rPr>
        <w:rFonts w:ascii="Courier New" w:hAnsi="Courier New" w:hint="default"/>
      </w:rPr>
    </w:lvl>
    <w:lvl w:ilvl="2" w:tplc="354AC128">
      <w:start w:val="1"/>
      <w:numFmt w:val="bullet"/>
      <w:lvlText w:val=""/>
      <w:lvlJc w:val="left"/>
      <w:pPr>
        <w:ind w:left="2160" w:hanging="360"/>
      </w:pPr>
      <w:rPr>
        <w:rFonts w:ascii="Wingdings" w:hAnsi="Wingdings" w:hint="default"/>
      </w:rPr>
    </w:lvl>
    <w:lvl w:ilvl="3" w:tplc="97DC3A06">
      <w:start w:val="1"/>
      <w:numFmt w:val="bullet"/>
      <w:lvlText w:val=""/>
      <w:lvlJc w:val="left"/>
      <w:pPr>
        <w:ind w:left="2880" w:hanging="360"/>
      </w:pPr>
      <w:rPr>
        <w:rFonts w:ascii="Symbol" w:hAnsi="Symbol" w:hint="default"/>
      </w:rPr>
    </w:lvl>
    <w:lvl w:ilvl="4" w:tplc="579A2774">
      <w:start w:val="1"/>
      <w:numFmt w:val="bullet"/>
      <w:lvlText w:val="o"/>
      <w:lvlJc w:val="left"/>
      <w:pPr>
        <w:ind w:left="3600" w:hanging="360"/>
      </w:pPr>
      <w:rPr>
        <w:rFonts w:ascii="Courier New" w:hAnsi="Courier New" w:hint="default"/>
      </w:rPr>
    </w:lvl>
    <w:lvl w:ilvl="5" w:tplc="16143FF6">
      <w:start w:val="1"/>
      <w:numFmt w:val="bullet"/>
      <w:lvlText w:val=""/>
      <w:lvlJc w:val="left"/>
      <w:pPr>
        <w:ind w:left="4320" w:hanging="360"/>
      </w:pPr>
      <w:rPr>
        <w:rFonts w:ascii="Wingdings" w:hAnsi="Wingdings" w:hint="default"/>
      </w:rPr>
    </w:lvl>
    <w:lvl w:ilvl="6" w:tplc="4AF284E8">
      <w:start w:val="1"/>
      <w:numFmt w:val="bullet"/>
      <w:lvlText w:val=""/>
      <w:lvlJc w:val="left"/>
      <w:pPr>
        <w:ind w:left="5040" w:hanging="360"/>
      </w:pPr>
      <w:rPr>
        <w:rFonts w:ascii="Symbol" w:hAnsi="Symbol" w:hint="default"/>
      </w:rPr>
    </w:lvl>
    <w:lvl w:ilvl="7" w:tplc="285A53AC">
      <w:start w:val="1"/>
      <w:numFmt w:val="bullet"/>
      <w:lvlText w:val="o"/>
      <w:lvlJc w:val="left"/>
      <w:pPr>
        <w:ind w:left="5760" w:hanging="360"/>
      </w:pPr>
      <w:rPr>
        <w:rFonts w:ascii="Courier New" w:hAnsi="Courier New" w:hint="default"/>
      </w:rPr>
    </w:lvl>
    <w:lvl w:ilvl="8" w:tplc="7D3002A4">
      <w:start w:val="1"/>
      <w:numFmt w:val="bullet"/>
      <w:lvlText w:val=""/>
      <w:lvlJc w:val="left"/>
      <w:pPr>
        <w:ind w:left="6480" w:hanging="360"/>
      </w:pPr>
      <w:rPr>
        <w:rFonts w:ascii="Wingdings" w:hAnsi="Wingdings" w:hint="default"/>
      </w:rPr>
    </w:lvl>
  </w:abstractNum>
  <w:abstractNum w:abstractNumId="17" w15:restartNumberingAfterBreak="0">
    <w:nsid w:val="41A0569D"/>
    <w:multiLevelType w:val="hybridMultilevel"/>
    <w:tmpl w:val="A66885B2"/>
    <w:lvl w:ilvl="0" w:tplc="87847BA0">
      <w:start w:val="1"/>
      <w:numFmt w:val="bullet"/>
      <w:lvlText w:val=""/>
      <w:lvlJc w:val="left"/>
      <w:pPr>
        <w:ind w:left="783" w:hanging="360"/>
      </w:pPr>
      <w:rPr>
        <w:rFonts w:ascii="Symbol" w:hAnsi="Symbol" w:hint="default"/>
        <w:color w:val="FF0000"/>
      </w:rPr>
    </w:lvl>
    <w:lvl w:ilvl="1" w:tplc="04160003" w:tentative="1">
      <w:start w:val="1"/>
      <w:numFmt w:val="bullet"/>
      <w:lvlText w:val="o"/>
      <w:lvlJc w:val="left"/>
      <w:pPr>
        <w:ind w:left="1503" w:hanging="360"/>
      </w:pPr>
      <w:rPr>
        <w:rFonts w:ascii="Courier New" w:hAnsi="Courier New" w:cs="Courier New" w:hint="default"/>
      </w:rPr>
    </w:lvl>
    <w:lvl w:ilvl="2" w:tplc="04160005" w:tentative="1">
      <w:start w:val="1"/>
      <w:numFmt w:val="bullet"/>
      <w:lvlText w:val=""/>
      <w:lvlJc w:val="left"/>
      <w:pPr>
        <w:ind w:left="2223" w:hanging="360"/>
      </w:pPr>
      <w:rPr>
        <w:rFonts w:ascii="Wingdings" w:hAnsi="Wingdings" w:hint="default"/>
      </w:rPr>
    </w:lvl>
    <w:lvl w:ilvl="3" w:tplc="04160001" w:tentative="1">
      <w:start w:val="1"/>
      <w:numFmt w:val="bullet"/>
      <w:lvlText w:val=""/>
      <w:lvlJc w:val="left"/>
      <w:pPr>
        <w:ind w:left="2943" w:hanging="360"/>
      </w:pPr>
      <w:rPr>
        <w:rFonts w:ascii="Symbol" w:hAnsi="Symbol" w:hint="default"/>
      </w:rPr>
    </w:lvl>
    <w:lvl w:ilvl="4" w:tplc="04160003" w:tentative="1">
      <w:start w:val="1"/>
      <w:numFmt w:val="bullet"/>
      <w:lvlText w:val="o"/>
      <w:lvlJc w:val="left"/>
      <w:pPr>
        <w:ind w:left="3663" w:hanging="360"/>
      </w:pPr>
      <w:rPr>
        <w:rFonts w:ascii="Courier New" w:hAnsi="Courier New" w:cs="Courier New" w:hint="default"/>
      </w:rPr>
    </w:lvl>
    <w:lvl w:ilvl="5" w:tplc="04160005" w:tentative="1">
      <w:start w:val="1"/>
      <w:numFmt w:val="bullet"/>
      <w:lvlText w:val=""/>
      <w:lvlJc w:val="left"/>
      <w:pPr>
        <w:ind w:left="4383" w:hanging="360"/>
      </w:pPr>
      <w:rPr>
        <w:rFonts w:ascii="Wingdings" w:hAnsi="Wingdings" w:hint="default"/>
      </w:rPr>
    </w:lvl>
    <w:lvl w:ilvl="6" w:tplc="04160001" w:tentative="1">
      <w:start w:val="1"/>
      <w:numFmt w:val="bullet"/>
      <w:lvlText w:val=""/>
      <w:lvlJc w:val="left"/>
      <w:pPr>
        <w:ind w:left="5103" w:hanging="360"/>
      </w:pPr>
      <w:rPr>
        <w:rFonts w:ascii="Symbol" w:hAnsi="Symbol" w:hint="default"/>
      </w:rPr>
    </w:lvl>
    <w:lvl w:ilvl="7" w:tplc="04160003" w:tentative="1">
      <w:start w:val="1"/>
      <w:numFmt w:val="bullet"/>
      <w:lvlText w:val="o"/>
      <w:lvlJc w:val="left"/>
      <w:pPr>
        <w:ind w:left="5823" w:hanging="360"/>
      </w:pPr>
      <w:rPr>
        <w:rFonts w:ascii="Courier New" w:hAnsi="Courier New" w:cs="Courier New" w:hint="default"/>
      </w:rPr>
    </w:lvl>
    <w:lvl w:ilvl="8" w:tplc="04160005" w:tentative="1">
      <w:start w:val="1"/>
      <w:numFmt w:val="bullet"/>
      <w:lvlText w:val=""/>
      <w:lvlJc w:val="left"/>
      <w:pPr>
        <w:ind w:left="6543" w:hanging="360"/>
      </w:pPr>
      <w:rPr>
        <w:rFonts w:ascii="Wingdings" w:hAnsi="Wingdings" w:hint="default"/>
      </w:rPr>
    </w:lvl>
  </w:abstractNum>
  <w:abstractNum w:abstractNumId="18" w15:restartNumberingAfterBreak="0">
    <w:nsid w:val="4EF56379"/>
    <w:multiLevelType w:val="hybridMultilevel"/>
    <w:tmpl w:val="B81A75B0"/>
    <w:lvl w:ilvl="0" w:tplc="04160001">
      <w:start w:val="1"/>
      <w:numFmt w:val="bullet"/>
      <w:lvlText w:val=""/>
      <w:lvlJc w:val="left"/>
      <w:pPr>
        <w:ind w:left="770" w:hanging="360"/>
      </w:pPr>
      <w:rPr>
        <w:rFonts w:ascii="Symbol" w:hAnsi="Symbol" w:hint="default"/>
      </w:rPr>
    </w:lvl>
    <w:lvl w:ilvl="1" w:tplc="04160003" w:tentative="1">
      <w:start w:val="1"/>
      <w:numFmt w:val="bullet"/>
      <w:lvlText w:val="o"/>
      <w:lvlJc w:val="left"/>
      <w:pPr>
        <w:ind w:left="1490" w:hanging="360"/>
      </w:pPr>
      <w:rPr>
        <w:rFonts w:ascii="Courier New" w:hAnsi="Courier New" w:cs="Courier New" w:hint="default"/>
      </w:rPr>
    </w:lvl>
    <w:lvl w:ilvl="2" w:tplc="04160005" w:tentative="1">
      <w:start w:val="1"/>
      <w:numFmt w:val="bullet"/>
      <w:lvlText w:val=""/>
      <w:lvlJc w:val="left"/>
      <w:pPr>
        <w:ind w:left="2210" w:hanging="360"/>
      </w:pPr>
      <w:rPr>
        <w:rFonts w:ascii="Wingdings" w:hAnsi="Wingdings" w:hint="default"/>
      </w:rPr>
    </w:lvl>
    <w:lvl w:ilvl="3" w:tplc="04160001" w:tentative="1">
      <w:start w:val="1"/>
      <w:numFmt w:val="bullet"/>
      <w:lvlText w:val=""/>
      <w:lvlJc w:val="left"/>
      <w:pPr>
        <w:ind w:left="2930" w:hanging="360"/>
      </w:pPr>
      <w:rPr>
        <w:rFonts w:ascii="Symbol" w:hAnsi="Symbol" w:hint="default"/>
      </w:rPr>
    </w:lvl>
    <w:lvl w:ilvl="4" w:tplc="04160003" w:tentative="1">
      <w:start w:val="1"/>
      <w:numFmt w:val="bullet"/>
      <w:lvlText w:val="o"/>
      <w:lvlJc w:val="left"/>
      <w:pPr>
        <w:ind w:left="3650" w:hanging="360"/>
      </w:pPr>
      <w:rPr>
        <w:rFonts w:ascii="Courier New" w:hAnsi="Courier New" w:cs="Courier New" w:hint="default"/>
      </w:rPr>
    </w:lvl>
    <w:lvl w:ilvl="5" w:tplc="04160005" w:tentative="1">
      <w:start w:val="1"/>
      <w:numFmt w:val="bullet"/>
      <w:lvlText w:val=""/>
      <w:lvlJc w:val="left"/>
      <w:pPr>
        <w:ind w:left="4370" w:hanging="360"/>
      </w:pPr>
      <w:rPr>
        <w:rFonts w:ascii="Wingdings" w:hAnsi="Wingdings" w:hint="default"/>
      </w:rPr>
    </w:lvl>
    <w:lvl w:ilvl="6" w:tplc="04160001" w:tentative="1">
      <w:start w:val="1"/>
      <w:numFmt w:val="bullet"/>
      <w:lvlText w:val=""/>
      <w:lvlJc w:val="left"/>
      <w:pPr>
        <w:ind w:left="5090" w:hanging="360"/>
      </w:pPr>
      <w:rPr>
        <w:rFonts w:ascii="Symbol" w:hAnsi="Symbol" w:hint="default"/>
      </w:rPr>
    </w:lvl>
    <w:lvl w:ilvl="7" w:tplc="04160003" w:tentative="1">
      <w:start w:val="1"/>
      <w:numFmt w:val="bullet"/>
      <w:lvlText w:val="o"/>
      <w:lvlJc w:val="left"/>
      <w:pPr>
        <w:ind w:left="5810" w:hanging="360"/>
      </w:pPr>
      <w:rPr>
        <w:rFonts w:ascii="Courier New" w:hAnsi="Courier New" w:cs="Courier New" w:hint="default"/>
      </w:rPr>
    </w:lvl>
    <w:lvl w:ilvl="8" w:tplc="04160005" w:tentative="1">
      <w:start w:val="1"/>
      <w:numFmt w:val="bullet"/>
      <w:lvlText w:val=""/>
      <w:lvlJc w:val="left"/>
      <w:pPr>
        <w:ind w:left="6530" w:hanging="360"/>
      </w:pPr>
      <w:rPr>
        <w:rFonts w:ascii="Wingdings" w:hAnsi="Wingdings" w:hint="default"/>
      </w:rPr>
    </w:lvl>
  </w:abstractNum>
  <w:abstractNum w:abstractNumId="19" w15:restartNumberingAfterBreak="0">
    <w:nsid w:val="4F426E05"/>
    <w:multiLevelType w:val="hybridMultilevel"/>
    <w:tmpl w:val="DDCA4B54"/>
    <w:lvl w:ilvl="0" w:tplc="87847BA0">
      <w:start w:val="1"/>
      <w:numFmt w:val="bullet"/>
      <w:lvlText w:val=""/>
      <w:lvlJc w:val="left"/>
      <w:pPr>
        <w:ind w:left="783" w:hanging="360"/>
      </w:pPr>
      <w:rPr>
        <w:rFonts w:ascii="Symbol" w:hAnsi="Symbol" w:hint="default"/>
        <w:color w:val="FF000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51E5A597"/>
    <w:multiLevelType w:val="hybridMultilevel"/>
    <w:tmpl w:val="617EBD20"/>
    <w:lvl w:ilvl="0" w:tplc="1F2885FE">
      <w:start w:val="1"/>
      <w:numFmt w:val="bullet"/>
      <w:lvlText w:val=""/>
      <w:lvlJc w:val="left"/>
      <w:pPr>
        <w:ind w:left="720" w:hanging="360"/>
      </w:pPr>
      <w:rPr>
        <w:rFonts w:ascii="Symbol" w:hAnsi="Symbol" w:hint="default"/>
      </w:rPr>
    </w:lvl>
    <w:lvl w:ilvl="1" w:tplc="D354E76E">
      <w:start w:val="1"/>
      <w:numFmt w:val="bullet"/>
      <w:lvlText w:val="o"/>
      <w:lvlJc w:val="left"/>
      <w:pPr>
        <w:ind w:left="1440" w:hanging="360"/>
      </w:pPr>
      <w:rPr>
        <w:rFonts w:ascii="Courier New" w:hAnsi="Courier New" w:hint="default"/>
      </w:rPr>
    </w:lvl>
    <w:lvl w:ilvl="2" w:tplc="0DCC9802">
      <w:start w:val="1"/>
      <w:numFmt w:val="bullet"/>
      <w:lvlText w:val=""/>
      <w:lvlJc w:val="left"/>
      <w:pPr>
        <w:ind w:left="2160" w:hanging="360"/>
      </w:pPr>
      <w:rPr>
        <w:rFonts w:ascii="Wingdings" w:hAnsi="Wingdings" w:hint="default"/>
      </w:rPr>
    </w:lvl>
    <w:lvl w:ilvl="3" w:tplc="2CF88984">
      <w:start w:val="1"/>
      <w:numFmt w:val="bullet"/>
      <w:lvlText w:val=""/>
      <w:lvlJc w:val="left"/>
      <w:pPr>
        <w:ind w:left="2880" w:hanging="360"/>
      </w:pPr>
      <w:rPr>
        <w:rFonts w:ascii="Symbol" w:hAnsi="Symbol" w:hint="default"/>
      </w:rPr>
    </w:lvl>
    <w:lvl w:ilvl="4" w:tplc="30824026">
      <w:start w:val="1"/>
      <w:numFmt w:val="bullet"/>
      <w:lvlText w:val="o"/>
      <w:lvlJc w:val="left"/>
      <w:pPr>
        <w:ind w:left="3600" w:hanging="360"/>
      </w:pPr>
      <w:rPr>
        <w:rFonts w:ascii="Courier New" w:hAnsi="Courier New" w:hint="default"/>
      </w:rPr>
    </w:lvl>
    <w:lvl w:ilvl="5" w:tplc="7C4CFEEA">
      <w:start w:val="1"/>
      <w:numFmt w:val="bullet"/>
      <w:lvlText w:val=""/>
      <w:lvlJc w:val="left"/>
      <w:pPr>
        <w:ind w:left="4320" w:hanging="360"/>
      </w:pPr>
      <w:rPr>
        <w:rFonts w:ascii="Wingdings" w:hAnsi="Wingdings" w:hint="default"/>
      </w:rPr>
    </w:lvl>
    <w:lvl w:ilvl="6" w:tplc="0276DCFC">
      <w:start w:val="1"/>
      <w:numFmt w:val="bullet"/>
      <w:lvlText w:val=""/>
      <w:lvlJc w:val="left"/>
      <w:pPr>
        <w:ind w:left="5040" w:hanging="360"/>
      </w:pPr>
      <w:rPr>
        <w:rFonts w:ascii="Symbol" w:hAnsi="Symbol" w:hint="default"/>
      </w:rPr>
    </w:lvl>
    <w:lvl w:ilvl="7" w:tplc="2C0084E8">
      <w:start w:val="1"/>
      <w:numFmt w:val="bullet"/>
      <w:lvlText w:val="o"/>
      <w:lvlJc w:val="left"/>
      <w:pPr>
        <w:ind w:left="5760" w:hanging="360"/>
      </w:pPr>
      <w:rPr>
        <w:rFonts w:ascii="Courier New" w:hAnsi="Courier New" w:hint="default"/>
      </w:rPr>
    </w:lvl>
    <w:lvl w:ilvl="8" w:tplc="2E3C2B44">
      <w:start w:val="1"/>
      <w:numFmt w:val="bullet"/>
      <w:lvlText w:val=""/>
      <w:lvlJc w:val="left"/>
      <w:pPr>
        <w:ind w:left="6480" w:hanging="360"/>
      </w:pPr>
      <w:rPr>
        <w:rFonts w:ascii="Wingdings" w:hAnsi="Wingdings" w:hint="default"/>
      </w:rPr>
    </w:lvl>
  </w:abstractNum>
  <w:abstractNum w:abstractNumId="21" w15:restartNumberingAfterBreak="0">
    <w:nsid w:val="534C4F88"/>
    <w:multiLevelType w:val="multilevel"/>
    <w:tmpl w:val="96BEA3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6500D40"/>
    <w:multiLevelType w:val="hybridMultilevel"/>
    <w:tmpl w:val="CA12B9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5C81689C"/>
    <w:multiLevelType w:val="hybridMultilevel"/>
    <w:tmpl w:val="F4806AF0"/>
    <w:lvl w:ilvl="0" w:tplc="05B418BE">
      <w:start w:val="1"/>
      <w:numFmt w:val="bullet"/>
      <w:lvlText w:val=""/>
      <w:lvlJc w:val="left"/>
      <w:pPr>
        <w:ind w:left="720" w:hanging="360"/>
      </w:pPr>
      <w:rPr>
        <w:rFonts w:ascii="Symbol" w:hAnsi="Symbol" w:hint="default"/>
      </w:rPr>
    </w:lvl>
    <w:lvl w:ilvl="1" w:tplc="BA36365A">
      <w:start w:val="1"/>
      <w:numFmt w:val="bullet"/>
      <w:lvlText w:val="o"/>
      <w:lvlJc w:val="left"/>
      <w:pPr>
        <w:ind w:left="1440" w:hanging="360"/>
      </w:pPr>
      <w:rPr>
        <w:rFonts w:ascii="Courier New" w:hAnsi="Courier New" w:hint="default"/>
      </w:rPr>
    </w:lvl>
    <w:lvl w:ilvl="2" w:tplc="8DAEAE2A">
      <w:start w:val="1"/>
      <w:numFmt w:val="bullet"/>
      <w:lvlText w:val=""/>
      <w:lvlJc w:val="left"/>
      <w:pPr>
        <w:ind w:left="2160" w:hanging="360"/>
      </w:pPr>
      <w:rPr>
        <w:rFonts w:ascii="Symbol" w:hAnsi="Symbol" w:hint="default"/>
      </w:rPr>
    </w:lvl>
    <w:lvl w:ilvl="3" w:tplc="1C9C01F2">
      <w:start w:val="1"/>
      <w:numFmt w:val="bullet"/>
      <w:lvlText w:val=""/>
      <w:lvlJc w:val="left"/>
      <w:pPr>
        <w:ind w:left="2880" w:hanging="360"/>
      </w:pPr>
      <w:rPr>
        <w:rFonts w:ascii="Symbol" w:hAnsi="Symbol" w:hint="default"/>
      </w:rPr>
    </w:lvl>
    <w:lvl w:ilvl="4" w:tplc="F708A9D4">
      <w:start w:val="1"/>
      <w:numFmt w:val="bullet"/>
      <w:lvlText w:val="o"/>
      <w:lvlJc w:val="left"/>
      <w:pPr>
        <w:ind w:left="3600" w:hanging="360"/>
      </w:pPr>
      <w:rPr>
        <w:rFonts w:ascii="Courier New" w:hAnsi="Courier New" w:hint="default"/>
      </w:rPr>
    </w:lvl>
    <w:lvl w:ilvl="5" w:tplc="C792E8F0">
      <w:start w:val="1"/>
      <w:numFmt w:val="bullet"/>
      <w:lvlText w:val=""/>
      <w:lvlJc w:val="left"/>
      <w:pPr>
        <w:ind w:left="4320" w:hanging="360"/>
      </w:pPr>
      <w:rPr>
        <w:rFonts w:ascii="Wingdings" w:hAnsi="Wingdings" w:hint="default"/>
      </w:rPr>
    </w:lvl>
    <w:lvl w:ilvl="6" w:tplc="D162268C">
      <w:start w:val="1"/>
      <w:numFmt w:val="bullet"/>
      <w:lvlText w:val=""/>
      <w:lvlJc w:val="left"/>
      <w:pPr>
        <w:ind w:left="5040" w:hanging="360"/>
      </w:pPr>
      <w:rPr>
        <w:rFonts w:ascii="Symbol" w:hAnsi="Symbol" w:hint="default"/>
      </w:rPr>
    </w:lvl>
    <w:lvl w:ilvl="7" w:tplc="3438A756">
      <w:start w:val="1"/>
      <w:numFmt w:val="bullet"/>
      <w:lvlText w:val="o"/>
      <w:lvlJc w:val="left"/>
      <w:pPr>
        <w:ind w:left="5760" w:hanging="360"/>
      </w:pPr>
      <w:rPr>
        <w:rFonts w:ascii="Courier New" w:hAnsi="Courier New" w:hint="default"/>
      </w:rPr>
    </w:lvl>
    <w:lvl w:ilvl="8" w:tplc="FAA42460">
      <w:start w:val="1"/>
      <w:numFmt w:val="bullet"/>
      <w:lvlText w:val=""/>
      <w:lvlJc w:val="left"/>
      <w:pPr>
        <w:ind w:left="6480" w:hanging="360"/>
      </w:pPr>
      <w:rPr>
        <w:rFonts w:ascii="Wingdings" w:hAnsi="Wingdings" w:hint="default"/>
      </w:rPr>
    </w:lvl>
  </w:abstractNum>
  <w:abstractNum w:abstractNumId="24" w15:restartNumberingAfterBreak="0">
    <w:nsid w:val="5CDF22D5"/>
    <w:multiLevelType w:val="hybridMultilevel"/>
    <w:tmpl w:val="A1B63D92"/>
    <w:lvl w:ilvl="0" w:tplc="CA5CC074">
      <w:numFmt w:val="bullet"/>
      <w:lvlText w:val=""/>
      <w:lvlJc w:val="left"/>
      <w:pPr>
        <w:ind w:left="720" w:hanging="360"/>
      </w:pPr>
      <w:rPr>
        <w:rFonts w:ascii="Symbol" w:eastAsiaTheme="minorEastAsia" w:hAnsi="Symbol" w:cstheme="minorBidi" w:hint="default"/>
        <w:color w:val="000000" w:themeColor="text1"/>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5DAD7D0D"/>
    <w:multiLevelType w:val="multilevel"/>
    <w:tmpl w:val="451A507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 w15:restartNumberingAfterBreak="0">
    <w:nsid w:val="61473D52"/>
    <w:multiLevelType w:val="hybridMultilevel"/>
    <w:tmpl w:val="769EF5F0"/>
    <w:lvl w:ilvl="0" w:tplc="04160001">
      <w:start w:val="1"/>
      <w:numFmt w:val="bullet"/>
      <w:lvlText w:val=""/>
      <w:lvlJc w:val="left"/>
      <w:pPr>
        <w:ind w:left="2250" w:hanging="360"/>
      </w:pPr>
      <w:rPr>
        <w:rFonts w:ascii="Symbol" w:hAnsi="Symbol" w:hint="default"/>
      </w:rPr>
    </w:lvl>
    <w:lvl w:ilvl="1" w:tplc="04160003" w:tentative="1">
      <w:start w:val="1"/>
      <w:numFmt w:val="bullet"/>
      <w:lvlText w:val="o"/>
      <w:lvlJc w:val="left"/>
      <w:pPr>
        <w:ind w:left="2970" w:hanging="360"/>
      </w:pPr>
      <w:rPr>
        <w:rFonts w:ascii="Courier New" w:hAnsi="Courier New" w:cs="Courier New" w:hint="default"/>
      </w:rPr>
    </w:lvl>
    <w:lvl w:ilvl="2" w:tplc="04160005" w:tentative="1">
      <w:start w:val="1"/>
      <w:numFmt w:val="bullet"/>
      <w:lvlText w:val=""/>
      <w:lvlJc w:val="left"/>
      <w:pPr>
        <w:ind w:left="3690" w:hanging="360"/>
      </w:pPr>
      <w:rPr>
        <w:rFonts w:ascii="Wingdings" w:hAnsi="Wingdings" w:hint="default"/>
      </w:rPr>
    </w:lvl>
    <w:lvl w:ilvl="3" w:tplc="04160001" w:tentative="1">
      <w:start w:val="1"/>
      <w:numFmt w:val="bullet"/>
      <w:lvlText w:val=""/>
      <w:lvlJc w:val="left"/>
      <w:pPr>
        <w:ind w:left="4410" w:hanging="360"/>
      </w:pPr>
      <w:rPr>
        <w:rFonts w:ascii="Symbol" w:hAnsi="Symbol" w:hint="default"/>
      </w:rPr>
    </w:lvl>
    <w:lvl w:ilvl="4" w:tplc="04160003" w:tentative="1">
      <w:start w:val="1"/>
      <w:numFmt w:val="bullet"/>
      <w:lvlText w:val="o"/>
      <w:lvlJc w:val="left"/>
      <w:pPr>
        <w:ind w:left="5130" w:hanging="360"/>
      </w:pPr>
      <w:rPr>
        <w:rFonts w:ascii="Courier New" w:hAnsi="Courier New" w:cs="Courier New" w:hint="default"/>
      </w:rPr>
    </w:lvl>
    <w:lvl w:ilvl="5" w:tplc="04160005" w:tentative="1">
      <w:start w:val="1"/>
      <w:numFmt w:val="bullet"/>
      <w:lvlText w:val=""/>
      <w:lvlJc w:val="left"/>
      <w:pPr>
        <w:ind w:left="5850" w:hanging="360"/>
      </w:pPr>
      <w:rPr>
        <w:rFonts w:ascii="Wingdings" w:hAnsi="Wingdings" w:hint="default"/>
      </w:rPr>
    </w:lvl>
    <w:lvl w:ilvl="6" w:tplc="04160001" w:tentative="1">
      <w:start w:val="1"/>
      <w:numFmt w:val="bullet"/>
      <w:lvlText w:val=""/>
      <w:lvlJc w:val="left"/>
      <w:pPr>
        <w:ind w:left="6570" w:hanging="360"/>
      </w:pPr>
      <w:rPr>
        <w:rFonts w:ascii="Symbol" w:hAnsi="Symbol" w:hint="default"/>
      </w:rPr>
    </w:lvl>
    <w:lvl w:ilvl="7" w:tplc="04160003" w:tentative="1">
      <w:start w:val="1"/>
      <w:numFmt w:val="bullet"/>
      <w:lvlText w:val="o"/>
      <w:lvlJc w:val="left"/>
      <w:pPr>
        <w:ind w:left="7290" w:hanging="360"/>
      </w:pPr>
      <w:rPr>
        <w:rFonts w:ascii="Courier New" w:hAnsi="Courier New" w:cs="Courier New" w:hint="default"/>
      </w:rPr>
    </w:lvl>
    <w:lvl w:ilvl="8" w:tplc="04160005" w:tentative="1">
      <w:start w:val="1"/>
      <w:numFmt w:val="bullet"/>
      <w:lvlText w:val=""/>
      <w:lvlJc w:val="left"/>
      <w:pPr>
        <w:ind w:left="8010" w:hanging="360"/>
      </w:pPr>
      <w:rPr>
        <w:rFonts w:ascii="Wingdings" w:hAnsi="Wingdings" w:hint="default"/>
      </w:rPr>
    </w:lvl>
  </w:abstractNum>
  <w:abstractNum w:abstractNumId="27" w15:restartNumberingAfterBreak="0">
    <w:nsid w:val="61877FB1"/>
    <w:multiLevelType w:val="hybridMultilevel"/>
    <w:tmpl w:val="6DA8653E"/>
    <w:lvl w:ilvl="0" w:tplc="7550216C">
      <w:start w:val="1"/>
      <w:numFmt w:val="bullet"/>
      <w:lvlText w:val=""/>
      <w:lvlJc w:val="left"/>
      <w:pPr>
        <w:ind w:left="720" w:hanging="360"/>
      </w:pPr>
      <w:rPr>
        <w:rFonts w:ascii="Symbol" w:hAnsi="Symbol" w:hint="default"/>
      </w:rPr>
    </w:lvl>
    <w:lvl w:ilvl="1" w:tplc="6C6E3830">
      <w:start w:val="1"/>
      <w:numFmt w:val="bullet"/>
      <w:lvlText w:val=""/>
      <w:lvlJc w:val="left"/>
      <w:pPr>
        <w:ind w:left="1440" w:hanging="360"/>
      </w:pPr>
      <w:rPr>
        <w:rFonts w:ascii="Symbol" w:hAnsi="Symbol" w:hint="default"/>
      </w:rPr>
    </w:lvl>
    <w:lvl w:ilvl="2" w:tplc="F5F43C5C">
      <w:start w:val="1"/>
      <w:numFmt w:val="bullet"/>
      <w:lvlText w:val=""/>
      <w:lvlJc w:val="left"/>
      <w:pPr>
        <w:ind w:left="2160" w:hanging="360"/>
      </w:pPr>
      <w:rPr>
        <w:rFonts w:ascii="Wingdings" w:hAnsi="Wingdings" w:hint="default"/>
      </w:rPr>
    </w:lvl>
    <w:lvl w:ilvl="3" w:tplc="13085F2C">
      <w:start w:val="1"/>
      <w:numFmt w:val="bullet"/>
      <w:lvlText w:val=""/>
      <w:lvlJc w:val="left"/>
      <w:pPr>
        <w:ind w:left="2880" w:hanging="360"/>
      </w:pPr>
      <w:rPr>
        <w:rFonts w:ascii="Symbol" w:hAnsi="Symbol" w:hint="default"/>
      </w:rPr>
    </w:lvl>
    <w:lvl w:ilvl="4" w:tplc="AFF255AA">
      <w:start w:val="1"/>
      <w:numFmt w:val="bullet"/>
      <w:lvlText w:val="o"/>
      <w:lvlJc w:val="left"/>
      <w:pPr>
        <w:ind w:left="3600" w:hanging="360"/>
      </w:pPr>
      <w:rPr>
        <w:rFonts w:ascii="Courier New" w:hAnsi="Courier New" w:hint="default"/>
      </w:rPr>
    </w:lvl>
    <w:lvl w:ilvl="5" w:tplc="C60C778C">
      <w:start w:val="1"/>
      <w:numFmt w:val="bullet"/>
      <w:lvlText w:val=""/>
      <w:lvlJc w:val="left"/>
      <w:pPr>
        <w:ind w:left="4320" w:hanging="360"/>
      </w:pPr>
      <w:rPr>
        <w:rFonts w:ascii="Wingdings" w:hAnsi="Wingdings" w:hint="default"/>
      </w:rPr>
    </w:lvl>
    <w:lvl w:ilvl="6" w:tplc="922873D6">
      <w:start w:val="1"/>
      <w:numFmt w:val="bullet"/>
      <w:lvlText w:val=""/>
      <w:lvlJc w:val="left"/>
      <w:pPr>
        <w:ind w:left="5040" w:hanging="360"/>
      </w:pPr>
      <w:rPr>
        <w:rFonts w:ascii="Symbol" w:hAnsi="Symbol" w:hint="default"/>
      </w:rPr>
    </w:lvl>
    <w:lvl w:ilvl="7" w:tplc="70A4DA50">
      <w:start w:val="1"/>
      <w:numFmt w:val="bullet"/>
      <w:lvlText w:val="o"/>
      <w:lvlJc w:val="left"/>
      <w:pPr>
        <w:ind w:left="5760" w:hanging="360"/>
      </w:pPr>
      <w:rPr>
        <w:rFonts w:ascii="Courier New" w:hAnsi="Courier New" w:hint="default"/>
      </w:rPr>
    </w:lvl>
    <w:lvl w:ilvl="8" w:tplc="D2D6D98A">
      <w:start w:val="1"/>
      <w:numFmt w:val="bullet"/>
      <w:lvlText w:val=""/>
      <w:lvlJc w:val="left"/>
      <w:pPr>
        <w:ind w:left="6480" w:hanging="360"/>
      </w:pPr>
      <w:rPr>
        <w:rFonts w:ascii="Wingdings" w:hAnsi="Wingdings" w:hint="default"/>
      </w:rPr>
    </w:lvl>
  </w:abstractNum>
  <w:abstractNum w:abstractNumId="28" w15:restartNumberingAfterBreak="0">
    <w:nsid w:val="644A420E"/>
    <w:multiLevelType w:val="multilevel"/>
    <w:tmpl w:val="09B6074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64B21F8"/>
    <w:multiLevelType w:val="hybridMultilevel"/>
    <w:tmpl w:val="D472AFCE"/>
    <w:lvl w:ilvl="0" w:tplc="62FA9476">
      <w:start w:val="1"/>
      <w:numFmt w:val="bullet"/>
      <w:lvlText w:val="o"/>
      <w:lvlJc w:val="left"/>
      <w:pPr>
        <w:ind w:left="720" w:hanging="360"/>
      </w:pPr>
      <w:rPr>
        <w:rFonts w:ascii="Courier New" w:hAnsi="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6E4F70AA"/>
    <w:multiLevelType w:val="hybridMultilevel"/>
    <w:tmpl w:val="ED72D2B4"/>
    <w:lvl w:ilvl="0" w:tplc="03120F6A">
      <w:start w:val="1"/>
      <w:numFmt w:val="bullet"/>
      <w:lvlText w:val=""/>
      <w:lvlJc w:val="left"/>
      <w:pPr>
        <w:ind w:left="720" w:hanging="360"/>
      </w:pPr>
      <w:rPr>
        <w:rFonts w:ascii="Symbol" w:hAnsi="Symbol" w:hint="default"/>
      </w:rPr>
    </w:lvl>
    <w:lvl w:ilvl="1" w:tplc="B0765192">
      <w:start w:val="1"/>
      <w:numFmt w:val="bullet"/>
      <w:lvlText w:val="o"/>
      <w:lvlJc w:val="left"/>
      <w:pPr>
        <w:ind w:left="1440" w:hanging="360"/>
      </w:pPr>
      <w:rPr>
        <w:rFonts w:ascii="Courier New" w:hAnsi="Courier New" w:hint="default"/>
      </w:rPr>
    </w:lvl>
    <w:lvl w:ilvl="2" w:tplc="D75C8FCE">
      <w:start w:val="1"/>
      <w:numFmt w:val="bullet"/>
      <w:lvlText w:val=""/>
      <w:lvlJc w:val="left"/>
      <w:pPr>
        <w:ind w:left="2160" w:hanging="360"/>
      </w:pPr>
      <w:rPr>
        <w:rFonts w:ascii="Symbol" w:hAnsi="Symbol" w:hint="default"/>
      </w:rPr>
    </w:lvl>
    <w:lvl w:ilvl="3" w:tplc="451CBA1E">
      <w:start w:val="1"/>
      <w:numFmt w:val="bullet"/>
      <w:lvlText w:val=""/>
      <w:lvlJc w:val="left"/>
      <w:pPr>
        <w:ind w:left="2880" w:hanging="360"/>
      </w:pPr>
      <w:rPr>
        <w:rFonts w:ascii="Symbol" w:hAnsi="Symbol" w:hint="default"/>
      </w:rPr>
    </w:lvl>
    <w:lvl w:ilvl="4" w:tplc="AF6408D0">
      <w:start w:val="1"/>
      <w:numFmt w:val="bullet"/>
      <w:lvlText w:val="o"/>
      <w:lvlJc w:val="left"/>
      <w:pPr>
        <w:ind w:left="3600" w:hanging="360"/>
      </w:pPr>
      <w:rPr>
        <w:rFonts w:ascii="Courier New" w:hAnsi="Courier New" w:hint="default"/>
      </w:rPr>
    </w:lvl>
    <w:lvl w:ilvl="5" w:tplc="8AB0E36A">
      <w:start w:val="1"/>
      <w:numFmt w:val="bullet"/>
      <w:lvlText w:val=""/>
      <w:lvlJc w:val="left"/>
      <w:pPr>
        <w:ind w:left="4320" w:hanging="360"/>
      </w:pPr>
      <w:rPr>
        <w:rFonts w:ascii="Wingdings" w:hAnsi="Wingdings" w:hint="default"/>
      </w:rPr>
    </w:lvl>
    <w:lvl w:ilvl="6" w:tplc="FD28812A">
      <w:start w:val="1"/>
      <w:numFmt w:val="bullet"/>
      <w:lvlText w:val=""/>
      <w:lvlJc w:val="left"/>
      <w:pPr>
        <w:ind w:left="5040" w:hanging="360"/>
      </w:pPr>
      <w:rPr>
        <w:rFonts w:ascii="Symbol" w:hAnsi="Symbol" w:hint="default"/>
      </w:rPr>
    </w:lvl>
    <w:lvl w:ilvl="7" w:tplc="CEF40824">
      <w:start w:val="1"/>
      <w:numFmt w:val="bullet"/>
      <w:lvlText w:val="o"/>
      <w:lvlJc w:val="left"/>
      <w:pPr>
        <w:ind w:left="5760" w:hanging="360"/>
      </w:pPr>
      <w:rPr>
        <w:rFonts w:ascii="Courier New" w:hAnsi="Courier New" w:hint="default"/>
      </w:rPr>
    </w:lvl>
    <w:lvl w:ilvl="8" w:tplc="8EDE47C6">
      <w:start w:val="1"/>
      <w:numFmt w:val="bullet"/>
      <w:lvlText w:val=""/>
      <w:lvlJc w:val="left"/>
      <w:pPr>
        <w:ind w:left="6480" w:hanging="360"/>
      </w:pPr>
      <w:rPr>
        <w:rFonts w:ascii="Wingdings" w:hAnsi="Wingdings" w:hint="default"/>
      </w:rPr>
    </w:lvl>
  </w:abstractNum>
  <w:abstractNum w:abstractNumId="31" w15:restartNumberingAfterBreak="0">
    <w:nsid w:val="6EBD11E5"/>
    <w:multiLevelType w:val="hybridMultilevel"/>
    <w:tmpl w:val="550E7E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711B5608"/>
    <w:multiLevelType w:val="hybridMultilevel"/>
    <w:tmpl w:val="4754D62C"/>
    <w:lvl w:ilvl="0" w:tplc="DB4ECFB8">
      <w:numFmt w:val="bullet"/>
      <w:lvlText w:val=""/>
      <w:lvlJc w:val="left"/>
      <w:pPr>
        <w:ind w:left="720" w:hanging="360"/>
      </w:pPr>
      <w:rPr>
        <w:rFonts w:ascii="Wingdings" w:eastAsiaTheme="minorEastAsia"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714406C1"/>
    <w:multiLevelType w:val="hybridMultilevel"/>
    <w:tmpl w:val="981034D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7396ED39"/>
    <w:multiLevelType w:val="hybridMultilevel"/>
    <w:tmpl w:val="6F58E6B0"/>
    <w:lvl w:ilvl="0" w:tplc="83F48D30">
      <w:start w:val="1"/>
      <w:numFmt w:val="bullet"/>
      <w:lvlText w:val=""/>
      <w:lvlJc w:val="left"/>
      <w:pPr>
        <w:ind w:left="720" w:hanging="360"/>
      </w:pPr>
      <w:rPr>
        <w:rFonts w:ascii="Symbol" w:hAnsi="Symbol" w:hint="default"/>
      </w:rPr>
    </w:lvl>
    <w:lvl w:ilvl="1" w:tplc="0A1AD226">
      <w:start w:val="1"/>
      <w:numFmt w:val="bullet"/>
      <w:lvlText w:val="o"/>
      <w:lvlJc w:val="left"/>
      <w:pPr>
        <w:ind w:left="1440" w:hanging="360"/>
      </w:pPr>
      <w:rPr>
        <w:rFonts w:ascii="Courier New" w:hAnsi="Courier New" w:hint="default"/>
      </w:rPr>
    </w:lvl>
    <w:lvl w:ilvl="2" w:tplc="8842CC8A">
      <w:start w:val="1"/>
      <w:numFmt w:val="bullet"/>
      <w:lvlText w:val=""/>
      <w:lvlJc w:val="left"/>
      <w:pPr>
        <w:ind w:left="2160" w:hanging="360"/>
      </w:pPr>
      <w:rPr>
        <w:rFonts w:ascii="Wingdings" w:hAnsi="Wingdings" w:hint="default"/>
      </w:rPr>
    </w:lvl>
    <w:lvl w:ilvl="3" w:tplc="443E8AAA">
      <w:start w:val="1"/>
      <w:numFmt w:val="bullet"/>
      <w:lvlText w:val=""/>
      <w:lvlJc w:val="left"/>
      <w:pPr>
        <w:ind w:left="2880" w:hanging="360"/>
      </w:pPr>
      <w:rPr>
        <w:rFonts w:ascii="Symbol" w:hAnsi="Symbol" w:hint="default"/>
      </w:rPr>
    </w:lvl>
    <w:lvl w:ilvl="4" w:tplc="1F94DEB8">
      <w:start w:val="1"/>
      <w:numFmt w:val="bullet"/>
      <w:lvlText w:val="o"/>
      <w:lvlJc w:val="left"/>
      <w:pPr>
        <w:ind w:left="3600" w:hanging="360"/>
      </w:pPr>
      <w:rPr>
        <w:rFonts w:ascii="Courier New" w:hAnsi="Courier New" w:hint="default"/>
      </w:rPr>
    </w:lvl>
    <w:lvl w:ilvl="5" w:tplc="BDF4F1C4">
      <w:start w:val="1"/>
      <w:numFmt w:val="bullet"/>
      <w:lvlText w:val=""/>
      <w:lvlJc w:val="left"/>
      <w:pPr>
        <w:ind w:left="4320" w:hanging="360"/>
      </w:pPr>
      <w:rPr>
        <w:rFonts w:ascii="Wingdings" w:hAnsi="Wingdings" w:hint="default"/>
      </w:rPr>
    </w:lvl>
    <w:lvl w:ilvl="6" w:tplc="87C88D60">
      <w:start w:val="1"/>
      <w:numFmt w:val="bullet"/>
      <w:lvlText w:val=""/>
      <w:lvlJc w:val="left"/>
      <w:pPr>
        <w:ind w:left="5040" w:hanging="360"/>
      </w:pPr>
      <w:rPr>
        <w:rFonts w:ascii="Symbol" w:hAnsi="Symbol" w:hint="default"/>
      </w:rPr>
    </w:lvl>
    <w:lvl w:ilvl="7" w:tplc="1758F8A4">
      <w:start w:val="1"/>
      <w:numFmt w:val="bullet"/>
      <w:lvlText w:val="o"/>
      <w:lvlJc w:val="left"/>
      <w:pPr>
        <w:ind w:left="5760" w:hanging="360"/>
      </w:pPr>
      <w:rPr>
        <w:rFonts w:ascii="Courier New" w:hAnsi="Courier New" w:hint="default"/>
      </w:rPr>
    </w:lvl>
    <w:lvl w:ilvl="8" w:tplc="718A474E">
      <w:start w:val="1"/>
      <w:numFmt w:val="bullet"/>
      <w:lvlText w:val=""/>
      <w:lvlJc w:val="left"/>
      <w:pPr>
        <w:ind w:left="6480" w:hanging="360"/>
      </w:pPr>
      <w:rPr>
        <w:rFonts w:ascii="Wingdings" w:hAnsi="Wingdings" w:hint="default"/>
      </w:rPr>
    </w:lvl>
  </w:abstractNum>
  <w:abstractNum w:abstractNumId="35" w15:restartNumberingAfterBreak="0">
    <w:nsid w:val="74024FF7"/>
    <w:multiLevelType w:val="hybridMultilevel"/>
    <w:tmpl w:val="01F8DB1A"/>
    <w:lvl w:ilvl="0" w:tplc="04160001">
      <w:start w:val="1"/>
      <w:numFmt w:val="bullet"/>
      <w:lvlText w:val=""/>
      <w:lvlJc w:val="left"/>
      <w:pPr>
        <w:ind w:left="2484" w:hanging="360"/>
      </w:pPr>
      <w:rPr>
        <w:rFonts w:ascii="Symbol" w:hAnsi="Symbol" w:hint="default"/>
      </w:rPr>
    </w:lvl>
    <w:lvl w:ilvl="1" w:tplc="0A12919E">
      <w:start w:val="1"/>
      <w:numFmt w:val="bullet"/>
      <w:lvlText w:val="o"/>
      <w:lvlJc w:val="left"/>
      <w:pPr>
        <w:ind w:left="3204" w:hanging="360"/>
      </w:pPr>
      <w:rPr>
        <w:rFonts w:ascii="Courier New" w:hAnsi="Courier New" w:hint="default"/>
      </w:rPr>
    </w:lvl>
    <w:lvl w:ilvl="2" w:tplc="E95E3834">
      <w:start w:val="1"/>
      <w:numFmt w:val="bullet"/>
      <w:lvlText w:val=""/>
      <w:lvlJc w:val="left"/>
      <w:pPr>
        <w:ind w:left="3924" w:hanging="360"/>
      </w:pPr>
      <w:rPr>
        <w:rFonts w:ascii="Wingdings" w:hAnsi="Wingdings" w:hint="default"/>
      </w:rPr>
    </w:lvl>
    <w:lvl w:ilvl="3" w:tplc="84B6E46C">
      <w:start w:val="1"/>
      <w:numFmt w:val="bullet"/>
      <w:lvlText w:val=""/>
      <w:lvlJc w:val="left"/>
      <w:pPr>
        <w:ind w:left="4644" w:hanging="360"/>
      </w:pPr>
      <w:rPr>
        <w:rFonts w:ascii="Symbol" w:hAnsi="Symbol" w:hint="default"/>
      </w:rPr>
    </w:lvl>
    <w:lvl w:ilvl="4" w:tplc="C5A4B128">
      <w:start w:val="1"/>
      <w:numFmt w:val="bullet"/>
      <w:lvlText w:val="o"/>
      <w:lvlJc w:val="left"/>
      <w:pPr>
        <w:ind w:left="5364" w:hanging="360"/>
      </w:pPr>
      <w:rPr>
        <w:rFonts w:ascii="Courier New" w:hAnsi="Courier New" w:hint="default"/>
      </w:rPr>
    </w:lvl>
    <w:lvl w:ilvl="5" w:tplc="BC8A7C9A">
      <w:start w:val="1"/>
      <w:numFmt w:val="bullet"/>
      <w:lvlText w:val=""/>
      <w:lvlJc w:val="left"/>
      <w:pPr>
        <w:ind w:left="6084" w:hanging="360"/>
      </w:pPr>
      <w:rPr>
        <w:rFonts w:ascii="Wingdings" w:hAnsi="Wingdings" w:hint="default"/>
      </w:rPr>
    </w:lvl>
    <w:lvl w:ilvl="6" w:tplc="B71AFC36">
      <w:start w:val="1"/>
      <w:numFmt w:val="bullet"/>
      <w:lvlText w:val=""/>
      <w:lvlJc w:val="left"/>
      <w:pPr>
        <w:ind w:left="6804" w:hanging="360"/>
      </w:pPr>
      <w:rPr>
        <w:rFonts w:ascii="Symbol" w:hAnsi="Symbol" w:hint="default"/>
      </w:rPr>
    </w:lvl>
    <w:lvl w:ilvl="7" w:tplc="45F67514">
      <w:start w:val="1"/>
      <w:numFmt w:val="bullet"/>
      <w:lvlText w:val="o"/>
      <w:lvlJc w:val="left"/>
      <w:pPr>
        <w:ind w:left="7524" w:hanging="360"/>
      </w:pPr>
      <w:rPr>
        <w:rFonts w:ascii="Courier New" w:hAnsi="Courier New" w:hint="default"/>
      </w:rPr>
    </w:lvl>
    <w:lvl w:ilvl="8" w:tplc="03CE2FDC">
      <w:start w:val="1"/>
      <w:numFmt w:val="bullet"/>
      <w:lvlText w:val=""/>
      <w:lvlJc w:val="left"/>
      <w:pPr>
        <w:ind w:left="8244" w:hanging="360"/>
      </w:pPr>
      <w:rPr>
        <w:rFonts w:ascii="Wingdings" w:hAnsi="Wingdings" w:hint="default"/>
      </w:rPr>
    </w:lvl>
  </w:abstractNum>
  <w:abstractNum w:abstractNumId="36" w15:restartNumberingAfterBreak="0">
    <w:nsid w:val="749F5BE8"/>
    <w:multiLevelType w:val="hybridMultilevel"/>
    <w:tmpl w:val="8D4AC70E"/>
    <w:lvl w:ilvl="0" w:tplc="0FC69A46">
      <w:start w:val="1"/>
      <w:numFmt w:val="bullet"/>
      <w:lvlText w:val=""/>
      <w:lvlJc w:val="left"/>
      <w:pPr>
        <w:ind w:left="720" w:hanging="360"/>
      </w:pPr>
      <w:rPr>
        <w:rFonts w:ascii="Symbol" w:hAnsi="Symbol" w:hint="default"/>
      </w:rPr>
    </w:lvl>
    <w:lvl w:ilvl="1" w:tplc="16A8B354">
      <w:start w:val="1"/>
      <w:numFmt w:val="bullet"/>
      <w:lvlText w:val="o"/>
      <w:lvlJc w:val="left"/>
      <w:pPr>
        <w:ind w:left="1440" w:hanging="360"/>
      </w:pPr>
      <w:rPr>
        <w:rFonts w:ascii="Courier New" w:hAnsi="Courier New" w:hint="default"/>
      </w:rPr>
    </w:lvl>
    <w:lvl w:ilvl="2" w:tplc="44E46AB0">
      <w:start w:val="1"/>
      <w:numFmt w:val="bullet"/>
      <w:lvlText w:val=""/>
      <w:lvlJc w:val="left"/>
      <w:pPr>
        <w:ind w:left="2160" w:hanging="360"/>
      </w:pPr>
      <w:rPr>
        <w:rFonts w:ascii="Wingdings" w:hAnsi="Wingdings" w:hint="default"/>
      </w:rPr>
    </w:lvl>
    <w:lvl w:ilvl="3" w:tplc="7FCC3A16">
      <w:start w:val="1"/>
      <w:numFmt w:val="bullet"/>
      <w:lvlText w:val=""/>
      <w:lvlJc w:val="left"/>
      <w:pPr>
        <w:ind w:left="2880" w:hanging="360"/>
      </w:pPr>
      <w:rPr>
        <w:rFonts w:ascii="Symbol" w:hAnsi="Symbol" w:hint="default"/>
      </w:rPr>
    </w:lvl>
    <w:lvl w:ilvl="4" w:tplc="BBF6412A">
      <w:start w:val="1"/>
      <w:numFmt w:val="bullet"/>
      <w:lvlText w:val="o"/>
      <w:lvlJc w:val="left"/>
      <w:pPr>
        <w:ind w:left="3600" w:hanging="360"/>
      </w:pPr>
      <w:rPr>
        <w:rFonts w:ascii="Courier New" w:hAnsi="Courier New" w:hint="default"/>
      </w:rPr>
    </w:lvl>
    <w:lvl w:ilvl="5" w:tplc="5D86403C">
      <w:start w:val="1"/>
      <w:numFmt w:val="bullet"/>
      <w:lvlText w:val=""/>
      <w:lvlJc w:val="left"/>
      <w:pPr>
        <w:ind w:left="4320" w:hanging="360"/>
      </w:pPr>
      <w:rPr>
        <w:rFonts w:ascii="Wingdings" w:hAnsi="Wingdings" w:hint="default"/>
      </w:rPr>
    </w:lvl>
    <w:lvl w:ilvl="6" w:tplc="C5A6FC96">
      <w:start w:val="1"/>
      <w:numFmt w:val="bullet"/>
      <w:lvlText w:val=""/>
      <w:lvlJc w:val="left"/>
      <w:pPr>
        <w:ind w:left="5040" w:hanging="360"/>
      </w:pPr>
      <w:rPr>
        <w:rFonts w:ascii="Symbol" w:hAnsi="Symbol" w:hint="default"/>
      </w:rPr>
    </w:lvl>
    <w:lvl w:ilvl="7" w:tplc="C35ADAAE">
      <w:start w:val="1"/>
      <w:numFmt w:val="bullet"/>
      <w:lvlText w:val="o"/>
      <w:lvlJc w:val="left"/>
      <w:pPr>
        <w:ind w:left="5760" w:hanging="360"/>
      </w:pPr>
      <w:rPr>
        <w:rFonts w:ascii="Courier New" w:hAnsi="Courier New" w:hint="default"/>
      </w:rPr>
    </w:lvl>
    <w:lvl w:ilvl="8" w:tplc="FFB0CB36">
      <w:start w:val="1"/>
      <w:numFmt w:val="bullet"/>
      <w:lvlText w:val=""/>
      <w:lvlJc w:val="left"/>
      <w:pPr>
        <w:ind w:left="6480" w:hanging="360"/>
      </w:pPr>
      <w:rPr>
        <w:rFonts w:ascii="Wingdings" w:hAnsi="Wingdings" w:hint="default"/>
      </w:rPr>
    </w:lvl>
  </w:abstractNum>
  <w:abstractNum w:abstractNumId="37" w15:restartNumberingAfterBreak="0">
    <w:nsid w:val="787B65AB"/>
    <w:multiLevelType w:val="hybridMultilevel"/>
    <w:tmpl w:val="5A18C69C"/>
    <w:lvl w:ilvl="0" w:tplc="04160001">
      <w:start w:val="1"/>
      <w:numFmt w:val="bullet"/>
      <w:lvlText w:val=""/>
      <w:lvlJc w:val="left"/>
      <w:pPr>
        <w:ind w:left="2705" w:hanging="360"/>
      </w:pPr>
      <w:rPr>
        <w:rFonts w:ascii="Symbol" w:hAnsi="Symbol" w:hint="default"/>
      </w:rPr>
    </w:lvl>
    <w:lvl w:ilvl="1" w:tplc="04160003" w:tentative="1">
      <w:start w:val="1"/>
      <w:numFmt w:val="bullet"/>
      <w:lvlText w:val="o"/>
      <w:lvlJc w:val="left"/>
      <w:pPr>
        <w:ind w:left="3425" w:hanging="360"/>
      </w:pPr>
      <w:rPr>
        <w:rFonts w:ascii="Courier New" w:hAnsi="Courier New" w:cs="Courier New" w:hint="default"/>
      </w:rPr>
    </w:lvl>
    <w:lvl w:ilvl="2" w:tplc="04160005" w:tentative="1">
      <w:start w:val="1"/>
      <w:numFmt w:val="bullet"/>
      <w:lvlText w:val=""/>
      <w:lvlJc w:val="left"/>
      <w:pPr>
        <w:ind w:left="4145" w:hanging="360"/>
      </w:pPr>
      <w:rPr>
        <w:rFonts w:ascii="Wingdings" w:hAnsi="Wingdings" w:hint="default"/>
      </w:rPr>
    </w:lvl>
    <w:lvl w:ilvl="3" w:tplc="04160001" w:tentative="1">
      <w:start w:val="1"/>
      <w:numFmt w:val="bullet"/>
      <w:lvlText w:val=""/>
      <w:lvlJc w:val="left"/>
      <w:pPr>
        <w:ind w:left="4865" w:hanging="360"/>
      </w:pPr>
      <w:rPr>
        <w:rFonts w:ascii="Symbol" w:hAnsi="Symbol" w:hint="default"/>
      </w:rPr>
    </w:lvl>
    <w:lvl w:ilvl="4" w:tplc="04160003" w:tentative="1">
      <w:start w:val="1"/>
      <w:numFmt w:val="bullet"/>
      <w:lvlText w:val="o"/>
      <w:lvlJc w:val="left"/>
      <w:pPr>
        <w:ind w:left="5585" w:hanging="360"/>
      </w:pPr>
      <w:rPr>
        <w:rFonts w:ascii="Courier New" w:hAnsi="Courier New" w:cs="Courier New" w:hint="default"/>
      </w:rPr>
    </w:lvl>
    <w:lvl w:ilvl="5" w:tplc="04160005" w:tentative="1">
      <w:start w:val="1"/>
      <w:numFmt w:val="bullet"/>
      <w:lvlText w:val=""/>
      <w:lvlJc w:val="left"/>
      <w:pPr>
        <w:ind w:left="6305" w:hanging="360"/>
      </w:pPr>
      <w:rPr>
        <w:rFonts w:ascii="Wingdings" w:hAnsi="Wingdings" w:hint="default"/>
      </w:rPr>
    </w:lvl>
    <w:lvl w:ilvl="6" w:tplc="04160001" w:tentative="1">
      <w:start w:val="1"/>
      <w:numFmt w:val="bullet"/>
      <w:lvlText w:val=""/>
      <w:lvlJc w:val="left"/>
      <w:pPr>
        <w:ind w:left="7025" w:hanging="360"/>
      </w:pPr>
      <w:rPr>
        <w:rFonts w:ascii="Symbol" w:hAnsi="Symbol" w:hint="default"/>
      </w:rPr>
    </w:lvl>
    <w:lvl w:ilvl="7" w:tplc="04160003" w:tentative="1">
      <w:start w:val="1"/>
      <w:numFmt w:val="bullet"/>
      <w:lvlText w:val="o"/>
      <w:lvlJc w:val="left"/>
      <w:pPr>
        <w:ind w:left="7745" w:hanging="360"/>
      </w:pPr>
      <w:rPr>
        <w:rFonts w:ascii="Courier New" w:hAnsi="Courier New" w:cs="Courier New" w:hint="default"/>
      </w:rPr>
    </w:lvl>
    <w:lvl w:ilvl="8" w:tplc="04160005" w:tentative="1">
      <w:start w:val="1"/>
      <w:numFmt w:val="bullet"/>
      <w:lvlText w:val=""/>
      <w:lvlJc w:val="left"/>
      <w:pPr>
        <w:ind w:left="8465" w:hanging="360"/>
      </w:pPr>
      <w:rPr>
        <w:rFonts w:ascii="Wingdings" w:hAnsi="Wingdings" w:hint="default"/>
      </w:rPr>
    </w:lvl>
  </w:abstractNum>
  <w:abstractNum w:abstractNumId="38" w15:restartNumberingAfterBreak="0">
    <w:nsid w:val="7C13E385"/>
    <w:multiLevelType w:val="hybridMultilevel"/>
    <w:tmpl w:val="C2E41892"/>
    <w:lvl w:ilvl="0" w:tplc="0B3A2BD6">
      <w:start w:val="1"/>
      <w:numFmt w:val="bullet"/>
      <w:lvlText w:val="o"/>
      <w:lvlJc w:val="left"/>
      <w:pPr>
        <w:ind w:left="720" w:hanging="360"/>
      </w:pPr>
      <w:rPr>
        <w:rFonts w:ascii="Courier New" w:hAnsi="Courier New" w:hint="default"/>
      </w:rPr>
    </w:lvl>
    <w:lvl w:ilvl="1" w:tplc="23806C00">
      <w:start w:val="1"/>
      <w:numFmt w:val="bullet"/>
      <w:lvlText w:val="o"/>
      <w:lvlJc w:val="left"/>
      <w:pPr>
        <w:ind w:left="1440" w:hanging="360"/>
      </w:pPr>
      <w:rPr>
        <w:rFonts w:ascii="Courier New" w:hAnsi="Courier New" w:hint="default"/>
      </w:rPr>
    </w:lvl>
    <w:lvl w:ilvl="2" w:tplc="D5F24656">
      <w:start w:val="1"/>
      <w:numFmt w:val="bullet"/>
      <w:lvlText w:val=""/>
      <w:lvlJc w:val="left"/>
      <w:pPr>
        <w:ind w:left="2160" w:hanging="360"/>
      </w:pPr>
      <w:rPr>
        <w:rFonts w:ascii="Wingdings" w:hAnsi="Wingdings" w:hint="default"/>
      </w:rPr>
    </w:lvl>
    <w:lvl w:ilvl="3" w:tplc="C8D06152">
      <w:start w:val="1"/>
      <w:numFmt w:val="bullet"/>
      <w:lvlText w:val=""/>
      <w:lvlJc w:val="left"/>
      <w:pPr>
        <w:ind w:left="2880" w:hanging="360"/>
      </w:pPr>
      <w:rPr>
        <w:rFonts w:ascii="Symbol" w:hAnsi="Symbol" w:hint="default"/>
      </w:rPr>
    </w:lvl>
    <w:lvl w:ilvl="4" w:tplc="20A25C5E">
      <w:start w:val="1"/>
      <w:numFmt w:val="bullet"/>
      <w:lvlText w:val="o"/>
      <w:lvlJc w:val="left"/>
      <w:pPr>
        <w:ind w:left="3600" w:hanging="360"/>
      </w:pPr>
      <w:rPr>
        <w:rFonts w:ascii="Courier New" w:hAnsi="Courier New" w:hint="default"/>
      </w:rPr>
    </w:lvl>
    <w:lvl w:ilvl="5" w:tplc="EA6CD6F6">
      <w:start w:val="1"/>
      <w:numFmt w:val="bullet"/>
      <w:lvlText w:val=""/>
      <w:lvlJc w:val="left"/>
      <w:pPr>
        <w:ind w:left="4320" w:hanging="360"/>
      </w:pPr>
      <w:rPr>
        <w:rFonts w:ascii="Wingdings" w:hAnsi="Wingdings" w:hint="default"/>
      </w:rPr>
    </w:lvl>
    <w:lvl w:ilvl="6" w:tplc="58788440">
      <w:start w:val="1"/>
      <w:numFmt w:val="bullet"/>
      <w:lvlText w:val=""/>
      <w:lvlJc w:val="left"/>
      <w:pPr>
        <w:ind w:left="5040" w:hanging="360"/>
      </w:pPr>
      <w:rPr>
        <w:rFonts w:ascii="Symbol" w:hAnsi="Symbol" w:hint="default"/>
      </w:rPr>
    </w:lvl>
    <w:lvl w:ilvl="7" w:tplc="04A2F7AA">
      <w:start w:val="1"/>
      <w:numFmt w:val="bullet"/>
      <w:lvlText w:val="o"/>
      <w:lvlJc w:val="left"/>
      <w:pPr>
        <w:ind w:left="5760" w:hanging="360"/>
      </w:pPr>
      <w:rPr>
        <w:rFonts w:ascii="Courier New" w:hAnsi="Courier New" w:hint="default"/>
      </w:rPr>
    </w:lvl>
    <w:lvl w:ilvl="8" w:tplc="F61AF452">
      <w:start w:val="1"/>
      <w:numFmt w:val="bullet"/>
      <w:lvlText w:val=""/>
      <w:lvlJc w:val="left"/>
      <w:pPr>
        <w:ind w:left="6480" w:hanging="360"/>
      </w:pPr>
      <w:rPr>
        <w:rFonts w:ascii="Wingdings" w:hAnsi="Wingdings" w:hint="default"/>
      </w:rPr>
    </w:lvl>
  </w:abstractNum>
  <w:num w:numId="1">
    <w:abstractNumId w:val="30"/>
  </w:num>
  <w:num w:numId="2">
    <w:abstractNumId w:val="1"/>
  </w:num>
  <w:num w:numId="3">
    <w:abstractNumId w:val="11"/>
  </w:num>
  <w:num w:numId="4">
    <w:abstractNumId w:val="4"/>
  </w:num>
  <w:num w:numId="5">
    <w:abstractNumId w:val="36"/>
  </w:num>
  <w:num w:numId="6">
    <w:abstractNumId w:val="20"/>
  </w:num>
  <w:num w:numId="7">
    <w:abstractNumId w:val="9"/>
  </w:num>
  <w:num w:numId="8">
    <w:abstractNumId w:val="16"/>
  </w:num>
  <w:num w:numId="9">
    <w:abstractNumId w:val="34"/>
  </w:num>
  <w:num w:numId="10">
    <w:abstractNumId w:val="3"/>
  </w:num>
  <w:num w:numId="11">
    <w:abstractNumId w:val="27"/>
  </w:num>
  <w:num w:numId="12">
    <w:abstractNumId w:val="38"/>
  </w:num>
  <w:num w:numId="13">
    <w:abstractNumId w:val="23"/>
  </w:num>
  <w:num w:numId="14">
    <w:abstractNumId w:val="2"/>
  </w:num>
  <w:num w:numId="15">
    <w:abstractNumId w:val="13"/>
  </w:num>
  <w:num w:numId="16">
    <w:abstractNumId w:val="21"/>
  </w:num>
  <w:num w:numId="17">
    <w:abstractNumId w:val="25"/>
  </w:num>
  <w:num w:numId="18">
    <w:abstractNumId w:val="26"/>
  </w:num>
  <w:num w:numId="19">
    <w:abstractNumId w:val="22"/>
  </w:num>
  <w:num w:numId="20">
    <w:abstractNumId w:val="18"/>
  </w:num>
  <w:num w:numId="21">
    <w:abstractNumId w:val="8"/>
  </w:num>
  <w:num w:numId="22">
    <w:abstractNumId w:val="15"/>
  </w:num>
  <w:num w:numId="23">
    <w:abstractNumId w:val="10"/>
  </w:num>
  <w:num w:numId="24">
    <w:abstractNumId w:val="17"/>
  </w:num>
  <w:num w:numId="25">
    <w:abstractNumId w:val="19"/>
  </w:num>
  <w:num w:numId="26">
    <w:abstractNumId w:val="28"/>
  </w:num>
  <w:num w:numId="27">
    <w:abstractNumId w:val="31"/>
  </w:num>
  <w:num w:numId="28">
    <w:abstractNumId w:val="0"/>
  </w:num>
  <w:num w:numId="29">
    <w:abstractNumId w:val="35"/>
  </w:num>
  <w:num w:numId="30">
    <w:abstractNumId w:val="5"/>
  </w:num>
  <w:num w:numId="31">
    <w:abstractNumId w:val="7"/>
  </w:num>
  <w:num w:numId="32">
    <w:abstractNumId w:val="12"/>
  </w:num>
  <w:num w:numId="33">
    <w:abstractNumId w:val="33"/>
  </w:num>
  <w:num w:numId="34">
    <w:abstractNumId w:val="24"/>
  </w:num>
  <w:num w:numId="35">
    <w:abstractNumId w:val="37"/>
  </w:num>
  <w:num w:numId="36">
    <w:abstractNumId w:val="6"/>
  </w:num>
  <w:num w:numId="37">
    <w:abstractNumId w:val="14"/>
  </w:num>
  <w:num w:numId="38">
    <w:abstractNumId w:val="29"/>
  </w:num>
  <w:num w:numId="3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3CE"/>
    <w:rsid w:val="00006D41"/>
    <w:rsid w:val="00006F83"/>
    <w:rsid w:val="000200E4"/>
    <w:rsid w:val="000213FB"/>
    <w:rsid w:val="00067D9E"/>
    <w:rsid w:val="00076103"/>
    <w:rsid w:val="0007707D"/>
    <w:rsid w:val="0008116B"/>
    <w:rsid w:val="00091F5C"/>
    <w:rsid w:val="00092852"/>
    <w:rsid w:val="00094E5D"/>
    <w:rsid w:val="000961CD"/>
    <w:rsid w:val="000970E6"/>
    <w:rsid w:val="00097CB0"/>
    <w:rsid w:val="000B2B14"/>
    <w:rsid w:val="000B5A76"/>
    <w:rsid w:val="000B5B79"/>
    <w:rsid w:val="000C0FA3"/>
    <w:rsid w:val="000D7EA9"/>
    <w:rsid w:val="000E0253"/>
    <w:rsid w:val="000E7E87"/>
    <w:rsid w:val="000F224A"/>
    <w:rsid w:val="000F4311"/>
    <w:rsid w:val="000F4657"/>
    <w:rsid w:val="000F4F07"/>
    <w:rsid w:val="00104656"/>
    <w:rsid w:val="001062BD"/>
    <w:rsid w:val="001124A5"/>
    <w:rsid w:val="00122E35"/>
    <w:rsid w:val="00131FD4"/>
    <w:rsid w:val="00133ACF"/>
    <w:rsid w:val="00134366"/>
    <w:rsid w:val="00141A2E"/>
    <w:rsid w:val="00147A11"/>
    <w:rsid w:val="00167415"/>
    <w:rsid w:val="00168771"/>
    <w:rsid w:val="00171769"/>
    <w:rsid w:val="001771E5"/>
    <w:rsid w:val="00180B8E"/>
    <w:rsid w:val="00180E82"/>
    <w:rsid w:val="00181628"/>
    <w:rsid w:val="00185B67"/>
    <w:rsid w:val="0019672F"/>
    <w:rsid w:val="00197CAC"/>
    <w:rsid w:val="001A5D3A"/>
    <w:rsid w:val="001C1C94"/>
    <w:rsid w:val="001D2227"/>
    <w:rsid w:val="001D246D"/>
    <w:rsid w:val="001D40C4"/>
    <w:rsid w:val="001E31EA"/>
    <w:rsid w:val="001E6649"/>
    <w:rsid w:val="001F75F0"/>
    <w:rsid w:val="002161F6"/>
    <w:rsid w:val="002179E3"/>
    <w:rsid w:val="00220CED"/>
    <w:rsid w:val="0023515F"/>
    <w:rsid w:val="00236747"/>
    <w:rsid w:val="00242A52"/>
    <w:rsid w:val="00244617"/>
    <w:rsid w:val="00250BCC"/>
    <w:rsid w:val="00252088"/>
    <w:rsid w:val="002652A9"/>
    <w:rsid w:val="002673A3"/>
    <w:rsid w:val="00271BE3"/>
    <w:rsid w:val="00273122"/>
    <w:rsid w:val="00274F35"/>
    <w:rsid w:val="00285DAA"/>
    <w:rsid w:val="00290579"/>
    <w:rsid w:val="002911A0"/>
    <w:rsid w:val="00291553"/>
    <w:rsid w:val="0029361D"/>
    <w:rsid w:val="002A2873"/>
    <w:rsid w:val="002B71B9"/>
    <w:rsid w:val="002C5357"/>
    <w:rsid w:val="002D1353"/>
    <w:rsid w:val="002E6F2B"/>
    <w:rsid w:val="002F14D6"/>
    <w:rsid w:val="002F3693"/>
    <w:rsid w:val="003167A4"/>
    <w:rsid w:val="00335448"/>
    <w:rsid w:val="00345AFB"/>
    <w:rsid w:val="00352179"/>
    <w:rsid w:val="00357F49"/>
    <w:rsid w:val="003618F7"/>
    <w:rsid w:val="003877DD"/>
    <w:rsid w:val="00394C5E"/>
    <w:rsid w:val="003A3338"/>
    <w:rsid w:val="003A70B6"/>
    <w:rsid w:val="003B2A96"/>
    <w:rsid w:val="003B5F4A"/>
    <w:rsid w:val="003C2A13"/>
    <w:rsid w:val="00414B36"/>
    <w:rsid w:val="004423CE"/>
    <w:rsid w:val="00446678"/>
    <w:rsid w:val="0044B85C"/>
    <w:rsid w:val="00450AD9"/>
    <w:rsid w:val="004619ED"/>
    <w:rsid w:val="004704E2"/>
    <w:rsid w:val="00473110"/>
    <w:rsid w:val="00474C63"/>
    <w:rsid w:val="0047734C"/>
    <w:rsid w:val="0047CC5C"/>
    <w:rsid w:val="0048137E"/>
    <w:rsid w:val="004850D2"/>
    <w:rsid w:val="00486768"/>
    <w:rsid w:val="00486B11"/>
    <w:rsid w:val="00497329"/>
    <w:rsid w:val="004A66B9"/>
    <w:rsid w:val="004B5672"/>
    <w:rsid w:val="004B73AD"/>
    <w:rsid w:val="004B7CE0"/>
    <w:rsid w:val="004C0248"/>
    <w:rsid w:val="004D7D51"/>
    <w:rsid w:val="004E58EC"/>
    <w:rsid w:val="004E5997"/>
    <w:rsid w:val="004F25DF"/>
    <w:rsid w:val="005052F9"/>
    <w:rsid w:val="00513229"/>
    <w:rsid w:val="00517A5D"/>
    <w:rsid w:val="00522066"/>
    <w:rsid w:val="00523018"/>
    <w:rsid w:val="005261C6"/>
    <w:rsid w:val="0053050B"/>
    <w:rsid w:val="005315F4"/>
    <w:rsid w:val="00531733"/>
    <w:rsid w:val="00535104"/>
    <w:rsid w:val="00537078"/>
    <w:rsid w:val="00540918"/>
    <w:rsid w:val="005476D5"/>
    <w:rsid w:val="00551A48"/>
    <w:rsid w:val="00576524"/>
    <w:rsid w:val="00577E71"/>
    <w:rsid w:val="00582373"/>
    <w:rsid w:val="005846EF"/>
    <w:rsid w:val="00587C52"/>
    <w:rsid w:val="00591BFE"/>
    <w:rsid w:val="00596BED"/>
    <w:rsid w:val="005A6566"/>
    <w:rsid w:val="005A72FD"/>
    <w:rsid w:val="005B368E"/>
    <w:rsid w:val="005B3CCB"/>
    <w:rsid w:val="005B5071"/>
    <w:rsid w:val="005B568B"/>
    <w:rsid w:val="005C05E2"/>
    <w:rsid w:val="005D1253"/>
    <w:rsid w:val="005D36F6"/>
    <w:rsid w:val="005D3B70"/>
    <w:rsid w:val="005D7D9D"/>
    <w:rsid w:val="005E38E1"/>
    <w:rsid w:val="005E6CD2"/>
    <w:rsid w:val="005E743A"/>
    <w:rsid w:val="005F17C4"/>
    <w:rsid w:val="005F33CC"/>
    <w:rsid w:val="005F3DDA"/>
    <w:rsid w:val="00603643"/>
    <w:rsid w:val="00610C16"/>
    <w:rsid w:val="0061311E"/>
    <w:rsid w:val="006360CB"/>
    <w:rsid w:val="00642D67"/>
    <w:rsid w:val="00645579"/>
    <w:rsid w:val="006566AB"/>
    <w:rsid w:val="00674E89"/>
    <w:rsid w:val="0068246D"/>
    <w:rsid w:val="006955E9"/>
    <w:rsid w:val="006A790A"/>
    <w:rsid w:val="006C0EE2"/>
    <w:rsid w:val="006C1E88"/>
    <w:rsid w:val="006D1F90"/>
    <w:rsid w:val="006E26A1"/>
    <w:rsid w:val="006E78FA"/>
    <w:rsid w:val="006F71D9"/>
    <w:rsid w:val="007066C3"/>
    <w:rsid w:val="00720656"/>
    <w:rsid w:val="00722706"/>
    <w:rsid w:val="007254BE"/>
    <w:rsid w:val="00725EBD"/>
    <w:rsid w:val="007300B9"/>
    <w:rsid w:val="007325B1"/>
    <w:rsid w:val="00736ACD"/>
    <w:rsid w:val="0073AA9E"/>
    <w:rsid w:val="00750C31"/>
    <w:rsid w:val="007534A9"/>
    <w:rsid w:val="00754550"/>
    <w:rsid w:val="00761B54"/>
    <w:rsid w:val="00774A17"/>
    <w:rsid w:val="00790FA4"/>
    <w:rsid w:val="007911C6"/>
    <w:rsid w:val="00795095"/>
    <w:rsid w:val="007A2C1A"/>
    <w:rsid w:val="007A3982"/>
    <w:rsid w:val="007A43CC"/>
    <w:rsid w:val="007A6164"/>
    <w:rsid w:val="007B04E4"/>
    <w:rsid w:val="007C4B6D"/>
    <w:rsid w:val="007C5E1C"/>
    <w:rsid w:val="007D06F2"/>
    <w:rsid w:val="007D2819"/>
    <w:rsid w:val="007E300C"/>
    <w:rsid w:val="008000E0"/>
    <w:rsid w:val="00802A4A"/>
    <w:rsid w:val="00824001"/>
    <w:rsid w:val="00826629"/>
    <w:rsid w:val="008324DC"/>
    <w:rsid w:val="00835596"/>
    <w:rsid w:val="00840574"/>
    <w:rsid w:val="00845559"/>
    <w:rsid w:val="008516A0"/>
    <w:rsid w:val="00854AB4"/>
    <w:rsid w:val="0086219F"/>
    <w:rsid w:val="00862BA2"/>
    <w:rsid w:val="008673DF"/>
    <w:rsid w:val="00870236"/>
    <w:rsid w:val="00874096"/>
    <w:rsid w:val="00890E85"/>
    <w:rsid w:val="00891F61"/>
    <w:rsid w:val="00893372"/>
    <w:rsid w:val="0089470E"/>
    <w:rsid w:val="008962BD"/>
    <w:rsid w:val="008A21F9"/>
    <w:rsid w:val="008A597D"/>
    <w:rsid w:val="008A5F7C"/>
    <w:rsid w:val="008A6DA8"/>
    <w:rsid w:val="008B040E"/>
    <w:rsid w:val="008B7DE4"/>
    <w:rsid w:val="008C03A5"/>
    <w:rsid w:val="008D0BB9"/>
    <w:rsid w:val="008D4C9F"/>
    <w:rsid w:val="008E688F"/>
    <w:rsid w:val="008E7A9B"/>
    <w:rsid w:val="008F01BD"/>
    <w:rsid w:val="00906896"/>
    <w:rsid w:val="0092664B"/>
    <w:rsid w:val="00934C40"/>
    <w:rsid w:val="0094667B"/>
    <w:rsid w:val="00951CBE"/>
    <w:rsid w:val="00952A35"/>
    <w:rsid w:val="009617AB"/>
    <w:rsid w:val="009638B2"/>
    <w:rsid w:val="00974F29"/>
    <w:rsid w:val="0098126D"/>
    <w:rsid w:val="00985F37"/>
    <w:rsid w:val="00995ABB"/>
    <w:rsid w:val="009A46DE"/>
    <w:rsid w:val="009A4E90"/>
    <w:rsid w:val="009B27E8"/>
    <w:rsid w:val="009B389A"/>
    <w:rsid w:val="009D2783"/>
    <w:rsid w:val="009D63C4"/>
    <w:rsid w:val="009D7802"/>
    <w:rsid w:val="009E4305"/>
    <w:rsid w:val="009E5913"/>
    <w:rsid w:val="009F0C89"/>
    <w:rsid w:val="00A105B1"/>
    <w:rsid w:val="00A16880"/>
    <w:rsid w:val="00A17B4D"/>
    <w:rsid w:val="00A33223"/>
    <w:rsid w:val="00A40E0F"/>
    <w:rsid w:val="00A41179"/>
    <w:rsid w:val="00A44284"/>
    <w:rsid w:val="00A456B7"/>
    <w:rsid w:val="00A5067D"/>
    <w:rsid w:val="00A53227"/>
    <w:rsid w:val="00A7060B"/>
    <w:rsid w:val="00A7278F"/>
    <w:rsid w:val="00A74182"/>
    <w:rsid w:val="00A75BAD"/>
    <w:rsid w:val="00A777F1"/>
    <w:rsid w:val="00A90DC9"/>
    <w:rsid w:val="00A97F69"/>
    <w:rsid w:val="00AA4891"/>
    <w:rsid w:val="00AA7360"/>
    <w:rsid w:val="00AB1EAE"/>
    <w:rsid w:val="00AC36E0"/>
    <w:rsid w:val="00AC4282"/>
    <w:rsid w:val="00AD6704"/>
    <w:rsid w:val="00B10892"/>
    <w:rsid w:val="00B24709"/>
    <w:rsid w:val="00B25255"/>
    <w:rsid w:val="00B25CA5"/>
    <w:rsid w:val="00B27009"/>
    <w:rsid w:val="00B3145C"/>
    <w:rsid w:val="00B33F62"/>
    <w:rsid w:val="00B35C16"/>
    <w:rsid w:val="00B44F62"/>
    <w:rsid w:val="00B47554"/>
    <w:rsid w:val="00B47C26"/>
    <w:rsid w:val="00B5605D"/>
    <w:rsid w:val="00B570F9"/>
    <w:rsid w:val="00B625AE"/>
    <w:rsid w:val="00B73C04"/>
    <w:rsid w:val="00B7459C"/>
    <w:rsid w:val="00B83369"/>
    <w:rsid w:val="00B91579"/>
    <w:rsid w:val="00B95EE1"/>
    <w:rsid w:val="00BA09E9"/>
    <w:rsid w:val="00BB0272"/>
    <w:rsid w:val="00BB3714"/>
    <w:rsid w:val="00BC64A8"/>
    <w:rsid w:val="00BC7364"/>
    <w:rsid w:val="00BD5B88"/>
    <w:rsid w:val="00BE6A2D"/>
    <w:rsid w:val="00C01A4B"/>
    <w:rsid w:val="00C10352"/>
    <w:rsid w:val="00C1514F"/>
    <w:rsid w:val="00C2449C"/>
    <w:rsid w:val="00C404CF"/>
    <w:rsid w:val="00C459E5"/>
    <w:rsid w:val="00C45ADB"/>
    <w:rsid w:val="00C50139"/>
    <w:rsid w:val="00C52604"/>
    <w:rsid w:val="00C70073"/>
    <w:rsid w:val="00C7461B"/>
    <w:rsid w:val="00C7567C"/>
    <w:rsid w:val="00C75AED"/>
    <w:rsid w:val="00C76298"/>
    <w:rsid w:val="00C82131"/>
    <w:rsid w:val="00C93D29"/>
    <w:rsid w:val="00C9732E"/>
    <w:rsid w:val="00CA5702"/>
    <w:rsid w:val="00CD32C2"/>
    <w:rsid w:val="00CF24A3"/>
    <w:rsid w:val="00CF3D76"/>
    <w:rsid w:val="00CF5F50"/>
    <w:rsid w:val="00CF6FCF"/>
    <w:rsid w:val="00D02C23"/>
    <w:rsid w:val="00D12810"/>
    <w:rsid w:val="00D1305C"/>
    <w:rsid w:val="00D34D9B"/>
    <w:rsid w:val="00D35E10"/>
    <w:rsid w:val="00D43422"/>
    <w:rsid w:val="00D507BA"/>
    <w:rsid w:val="00D55D62"/>
    <w:rsid w:val="00D72604"/>
    <w:rsid w:val="00D77B39"/>
    <w:rsid w:val="00D8140E"/>
    <w:rsid w:val="00D90AD2"/>
    <w:rsid w:val="00DA3DEC"/>
    <w:rsid w:val="00DA5377"/>
    <w:rsid w:val="00DB7313"/>
    <w:rsid w:val="00DC34D7"/>
    <w:rsid w:val="00DC4B22"/>
    <w:rsid w:val="00DC7BAC"/>
    <w:rsid w:val="00DD78E1"/>
    <w:rsid w:val="00DE6AE8"/>
    <w:rsid w:val="00E06A0E"/>
    <w:rsid w:val="00E25BE2"/>
    <w:rsid w:val="00E429B3"/>
    <w:rsid w:val="00E430BE"/>
    <w:rsid w:val="00E50999"/>
    <w:rsid w:val="00E5218F"/>
    <w:rsid w:val="00E55CF8"/>
    <w:rsid w:val="00E626DF"/>
    <w:rsid w:val="00E65546"/>
    <w:rsid w:val="00E6774C"/>
    <w:rsid w:val="00E77A53"/>
    <w:rsid w:val="00E841B3"/>
    <w:rsid w:val="00E84A8C"/>
    <w:rsid w:val="00E854B9"/>
    <w:rsid w:val="00E87192"/>
    <w:rsid w:val="00EB002E"/>
    <w:rsid w:val="00EB4E6D"/>
    <w:rsid w:val="00EC1025"/>
    <w:rsid w:val="00EC49F2"/>
    <w:rsid w:val="00ED55DA"/>
    <w:rsid w:val="00EE2020"/>
    <w:rsid w:val="00EE6539"/>
    <w:rsid w:val="00EE6FE1"/>
    <w:rsid w:val="00EF21D0"/>
    <w:rsid w:val="00EF5B49"/>
    <w:rsid w:val="00EF644F"/>
    <w:rsid w:val="00F0564E"/>
    <w:rsid w:val="00F151AA"/>
    <w:rsid w:val="00F151FF"/>
    <w:rsid w:val="00F15C96"/>
    <w:rsid w:val="00F207BE"/>
    <w:rsid w:val="00F302DA"/>
    <w:rsid w:val="00F31113"/>
    <w:rsid w:val="00F36349"/>
    <w:rsid w:val="00F4125D"/>
    <w:rsid w:val="00F42D70"/>
    <w:rsid w:val="00F47923"/>
    <w:rsid w:val="00F56C5C"/>
    <w:rsid w:val="00F60AD6"/>
    <w:rsid w:val="00F966A2"/>
    <w:rsid w:val="00FA11AC"/>
    <w:rsid w:val="00FA1FEE"/>
    <w:rsid w:val="00FC0E5A"/>
    <w:rsid w:val="00FC38D2"/>
    <w:rsid w:val="00FC4A4C"/>
    <w:rsid w:val="00FC56F7"/>
    <w:rsid w:val="00FD490D"/>
    <w:rsid w:val="00FD4E07"/>
    <w:rsid w:val="00FE07DA"/>
    <w:rsid w:val="00FE67DB"/>
    <w:rsid w:val="00FF46E6"/>
    <w:rsid w:val="00FF4E61"/>
    <w:rsid w:val="01335724"/>
    <w:rsid w:val="01409BE1"/>
    <w:rsid w:val="01751957"/>
    <w:rsid w:val="017E209E"/>
    <w:rsid w:val="018314B6"/>
    <w:rsid w:val="018E45F7"/>
    <w:rsid w:val="01BC9E0A"/>
    <w:rsid w:val="01CBD1D9"/>
    <w:rsid w:val="01EA06B3"/>
    <w:rsid w:val="01F16BCC"/>
    <w:rsid w:val="02296117"/>
    <w:rsid w:val="02420827"/>
    <w:rsid w:val="024A135D"/>
    <w:rsid w:val="0266B31C"/>
    <w:rsid w:val="0267CD09"/>
    <w:rsid w:val="02735648"/>
    <w:rsid w:val="0276C399"/>
    <w:rsid w:val="02953703"/>
    <w:rsid w:val="0295D212"/>
    <w:rsid w:val="02989102"/>
    <w:rsid w:val="02C2C12C"/>
    <w:rsid w:val="02CD0BD0"/>
    <w:rsid w:val="02CDCAC9"/>
    <w:rsid w:val="02E1188D"/>
    <w:rsid w:val="0319ADCD"/>
    <w:rsid w:val="031BFF04"/>
    <w:rsid w:val="031CA2BD"/>
    <w:rsid w:val="0337D2EB"/>
    <w:rsid w:val="034E2833"/>
    <w:rsid w:val="036BCB78"/>
    <w:rsid w:val="03729E94"/>
    <w:rsid w:val="0388BDAF"/>
    <w:rsid w:val="03A5AC4E"/>
    <w:rsid w:val="03B53E77"/>
    <w:rsid w:val="03C4101D"/>
    <w:rsid w:val="03CE8E92"/>
    <w:rsid w:val="03CEB844"/>
    <w:rsid w:val="03D8C1B3"/>
    <w:rsid w:val="03E62358"/>
    <w:rsid w:val="0448C864"/>
    <w:rsid w:val="046CDC72"/>
    <w:rsid w:val="047AC4A8"/>
    <w:rsid w:val="0490B78C"/>
    <w:rsid w:val="04CD238C"/>
    <w:rsid w:val="05090330"/>
    <w:rsid w:val="051CE675"/>
    <w:rsid w:val="051E82B9"/>
    <w:rsid w:val="051F73FA"/>
    <w:rsid w:val="0524C868"/>
    <w:rsid w:val="05395973"/>
    <w:rsid w:val="0548C789"/>
    <w:rsid w:val="05B3EDC9"/>
    <w:rsid w:val="05B9892C"/>
    <w:rsid w:val="05C17574"/>
    <w:rsid w:val="05C964DF"/>
    <w:rsid w:val="05CB8766"/>
    <w:rsid w:val="05DB7D4A"/>
    <w:rsid w:val="05F1956B"/>
    <w:rsid w:val="05F4D657"/>
    <w:rsid w:val="0613D282"/>
    <w:rsid w:val="0658DC25"/>
    <w:rsid w:val="065C2FDB"/>
    <w:rsid w:val="065E735F"/>
    <w:rsid w:val="0660FEEC"/>
    <w:rsid w:val="0666CBC7"/>
    <w:rsid w:val="067C6E0F"/>
    <w:rsid w:val="06BA531A"/>
    <w:rsid w:val="06C99758"/>
    <w:rsid w:val="06CDA0AD"/>
    <w:rsid w:val="06FB5D64"/>
    <w:rsid w:val="06FF270C"/>
    <w:rsid w:val="074BCCFA"/>
    <w:rsid w:val="074FBE2A"/>
    <w:rsid w:val="075E3B97"/>
    <w:rsid w:val="0770BE0C"/>
    <w:rsid w:val="07AFA2E3"/>
    <w:rsid w:val="07B01955"/>
    <w:rsid w:val="07B2656A"/>
    <w:rsid w:val="07F013E0"/>
    <w:rsid w:val="07F2563A"/>
    <w:rsid w:val="07FA43C0"/>
    <w:rsid w:val="07FC40A9"/>
    <w:rsid w:val="080B9520"/>
    <w:rsid w:val="08183E70"/>
    <w:rsid w:val="08225907"/>
    <w:rsid w:val="0826D865"/>
    <w:rsid w:val="08403D30"/>
    <w:rsid w:val="084CF379"/>
    <w:rsid w:val="0856237B"/>
    <w:rsid w:val="08ACEA4B"/>
    <w:rsid w:val="08B73066"/>
    <w:rsid w:val="08D195F6"/>
    <w:rsid w:val="08DCBD56"/>
    <w:rsid w:val="08E7E54B"/>
    <w:rsid w:val="08F3C412"/>
    <w:rsid w:val="08FB90DD"/>
    <w:rsid w:val="08FFE15E"/>
    <w:rsid w:val="0907D286"/>
    <w:rsid w:val="0928899B"/>
    <w:rsid w:val="094B7344"/>
    <w:rsid w:val="094E266E"/>
    <w:rsid w:val="095917FE"/>
    <w:rsid w:val="097EC7CE"/>
    <w:rsid w:val="098E695F"/>
    <w:rsid w:val="09B5A7B6"/>
    <w:rsid w:val="09D3BB7D"/>
    <w:rsid w:val="09F8CC5E"/>
    <w:rsid w:val="09FF8BC1"/>
    <w:rsid w:val="0A05BE05"/>
    <w:rsid w:val="0A519590"/>
    <w:rsid w:val="0A7FF9E6"/>
    <w:rsid w:val="0AB7EC92"/>
    <w:rsid w:val="0AC5CBEE"/>
    <w:rsid w:val="0ACB5F1F"/>
    <w:rsid w:val="0AD3D06D"/>
    <w:rsid w:val="0ADA4EF2"/>
    <w:rsid w:val="0AE45057"/>
    <w:rsid w:val="0AE61B76"/>
    <w:rsid w:val="0AF6BF0A"/>
    <w:rsid w:val="0B32487E"/>
    <w:rsid w:val="0B46CD19"/>
    <w:rsid w:val="0B4DE6A0"/>
    <w:rsid w:val="0B4F81EA"/>
    <w:rsid w:val="0B4FDF32"/>
    <w:rsid w:val="0B5CFBBB"/>
    <w:rsid w:val="0B6F8BDE"/>
    <w:rsid w:val="0B777964"/>
    <w:rsid w:val="0B85ACBD"/>
    <w:rsid w:val="0B85CA5D"/>
    <w:rsid w:val="0BA1EB7A"/>
    <w:rsid w:val="0BBA7E1E"/>
    <w:rsid w:val="0BED65F1"/>
    <w:rsid w:val="0C00848E"/>
    <w:rsid w:val="0C02F160"/>
    <w:rsid w:val="0C0FD6A3"/>
    <w:rsid w:val="0C37F12C"/>
    <w:rsid w:val="0C442F2F"/>
    <w:rsid w:val="0C70D2CF"/>
    <w:rsid w:val="0C713B23"/>
    <w:rsid w:val="0C7BF78A"/>
    <w:rsid w:val="0C7F1CF6"/>
    <w:rsid w:val="0C9ACC01"/>
    <w:rsid w:val="0CA7ABB7"/>
    <w:rsid w:val="0CCF3BB3"/>
    <w:rsid w:val="0CD9B0EE"/>
    <w:rsid w:val="0CF806F5"/>
    <w:rsid w:val="0D036503"/>
    <w:rsid w:val="0D07B089"/>
    <w:rsid w:val="0D1349C5"/>
    <w:rsid w:val="0D49A9D6"/>
    <w:rsid w:val="0D7669BC"/>
    <w:rsid w:val="0D893652"/>
    <w:rsid w:val="0D89CCA8"/>
    <w:rsid w:val="0DBFC710"/>
    <w:rsid w:val="0DD844DB"/>
    <w:rsid w:val="0E051472"/>
    <w:rsid w:val="0E094620"/>
    <w:rsid w:val="0E2B7429"/>
    <w:rsid w:val="0E438BE5"/>
    <w:rsid w:val="0E549DF3"/>
    <w:rsid w:val="0E5A5903"/>
    <w:rsid w:val="0E6197BE"/>
    <w:rsid w:val="0E6C0CD4"/>
    <w:rsid w:val="0E75814F"/>
    <w:rsid w:val="0E87BD63"/>
    <w:rsid w:val="0E9112AC"/>
    <w:rsid w:val="0E9F3564"/>
    <w:rsid w:val="0EA21501"/>
    <w:rsid w:val="0EA72CA0"/>
    <w:rsid w:val="0EA846A6"/>
    <w:rsid w:val="0ED983CD"/>
    <w:rsid w:val="0EF7689A"/>
    <w:rsid w:val="0F0232EA"/>
    <w:rsid w:val="0F198D58"/>
    <w:rsid w:val="0F21C582"/>
    <w:rsid w:val="0F259D09"/>
    <w:rsid w:val="0F2A0668"/>
    <w:rsid w:val="0F37BD2F"/>
    <w:rsid w:val="0F4C9010"/>
    <w:rsid w:val="0F6C8589"/>
    <w:rsid w:val="0F72A4C3"/>
    <w:rsid w:val="0F7B3539"/>
    <w:rsid w:val="0F7E8B27"/>
    <w:rsid w:val="0F7F40F8"/>
    <w:rsid w:val="0F85938A"/>
    <w:rsid w:val="0F87783B"/>
    <w:rsid w:val="0FBFC4E6"/>
    <w:rsid w:val="0FC7448A"/>
    <w:rsid w:val="0FEDC957"/>
    <w:rsid w:val="0FFB25C5"/>
    <w:rsid w:val="105F47BA"/>
    <w:rsid w:val="1085E094"/>
    <w:rsid w:val="108A87A6"/>
    <w:rsid w:val="108CEFF3"/>
    <w:rsid w:val="108F4F82"/>
    <w:rsid w:val="109F6630"/>
    <w:rsid w:val="10C5D6C9"/>
    <w:rsid w:val="10F349E9"/>
    <w:rsid w:val="10F87E3C"/>
    <w:rsid w:val="111C4384"/>
    <w:rsid w:val="1121F72D"/>
    <w:rsid w:val="114E037E"/>
    <w:rsid w:val="114F68AD"/>
    <w:rsid w:val="117CA5DA"/>
    <w:rsid w:val="11873D7A"/>
    <w:rsid w:val="11AC2BA4"/>
    <w:rsid w:val="11CA1380"/>
    <w:rsid w:val="11DECD62"/>
    <w:rsid w:val="11F98753"/>
    <w:rsid w:val="11FC2754"/>
    <w:rsid w:val="12239607"/>
    <w:rsid w:val="123D3DE1"/>
    <w:rsid w:val="12510481"/>
    <w:rsid w:val="12512E1A"/>
    <w:rsid w:val="125D5B2A"/>
    <w:rsid w:val="12756E23"/>
    <w:rsid w:val="127DB59F"/>
    <w:rsid w:val="1299BB4C"/>
    <w:rsid w:val="12BDC78E"/>
    <w:rsid w:val="12CEA56E"/>
    <w:rsid w:val="12D8B75A"/>
    <w:rsid w:val="12E3DD3A"/>
    <w:rsid w:val="12E67328"/>
    <w:rsid w:val="130C9E36"/>
    <w:rsid w:val="1325AA14"/>
    <w:rsid w:val="132C893E"/>
    <w:rsid w:val="133C8CA8"/>
    <w:rsid w:val="133FCAE3"/>
    <w:rsid w:val="135F4DF6"/>
    <w:rsid w:val="136C80DA"/>
    <w:rsid w:val="136E11A6"/>
    <w:rsid w:val="13A679AA"/>
    <w:rsid w:val="13BD3051"/>
    <w:rsid w:val="13C2A1DE"/>
    <w:rsid w:val="13E8E1D9"/>
    <w:rsid w:val="13EDB0DD"/>
    <w:rsid w:val="13F34CB0"/>
    <w:rsid w:val="13F7FD52"/>
    <w:rsid w:val="1414FEE9"/>
    <w:rsid w:val="1430A54A"/>
    <w:rsid w:val="144B7260"/>
    <w:rsid w:val="1452B21B"/>
    <w:rsid w:val="145997EF"/>
    <w:rsid w:val="145D8D2D"/>
    <w:rsid w:val="147487BB"/>
    <w:rsid w:val="1480D4AA"/>
    <w:rsid w:val="14878130"/>
    <w:rsid w:val="14878E57"/>
    <w:rsid w:val="14BC5FF2"/>
    <w:rsid w:val="14CE96E8"/>
    <w:rsid w:val="14E597FA"/>
    <w:rsid w:val="14EEDF85"/>
    <w:rsid w:val="15106002"/>
    <w:rsid w:val="15139F10"/>
    <w:rsid w:val="152219DE"/>
    <w:rsid w:val="1530A842"/>
    <w:rsid w:val="1574DEA3"/>
    <w:rsid w:val="158F1D11"/>
    <w:rsid w:val="1591309B"/>
    <w:rsid w:val="1592AAF0"/>
    <w:rsid w:val="15A2DC4E"/>
    <w:rsid w:val="15AB709D"/>
    <w:rsid w:val="15B40ACB"/>
    <w:rsid w:val="15DF86C4"/>
    <w:rsid w:val="15E1FE6D"/>
    <w:rsid w:val="15F44BB0"/>
    <w:rsid w:val="15FE5AE9"/>
    <w:rsid w:val="1622D9D0"/>
    <w:rsid w:val="16237BA4"/>
    <w:rsid w:val="163967AA"/>
    <w:rsid w:val="165D4AD6"/>
    <w:rsid w:val="16642183"/>
    <w:rsid w:val="1676DFFE"/>
    <w:rsid w:val="16A3DA45"/>
    <w:rsid w:val="1737A830"/>
    <w:rsid w:val="173EACAF"/>
    <w:rsid w:val="174FDB2C"/>
    <w:rsid w:val="177B5725"/>
    <w:rsid w:val="177D473D"/>
    <w:rsid w:val="178A52DD"/>
    <w:rsid w:val="179D37A0"/>
    <w:rsid w:val="17A8B128"/>
    <w:rsid w:val="17AB860F"/>
    <w:rsid w:val="17EEDA74"/>
    <w:rsid w:val="18087A04"/>
    <w:rsid w:val="180F68C6"/>
    <w:rsid w:val="183AD70A"/>
    <w:rsid w:val="18429A1A"/>
    <w:rsid w:val="184E0EE6"/>
    <w:rsid w:val="1859F8F1"/>
    <w:rsid w:val="1863B1EC"/>
    <w:rsid w:val="18A58543"/>
    <w:rsid w:val="18AC0135"/>
    <w:rsid w:val="18BFB94A"/>
    <w:rsid w:val="18C83061"/>
    <w:rsid w:val="18CD1783"/>
    <w:rsid w:val="18EE45DB"/>
    <w:rsid w:val="18FAD7FB"/>
    <w:rsid w:val="18FF559C"/>
    <w:rsid w:val="1904166D"/>
    <w:rsid w:val="190BD582"/>
    <w:rsid w:val="190C020E"/>
    <w:rsid w:val="19172786"/>
    <w:rsid w:val="1942E363"/>
    <w:rsid w:val="1992E7C7"/>
    <w:rsid w:val="19A60FF2"/>
    <w:rsid w:val="19DB578D"/>
    <w:rsid w:val="19DB7B07"/>
    <w:rsid w:val="1A1CB053"/>
    <w:rsid w:val="1A3508CE"/>
    <w:rsid w:val="1A65F708"/>
    <w:rsid w:val="1A7CA2A1"/>
    <w:rsid w:val="1AA3DA59"/>
    <w:rsid w:val="1AC1F39F"/>
    <w:rsid w:val="1ACCDE18"/>
    <w:rsid w:val="1ACF0ADB"/>
    <w:rsid w:val="1AD39F67"/>
    <w:rsid w:val="1AE08828"/>
    <w:rsid w:val="1AE8BD93"/>
    <w:rsid w:val="1AEEEF1F"/>
    <w:rsid w:val="1AF2570A"/>
    <w:rsid w:val="1B20BED3"/>
    <w:rsid w:val="1B3F1D2E"/>
    <w:rsid w:val="1B401AC6"/>
    <w:rsid w:val="1B460705"/>
    <w:rsid w:val="1B48084C"/>
    <w:rsid w:val="1B6923AF"/>
    <w:rsid w:val="1B887311"/>
    <w:rsid w:val="1B8EB549"/>
    <w:rsid w:val="1B95EF42"/>
    <w:rsid w:val="1BA44145"/>
    <w:rsid w:val="1BB02F82"/>
    <w:rsid w:val="1BB28FD9"/>
    <w:rsid w:val="1BD40AF5"/>
    <w:rsid w:val="1C04E9F7"/>
    <w:rsid w:val="1C088970"/>
    <w:rsid w:val="1C0AFCCD"/>
    <w:rsid w:val="1C3B10A9"/>
    <w:rsid w:val="1C4B0AEF"/>
    <w:rsid w:val="1C5C0AAB"/>
    <w:rsid w:val="1C5DC400"/>
    <w:rsid w:val="1C68AE79"/>
    <w:rsid w:val="1C7CE659"/>
    <w:rsid w:val="1C9AB77B"/>
    <w:rsid w:val="1CD9A8CD"/>
    <w:rsid w:val="1D1C2334"/>
    <w:rsid w:val="1D3062AD"/>
    <w:rsid w:val="1D404E1E"/>
    <w:rsid w:val="1D56BEA5"/>
    <w:rsid w:val="1D64AC76"/>
    <w:rsid w:val="1D741AE4"/>
    <w:rsid w:val="1D9611DE"/>
    <w:rsid w:val="1DAEE1B2"/>
    <w:rsid w:val="1DBF31F9"/>
    <w:rsid w:val="1DDA2330"/>
    <w:rsid w:val="1DF99461"/>
    <w:rsid w:val="1E034AAC"/>
    <w:rsid w:val="1E040825"/>
    <w:rsid w:val="1E419E55"/>
    <w:rsid w:val="1E528F13"/>
    <w:rsid w:val="1E52ECE1"/>
    <w:rsid w:val="1E548B84"/>
    <w:rsid w:val="1E707E7C"/>
    <w:rsid w:val="1E7FA90E"/>
    <w:rsid w:val="1E92FC5D"/>
    <w:rsid w:val="1EC3F4B8"/>
    <w:rsid w:val="1ED4CF05"/>
    <w:rsid w:val="1EDDDBB0"/>
    <w:rsid w:val="1EE690E8"/>
    <w:rsid w:val="1EED3F30"/>
    <w:rsid w:val="1EF06773"/>
    <w:rsid w:val="1F111110"/>
    <w:rsid w:val="1F1D86AD"/>
    <w:rsid w:val="1F47C73D"/>
    <w:rsid w:val="1F58014A"/>
    <w:rsid w:val="1F736C01"/>
    <w:rsid w:val="1FA04F3B"/>
    <w:rsid w:val="1FA52914"/>
    <w:rsid w:val="1FC26042"/>
    <w:rsid w:val="1FCA3BBA"/>
    <w:rsid w:val="1FD23799"/>
    <w:rsid w:val="1FD4E639"/>
    <w:rsid w:val="1FDFB0F8"/>
    <w:rsid w:val="1FE49D89"/>
    <w:rsid w:val="20098644"/>
    <w:rsid w:val="200A221F"/>
    <w:rsid w:val="20114CCD"/>
    <w:rsid w:val="2013EC6E"/>
    <w:rsid w:val="2017FE27"/>
    <w:rsid w:val="202BD4F7"/>
    <w:rsid w:val="205A9000"/>
    <w:rsid w:val="205E1211"/>
    <w:rsid w:val="2067D26A"/>
    <w:rsid w:val="2070CC62"/>
    <w:rsid w:val="2076D11C"/>
    <w:rsid w:val="20DEC7B2"/>
    <w:rsid w:val="20F978AE"/>
    <w:rsid w:val="21074EDC"/>
    <w:rsid w:val="21115564"/>
    <w:rsid w:val="21327A29"/>
    <w:rsid w:val="216E07FA"/>
    <w:rsid w:val="21AAFB94"/>
    <w:rsid w:val="21BDC20E"/>
    <w:rsid w:val="21C03512"/>
    <w:rsid w:val="22056933"/>
    <w:rsid w:val="222B6438"/>
    <w:rsid w:val="2244E287"/>
    <w:rsid w:val="2257E4FC"/>
    <w:rsid w:val="2264FAB4"/>
    <w:rsid w:val="2266A1AA"/>
    <w:rsid w:val="226CFBA8"/>
    <w:rsid w:val="22815209"/>
    <w:rsid w:val="22871735"/>
    <w:rsid w:val="22C3BA35"/>
    <w:rsid w:val="22C62C0A"/>
    <w:rsid w:val="22EAA117"/>
    <w:rsid w:val="23026C3E"/>
    <w:rsid w:val="23178F97"/>
    <w:rsid w:val="2323374A"/>
    <w:rsid w:val="2330B83A"/>
    <w:rsid w:val="2336F7C3"/>
    <w:rsid w:val="2349979B"/>
    <w:rsid w:val="234C3669"/>
    <w:rsid w:val="2359C445"/>
    <w:rsid w:val="236E7928"/>
    <w:rsid w:val="23A37E1F"/>
    <w:rsid w:val="23B7301F"/>
    <w:rsid w:val="23B8995D"/>
    <w:rsid w:val="23D5E0FA"/>
    <w:rsid w:val="23E8D863"/>
    <w:rsid w:val="23F7361E"/>
    <w:rsid w:val="2428EB34"/>
    <w:rsid w:val="24539CFD"/>
    <w:rsid w:val="2458290E"/>
    <w:rsid w:val="245E749C"/>
    <w:rsid w:val="248428AE"/>
    <w:rsid w:val="248AAF32"/>
    <w:rsid w:val="249A0722"/>
    <w:rsid w:val="249A2FEA"/>
    <w:rsid w:val="24D3DD25"/>
    <w:rsid w:val="24FE2959"/>
    <w:rsid w:val="2505FA10"/>
    <w:rsid w:val="2534D827"/>
    <w:rsid w:val="254D745C"/>
    <w:rsid w:val="254FB7E3"/>
    <w:rsid w:val="2560E164"/>
    <w:rsid w:val="25804F77"/>
    <w:rsid w:val="25846493"/>
    <w:rsid w:val="25A6E02C"/>
    <w:rsid w:val="25B3B1BE"/>
    <w:rsid w:val="25BF5548"/>
    <w:rsid w:val="25C0ED9E"/>
    <w:rsid w:val="25C98528"/>
    <w:rsid w:val="25E4C412"/>
    <w:rsid w:val="25E77FD8"/>
    <w:rsid w:val="25EF6D5E"/>
    <w:rsid w:val="260B4162"/>
    <w:rsid w:val="262483C1"/>
    <w:rsid w:val="262BAC81"/>
    <w:rsid w:val="26429FAA"/>
    <w:rsid w:val="2647EF13"/>
    <w:rsid w:val="264AD56B"/>
    <w:rsid w:val="2653F254"/>
    <w:rsid w:val="265EAF7B"/>
    <w:rsid w:val="26659D03"/>
    <w:rsid w:val="266DD462"/>
    <w:rsid w:val="268ABAF3"/>
    <w:rsid w:val="26BAE16A"/>
    <w:rsid w:val="26C3057A"/>
    <w:rsid w:val="26C5B39B"/>
    <w:rsid w:val="26D7BD71"/>
    <w:rsid w:val="26FCB1C5"/>
    <w:rsid w:val="26FD46EF"/>
    <w:rsid w:val="2703A8EF"/>
    <w:rsid w:val="2706AE08"/>
    <w:rsid w:val="270B91B6"/>
    <w:rsid w:val="273F467E"/>
    <w:rsid w:val="2744BAEA"/>
    <w:rsid w:val="275C6F67"/>
    <w:rsid w:val="27627CDE"/>
    <w:rsid w:val="27744273"/>
    <w:rsid w:val="277592C8"/>
    <w:rsid w:val="27769060"/>
    <w:rsid w:val="2777E45D"/>
    <w:rsid w:val="277E7DE6"/>
    <w:rsid w:val="277F9EC8"/>
    <w:rsid w:val="27A7310A"/>
    <w:rsid w:val="27AAEA6B"/>
    <w:rsid w:val="27CA9717"/>
    <w:rsid w:val="27D3A3DD"/>
    <w:rsid w:val="27DCB158"/>
    <w:rsid w:val="27FF010B"/>
    <w:rsid w:val="28087F7B"/>
    <w:rsid w:val="2820CB3E"/>
    <w:rsid w:val="2823B1D9"/>
    <w:rsid w:val="28243FED"/>
    <w:rsid w:val="282B3382"/>
    <w:rsid w:val="2830AA0D"/>
    <w:rsid w:val="2839A920"/>
    <w:rsid w:val="2863F365"/>
    <w:rsid w:val="28988226"/>
    <w:rsid w:val="289A8C4F"/>
    <w:rsid w:val="28A7FE72"/>
    <w:rsid w:val="28CC53BB"/>
    <w:rsid w:val="28D4CB17"/>
    <w:rsid w:val="28F41E9C"/>
    <w:rsid w:val="290396F8"/>
    <w:rsid w:val="29059B0C"/>
    <w:rsid w:val="291012D4"/>
    <w:rsid w:val="29254124"/>
    <w:rsid w:val="29270E20"/>
    <w:rsid w:val="29285669"/>
    <w:rsid w:val="2943016B"/>
    <w:rsid w:val="2946BACC"/>
    <w:rsid w:val="295D5A34"/>
    <w:rsid w:val="295E76DB"/>
    <w:rsid w:val="29666778"/>
    <w:rsid w:val="296765F8"/>
    <w:rsid w:val="296ABFB3"/>
    <w:rsid w:val="29788BE2"/>
    <w:rsid w:val="2995E7C2"/>
    <w:rsid w:val="29A21045"/>
    <w:rsid w:val="29A74E48"/>
    <w:rsid w:val="29A95679"/>
    <w:rsid w:val="29B10465"/>
    <w:rsid w:val="29BF823A"/>
    <w:rsid w:val="29C4D56A"/>
    <w:rsid w:val="29D741F9"/>
    <w:rsid w:val="29EED2AA"/>
    <w:rsid w:val="29F33817"/>
    <w:rsid w:val="29F9CCBD"/>
    <w:rsid w:val="2A0B5574"/>
    <w:rsid w:val="2A2A0A1B"/>
    <w:rsid w:val="2A42F2B1"/>
    <w:rsid w:val="2A4544A2"/>
    <w:rsid w:val="2A5819E7"/>
    <w:rsid w:val="2A589E31"/>
    <w:rsid w:val="2A5EE530"/>
    <w:rsid w:val="2A9F6759"/>
    <w:rsid w:val="2AD2A66B"/>
    <w:rsid w:val="2AE9FF99"/>
    <w:rsid w:val="2AFCF61D"/>
    <w:rsid w:val="2B2C103C"/>
    <w:rsid w:val="2B4F78CF"/>
    <w:rsid w:val="2B534C94"/>
    <w:rsid w:val="2B71817D"/>
    <w:rsid w:val="2B72EACE"/>
    <w:rsid w:val="2B7A4404"/>
    <w:rsid w:val="2B8F0878"/>
    <w:rsid w:val="2BAC6FEE"/>
    <w:rsid w:val="2BAF1898"/>
    <w:rsid w:val="2BD29C70"/>
    <w:rsid w:val="2BE70953"/>
    <w:rsid w:val="2BE9091A"/>
    <w:rsid w:val="2BF3EA48"/>
    <w:rsid w:val="2C06DF87"/>
    <w:rsid w:val="2C0C6BD9"/>
    <w:rsid w:val="2C1D5BF5"/>
    <w:rsid w:val="2C1F38C7"/>
    <w:rsid w:val="2C20F550"/>
    <w:rsid w:val="2C37E0E5"/>
    <w:rsid w:val="2C38C6AC"/>
    <w:rsid w:val="2C3CE3D6"/>
    <w:rsid w:val="2C43F7ED"/>
    <w:rsid w:val="2C5437DE"/>
    <w:rsid w:val="2C6898AA"/>
    <w:rsid w:val="2C79E1C6"/>
    <w:rsid w:val="2CBF4704"/>
    <w:rsid w:val="2CC25A91"/>
    <w:rsid w:val="2CC642C0"/>
    <w:rsid w:val="2CD98916"/>
    <w:rsid w:val="2CE899D9"/>
    <w:rsid w:val="2CF28A35"/>
    <w:rsid w:val="2CFDF3F7"/>
    <w:rsid w:val="2D0245A7"/>
    <w:rsid w:val="2D093162"/>
    <w:rsid w:val="2D0D0EC9"/>
    <w:rsid w:val="2D2752B6"/>
    <w:rsid w:val="2D3246FE"/>
    <w:rsid w:val="2D4176C0"/>
    <w:rsid w:val="2D5EE779"/>
    <w:rsid w:val="2D771812"/>
    <w:rsid w:val="2D7B7DE0"/>
    <w:rsid w:val="2D8FBAA9"/>
    <w:rsid w:val="2DAB44B4"/>
    <w:rsid w:val="2DBE6C3F"/>
    <w:rsid w:val="2DC53745"/>
    <w:rsid w:val="2DD254B3"/>
    <w:rsid w:val="2DD4970D"/>
    <w:rsid w:val="2DD8E349"/>
    <w:rsid w:val="2DE383F7"/>
    <w:rsid w:val="2E040E4C"/>
    <w:rsid w:val="2E0A9A11"/>
    <w:rsid w:val="2E0E460A"/>
    <w:rsid w:val="2E15B227"/>
    <w:rsid w:val="2E1A2BEF"/>
    <w:rsid w:val="2E1AACCD"/>
    <w:rsid w:val="2E1C9159"/>
    <w:rsid w:val="2E26E49C"/>
    <w:rsid w:val="2E49149F"/>
    <w:rsid w:val="2E7CC79C"/>
    <w:rsid w:val="2E951831"/>
    <w:rsid w:val="2E9B8B8D"/>
    <w:rsid w:val="2ED00505"/>
    <w:rsid w:val="2ED1DD09"/>
    <w:rsid w:val="2EE1D6DC"/>
    <w:rsid w:val="2EF4EDB3"/>
    <w:rsid w:val="2EFD7B3E"/>
    <w:rsid w:val="2F0A3D32"/>
    <w:rsid w:val="2F17ECA4"/>
    <w:rsid w:val="2F19BD7A"/>
    <w:rsid w:val="2F29BD07"/>
    <w:rsid w:val="2F2B8B0A"/>
    <w:rsid w:val="2F3583FC"/>
    <w:rsid w:val="2F408D1D"/>
    <w:rsid w:val="2F66378E"/>
    <w:rsid w:val="2F6F81A7"/>
    <w:rsid w:val="2F79C068"/>
    <w:rsid w:val="2F86802B"/>
    <w:rsid w:val="2F8D2C99"/>
    <w:rsid w:val="2F96675D"/>
    <w:rsid w:val="2F9E9641"/>
    <w:rsid w:val="2FC12D1D"/>
    <w:rsid w:val="2FD5A8FC"/>
    <w:rsid w:val="3006FDF5"/>
    <w:rsid w:val="30203A9B"/>
    <w:rsid w:val="3040D224"/>
    <w:rsid w:val="3047DD4A"/>
    <w:rsid w:val="307E339A"/>
    <w:rsid w:val="30994B9F"/>
    <w:rsid w:val="309C824B"/>
    <w:rsid w:val="30C100E8"/>
    <w:rsid w:val="30C75B6B"/>
    <w:rsid w:val="30CC7CEF"/>
    <w:rsid w:val="30DE4F04"/>
    <w:rsid w:val="30F15DB9"/>
    <w:rsid w:val="30FA64D0"/>
    <w:rsid w:val="31176910"/>
    <w:rsid w:val="31190901"/>
    <w:rsid w:val="312414CF"/>
    <w:rsid w:val="312E9176"/>
    <w:rsid w:val="31329E69"/>
    <w:rsid w:val="313B5771"/>
    <w:rsid w:val="315FFD9F"/>
    <w:rsid w:val="31892794"/>
    <w:rsid w:val="318D0E92"/>
    <w:rsid w:val="318D6CBA"/>
    <w:rsid w:val="31ACD2FB"/>
    <w:rsid w:val="31C2D1EE"/>
    <w:rsid w:val="31DC8F06"/>
    <w:rsid w:val="32004521"/>
    <w:rsid w:val="321248EC"/>
    <w:rsid w:val="3216B846"/>
    <w:rsid w:val="323BB140"/>
    <w:rsid w:val="32615DC9"/>
    <w:rsid w:val="32867B1A"/>
    <w:rsid w:val="3297928A"/>
    <w:rsid w:val="3298A868"/>
    <w:rsid w:val="3298BCD5"/>
    <w:rsid w:val="32A4F287"/>
    <w:rsid w:val="32A6C957"/>
    <w:rsid w:val="32C7DAA1"/>
    <w:rsid w:val="32D5CD87"/>
    <w:rsid w:val="32ED9D12"/>
    <w:rsid w:val="32FC76A0"/>
    <w:rsid w:val="3331BF20"/>
    <w:rsid w:val="3352B7E8"/>
    <w:rsid w:val="3364C2FD"/>
    <w:rsid w:val="3364D456"/>
    <w:rsid w:val="33A1563A"/>
    <w:rsid w:val="33A21C8B"/>
    <w:rsid w:val="33D96723"/>
    <w:rsid w:val="33FD2E2A"/>
    <w:rsid w:val="34378261"/>
    <w:rsid w:val="34398A77"/>
    <w:rsid w:val="34419637"/>
    <w:rsid w:val="344D09DB"/>
    <w:rsid w:val="344F09D2"/>
    <w:rsid w:val="3483053E"/>
    <w:rsid w:val="34896D73"/>
    <w:rsid w:val="3489B477"/>
    <w:rsid w:val="348D9748"/>
    <w:rsid w:val="34B7B88D"/>
    <w:rsid w:val="34C4AF54"/>
    <w:rsid w:val="34C50C5A"/>
    <w:rsid w:val="34C6C80F"/>
    <w:rsid w:val="34C8B8F8"/>
    <w:rsid w:val="351747CC"/>
    <w:rsid w:val="35259D25"/>
    <w:rsid w:val="3547A5F2"/>
    <w:rsid w:val="35775661"/>
    <w:rsid w:val="358C3A7C"/>
    <w:rsid w:val="35C6C05C"/>
    <w:rsid w:val="35D352C2"/>
    <w:rsid w:val="36253DD4"/>
    <w:rsid w:val="365388EE"/>
    <w:rsid w:val="3674392F"/>
    <w:rsid w:val="3680441E"/>
    <w:rsid w:val="3684D3F8"/>
    <w:rsid w:val="36A9A2CA"/>
    <w:rsid w:val="36ADCE80"/>
    <w:rsid w:val="36AF7657"/>
    <w:rsid w:val="36C46F4D"/>
    <w:rsid w:val="36E39806"/>
    <w:rsid w:val="37033DE3"/>
    <w:rsid w:val="37173DF3"/>
    <w:rsid w:val="37226026"/>
    <w:rsid w:val="37306650"/>
    <w:rsid w:val="3734CEEC"/>
    <w:rsid w:val="374DBA61"/>
    <w:rsid w:val="377936F9"/>
    <w:rsid w:val="3781F191"/>
    <w:rsid w:val="3789C22E"/>
    <w:rsid w:val="378C220D"/>
    <w:rsid w:val="37A20E33"/>
    <w:rsid w:val="37A6A07B"/>
    <w:rsid w:val="37C30BF0"/>
    <w:rsid w:val="37C71AC8"/>
    <w:rsid w:val="37C7FF07"/>
    <w:rsid w:val="37D10FEF"/>
    <w:rsid w:val="37DCB767"/>
    <w:rsid w:val="37EF594F"/>
    <w:rsid w:val="37F36DD1"/>
    <w:rsid w:val="37F7C91A"/>
    <w:rsid w:val="380B0654"/>
    <w:rsid w:val="38334554"/>
    <w:rsid w:val="38384E68"/>
    <w:rsid w:val="383EC796"/>
    <w:rsid w:val="383F6FDD"/>
    <w:rsid w:val="38600AF0"/>
    <w:rsid w:val="38891A24"/>
    <w:rsid w:val="388B8F26"/>
    <w:rsid w:val="38939B7D"/>
    <w:rsid w:val="38998DDD"/>
    <w:rsid w:val="389D0F65"/>
    <w:rsid w:val="38AC7A82"/>
    <w:rsid w:val="38BBA882"/>
    <w:rsid w:val="38BF6D63"/>
    <w:rsid w:val="38D8BF89"/>
    <w:rsid w:val="390FE90E"/>
    <w:rsid w:val="3915075A"/>
    <w:rsid w:val="391749B4"/>
    <w:rsid w:val="392ADDA1"/>
    <w:rsid w:val="395418B1"/>
    <w:rsid w:val="395CEE0C"/>
    <w:rsid w:val="3968BC98"/>
    <w:rsid w:val="397851E1"/>
    <w:rsid w:val="39892AA0"/>
    <w:rsid w:val="398B29B0"/>
    <w:rsid w:val="39CD35B5"/>
    <w:rsid w:val="39D22974"/>
    <w:rsid w:val="39D415DA"/>
    <w:rsid w:val="39D468CD"/>
    <w:rsid w:val="39F1D03A"/>
    <w:rsid w:val="3A14DDE9"/>
    <w:rsid w:val="3A2CC600"/>
    <w:rsid w:val="3A2CC7FF"/>
    <w:rsid w:val="3A2F6BDE"/>
    <w:rsid w:val="3A4EDEB5"/>
    <w:rsid w:val="3A8C1A68"/>
    <w:rsid w:val="3A950E3C"/>
    <w:rsid w:val="3A964914"/>
    <w:rsid w:val="3AB31A15"/>
    <w:rsid w:val="3AB3505F"/>
    <w:rsid w:val="3ACE243C"/>
    <w:rsid w:val="3ADD6A06"/>
    <w:rsid w:val="3AE99BA2"/>
    <w:rsid w:val="3AF8AEF7"/>
    <w:rsid w:val="3B01E2EA"/>
    <w:rsid w:val="3B0BE88A"/>
    <w:rsid w:val="3B2147A9"/>
    <w:rsid w:val="3B2510E7"/>
    <w:rsid w:val="3B35FB0E"/>
    <w:rsid w:val="3B3B3447"/>
    <w:rsid w:val="3B402080"/>
    <w:rsid w:val="3B503314"/>
    <w:rsid w:val="3B63382A"/>
    <w:rsid w:val="3B683D8F"/>
    <w:rsid w:val="3B851D21"/>
    <w:rsid w:val="3B940447"/>
    <w:rsid w:val="3BACE6C4"/>
    <w:rsid w:val="3BB4FC71"/>
    <w:rsid w:val="3BD0C34F"/>
    <w:rsid w:val="3BEAAF16"/>
    <w:rsid w:val="3BF34944"/>
    <w:rsid w:val="3C08400F"/>
    <w:rsid w:val="3C0E40B6"/>
    <w:rsid w:val="3C3E72A5"/>
    <w:rsid w:val="3C55A3F4"/>
    <w:rsid w:val="3C6AE2C5"/>
    <w:rsid w:val="3CA7B8EB"/>
    <w:rsid w:val="3CB88A34"/>
    <w:rsid w:val="3CFF088B"/>
    <w:rsid w:val="3D03613E"/>
    <w:rsid w:val="3D144A97"/>
    <w:rsid w:val="3D18E44E"/>
    <w:rsid w:val="3D278DA1"/>
    <w:rsid w:val="3D28A37E"/>
    <w:rsid w:val="3D2B05B1"/>
    <w:rsid w:val="3D3F2736"/>
    <w:rsid w:val="3D670CA0"/>
    <w:rsid w:val="3D749369"/>
    <w:rsid w:val="3D78794D"/>
    <w:rsid w:val="3DADCBF9"/>
    <w:rsid w:val="3DCCAEFE"/>
    <w:rsid w:val="3DCF5020"/>
    <w:rsid w:val="3E0A531C"/>
    <w:rsid w:val="3E1D1CA4"/>
    <w:rsid w:val="3E63A8D3"/>
    <w:rsid w:val="3E67A4E2"/>
    <w:rsid w:val="3E895E7B"/>
    <w:rsid w:val="3E9FB808"/>
    <w:rsid w:val="3EB91BFC"/>
    <w:rsid w:val="3EC5415D"/>
    <w:rsid w:val="3EEC74E0"/>
    <w:rsid w:val="3EF40E08"/>
    <w:rsid w:val="3F007489"/>
    <w:rsid w:val="3F127472"/>
    <w:rsid w:val="3F2E5CFE"/>
    <w:rsid w:val="3F37F57F"/>
    <w:rsid w:val="3F4F4E82"/>
    <w:rsid w:val="3F687F5F"/>
    <w:rsid w:val="3F6FDF80"/>
    <w:rsid w:val="3F9751B8"/>
    <w:rsid w:val="3F9B49F0"/>
    <w:rsid w:val="3FB06C96"/>
    <w:rsid w:val="3FC4966E"/>
    <w:rsid w:val="3FE27341"/>
    <w:rsid w:val="3FF3BA4C"/>
    <w:rsid w:val="4036A94D"/>
    <w:rsid w:val="403A8F76"/>
    <w:rsid w:val="403B8869"/>
    <w:rsid w:val="4043C48E"/>
    <w:rsid w:val="40491DBC"/>
    <w:rsid w:val="406DE5A7"/>
    <w:rsid w:val="407050D6"/>
    <w:rsid w:val="407CC532"/>
    <w:rsid w:val="408E87EC"/>
    <w:rsid w:val="40B09434"/>
    <w:rsid w:val="40BE2039"/>
    <w:rsid w:val="40DA03B6"/>
    <w:rsid w:val="40E7A626"/>
    <w:rsid w:val="40F531E2"/>
    <w:rsid w:val="40FB85FC"/>
    <w:rsid w:val="4112A4B6"/>
    <w:rsid w:val="412D4B97"/>
    <w:rsid w:val="414C142B"/>
    <w:rsid w:val="41629C23"/>
    <w:rsid w:val="418A09FF"/>
    <w:rsid w:val="41A7F9D4"/>
    <w:rsid w:val="41A968A8"/>
    <w:rsid w:val="41D279AE"/>
    <w:rsid w:val="41D31BA5"/>
    <w:rsid w:val="41DA279A"/>
    <w:rsid w:val="41E31D0D"/>
    <w:rsid w:val="420D009D"/>
    <w:rsid w:val="422A301E"/>
    <w:rsid w:val="424EDD0E"/>
    <w:rsid w:val="426AB811"/>
    <w:rsid w:val="428B360E"/>
    <w:rsid w:val="42C103BB"/>
    <w:rsid w:val="42D83CEF"/>
    <w:rsid w:val="42F177D8"/>
    <w:rsid w:val="430400E9"/>
    <w:rsid w:val="4317E995"/>
    <w:rsid w:val="4347AA8C"/>
    <w:rsid w:val="434DB38D"/>
    <w:rsid w:val="4365DC42"/>
    <w:rsid w:val="4375F7FB"/>
    <w:rsid w:val="439B6428"/>
    <w:rsid w:val="439B9B0C"/>
    <w:rsid w:val="43BD30B6"/>
    <w:rsid w:val="43BE82D5"/>
    <w:rsid w:val="43CE30CA"/>
    <w:rsid w:val="441F7C23"/>
    <w:rsid w:val="44317531"/>
    <w:rsid w:val="44517CB8"/>
    <w:rsid w:val="4453637F"/>
    <w:rsid w:val="4455815D"/>
    <w:rsid w:val="4459FC5B"/>
    <w:rsid w:val="446844D7"/>
    <w:rsid w:val="4470D6CB"/>
    <w:rsid w:val="4475B438"/>
    <w:rsid w:val="447E71A4"/>
    <w:rsid w:val="448A012A"/>
    <w:rsid w:val="44AB3CF7"/>
    <w:rsid w:val="44B3B9F6"/>
    <w:rsid w:val="44C1AAC1"/>
    <w:rsid w:val="44E16EAD"/>
    <w:rsid w:val="44F89FFF"/>
    <w:rsid w:val="44FD0FFA"/>
    <w:rsid w:val="450A1A70"/>
    <w:rsid w:val="4517392F"/>
    <w:rsid w:val="451B6DA0"/>
    <w:rsid w:val="45226B05"/>
    <w:rsid w:val="4534D6B8"/>
    <w:rsid w:val="455D5D9F"/>
    <w:rsid w:val="4562C5C4"/>
    <w:rsid w:val="4591915C"/>
    <w:rsid w:val="45BF1742"/>
    <w:rsid w:val="45C2D6D0"/>
    <w:rsid w:val="45DD2059"/>
    <w:rsid w:val="45E93193"/>
    <w:rsid w:val="45ED1B34"/>
    <w:rsid w:val="45ED449C"/>
    <w:rsid w:val="45F151BE"/>
    <w:rsid w:val="460562C2"/>
    <w:rsid w:val="461DB98C"/>
    <w:rsid w:val="461E27AD"/>
    <w:rsid w:val="46470D58"/>
    <w:rsid w:val="465454E7"/>
    <w:rsid w:val="465D7B22"/>
    <w:rsid w:val="4681D16E"/>
    <w:rsid w:val="46868629"/>
    <w:rsid w:val="4692D27D"/>
    <w:rsid w:val="469826C9"/>
    <w:rsid w:val="46D744A9"/>
    <w:rsid w:val="46F87E9B"/>
    <w:rsid w:val="470348E5"/>
    <w:rsid w:val="471375F6"/>
    <w:rsid w:val="472BD40A"/>
    <w:rsid w:val="4734993A"/>
    <w:rsid w:val="47441BD8"/>
    <w:rsid w:val="476AA68C"/>
    <w:rsid w:val="479BD378"/>
    <w:rsid w:val="47A09F4E"/>
    <w:rsid w:val="47D731FF"/>
    <w:rsid w:val="482E2698"/>
    <w:rsid w:val="485A4150"/>
    <w:rsid w:val="48AE80F7"/>
    <w:rsid w:val="48B1CC95"/>
    <w:rsid w:val="48B6519A"/>
    <w:rsid w:val="48C2CDF1"/>
    <w:rsid w:val="48C3F1B3"/>
    <w:rsid w:val="48DE7BEF"/>
    <w:rsid w:val="48E1883E"/>
    <w:rsid w:val="48F75E90"/>
    <w:rsid w:val="48F7F730"/>
    <w:rsid w:val="48FA7792"/>
    <w:rsid w:val="48FF7A3F"/>
    <w:rsid w:val="491397E9"/>
    <w:rsid w:val="495D0CAB"/>
    <w:rsid w:val="496D7573"/>
    <w:rsid w:val="4972319C"/>
    <w:rsid w:val="49730260"/>
    <w:rsid w:val="49CD547F"/>
    <w:rsid w:val="49CDCEE8"/>
    <w:rsid w:val="49D84A6C"/>
    <w:rsid w:val="49EC9D5D"/>
    <w:rsid w:val="49F0BBC1"/>
    <w:rsid w:val="49FE49A5"/>
    <w:rsid w:val="4A077CCA"/>
    <w:rsid w:val="4A080814"/>
    <w:rsid w:val="4A0D037A"/>
    <w:rsid w:val="4A232802"/>
    <w:rsid w:val="4A263EF5"/>
    <w:rsid w:val="4A35D3A9"/>
    <w:rsid w:val="4A3ECF9A"/>
    <w:rsid w:val="4A4AD94F"/>
    <w:rsid w:val="4A55EEB0"/>
    <w:rsid w:val="4A61F08C"/>
    <w:rsid w:val="4A76D3DE"/>
    <w:rsid w:val="4A861287"/>
    <w:rsid w:val="4A91BF04"/>
    <w:rsid w:val="4A9C1F2F"/>
    <w:rsid w:val="4AA4116A"/>
    <w:rsid w:val="4AA471AE"/>
    <w:rsid w:val="4AA6CEAC"/>
    <w:rsid w:val="4AAD5DD7"/>
    <w:rsid w:val="4AADA98A"/>
    <w:rsid w:val="4AD3743A"/>
    <w:rsid w:val="4B03455D"/>
    <w:rsid w:val="4B566393"/>
    <w:rsid w:val="4B741ACD"/>
    <w:rsid w:val="4B859A80"/>
    <w:rsid w:val="4BAF09B6"/>
    <w:rsid w:val="4BD35DB9"/>
    <w:rsid w:val="4BF2EFB7"/>
    <w:rsid w:val="4BFDABD0"/>
    <w:rsid w:val="4BFDC0ED"/>
    <w:rsid w:val="4C0BC176"/>
    <w:rsid w:val="4C13A368"/>
    <w:rsid w:val="4C5268BE"/>
    <w:rsid w:val="4C52BF04"/>
    <w:rsid w:val="4C6C0075"/>
    <w:rsid w:val="4C762D10"/>
    <w:rsid w:val="4C7D3EBF"/>
    <w:rsid w:val="4C8495F6"/>
    <w:rsid w:val="4C859D09"/>
    <w:rsid w:val="4CAAA322"/>
    <w:rsid w:val="4CBDC8D9"/>
    <w:rsid w:val="4CE35F63"/>
    <w:rsid w:val="4CE633A9"/>
    <w:rsid w:val="4D066732"/>
    <w:rsid w:val="4D086039"/>
    <w:rsid w:val="4D1CFBE2"/>
    <w:rsid w:val="4D2D7CEA"/>
    <w:rsid w:val="4D619F95"/>
    <w:rsid w:val="4D6C5088"/>
    <w:rsid w:val="4DA490C7"/>
    <w:rsid w:val="4DAEBC1E"/>
    <w:rsid w:val="4DB30E5C"/>
    <w:rsid w:val="4DC7EAF6"/>
    <w:rsid w:val="4DC9F8CD"/>
    <w:rsid w:val="4DDDAE9D"/>
    <w:rsid w:val="4DDF755C"/>
    <w:rsid w:val="4DE0652B"/>
    <w:rsid w:val="4DE975C4"/>
    <w:rsid w:val="4DEFA53A"/>
    <w:rsid w:val="4DF1EDB6"/>
    <w:rsid w:val="4E14BDE0"/>
    <w:rsid w:val="4E206D72"/>
    <w:rsid w:val="4E325761"/>
    <w:rsid w:val="4E56EB8A"/>
    <w:rsid w:val="4E59AD16"/>
    <w:rsid w:val="4E610544"/>
    <w:rsid w:val="4E94CED0"/>
    <w:rsid w:val="4E9E49F6"/>
    <w:rsid w:val="4EAE001A"/>
    <w:rsid w:val="4EB14A81"/>
    <w:rsid w:val="4EE3E91C"/>
    <w:rsid w:val="4EE48128"/>
    <w:rsid w:val="4EE83910"/>
    <w:rsid w:val="4EFD6FF6"/>
    <w:rsid w:val="4F01FF1D"/>
    <w:rsid w:val="4F0DDB04"/>
    <w:rsid w:val="4F0E7DF6"/>
    <w:rsid w:val="4F270FA2"/>
    <w:rsid w:val="4F42CA68"/>
    <w:rsid w:val="4F934538"/>
    <w:rsid w:val="4F954F24"/>
    <w:rsid w:val="4FA1BAE2"/>
    <w:rsid w:val="4FB64525"/>
    <w:rsid w:val="4FF39B61"/>
    <w:rsid w:val="4FFC1F64"/>
    <w:rsid w:val="50124BCB"/>
    <w:rsid w:val="50183B9E"/>
    <w:rsid w:val="5031A02E"/>
    <w:rsid w:val="506A62D9"/>
    <w:rsid w:val="5098D11B"/>
    <w:rsid w:val="509FFCBC"/>
    <w:rsid w:val="50A9AB65"/>
    <w:rsid w:val="50BA1AD3"/>
    <w:rsid w:val="50C3057F"/>
    <w:rsid w:val="5116E31F"/>
    <w:rsid w:val="51255F7C"/>
    <w:rsid w:val="512CBAF9"/>
    <w:rsid w:val="51348711"/>
    <w:rsid w:val="51414370"/>
    <w:rsid w:val="5152CFF5"/>
    <w:rsid w:val="515D293F"/>
    <w:rsid w:val="5161A6AE"/>
    <w:rsid w:val="5178B770"/>
    <w:rsid w:val="518E8C4C"/>
    <w:rsid w:val="519181CB"/>
    <w:rsid w:val="51AB2018"/>
    <w:rsid w:val="51B6D581"/>
    <w:rsid w:val="51C5CDA2"/>
    <w:rsid w:val="51C76F37"/>
    <w:rsid w:val="5208020D"/>
    <w:rsid w:val="52135CBD"/>
    <w:rsid w:val="523854D2"/>
    <w:rsid w:val="5255EB34"/>
    <w:rsid w:val="525B94C9"/>
    <w:rsid w:val="525ED5E0"/>
    <w:rsid w:val="527A75F2"/>
    <w:rsid w:val="5295FAF2"/>
    <w:rsid w:val="5298B834"/>
    <w:rsid w:val="52AC8565"/>
    <w:rsid w:val="52BF6F41"/>
    <w:rsid w:val="52D7598D"/>
    <w:rsid w:val="52DD13D1"/>
    <w:rsid w:val="52E8E474"/>
    <w:rsid w:val="52ED03CA"/>
    <w:rsid w:val="52F858DB"/>
    <w:rsid w:val="5313487A"/>
    <w:rsid w:val="531E3569"/>
    <w:rsid w:val="5343EBB0"/>
    <w:rsid w:val="534480B4"/>
    <w:rsid w:val="53780E74"/>
    <w:rsid w:val="538ED48E"/>
    <w:rsid w:val="53A9D441"/>
    <w:rsid w:val="53EC37B2"/>
    <w:rsid w:val="53F33604"/>
    <w:rsid w:val="54222846"/>
    <w:rsid w:val="542DE5A1"/>
    <w:rsid w:val="543C4F6D"/>
    <w:rsid w:val="543D5838"/>
    <w:rsid w:val="54437E5F"/>
    <w:rsid w:val="54562F0D"/>
    <w:rsid w:val="54655212"/>
    <w:rsid w:val="546BB680"/>
    <w:rsid w:val="546D2F5F"/>
    <w:rsid w:val="548E04F0"/>
    <w:rsid w:val="54A1C786"/>
    <w:rsid w:val="54A33C80"/>
    <w:rsid w:val="54B0BD3E"/>
    <w:rsid w:val="54B43016"/>
    <w:rsid w:val="54CCE764"/>
    <w:rsid w:val="55049A54"/>
    <w:rsid w:val="5513DED5"/>
    <w:rsid w:val="5528CDB7"/>
    <w:rsid w:val="553B5BEE"/>
    <w:rsid w:val="5548CBAB"/>
    <w:rsid w:val="556117A2"/>
    <w:rsid w:val="5576C37B"/>
    <w:rsid w:val="5578CF9C"/>
    <w:rsid w:val="557D1C88"/>
    <w:rsid w:val="559924D3"/>
    <w:rsid w:val="55BDA0B3"/>
    <w:rsid w:val="55BDF8A7"/>
    <w:rsid w:val="55CA2692"/>
    <w:rsid w:val="55CC909A"/>
    <w:rsid w:val="55E5B36C"/>
    <w:rsid w:val="55EA04A2"/>
    <w:rsid w:val="55F67AC0"/>
    <w:rsid w:val="563053DE"/>
    <w:rsid w:val="563AA4C0"/>
    <w:rsid w:val="5687B6AB"/>
    <w:rsid w:val="56B5736C"/>
    <w:rsid w:val="56D30DEB"/>
    <w:rsid w:val="56E68B1C"/>
    <w:rsid w:val="56F0626C"/>
    <w:rsid w:val="56FC5601"/>
    <w:rsid w:val="5730D7F5"/>
    <w:rsid w:val="574CB63D"/>
    <w:rsid w:val="576B8AB4"/>
    <w:rsid w:val="576C2957"/>
    <w:rsid w:val="5774F8FA"/>
    <w:rsid w:val="57938881"/>
    <w:rsid w:val="579A2F7E"/>
    <w:rsid w:val="579B3C82"/>
    <w:rsid w:val="57A4BCDA"/>
    <w:rsid w:val="57C564AD"/>
    <w:rsid w:val="57CED097"/>
    <w:rsid w:val="57DA4152"/>
    <w:rsid w:val="57E2DF0B"/>
    <w:rsid w:val="57E584E9"/>
    <w:rsid w:val="57E7F8F4"/>
    <w:rsid w:val="57EE5866"/>
    <w:rsid w:val="580B987A"/>
    <w:rsid w:val="5813FA57"/>
    <w:rsid w:val="584834D5"/>
    <w:rsid w:val="584F6591"/>
    <w:rsid w:val="586ACE14"/>
    <w:rsid w:val="58801923"/>
    <w:rsid w:val="58867CDD"/>
    <w:rsid w:val="5886DB37"/>
    <w:rsid w:val="589935ED"/>
    <w:rsid w:val="589C37DF"/>
    <w:rsid w:val="58AEEA8A"/>
    <w:rsid w:val="58CB641D"/>
    <w:rsid w:val="58CFDDE5"/>
    <w:rsid w:val="59053C76"/>
    <w:rsid w:val="590668D3"/>
    <w:rsid w:val="5910C95B"/>
    <w:rsid w:val="59147312"/>
    <w:rsid w:val="591F75B7"/>
    <w:rsid w:val="593B3AFE"/>
    <w:rsid w:val="593C1957"/>
    <w:rsid w:val="593ED5D3"/>
    <w:rsid w:val="593F164A"/>
    <w:rsid w:val="594C5555"/>
    <w:rsid w:val="5951D9C4"/>
    <w:rsid w:val="59730C1E"/>
    <w:rsid w:val="5981554A"/>
    <w:rsid w:val="598C3883"/>
    <w:rsid w:val="59B560DC"/>
    <w:rsid w:val="59D62203"/>
    <w:rsid w:val="59EB35F2"/>
    <w:rsid w:val="5A017F69"/>
    <w:rsid w:val="5A1096CD"/>
    <w:rsid w:val="5A288A72"/>
    <w:rsid w:val="5A3142EC"/>
    <w:rsid w:val="5A4E30AD"/>
    <w:rsid w:val="5A50D522"/>
    <w:rsid w:val="5A671CDC"/>
    <w:rsid w:val="5A6BAE46"/>
    <w:rsid w:val="5A8B5AF2"/>
    <w:rsid w:val="5AA9DB0C"/>
    <w:rsid w:val="5AB86ECC"/>
    <w:rsid w:val="5AE69A88"/>
    <w:rsid w:val="5B250991"/>
    <w:rsid w:val="5B327D17"/>
    <w:rsid w:val="5B618D2E"/>
    <w:rsid w:val="5B861C6C"/>
    <w:rsid w:val="5B884858"/>
    <w:rsid w:val="5BC4AEF3"/>
    <w:rsid w:val="5BD3D8A1"/>
    <w:rsid w:val="5BDE7188"/>
    <w:rsid w:val="5BE39BB9"/>
    <w:rsid w:val="5C552C51"/>
    <w:rsid w:val="5C7ABDB3"/>
    <w:rsid w:val="5C7BB08C"/>
    <w:rsid w:val="5C861DB1"/>
    <w:rsid w:val="5C96B239"/>
    <w:rsid w:val="5CAE8AE1"/>
    <w:rsid w:val="5CB6502E"/>
    <w:rsid w:val="5CB973AB"/>
    <w:rsid w:val="5CBB40F1"/>
    <w:rsid w:val="5CC001EB"/>
    <w:rsid w:val="5CC14255"/>
    <w:rsid w:val="5CC23976"/>
    <w:rsid w:val="5CCC22C1"/>
    <w:rsid w:val="5CCDC6D3"/>
    <w:rsid w:val="5CD67256"/>
    <w:rsid w:val="5CDBEE05"/>
    <w:rsid w:val="5CDF1BF1"/>
    <w:rsid w:val="5CED7B97"/>
    <w:rsid w:val="5CF5F28C"/>
    <w:rsid w:val="5D277DF2"/>
    <w:rsid w:val="5D37BC16"/>
    <w:rsid w:val="5D3E3F37"/>
    <w:rsid w:val="5D602B34"/>
    <w:rsid w:val="5D6929D8"/>
    <w:rsid w:val="5D82C0E1"/>
    <w:rsid w:val="5D9915B0"/>
    <w:rsid w:val="5D9B6182"/>
    <w:rsid w:val="5DAF378C"/>
    <w:rsid w:val="5DC51DD4"/>
    <w:rsid w:val="5DCB3DDD"/>
    <w:rsid w:val="5DD42413"/>
    <w:rsid w:val="5DEC0F1C"/>
    <w:rsid w:val="5DF826AD"/>
    <w:rsid w:val="5E1B2D15"/>
    <w:rsid w:val="5E4A5B42"/>
    <w:rsid w:val="5EA2510F"/>
    <w:rsid w:val="5ECE0A12"/>
    <w:rsid w:val="5EDA9859"/>
    <w:rsid w:val="5EE4B7D3"/>
    <w:rsid w:val="5EFBD35C"/>
    <w:rsid w:val="5EFD996B"/>
    <w:rsid w:val="5F1DDA54"/>
    <w:rsid w:val="5F3313DB"/>
    <w:rsid w:val="5F69BF0B"/>
    <w:rsid w:val="5F73B410"/>
    <w:rsid w:val="5F795E02"/>
    <w:rsid w:val="5F84FF8A"/>
    <w:rsid w:val="5F86A2D0"/>
    <w:rsid w:val="5F87DF7D"/>
    <w:rsid w:val="5F88FC23"/>
    <w:rsid w:val="5F9040A5"/>
    <w:rsid w:val="5FBA0BAB"/>
    <w:rsid w:val="5FC334B9"/>
    <w:rsid w:val="5FCEABC8"/>
    <w:rsid w:val="5FE866AD"/>
    <w:rsid w:val="5FEDF1B3"/>
    <w:rsid w:val="5FFC7070"/>
    <w:rsid w:val="600C81B2"/>
    <w:rsid w:val="60311F88"/>
    <w:rsid w:val="603A85EB"/>
    <w:rsid w:val="60480317"/>
    <w:rsid w:val="604C6114"/>
    <w:rsid w:val="60507E84"/>
    <w:rsid w:val="607202AB"/>
    <w:rsid w:val="60769A92"/>
    <w:rsid w:val="6079F031"/>
    <w:rsid w:val="607D98D6"/>
    <w:rsid w:val="608904B8"/>
    <w:rsid w:val="6090CDE6"/>
    <w:rsid w:val="60ACC8FA"/>
    <w:rsid w:val="60B751A7"/>
    <w:rsid w:val="60E6D84E"/>
    <w:rsid w:val="60FA9C76"/>
    <w:rsid w:val="612C1106"/>
    <w:rsid w:val="616B1BAD"/>
    <w:rsid w:val="616D5D32"/>
    <w:rsid w:val="616F3D2A"/>
    <w:rsid w:val="6175B2DD"/>
    <w:rsid w:val="618DF02E"/>
    <w:rsid w:val="61CCEFE9"/>
    <w:rsid w:val="61EE5F69"/>
    <w:rsid w:val="61F1CB59"/>
    <w:rsid w:val="61F69B1F"/>
    <w:rsid w:val="6206CE90"/>
    <w:rsid w:val="6208E311"/>
    <w:rsid w:val="621FD3F9"/>
    <w:rsid w:val="628366AB"/>
    <w:rsid w:val="62865140"/>
    <w:rsid w:val="62B6C984"/>
    <w:rsid w:val="62C1B85D"/>
    <w:rsid w:val="62DA426B"/>
    <w:rsid w:val="63092D93"/>
    <w:rsid w:val="63149C8D"/>
    <w:rsid w:val="6328A7EC"/>
    <w:rsid w:val="6329C08F"/>
    <w:rsid w:val="632DBEA0"/>
    <w:rsid w:val="6332072C"/>
    <w:rsid w:val="6367A59A"/>
    <w:rsid w:val="6368D27B"/>
    <w:rsid w:val="63761190"/>
    <w:rsid w:val="638F97D6"/>
    <w:rsid w:val="63931D5B"/>
    <w:rsid w:val="63B35087"/>
    <w:rsid w:val="63D1115C"/>
    <w:rsid w:val="63E010BE"/>
    <w:rsid w:val="63E3A54B"/>
    <w:rsid w:val="63FCC1DB"/>
    <w:rsid w:val="64114754"/>
    <w:rsid w:val="6418B791"/>
    <w:rsid w:val="641954A5"/>
    <w:rsid w:val="642221A1"/>
    <w:rsid w:val="642FBE95"/>
    <w:rsid w:val="6446D870"/>
    <w:rsid w:val="64548BA8"/>
    <w:rsid w:val="64660B45"/>
    <w:rsid w:val="64670F36"/>
    <w:rsid w:val="646D7845"/>
    <w:rsid w:val="646DAFCF"/>
    <w:rsid w:val="64A78230"/>
    <w:rsid w:val="64AF4145"/>
    <w:rsid w:val="64B85C51"/>
    <w:rsid w:val="64C53486"/>
    <w:rsid w:val="64C98F01"/>
    <w:rsid w:val="64CF3EB3"/>
    <w:rsid w:val="64F0A0AF"/>
    <w:rsid w:val="64F4A08D"/>
    <w:rsid w:val="650AC07D"/>
    <w:rsid w:val="65119293"/>
    <w:rsid w:val="652A0FAB"/>
    <w:rsid w:val="654573CE"/>
    <w:rsid w:val="656C40F5"/>
    <w:rsid w:val="659C9804"/>
    <w:rsid w:val="65B37E3A"/>
    <w:rsid w:val="65DE7A0A"/>
    <w:rsid w:val="65EBBB89"/>
    <w:rsid w:val="65F1221C"/>
    <w:rsid w:val="662F590B"/>
    <w:rsid w:val="663B5180"/>
    <w:rsid w:val="66595820"/>
    <w:rsid w:val="666DDAE8"/>
    <w:rsid w:val="667E4A56"/>
    <w:rsid w:val="66C76D2B"/>
    <w:rsid w:val="66D9A110"/>
    <w:rsid w:val="66EBB3D6"/>
    <w:rsid w:val="670B14AA"/>
    <w:rsid w:val="672909E6"/>
    <w:rsid w:val="6735FCA6"/>
    <w:rsid w:val="67764C19"/>
    <w:rsid w:val="68012FC3"/>
    <w:rsid w:val="681194DC"/>
    <w:rsid w:val="6817C2E8"/>
    <w:rsid w:val="682E2B43"/>
    <w:rsid w:val="687D6A51"/>
    <w:rsid w:val="689AF8E4"/>
    <w:rsid w:val="68AA7F62"/>
    <w:rsid w:val="68C1A692"/>
    <w:rsid w:val="68D9D118"/>
    <w:rsid w:val="68DD3BCA"/>
    <w:rsid w:val="68FC402E"/>
    <w:rsid w:val="690C5FBC"/>
    <w:rsid w:val="6927C3C6"/>
    <w:rsid w:val="6934BE15"/>
    <w:rsid w:val="693EA268"/>
    <w:rsid w:val="696C93BA"/>
    <w:rsid w:val="6982B268"/>
    <w:rsid w:val="69990213"/>
    <w:rsid w:val="69A773E8"/>
    <w:rsid w:val="69B127BD"/>
    <w:rsid w:val="69C9FBA4"/>
    <w:rsid w:val="69DE7A95"/>
    <w:rsid w:val="69F2AA93"/>
    <w:rsid w:val="69F735C1"/>
    <w:rsid w:val="6A4BDFE5"/>
    <w:rsid w:val="6A95E0A7"/>
    <w:rsid w:val="6AA3BF11"/>
    <w:rsid w:val="6AB4FE01"/>
    <w:rsid w:val="6AB68A10"/>
    <w:rsid w:val="6AECFD3A"/>
    <w:rsid w:val="6B0E403A"/>
    <w:rsid w:val="6B1379A8"/>
    <w:rsid w:val="6B1AA30D"/>
    <w:rsid w:val="6B434449"/>
    <w:rsid w:val="6B446298"/>
    <w:rsid w:val="6B80D417"/>
    <w:rsid w:val="6B97850B"/>
    <w:rsid w:val="6BA798DF"/>
    <w:rsid w:val="6BB4B552"/>
    <w:rsid w:val="6BD28822"/>
    <w:rsid w:val="6BD502DD"/>
    <w:rsid w:val="6BD7B6E7"/>
    <w:rsid w:val="6BDBBB3D"/>
    <w:rsid w:val="6BDD0FCC"/>
    <w:rsid w:val="6BDEC70D"/>
    <w:rsid w:val="6BF789C8"/>
    <w:rsid w:val="6C0AC17A"/>
    <w:rsid w:val="6C1191E4"/>
    <w:rsid w:val="6C184E19"/>
    <w:rsid w:val="6C1DA271"/>
    <w:rsid w:val="6C217934"/>
    <w:rsid w:val="6C32E60A"/>
    <w:rsid w:val="6C5F805E"/>
    <w:rsid w:val="6C7255E5"/>
    <w:rsid w:val="6C7F6656"/>
    <w:rsid w:val="6C864D52"/>
    <w:rsid w:val="6C88CD9B"/>
    <w:rsid w:val="6CA20767"/>
    <w:rsid w:val="6CAAC19F"/>
    <w:rsid w:val="6CB52FB5"/>
    <w:rsid w:val="6CBC8E01"/>
    <w:rsid w:val="6CCA65BC"/>
    <w:rsid w:val="6CDD1C6C"/>
    <w:rsid w:val="6CDF14AA"/>
    <w:rsid w:val="6CE8C87F"/>
    <w:rsid w:val="6CFD5B11"/>
    <w:rsid w:val="6D02CAC2"/>
    <w:rsid w:val="6D17F614"/>
    <w:rsid w:val="6D1AC4C3"/>
    <w:rsid w:val="6D1DA097"/>
    <w:rsid w:val="6D223639"/>
    <w:rsid w:val="6D24F8CC"/>
    <w:rsid w:val="6D2F0D35"/>
    <w:rsid w:val="6D4F9812"/>
    <w:rsid w:val="6D58D083"/>
    <w:rsid w:val="6D6B5E4D"/>
    <w:rsid w:val="6D74B477"/>
    <w:rsid w:val="6D86FBBC"/>
    <w:rsid w:val="6D905A2B"/>
    <w:rsid w:val="6DB41E7A"/>
    <w:rsid w:val="6DCD9B8B"/>
    <w:rsid w:val="6E099C22"/>
    <w:rsid w:val="6E0CB644"/>
    <w:rsid w:val="6E1863E9"/>
    <w:rsid w:val="6E189C02"/>
    <w:rsid w:val="6E330DCF"/>
    <w:rsid w:val="6E45E0FC"/>
    <w:rsid w:val="6E45EEE0"/>
    <w:rsid w:val="6E537719"/>
    <w:rsid w:val="6E5C236B"/>
    <w:rsid w:val="6E684069"/>
    <w:rsid w:val="6E7AE50B"/>
    <w:rsid w:val="6E810E44"/>
    <w:rsid w:val="6E827253"/>
    <w:rsid w:val="6E8498E0"/>
    <w:rsid w:val="6E9D6CC7"/>
    <w:rsid w:val="6EA05F65"/>
    <w:rsid w:val="6EA667C5"/>
    <w:rsid w:val="6EB78017"/>
    <w:rsid w:val="6ED1BF20"/>
    <w:rsid w:val="6EDDFA6A"/>
    <w:rsid w:val="6EF820E8"/>
    <w:rsid w:val="6EF98A44"/>
    <w:rsid w:val="6F0715CA"/>
    <w:rsid w:val="6F27E63C"/>
    <w:rsid w:val="6F36FFB4"/>
    <w:rsid w:val="6F3E9B22"/>
    <w:rsid w:val="6F41A8A5"/>
    <w:rsid w:val="6F554333"/>
    <w:rsid w:val="6F71CA80"/>
    <w:rsid w:val="6F81AECF"/>
    <w:rsid w:val="6F841EAB"/>
    <w:rsid w:val="6FB70718"/>
    <w:rsid w:val="6FC7196B"/>
    <w:rsid w:val="6FD1208A"/>
    <w:rsid w:val="6FDD2DC5"/>
    <w:rsid w:val="6FE46851"/>
    <w:rsid w:val="6FF23227"/>
    <w:rsid w:val="700DA9CE"/>
    <w:rsid w:val="7025A497"/>
    <w:rsid w:val="702E0A19"/>
    <w:rsid w:val="70327C92"/>
    <w:rsid w:val="7093F149"/>
    <w:rsid w:val="709ED5B7"/>
    <w:rsid w:val="70A54559"/>
    <w:rsid w:val="70AB7EB2"/>
    <w:rsid w:val="70B9C72E"/>
    <w:rsid w:val="70DD3D74"/>
    <w:rsid w:val="70E36B37"/>
    <w:rsid w:val="70EB9CE7"/>
    <w:rsid w:val="70F11394"/>
    <w:rsid w:val="70F94D44"/>
    <w:rsid w:val="7100A72E"/>
    <w:rsid w:val="7104E99E"/>
    <w:rsid w:val="71057599"/>
    <w:rsid w:val="7130691A"/>
    <w:rsid w:val="71311CED"/>
    <w:rsid w:val="71557F2A"/>
    <w:rsid w:val="715A4779"/>
    <w:rsid w:val="71654629"/>
    <w:rsid w:val="718038B2"/>
    <w:rsid w:val="71996CBC"/>
    <w:rsid w:val="71A81209"/>
    <w:rsid w:val="71A870D7"/>
    <w:rsid w:val="71B08D8F"/>
    <w:rsid w:val="71C2DDAD"/>
    <w:rsid w:val="71E313B3"/>
    <w:rsid w:val="71E456E3"/>
    <w:rsid w:val="721AF5F3"/>
    <w:rsid w:val="7226C8A1"/>
    <w:rsid w:val="723C5D80"/>
    <w:rsid w:val="72469A6C"/>
    <w:rsid w:val="726ECE74"/>
    <w:rsid w:val="7286F52B"/>
    <w:rsid w:val="729CEB2C"/>
    <w:rsid w:val="72B4BFF0"/>
    <w:rsid w:val="72D52B0C"/>
    <w:rsid w:val="72EA70C7"/>
    <w:rsid w:val="72F22C01"/>
    <w:rsid w:val="72F78CF0"/>
    <w:rsid w:val="7301168A"/>
    <w:rsid w:val="730E4D95"/>
    <w:rsid w:val="7327EA6F"/>
    <w:rsid w:val="732F948E"/>
    <w:rsid w:val="733640E8"/>
    <w:rsid w:val="734E562E"/>
    <w:rsid w:val="735F8F06"/>
    <w:rsid w:val="736E33CD"/>
    <w:rsid w:val="7370DDEA"/>
    <w:rsid w:val="7373D088"/>
    <w:rsid w:val="73861B91"/>
    <w:rsid w:val="7389CF5C"/>
    <w:rsid w:val="738E90DD"/>
    <w:rsid w:val="739DD4F1"/>
    <w:rsid w:val="73B52C35"/>
    <w:rsid w:val="73C2C2F3"/>
    <w:rsid w:val="73CB920B"/>
    <w:rsid w:val="73F167F0"/>
    <w:rsid w:val="741B0BF9"/>
    <w:rsid w:val="743C8A60"/>
    <w:rsid w:val="74476B5E"/>
    <w:rsid w:val="745506E8"/>
    <w:rsid w:val="74A7658E"/>
    <w:rsid w:val="74CA79E3"/>
    <w:rsid w:val="74EA268F"/>
    <w:rsid w:val="74EBE8DD"/>
    <w:rsid w:val="7506ACE7"/>
    <w:rsid w:val="750CAE4B"/>
    <w:rsid w:val="7519D4F6"/>
    <w:rsid w:val="751BF7A5"/>
    <w:rsid w:val="751C85A2"/>
    <w:rsid w:val="75259FBD"/>
    <w:rsid w:val="75620E2D"/>
    <w:rsid w:val="75777015"/>
    <w:rsid w:val="75C19AD9"/>
    <w:rsid w:val="75D3F50C"/>
    <w:rsid w:val="75DF58F4"/>
    <w:rsid w:val="760BDED3"/>
    <w:rsid w:val="761396E9"/>
    <w:rsid w:val="7646F364"/>
    <w:rsid w:val="768B4B1C"/>
    <w:rsid w:val="76A8B010"/>
    <w:rsid w:val="76A9699F"/>
    <w:rsid w:val="76B381FA"/>
    <w:rsid w:val="76B7C806"/>
    <w:rsid w:val="76E478C8"/>
    <w:rsid w:val="76E916E7"/>
    <w:rsid w:val="76F2390C"/>
    <w:rsid w:val="7724F691"/>
    <w:rsid w:val="772C3440"/>
    <w:rsid w:val="77389D1F"/>
    <w:rsid w:val="773F357F"/>
    <w:rsid w:val="774FFAB6"/>
    <w:rsid w:val="77B749B1"/>
    <w:rsid w:val="77C5C6AA"/>
    <w:rsid w:val="77D817B8"/>
    <w:rsid w:val="77EB2AEC"/>
    <w:rsid w:val="77FC8FFE"/>
    <w:rsid w:val="7801159D"/>
    <w:rsid w:val="781A8CA1"/>
    <w:rsid w:val="781E4516"/>
    <w:rsid w:val="783AEFAE"/>
    <w:rsid w:val="785E74A6"/>
    <w:rsid w:val="78B1B675"/>
    <w:rsid w:val="78B8C208"/>
    <w:rsid w:val="78D0A4A4"/>
    <w:rsid w:val="792E0421"/>
    <w:rsid w:val="794BA7FD"/>
    <w:rsid w:val="797802D0"/>
    <w:rsid w:val="799D49BD"/>
    <w:rsid w:val="79B77338"/>
    <w:rsid w:val="79B9EDE3"/>
    <w:rsid w:val="79BFF721"/>
    <w:rsid w:val="79C05B93"/>
    <w:rsid w:val="79DA66CA"/>
    <w:rsid w:val="79DA6999"/>
    <w:rsid w:val="79F008BF"/>
    <w:rsid w:val="7A347F8D"/>
    <w:rsid w:val="7A3F8073"/>
    <w:rsid w:val="7A6A14FD"/>
    <w:rsid w:val="7AA732F3"/>
    <w:rsid w:val="7AE2C28F"/>
    <w:rsid w:val="7AE5CAC2"/>
    <w:rsid w:val="7AF1021A"/>
    <w:rsid w:val="7AF602D3"/>
    <w:rsid w:val="7AFF8271"/>
    <w:rsid w:val="7B082C60"/>
    <w:rsid w:val="7B0B3BA7"/>
    <w:rsid w:val="7BAD1C31"/>
    <w:rsid w:val="7BC3A65E"/>
    <w:rsid w:val="7BC5AA2F"/>
    <w:rsid w:val="7BCBC226"/>
    <w:rsid w:val="7BDFF8FA"/>
    <w:rsid w:val="7BE19D7A"/>
    <w:rsid w:val="7BF062CA"/>
    <w:rsid w:val="7C1E3415"/>
    <w:rsid w:val="7C3EB931"/>
    <w:rsid w:val="7C568A65"/>
    <w:rsid w:val="7C72AADF"/>
    <w:rsid w:val="7C74F929"/>
    <w:rsid w:val="7C7873CD"/>
    <w:rsid w:val="7C8348BF"/>
    <w:rsid w:val="7C98573F"/>
    <w:rsid w:val="7CAD6138"/>
    <w:rsid w:val="7CCAFB48"/>
    <w:rsid w:val="7CCF442D"/>
    <w:rsid w:val="7CD11482"/>
    <w:rsid w:val="7CDE3325"/>
    <w:rsid w:val="7CE22CDF"/>
    <w:rsid w:val="7D0344AF"/>
    <w:rsid w:val="7D178945"/>
    <w:rsid w:val="7D1A4DC1"/>
    <w:rsid w:val="7D23D832"/>
    <w:rsid w:val="7D3C09DB"/>
    <w:rsid w:val="7D5F76BF"/>
    <w:rsid w:val="7D6F5075"/>
    <w:rsid w:val="7D81AB70"/>
    <w:rsid w:val="7D8B226D"/>
    <w:rsid w:val="7DA2981F"/>
    <w:rsid w:val="7DB95804"/>
    <w:rsid w:val="7DC2F114"/>
    <w:rsid w:val="7DD52547"/>
    <w:rsid w:val="7DDC867F"/>
    <w:rsid w:val="7DF86FBB"/>
    <w:rsid w:val="7E06460D"/>
    <w:rsid w:val="7E0F3FA4"/>
    <w:rsid w:val="7E276D0F"/>
    <w:rsid w:val="7E2844EE"/>
    <w:rsid w:val="7E7D512C"/>
    <w:rsid w:val="7E9F4660"/>
    <w:rsid w:val="7EABFBFA"/>
    <w:rsid w:val="7EC389BA"/>
    <w:rsid w:val="7ED7DA3C"/>
    <w:rsid w:val="7F314C83"/>
    <w:rsid w:val="7F3E6880"/>
    <w:rsid w:val="7F46E1EB"/>
    <w:rsid w:val="7F4D3FF7"/>
    <w:rsid w:val="7F5310B7"/>
    <w:rsid w:val="7F571377"/>
    <w:rsid w:val="7FAD6A6E"/>
    <w:rsid w:val="7FE9B562"/>
    <w:rsid w:val="7FF507C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85AFBA"/>
  <w15:chartTrackingRefBased/>
  <w15:docId w15:val="{8256BCBB-7F12-4AE9-894D-6558A5B8E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har"/>
    <w:uiPriority w:val="9"/>
    <w:qFormat/>
    <w:rsid w:val="004423C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link w:val="Ttulo2Char"/>
    <w:uiPriority w:val="9"/>
    <w:qFormat/>
    <w:rsid w:val="004423CE"/>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4423CE"/>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9"/>
    <w:rsid w:val="004423CE"/>
    <w:rPr>
      <w:rFonts w:ascii="Times New Roman" w:eastAsia="Times New Roman" w:hAnsi="Times New Roman" w:cs="Times New Roman"/>
      <w:b/>
      <w:bCs/>
      <w:sz w:val="36"/>
      <w:szCs w:val="36"/>
      <w:lang w:eastAsia="pt-BR"/>
    </w:rPr>
  </w:style>
  <w:style w:type="paragraph" w:customStyle="1" w:styleId="msonormal0">
    <w:name w:val="msonormal"/>
    <w:basedOn w:val="Normal"/>
    <w:rsid w:val="004423CE"/>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NormalWeb">
    <w:name w:val="Normal (Web)"/>
    <w:basedOn w:val="Normal"/>
    <w:uiPriority w:val="99"/>
    <w:unhideWhenUsed/>
    <w:rsid w:val="004423CE"/>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4423CE"/>
    <w:rPr>
      <w:b/>
      <w:bCs/>
    </w:rPr>
  </w:style>
  <w:style w:type="paragraph" w:customStyle="1" w:styleId="numerado">
    <w:name w:val="numerado"/>
    <w:basedOn w:val="Normal"/>
    <w:rsid w:val="004423CE"/>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nfase">
    <w:name w:val="Emphasis"/>
    <w:basedOn w:val="Fontepargpadro"/>
    <w:uiPriority w:val="20"/>
    <w:qFormat/>
    <w:rsid w:val="004423CE"/>
    <w:rPr>
      <w:i/>
      <w:iCs/>
    </w:rPr>
  </w:style>
  <w:style w:type="character" w:styleId="Hyperlink">
    <w:name w:val="Hyperlink"/>
    <w:basedOn w:val="Fontepargpadro"/>
    <w:uiPriority w:val="99"/>
    <w:unhideWhenUsed/>
    <w:rsid w:val="004423CE"/>
    <w:rPr>
      <w:color w:val="0000FF"/>
      <w:u w:val="single"/>
    </w:rPr>
  </w:style>
  <w:style w:type="character" w:styleId="HiperlinkVisitado">
    <w:name w:val="FollowedHyperlink"/>
    <w:basedOn w:val="Fontepargpadro"/>
    <w:uiPriority w:val="99"/>
    <w:semiHidden/>
    <w:unhideWhenUsed/>
    <w:rsid w:val="004423CE"/>
    <w:rPr>
      <w:color w:val="800080"/>
      <w:u w:val="single"/>
    </w:rPr>
  </w:style>
  <w:style w:type="table" w:styleId="Tabelacomgrade">
    <w:name w:val="Table Grid"/>
    <w:basedOn w:val="Tabe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grafodaLista">
    <w:name w:val="List Paragraph"/>
    <w:basedOn w:val="Normal"/>
    <w:uiPriority w:val="34"/>
    <w:qFormat/>
    <w:pPr>
      <w:ind w:left="720"/>
      <w:contextualSpacing/>
    </w:pPr>
  </w:style>
  <w:style w:type="paragraph" w:styleId="Textodecomentrio">
    <w:name w:val="annotation text"/>
    <w:basedOn w:val="Normal"/>
    <w:link w:val="TextodecomentrioChar"/>
    <w:uiPriority w:val="99"/>
    <w:unhideWhenUsed/>
    <w:pPr>
      <w:spacing w:line="240" w:lineRule="auto"/>
    </w:pPr>
    <w:rPr>
      <w:sz w:val="20"/>
      <w:szCs w:val="20"/>
    </w:rPr>
  </w:style>
  <w:style w:type="character" w:customStyle="1" w:styleId="TextodecomentrioChar">
    <w:name w:val="Texto de comentário Char"/>
    <w:basedOn w:val="Fontepargpadro"/>
    <w:link w:val="Textodecomentrio"/>
    <w:uiPriority w:val="99"/>
    <w:rPr>
      <w:sz w:val="20"/>
      <w:szCs w:val="20"/>
    </w:rPr>
  </w:style>
  <w:style w:type="character" w:styleId="Refdecomentrio">
    <w:name w:val="annotation reference"/>
    <w:basedOn w:val="Fontepargpadro"/>
    <w:uiPriority w:val="99"/>
    <w:semiHidden/>
    <w:unhideWhenUsed/>
    <w:rPr>
      <w:sz w:val="16"/>
      <w:szCs w:val="16"/>
    </w:rPr>
  </w:style>
  <w:style w:type="paragraph" w:styleId="Assuntodocomentrio">
    <w:name w:val="annotation subject"/>
    <w:basedOn w:val="Textodecomentrio"/>
    <w:next w:val="Textodecomentrio"/>
    <w:link w:val="AssuntodocomentrioChar"/>
    <w:uiPriority w:val="99"/>
    <w:semiHidden/>
    <w:unhideWhenUsed/>
    <w:rsid w:val="007534A9"/>
    <w:rPr>
      <w:b/>
      <w:bCs/>
    </w:rPr>
  </w:style>
  <w:style w:type="character" w:customStyle="1" w:styleId="AssuntodocomentrioChar">
    <w:name w:val="Assunto do comentário Char"/>
    <w:basedOn w:val="TextodecomentrioChar"/>
    <w:link w:val="Assuntodocomentrio"/>
    <w:uiPriority w:val="99"/>
    <w:semiHidden/>
    <w:rsid w:val="007534A9"/>
    <w:rPr>
      <w:b/>
      <w:bCs/>
      <w:sz w:val="20"/>
      <w:szCs w:val="20"/>
    </w:rPr>
  </w:style>
  <w:style w:type="character" w:customStyle="1" w:styleId="MenoPendente1">
    <w:name w:val="Menção Pendente1"/>
    <w:basedOn w:val="Fontepargpadro"/>
    <w:uiPriority w:val="99"/>
    <w:semiHidden/>
    <w:unhideWhenUsed/>
    <w:rsid w:val="007534A9"/>
    <w:rPr>
      <w:color w:val="605E5C"/>
      <w:shd w:val="clear" w:color="auto" w:fill="E1DFDD"/>
    </w:rPr>
  </w:style>
  <w:style w:type="paragraph" w:customStyle="1" w:styleId="paragraph">
    <w:name w:val="paragraph"/>
    <w:basedOn w:val="Normal"/>
    <w:rsid w:val="00EE2020"/>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normaltextrun">
    <w:name w:val="normaltextrun"/>
    <w:basedOn w:val="Fontepargpadro"/>
    <w:rsid w:val="00EE2020"/>
  </w:style>
  <w:style w:type="character" w:customStyle="1" w:styleId="eop">
    <w:name w:val="eop"/>
    <w:basedOn w:val="Fontepargpadro"/>
    <w:rsid w:val="00EE2020"/>
  </w:style>
  <w:style w:type="paragraph" w:styleId="Reviso">
    <w:name w:val="Revision"/>
    <w:hidden/>
    <w:uiPriority w:val="99"/>
    <w:semiHidden/>
    <w:rsid w:val="006C1E88"/>
    <w:pPr>
      <w:spacing w:after="0" w:line="240" w:lineRule="auto"/>
    </w:pPr>
  </w:style>
  <w:style w:type="character" w:customStyle="1" w:styleId="CabealhoChar">
    <w:name w:val="Cabeçalho Char"/>
    <w:basedOn w:val="Fontepargpadro"/>
    <w:link w:val="Cabealho"/>
    <w:uiPriority w:val="99"/>
    <w:rsid w:val="006E78FA"/>
  </w:style>
  <w:style w:type="paragraph" w:styleId="Cabealho">
    <w:name w:val="header"/>
    <w:basedOn w:val="Normal"/>
    <w:link w:val="CabealhoChar"/>
    <w:uiPriority w:val="99"/>
    <w:unhideWhenUsed/>
    <w:rsid w:val="006E78FA"/>
    <w:pPr>
      <w:tabs>
        <w:tab w:val="center" w:pos="4680"/>
        <w:tab w:val="right" w:pos="9360"/>
      </w:tabs>
      <w:spacing w:after="0" w:line="240" w:lineRule="auto"/>
    </w:pPr>
  </w:style>
  <w:style w:type="character" w:customStyle="1" w:styleId="CabealhoChar1">
    <w:name w:val="Cabeçalho Char1"/>
    <w:basedOn w:val="Fontepargpadro"/>
    <w:uiPriority w:val="99"/>
    <w:semiHidden/>
    <w:rsid w:val="006E78FA"/>
  </w:style>
  <w:style w:type="character" w:customStyle="1" w:styleId="RodapChar">
    <w:name w:val="Rodapé Char"/>
    <w:basedOn w:val="Fontepargpadro"/>
    <w:link w:val="Rodap"/>
    <w:uiPriority w:val="99"/>
    <w:rsid w:val="006E78FA"/>
  </w:style>
  <w:style w:type="paragraph" w:styleId="Rodap">
    <w:name w:val="footer"/>
    <w:basedOn w:val="Normal"/>
    <w:link w:val="RodapChar"/>
    <w:uiPriority w:val="99"/>
    <w:unhideWhenUsed/>
    <w:rsid w:val="006E78FA"/>
    <w:pPr>
      <w:tabs>
        <w:tab w:val="center" w:pos="4680"/>
        <w:tab w:val="right" w:pos="9360"/>
      </w:tabs>
      <w:spacing w:after="0" w:line="240" w:lineRule="auto"/>
    </w:pPr>
  </w:style>
  <w:style w:type="character" w:customStyle="1" w:styleId="RodapChar1">
    <w:name w:val="Rodapé Char1"/>
    <w:basedOn w:val="Fontepargpadro"/>
    <w:uiPriority w:val="99"/>
    <w:semiHidden/>
    <w:rsid w:val="006E78FA"/>
  </w:style>
  <w:style w:type="character" w:customStyle="1" w:styleId="UnresolvedMention">
    <w:name w:val="Unresolved Mention"/>
    <w:basedOn w:val="Fontepargpadro"/>
    <w:uiPriority w:val="99"/>
    <w:semiHidden/>
    <w:unhideWhenUsed/>
    <w:rsid w:val="006D1F90"/>
    <w:rPr>
      <w:color w:val="605E5C"/>
      <w:shd w:val="clear" w:color="auto" w:fill="E1DFDD"/>
    </w:rPr>
  </w:style>
  <w:style w:type="paragraph" w:customStyle="1" w:styleId="pf0">
    <w:name w:val="pf0"/>
    <w:basedOn w:val="Normal"/>
    <w:rsid w:val="006D1F90"/>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cf01">
    <w:name w:val="cf01"/>
    <w:basedOn w:val="Fontepargpadro"/>
    <w:rsid w:val="006D1F90"/>
    <w:rPr>
      <w:rFonts w:ascii="Segoe UI" w:hAnsi="Segoe UI" w:cs="Segoe UI" w:hint="default"/>
      <w:sz w:val="18"/>
      <w:szCs w:val="18"/>
    </w:rPr>
  </w:style>
  <w:style w:type="character" w:customStyle="1" w:styleId="cf11">
    <w:name w:val="cf11"/>
    <w:basedOn w:val="Fontepargpadro"/>
    <w:rsid w:val="006D1F90"/>
    <w:rPr>
      <w:rFonts w:ascii="Segoe UI" w:hAnsi="Segoe UI" w:cs="Segoe UI" w:hint="default"/>
      <w:color w:val="FF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6246216">
      <w:bodyDiv w:val="1"/>
      <w:marLeft w:val="0"/>
      <w:marRight w:val="0"/>
      <w:marTop w:val="0"/>
      <w:marBottom w:val="0"/>
      <w:divBdr>
        <w:top w:val="none" w:sz="0" w:space="0" w:color="auto"/>
        <w:left w:val="none" w:sz="0" w:space="0" w:color="auto"/>
        <w:bottom w:val="none" w:sz="0" w:space="0" w:color="auto"/>
        <w:right w:val="none" w:sz="0" w:space="0" w:color="auto"/>
      </w:divBdr>
    </w:div>
    <w:div w:id="539979873">
      <w:bodyDiv w:val="1"/>
      <w:marLeft w:val="0"/>
      <w:marRight w:val="0"/>
      <w:marTop w:val="0"/>
      <w:marBottom w:val="0"/>
      <w:divBdr>
        <w:top w:val="none" w:sz="0" w:space="0" w:color="auto"/>
        <w:left w:val="none" w:sz="0" w:space="0" w:color="auto"/>
        <w:bottom w:val="none" w:sz="0" w:space="0" w:color="auto"/>
        <w:right w:val="none" w:sz="0" w:space="0" w:color="auto"/>
      </w:divBdr>
    </w:div>
    <w:div w:id="1031760309">
      <w:bodyDiv w:val="1"/>
      <w:marLeft w:val="0"/>
      <w:marRight w:val="0"/>
      <w:marTop w:val="0"/>
      <w:marBottom w:val="0"/>
      <w:divBdr>
        <w:top w:val="none" w:sz="0" w:space="0" w:color="auto"/>
        <w:left w:val="none" w:sz="0" w:space="0" w:color="auto"/>
        <w:bottom w:val="none" w:sz="0" w:space="0" w:color="auto"/>
        <w:right w:val="none" w:sz="0" w:space="0" w:color="auto"/>
      </w:divBdr>
      <w:divsChild>
        <w:div w:id="1492330437">
          <w:blockQuote w:val="1"/>
          <w:marLeft w:val="720"/>
          <w:marRight w:val="0"/>
          <w:marTop w:val="0"/>
          <w:marBottom w:val="48"/>
          <w:divBdr>
            <w:top w:val="none" w:sz="0" w:space="0" w:color="auto"/>
            <w:left w:val="none" w:sz="0" w:space="0" w:color="auto"/>
            <w:bottom w:val="none" w:sz="0" w:space="0" w:color="auto"/>
            <w:right w:val="none" w:sz="0" w:space="0" w:color="auto"/>
          </w:divBdr>
        </w:div>
        <w:div w:id="1049845145">
          <w:blockQuote w:val="1"/>
          <w:marLeft w:val="720"/>
          <w:marRight w:val="0"/>
          <w:marTop w:val="0"/>
          <w:marBottom w:val="48"/>
          <w:divBdr>
            <w:top w:val="none" w:sz="0" w:space="0" w:color="auto"/>
            <w:left w:val="none" w:sz="0" w:space="0" w:color="auto"/>
            <w:bottom w:val="none" w:sz="0" w:space="0" w:color="auto"/>
            <w:right w:val="none" w:sz="0" w:space="0" w:color="auto"/>
          </w:divBdr>
        </w:div>
        <w:div w:id="1736468445">
          <w:blockQuote w:val="1"/>
          <w:marLeft w:val="720"/>
          <w:marRight w:val="0"/>
          <w:marTop w:val="0"/>
          <w:marBottom w:val="48"/>
          <w:divBdr>
            <w:top w:val="none" w:sz="0" w:space="0" w:color="auto"/>
            <w:left w:val="none" w:sz="0" w:space="0" w:color="auto"/>
            <w:bottom w:val="none" w:sz="0" w:space="0" w:color="auto"/>
            <w:right w:val="none" w:sz="0" w:space="0" w:color="auto"/>
          </w:divBdr>
        </w:div>
        <w:div w:id="727000787">
          <w:blockQuote w:val="1"/>
          <w:marLeft w:val="720"/>
          <w:marRight w:val="0"/>
          <w:marTop w:val="0"/>
          <w:marBottom w:val="48"/>
          <w:divBdr>
            <w:top w:val="none" w:sz="0" w:space="0" w:color="auto"/>
            <w:left w:val="none" w:sz="0" w:space="0" w:color="auto"/>
            <w:bottom w:val="none" w:sz="0" w:space="0" w:color="auto"/>
            <w:right w:val="none" w:sz="0" w:space="0" w:color="auto"/>
          </w:divBdr>
        </w:div>
        <w:div w:id="97336643">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095443682">
      <w:bodyDiv w:val="1"/>
      <w:marLeft w:val="0"/>
      <w:marRight w:val="0"/>
      <w:marTop w:val="0"/>
      <w:marBottom w:val="0"/>
      <w:divBdr>
        <w:top w:val="none" w:sz="0" w:space="0" w:color="auto"/>
        <w:left w:val="none" w:sz="0" w:space="0" w:color="auto"/>
        <w:bottom w:val="none" w:sz="0" w:space="0" w:color="auto"/>
        <w:right w:val="none" w:sz="0" w:space="0" w:color="auto"/>
      </w:divBdr>
      <w:divsChild>
        <w:div w:id="2037730311">
          <w:blockQuote w:val="1"/>
          <w:marLeft w:val="720"/>
          <w:marRight w:val="0"/>
          <w:marTop w:val="0"/>
          <w:marBottom w:val="48"/>
          <w:divBdr>
            <w:top w:val="none" w:sz="0" w:space="0" w:color="auto"/>
            <w:left w:val="none" w:sz="0" w:space="0" w:color="auto"/>
            <w:bottom w:val="none" w:sz="0" w:space="0" w:color="auto"/>
            <w:right w:val="none" w:sz="0" w:space="0" w:color="auto"/>
          </w:divBdr>
        </w:div>
        <w:div w:id="634064890">
          <w:blockQuote w:val="1"/>
          <w:marLeft w:val="720"/>
          <w:marRight w:val="0"/>
          <w:marTop w:val="0"/>
          <w:marBottom w:val="48"/>
          <w:divBdr>
            <w:top w:val="none" w:sz="0" w:space="0" w:color="auto"/>
            <w:left w:val="none" w:sz="0" w:space="0" w:color="auto"/>
            <w:bottom w:val="none" w:sz="0" w:space="0" w:color="auto"/>
            <w:right w:val="none" w:sz="0" w:space="0" w:color="auto"/>
          </w:divBdr>
        </w:div>
        <w:div w:id="117188746">
          <w:marLeft w:val="0"/>
          <w:marRight w:val="0"/>
          <w:marTop w:val="0"/>
          <w:marBottom w:val="0"/>
          <w:divBdr>
            <w:top w:val="none" w:sz="0" w:space="0" w:color="auto"/>
            <w:left w:val="none" w:sz="0" w:space="0" w:color="auto"/>
            <w:bottom w:val="none" w:sz="0" w:space="0" w:color="auto"/>
            <w:right w:val="none" w:sz="0" w:space="0" w:color="auto"/>
          </w:divBdr>
        </w:div>
        <w:div w:id="1315910328">
          <w:blockQuote w:val="1"/>
          <w:marLeft w:val="720"/>
          <w:marRight w:val="0"/>
          <w:marTop w:val="0"/>
          <w:marBottom w:val="48"/>
          <w:divBdr>
            <w:top w:val="none" w:sz="0" w:space="0" w:color="auto"/>
            <w:left w:val="none" w:sz="0" w:space="0" w:color="auto"/>
            <w:bottom w:val="none" w:sz="0" w:space="0" w:color="auto"/>
            <w:right w:val="none" w:sz="0" w:space="0" w:color="auto"/>
          </w:divBdr>
        </w:div>
        <w:div w:id="1187210073">
          <w:blockQuote w:val="1"/>
          <w:marLeft w:val="720"/>
          <w:marRight w:val="0"/>
          <w:marTop w:val="0"/>
          <w:marBottom w:val="48"/>
          <w:divBdr>
            <w:top w:val="none" w:sz="0" w:space="0" w:color="auto"/>
            <w:left w:val="none" w:sz="0" w:space="0" w:color="auto"/>
            <w:bottom w:val="none" w:sz="0" w:space="0" w:color="auto"/>
            <w:right w:val="none" w:sz="0" w:space="0" w:color="auto"/>
          </w:divBdr>
        </w:div>
        <w:div w:id="1959100244">
          <w:blockQuote w:val="1"/>
          <w:marLeft w:val="720"/>
          <w:marRight w:val="0"/>
          <w:marTop w:val="0"/>
          <w:marBottom w:val="48"/>
          <w:divBdr>
            <w:top w:val="none" w:sz="0" w:space="0" w:color="auto"/>
            <w:left w:val="none" w:sz="0" w:space="0" w:color="auto"/>
            <w:bottom w:val="none" w:sz="0" w:space="0" w:color="auto"/>
            <w:right w:val="none" w:sz="0" w:space="0" w:color="auto"/>
          </w:divBdr>
        </w:div>
        <w:div w:id="1798600003">
          <w:blockQuote w:val="1"/>
          <w:marLeft w:val="720"/>
          <w:marRight w:val="0"/>
          <w:marTop w:val="0"/>
          <w:marBottom w:val="48"/>
          <w:divBdr>
            <w:top w:val="none" w:sz="0" w:space="0" w:color="auto"/>
            <w:left w:val="none" w:sz="0" w:space="0" w:color="auto"/>
            <w:bottom w:val="none" w:sz="0" w:space="0" w:color="auto"/>
            <w:right w:val="none" w:sz="0" w:space="0" w:color="auto"/>
          </w:divBdr>
        </w:div>
        <w:div w:id="1156528599">
          <w:blockQuote w:val="1"/>
          <w:marLeft w:val="720"/>
          <w:marRight w:val="0"/>
          <w:marTop w:val="0"/>
          <w:marBottom w:val="48"/>
          <w:divBdr>
            <w:top w:val="none" w:sz="0" w:space="0" w:color="auto"/>
            <w:left w:val="none" w:sz="0" w:space="0" w:color="auto"/>
            <w:bottom w:val="none" w:sz="0" w:space="0" w:color="auto"/>
            <w:right w:val="none" w:sz="0" w:space="0" w:color="auto"/>
          </w:divBdr>
        </w:div>
        <w:div w:id="1710185643">
          <w:blockQuote w:val="1"/>
          <w:marLeft w:val="720"/>
          <w:marRight w:val="0"/>
          <w:marTop w:val="0"/>
          <w:marBottom w:val="48"/>
          <w:divBdr>
            <w:top w:val="none" w:sz="0" w:space="0" w:color="auto"/>
            <w:left w:val="none" w:sz="0" w:space="0" w:color="auto"/>
            <w:bottom w:val="none" w:sz="0" w:space="0" w:color="auto"/>
            <w:right w:val="none" w:sz="0" w:space="0" w:color="auto"/>
          </w:divBdr>
        </w:div>
        <w:div w:id="734663822">
          <w:blockQuote w:val="1"/>
          <w:marLeft w:val="720"/>
          <w:marRight w:val="0"/>
          <w:marTop w:val="0"/>
          <w:marBottom w:val="48"/>
          <w:divBdr>
            <w:top w:val="none" w:sz="0" w:space="0" w:color="auto"/>
            <w:left w:val="none" w:sz="0" w:space="0" w:color="auto"/>
            <w:bottom w:val="none" w:sz="0" w:space="0" w:color="auto"/>
            <w:right w:val="none" w:sz="0" w:space="0" w:color="auto"/>
          </w:divBdr>
        </w:div>
        <w:div w:id="671420832">
          <w:blockQuote w:val="1"/>
          <w:marLeft w:val="720"/>
          <w:marRight w:val="0"/>
          <w:marTop w:val="0"/>
          <w:marBottom w:val="48"/>
          <w:divBdr>
            <w:top w:val="none" w:sz="0" w:space="0" w:color="auto"/>
            <w:left w:val="none" w:sz="0" w:space="0" w:color="auto"/>
            <w:bottom w:val="none" w:sz="0" w:space="0" w:color="auto"/>
            <w:right w:val="none" w:sz="0" w:space="0" w:color="auto"/>
          </w:divBdr>
        </w:div>
        <w:div w:id="953750632">
          <w:blockQuote w:val="1"/>
          <w:marLeft w:val="720"/>
          <w:marRight w:val="0"/>
          <w:marTop w:val="0"/>
          <w:marBottom w:val="48"/>
          <w:divBdr>
            <w:top w:val="none" w:sz="0" w:space="0" w:color="auto"/>
            <w:left w:val="none" w:sz="0" w:space="0" w:color="auto"/>
            <w:bottom w:val="none" w:sz="0" w:space="0" w:color="auto"/>
            <w:right w:val="none" w:sz="0" w:space="0" w:color="auto"/>
          </w:divBdr>
        </w:div>
        <w:div w:id="1964186538">
          <w:blockQuote w:val="1"/>
          <w:marLeft w:val="720"/>
          <w:marRight w:val="0"/>
          <w:marTop w:val="0"/>
          <w:marBottom w:val="48"/>
          <w:divBdr>
            <w:top w:val="none" w:sz="0" w:space="0" w:color="auto"/>
            <w:left w:val="none" w:sz="0" w:space="0" w:color="auto"/>
            <w:bottom w:val="none" w:sz="0" w:space="0" w:color="auto"/>
            <w:right w:val="none" w:sz="0" w:space="0" w:color="auto"/>
          </w:divBdr>
        </w:div>
        <w:div w:id="1423182919">
          <w:blockQuote w:val="1"/>
          <w:marLeft w:val="720"/>
          <w:marRight w:val="0"/>
          <w:marTop w:val="0"/>
          <w:marBottom w:val="48"/>
          <w:divBdr>
            <w:top w:val="none" w:sz="0" w:space="0" w:color="auto"/>
            <w:left w:val="none" w:sz="0" w:space="0" w:color="auto"/>
            <w:bottom w:val="none" w:sz="0" w:space="0" w:color="auto"/>
            <w:right w:val="none" w:sz="0" w:space="0" w:color="auto"/>
          </w:divBdr>
        </w:div>
        <w:div w:id="125895438">
          <w:blockQuote w:val="1"/>
          <w:marLeft w:val="720"/>
          <w:marRight w:val="0"/>
          <w:marTop w:val="0"/>
          <w:marBottom w:val="48"/>
          <w:divBdr>
            <w:top w:val="none" w:sz="0" w:space="0" w:color="auto"/>
            <w:left w:val="none" w:sz="0" w:space="0" w:color="auto"/>
            <w:bottom w:val="none" w:sz="0" w:space="0" w:color="auto"/>
            <w:right w:val="none" w:sz="0" w:space="0" w:color="auto"/>
          </w:divBdr>
        </w:div>
        <w:div w:id="1195844661">
          <w:blockQuote w:val="1"/>
          <w:marLeft w:val="720"/>
          <w:marRight w:val="0"/>
          <w:marTop w:val="0"/>
          <w:marBottom w:val="48"/>
          <w:divBdr>
            <w:top w:val="none" w:sz="0" w:space="0" w:color="auto"/>
            <w:left w:val="none" w:sz="0" w:space="0" w:color="auto"/>
            <w:bottom w:val="none" w:sz="0" w:space="0" w:color="auto"/>
            <w:right w:val="none" w:sz="0" w:space="0" w:color="auto"/>
          </w:divBdr>
        </w:div>
        <w:div w:id="355430597">
          <w:blockQuote w:val="1"/>
          <w:marLeft w:val="720"/>
          <w:marRight w:val="0"/>
          <w:marTop w:val="0"/>
          <w:marBottom w:val="48"/>
          <w:divBdr>
            <w:top w:val="none" w:sz="0" w:space="0" w:color="auto"/>
            <w:left w:val="none" w:sz="0" w:space="0" w:color="auto"/>
            <w:bottom w:val="none" w:sz="0" w:space="0" w:color="auto"/>
            <w:right w:val="none" w:sz="0" w:space="0" w:color="auto"/>
          </w:divBdr>
        </w:div>
        <w:div w:id="1367218506">
          <w:blockQuote w:val="1"/>
          <w:marLeft w:val="720"/>
          <w:marRight w:val="0"/>
          <w:marTop w:val="0"/>
          <w:marBottom w:val="48"/>
          <w:divBdr>
            <w:top w:val="none" w:sz="0" w:space="0" w:color="auto"/>
            <w:left w:val="none" w:sz="0" w:space="0" w:color="auto"/>
            <w:bottom w:val="none" w:sz="0" w:space="0" w:color="auto"/>
            <w:right w:val="none" w:sz="0" w:space="0" w:color="auto"/>
          </w:divBdr>
        </w:div>
        <w:div w:id="1177189804">
          <w:blockQuote w:val="1"/>
          <w:marLeft w:val="720"/>
          <w:marRight w:val="0"/>
          <w:marTop w:val="0"/>
          <w:marBottom w:val="48"/>
          <w:divBdr>
            <w:top w:val="none" w:sz="0" w:space="0" w:color="auto"/>
            <w:left w:val="none" w:sz="0" w:space="0" w:color="auto"/>
            <w:bottom w:val="none" w:sz="0" w:space="0" w:color="auto"/>
            <w:right w:val="none" w:sz="0" w:space="0" w:color="auto"/>
          </w:divBdr>
        </w:div>
        <w:div w:id="1506553039">
          <w:blockQuote w:val="1"/>
          <w:marLeft w:val="720"/>
          <w:marRight w:val="0"/>
          <w:marTop w:val="0"/>
          <w:marBottom w:val="48"/>
          <w:divBdr>
            <w:top w:val="none" w:sz="0" w:space="0" w:color="auto"/>
            <w:left w:val="none" w:sz="0" w:space="0" w:color="auto"/>
            <w:bottom w:val="none" w:sz="0" w:space="0" w:color="auto"/>
            <w:right w:val="none" w:sz="0" w:space="0" w:color="auto"/>
          </w:divBdr>
        </w:div>
        <w:div w:id="220019468">
          <w:blockQuote w:val="1"/>
          <w:marLeft w:val="720"/>
          <w:marRight w:val="0"/>
          <w:marTop w:val="0"/>
          <w:marBottom w:val="48"/>
          <w:divBdr>
            <w:top w:val="none" w:sz="0" w:space="0" w:color="auto"/>
            <w:left w:val="none" w:sz="0" w:space="0" w:color="auto"/>
            <w:bottom w:val="none" w:sz="0" w:space="0" w:color="auto"/>
            <w:right w:val="none" w:sz="0" w:space="0" w:color="auto"/>
          </w:divBdr>
        </w:div>
        <w:div w:id="1654992729">
          <w:blockQuote w:val="1"/>
          <w:marLeft w:val="720"/>
          <w:marRight w:val="0"/>
          <w:marTop w:val="0"/>
          <w:marBottom w:val="48"/>
          <w:divBdr>
            <w:top w:val="none" w:sz="0" w:space="0" w:color="auto"/>
            <w:left w:val="none" w:sz="0" w:space="0" w:color="auto"/>
            <w:bottom w:val="none" w:sz="0" w:space="0" w:color="auto"/>
            <w:right w:val="none" w:sz="0" w:space="0" w:color="auto"/>
          </w:divBdr>
        </w:div>
        <w:div w:id="2076271943">
          <w:blockQuote w:val="1"/>
          <w:marLeft w:val="720"/>
          <w:marRight w:val="0"/>
          <w:marTop w:val="0"/>
          <w:marBottom w:val="48"/>
          <w:divBdr>
            <w:top w:val="none" w:sz="0" w:space="0" w:color="auto"/>
            <w:left w:val="none" w:sz="0" w:space="0" w:color="auto"/>
            <w:bottom w:val="none" w:sz="0" w:space="0" w:color="auto"/>
            <w:right w:val="none" w:sz="0" w:space="0" w:color="auto"/>
          </w:divBdr>
        </w:div>
        <w:div w:id="1774592497">
          <w:blockQuote w:val="1"/>
          <w:marLeft w:val="720"/>
          <w:marRight w:val="0"/>
          <w:marTop w:val="0"/>
          <w:marBottom w:val="48"/>
          <w:divBdr>
            <w:top w:val="none" w:sz="0" w:space="0" w:color="auto"/>
            <w:left w:val="none" w:sz="0" w:space="0" w:color="auto"/>
            <w:bottom w:val="none" w:sz="0" w:space="0" w:color="auto"/>
            <w:right w:val="none" w:sz="0" w:space="0" w:color="auto"/>
          </w:divBdr>
        </w:div>
        <w:div w:id="662322515">
          <w:marLeft w:val="0"/>
          <w:marRight w:val="0"/>
          <w:marTop w:val="0"/>
          <w:marBottom w:val="0"/>
          <w:divBdr>
            <w:top w:val="none" w:sz="0" w:space="0" w:color="auto"/>
            <w:left w:val="none" w:sz="0" w:space="0" w:color="auto"/>
            <w:bottom w:val="none" w:sz="0" w:space="0" w:color="auto"/>
            <w:right w:val="none" w:sz="0" w:space="0" w:color="auto"/>
          </w:divBdr>
        </w:div>
        <w:div w:id="1752199414">
          <w:marLeft w:val="0"/>
          <w:marRight w:val="0"/>
          <w:marTop w:val="0"/>
          <w:marBottom w:val="0"/>
          <w:divBdr>
            <w:top w:val="none" w:sz="0" w:space="0" w:color="auto"/>
            <w:left w:val="none" w:sz="0" w:space="0" w:color="auto"/>
            <w:bottom w:val="none" w:sz="0" w:space="0" w:color="auto"/>
            <w:right w:val="none" w:sz="0" w:space="0" w:color="auto"/>
          </w:divBdr>
          <w:divsChild>
            <w:div w:id="682367778">
              <w:marLeft w:val="0"/>
              <w:marRight w:val="0"/>
              <w:marTop w:val="0"/>
              <w:marBottom w:val="0"/>
              <w:divBdr>
                <w:top w:val="none" w:sz="0" w:space="0" w:color="auto"/>
                <w:left w:val="none" w:sz="0" w:space="0" w:color="auto"/>
                <w:bottom w:val="none" w:sz="0" w:space="0" w:color="auto"/>
                <w:right w:val="none" w:sz="0" w:space="0" w:color="auto"/>
              </w:divBdr>
            </w:div>
            <w:div w:id="1717701115">
              <w:marLeft w:val="0"/>
              <w:marRight w:val="0"/>
              <w:marTop w:val="0"/>
              <w:marBottom w:val="0"/>
              <w:divBdr>
                <w:top w:val="none" w:sz="0" w:space="0" w:color="auto"/>
                <w:left w:val="none" w:sz="0" w:space="0" w:color="auto"/>
                <w:bottom w:val="none" w:sz="0" w:space="0" w:color="auto"/>
                <w:right w:val="none" w:sz="0" w:space="0" w:color="auto"/>
              </w:divBdr>
            </w:div>
          </w:divsChild>
        </w:div>
        <w:div w:id="644286233">
          <w:marLeft w:val="0"/>
          <w:marRight w:val="0"/>
          <w:marTop w:val="0"/>
          <w:marBottom w:val="0"/>
          <w:divBdr>
            <w:top w:val="none" w:sz="0" w:space="0" w:color="auto"/>
            <w:left w:val="none" w:sz="0" w:space="0" w:color="auto"/>
            <w:bottom w:val="none" w:sz="0" w:space="0" w:color="auto"/>
            <w:right w:val="none" w:sz="0" w:space="0" w:color="auto"/>
          </w:divBdr>
        </w:div>
        <w:div w:id="346054815">
          <w:marLeft w:val="0"/>
          <w:marRight w:val="0"/>
          <w:marTop w:val="0"/>
          <w:marBottom w:val="0"/>
          <w:divBdr>
            <w:top w:val="none" w:sz="0" w:space="0" w:color="auto"/>
            <w:left w:val="none" w:sz="0" w:space="0" w:color="auto"/>
            <w:bottom w:val="none" w:sz="0" w:space="0" w:color="auto"/>
            <w:right w:val="none" w:sz="0" w:space="0" w:color="auto"/>
          </w:divBdr>
        </w:div>
        <w:div w:id="1286692205">
          <w:marLeft w:val="0"/>
          <w:marRight w:val="0"/>
          <w:marTop w:val="0"/>
          <w:marBottom w:val="0"/>
          <w:divBdr>
            <w:top w:val="none" w:sz="0" w:space="0" w:color="auto"/>
            <w:left w:val="none" w:sz="0" w:space="0" w:color="auto"/>
            <w:bottom w:val="none" w:sz="0" w:space="0" w:color="auto"/>
            <w:right w:val="none" w:sz="0" w:space="0" w:color="auto"/>
          </w:divBdr>
        </w:div>
        <w:div w:id="687297630">
          <w:marLeft w:val="0"/>
          <w:marRight w:val="0"/>
          <w:marTop w:val="0"/>
          <w:marBottom w:val="0"/>
          <w:divBdr>
            <w:top w:val="none" w:sz="0" w:space="0" w:color="auto"/>
            <w:left w:val="none" w:sz="0" w:space="0" w:color="auto"/>
            <w:bottom w:val="none" w:sz="0" w:space="0" w:color="auto"/>
            <w:right w:val="none" w:sz="0" w:space="0" w:color="auto"/>
          </w:divBdr>
        </w:div>
        <w:div w:id="1184976510">
          <w:blockQuote w:val="1"/>
          <w:marLeft w:val="720"/>
          <w:marRight w:val="0"/>
          <w:marTop w:val="0"/>
          <w:marBottom w:val="48"/>
          <w:divBdr>
            <w:top w:val="none" w:sz="0" w:space="0" w:color="auto"/>
            <w:left w:val="none" w:sz="0" w:space="0" w:color="auto"/>
            <w:bottom w:val="none" w:sz="0" w:space="0" w:color="auto"/>
            <w:right w:val="none" w:sz="0" w:space="0" w:color="auto"/>
          </w:divBdr>
        </w:div>
        <w:div w:id="1186292236">
          <w:blockQuote w:val="1"/>
          <w:marLeft w:val="720"/>
          <w:marRight w:val="0"/>
          <w:marTop w:val="0"/>
          <w:marBottom w:val="48"/>
          <w:divBdr>
            <w:top w:val="none" w:sz="0" w:space="0" w:color="auto"/>
            <w:left w:val="none" w:sz="0" w:space="0" w:color="auto"/>
            <w:bottom w:val="none" w:sz="0" w:space="0" w:color="auto"/>
            <w:right w:val="none" w:sz="0" w:space="0" w:color="auto"/>
          </w:divBdr>
        </w:div>
        <w:div w:id="2138840688">
          <w:blockQuote w:val="1"/>
          <w:marLeft w:val="720"/>
          <w:marRight w:val="0"/>
          <w:marTop w:val="0"/>
          <w:marBottom w:val="48"/>
          <w:divBdr>
            <w:top w:val="none" w:sz="0" w:space="0" w:color="auto"/>
            <w:left w:val="none" w:sz="0" w:space="0" w:color="auto"/>
            <w:bottom w:val="none" w:sz="0" w:space="0" w:color="auto"/>
            <w:right w:val="none" w:sz="0" w:space="0" w:color="auto"/>
          </w:divBdr>
        </w:div>
        <w:div w:id="1085155267">
          <w:blockQuote w:val="1"/>
          <w:marLeft w:val="720"/>
          <w:marRight w:val="0"/>
          <w:marTop w:val="0"/>
          <w:marBottom w:val="48"/>
          <w:divBdr>
            <w:top w:val="none" w:sz="0" w:space="0" w:color="auto"/>
            <w:left w:val="none" w:sz="0" w:space="0" w:color="auto"/>
            <w:bottom w:val="none" w:sz="0" w:space="0" w:color="auto"/>
            <w:right w:val="none" w:sz="0" w:space="0" w:color="auto"/>
          </w:divBdr>
        </w:div>
        <w:div w:id="2038114347">
          <w:blockQuote w:val="1"/>
          <w:marLeft w:val="720"/>
          <w:marRight w:val="0"/>
          <w:marTop w:val="0"/>
          <w:marBottom w:val="48"/>
          <w:divBdr>
            <w:top w:val="none" w:sz="0" w:space="0" w:color="auto"/>
            <w:left w:val="none" w:sz="0" w:space="0" w:color="auto"/>
            <w:bottom w:val="none" w:sz="0" w:space="0" w:color="auto"/>
            <w:right w:val="none" w:sz="0" w:space="0" w:color="auto"/>
          </w:divBdr>
        </w:div>
        <w:div w:id="509107695">
          <w:blockQuote w:val="1"/>
          <w:marLeft w:val="720"/>
          <w:marRight w:val="0"/>
          <w:marTop w:val="0"/>
          <w:marBottom w:val="48"/>
          <w:divBdr>
            <w:top w:val="none" w:sz="0" w:space="0" w:color="auto"/>
            <w:left w:val="none" w:sz="0" w:space="0" w:color="auto"/>
            <w:bottom w:val="none" w:sz="0" w:space="0" w:color="auto"/>
            <w:right w:val="none" w:sz="0" w:space="0" w:color="auto"/>
          </w:divBdr>
        </w:div>
        <w:div w:id="1226648505">
          <w:blockQuote w:val="1"/>
          <w:marLeft w:val="720"/>
          <w:marRight w:val="0"/>
          <w:marTop w:val="0"/>
          <w:marBottom w:val="48"/>
          <w:divBdr>
            <w:top w:val="none" w:sz="0" w:space="0" w:color="auto"/>
            <w:left w:val="none" w:sz="0" w:space="0" w:color="auto"/>
            <w:bottom w:val="none" w:sz="0" w:space="0" w:color="auto"/>
            <w:right w:val="none" w:sz="0" w:space="0" w:color="auto"/>
          </w:divBdr>
        </w:div>
        <w:div w:id="2049792090">
          <w:blockQuote w:val="1"/>
          <w:marLeft w:val="720"/>
          <w:marRight w:val="0"/>
          <w:marTop w:val="0"/>
          <w:marBottom w:val="48"/>
          <w:divBdr>
            <w:top w:val="none" w:sz="0" w:space="0" w:color="auto"/>
            <w:left w:val="none" w:sz="0" w:space="0" w:color="auto"/>
            <w:bottom w:val="none" w:sz="0" w:space="0" w:color="auto"/>
            <w:right w:val="none" w:sz="0" w:space="0" w:color="auto"/>
          </w:divBdr>
        </w:div>
        <w:div w:id="169374234">
          <w:blockQuote w:val="1"/>
          <w:marLeft w:val="720"/>
          <w:marRight w:val="0"/>
          <w:marTop w:val="0"/>
          <w:marBottom w:val="48"/>
          <w:divBdr>
            <w:top w:val="none" w:sz="0" w:space="0" w:color="auto"/>
            <w:left w:val="none" w:sz="0" w:space="0" w:color="auto"/>
            <w:bottom w:val="none" w:sz="0" w:space="0" w:color="auto"/>
            <w:right w:val="none" w:sz="0" w:space="0" w:color="auto"/>
          </w:divBdr>
        </w:div>
        <w:div w:id="2014066775">
          <w:blockQuote w:val="1"/>
          <w:marLeft w:val="720"/>
          <w:marRight w:val="0"/>
          <w:marTop w:val="0"/>
          <w:marBottom w:val="48"/>
          <w:divBdr>
            <w:top w:val="none" w:sz="0" w:space="0" w:color="auto"/>
            <w:left w:val="none" w:sz="0" w:space="0" w:color="auto"/>
            <w:bottom w:val="none" w:sz="0" w:space="0" w:color="auto"/>
            <w:right w:val="none" w:sz="0" w:space="0" w:color="auto"/>
          </w:divBdr>
        </w:div>
        <w:div w:id="1978140446">
          <w:blockQuote w:val="1"/>
          <w:marLeft w:val="720"/>
          <w:marRight w:val="0"/>
          <w:marTop w:val="0"/>
          <w:marBottom w:val="48"/>
          <w:divBdr>
            <w:top w:val="none" w:sz="0" w:space="0" w:color="auto"/>
            <w:left w:val="none" w:sz="0" w:space="0" w:color="auto"/>
            <w:bottom w:val="none" w:sz="0" w:space="0" w:color="auto"/>
            <w:right w:val="none" w:sz="0" w:space="0" w:color="auto"/>
          </w:divBdr>
        </w:div>
        <w:div w:id="386804275">
          <w:blockQuote w:val="1"/>
          <w:marLeft w:val="720"/>
          <w:marRight w:val="0"/>
          <w:marTop w:val="0"/>
          <w:marBottom w:val="48"/>
          <w:divBdr>
            <w:top w:val="none" w:sz="0" w:space="0" w:color="auto"/>
            <w:left w:val="none" w:sz="0" w:space="0" w:color="auto"/>
            <w:bottom w:val="none" w:sz="0" w:space="0" w:color="auto"/>
            <w:right w:val="none" w:sz="0" w:space="0" w:color="auto"/>
          </w:divBdr>
        </w:div>
        <w:div w:id="2019916388">
          <w:blockQuote w:val="1"/>
          <w:marLeft w:val="720"/>
          <w:marRight w:val="0"/>
          <w:marTop w:val="0"/>
          <w:marBottom w:val="48"/>
          <w:divBdr>
            <w:top w:val="none" w:sz="0" w:space="0" w:color="auto"/>
            <w:left w:val="none" w:sz="0" w:space="0" w:color="auto"/>
            <w:bottom w:val="none" w:sz="0" w:space="0" w:color="auto"/>
            <w:right w:val="none" w:sz="0" w:space="0" w:color="auto"/>
          </w:divBdr>
        </w:div>
        <w:div w:id="2108310108">
          <w:blockQuote w:val="1"/>
          <w:marLeft w:val="720"/>
          <w:marRight w:val="0"/>
          <w:marTop w:val="0"/>
          <w:marBottom w:val="48"/>
          <w:divBdr>
            <w:top w:val="none" w:sz="0" w:space="0" w:color="auto"/>
            <w:left w:val="none" w:sz="0" w:space="0" w:color="auto"/>
            <w:bottom w:val="none" w:sz="0" w:space="0" w:color="auto"/>
            <w:right w:val="none" w:sz="0" w:space="0" w:color="auto"/>
          </w:divBdr>
        </w:div>
        <w:div w:id="1543324483">
          <w:blockQuote w:val="1"/>
          <w:marLeft w:val="720"/>
          <w:marRight w:val="0"/>
          <w:marTop w:val="0"/>
          <w:marBottom w:val="48"/>
          <w:divBdr>
            <w:top w:val="none" w:sz="0" w:space="0" w:color="auto"/>
            <w:left w:val="none" w:sz="0" w:space="0" w:color="auto"/>
            <w:bottom w:val="none" w:sz="0" w:space="0" w:color="auto"/>
            <w:right w:val="none" w:sz="0" w:space="0" w:color="auto"/>
          </w:divBdr>
        </w:div>
        <w:div w:id="1905289315">
          <w:blockQuote w:val="1"/>
          <w:marLeft w:val="720"/>
          <w:marRight w:val="0"/>
          <w:marTop w:val="0"/>
          <w:marBottom w:val="48"/>
          <w:divBdr>
            <w:top w:val="none" w:sz="0" w:space="0" w:color="auto"/>
            <w:left w:val="none" w:sz="0" w:space="0" w:color="auto"/>
            <w:bottom w:val="none" w:sz="0" w:space="0" w:color="auto"/>
            <w:right w:val="none" w:sz="0" w:space="0" w:color="auto"/>
          </w:divBdr>
        </w:div>
        <w:div w:id="1176113726">
          <w:blockQuote w:val="1"/>
          <w:marLeft w:val="720"/>
          <w:marRight w:val="0"/>
          <w:marTop w:val="0"/>
          <w:marBottom w:val="48"/>
          <w:divBdr>
            <w:top w:val="none" w:sz="0" w:space="0" w:color="auto"/>
            <w:left w:val="none" w:sz="0" w:space="0" w:color="auto"/>
            <w:bottom w:val="none" w:sz="0" w:space="0" w:color="auto"/>
            <w:right w:val="none" w:sz="0" w:space="0" w:color="auto"/>
          </w:divBdr>
        </w:div>
        <w:div w:id="1820540261">
          <w:blockQuote w:val="1"/>
          <w:marLeft w:val="720"/>
          <w:marRight w:val="0"/>
          <w:marTop w:val="0"/>
          <w:marBottom w:val="48"/>
          <w:divBdr>
            <w:top w:val="none" w:sz="0" w:space="0" w:color="auto"/>
            <w:left w:val="none" w:sz="0" w:space="0" w:color="auto"/>
            <w:bottom w:val="none" w:sz="0" w:space="0" w:color="auto"/>
            <w:right w:val="none" w:sz="0" w:space="0" w:color="auto"/>
          </w:divBdr>
        </w:div>
        <w:div w:id="2013213138">
          <w:blockQuote w:val="1"/>
          <w:marLeft w:val="720"/>
          <w:marRight w:val="0"/>
          <w:marTop w:val="0"/>
          <w:marBottom w:val="48"/>
          <w:divBdr>
            <w:top w:val="none" w:sz="0" w:space="0" w:color="auto"/>
            <w:left w:val="none" w:sz="0" w:space="0" w:color="auto"/>
            <w:bottom w:val="none" w:sz="0" w:space="0" w:color="auto"/>
            <w:right w:val="none" w:sz="0" w:space="0" w:color="auto"/>
          </w:divBdr>
        </w:div>
        <w:div w:id="1436706242">
          <w:blockQuote w:val="1"/>
          <w:marLeft w:val="720"/>
          <w:marRight w:val="0"/>
          <w:marTop w:val="0"/>
          <w:marBottom w:val="48"/>
          <w:divBdr>
            <w:top w:val="none" w:sz="0" w:space="0" w:color="auto"/>
            <w:left w:val="none" w:sz="0" w:space="0" w:color="auto"/>
            <w:bottom w:val="none" w:sz="0" w:space="0" w:color="auto"/>
            <w:right w:val="none" w:sz="0" w:space="0" w:color="auto"/>
          </w:divBdr>
        </w:div>
        <w:div w:id="1584487827">
          <w:blockQuote w:val="1"/>
          <w:marLeft w:val="720"/>
          <w:marRight w:val="0"/>
          <w:marTop w:val="0"/>
          <w:marBottom w:val="48"/>
          <w:divBdr>
            <w:top w:val="none" w:sz="0" w:space="0" w:color="auto"/>
            <w:left w:val="none" w:sz="0" w:space="0" w:color="auto"/>
            <w:bottom w:val="none" w:sz="0" w:space="0" w:color="auto"/>
            <w:right w:val="none" w:sz="0" w:space="0" w:color="auto"/>
          </w:divBdr>
        </w:div>
        <w:div w:id="1988626341">
          <w:blockQuote w:val="1"/>
          <w:marLeft w:val="720"/>
          <w:marRight w:val="0"/>
          <w:marTop w:val="0"/>
          <w:marBottom w:val="48"/>
          <w:divBdr>
            <w:top w:val="none" w:sz="0" w:space="0" w:color="auto"/>
            <w:left w:val="none" w:sz="0" w:space="0" w:color="auto"/>
            <w:bottom w:val="none" w:sz="0" w:space="0" w:color="auto"/>
            <w:right w:val="none" w:sz="0" w:space="0" w:color="auto"/>
          </w:divBdr>
        </w:div>
        <w:div w:id="1068069676">
          <w:blockQuote w:val="1"/>
          <w:marLeft w:val="720"/>
          <w:marRight w:val="0"/>
          <w:marTop w:val="0"/>
          <w:marBottom w:val="48"/>
          <w:divBdr>
            <w:top w:val="none" w:sz="0" w:space="0" w:color="auto"/>
            <w:left w:val="none" w:sz="0" w:space="0" w:color="auto"/>
            <w:bottom w:val="none" w:sz="0" w:space="0" w:color="auto"/>
            <w:right w:val="none" w:sz="0" w:space="0" w:color="auto"/>
          </w:divBdr>
        </w:div>
        <w:div w:id="2055155">
          <w:blockQuote w:val="1"/>
          <w:marLeft w:val="720"/>
          <w:marRight w:val="0"/>
          <w:marTop w:val="0"/>
          <w:marBottom w:val="48"/>
          <w:divBdr>
            <w:top w:val="none" w:sz="0" w:space="0" w:color="auto"/>
            <w:left w:val="none" w:sz="0" w:space="0" w:color="auto"/>
            <w:bottom w:val="none" w:sz="0" w:space="0" w:color="auto"/>
            <w:right w:val="none" w:sz="0" w:space="0" w:color="auto"/>
          </w:divBdr>
        </w:div>
        <w:div w:id="353307481">
          <w:blockQuote w:val="1"/>
          <w:marLeft w:val="720"/>
          <w:marRight w:val="0"/>
          <w:marTop w:val="0"/>
          <w:marBottom w:val="48"/>
          <w:divBdr>
            <w:top w:val="none" w:sz="0" w:space="0" w:color="auto"/>
            <w:left w:val="none" w:sz="0" w:space="0" w:color="auto"/>
            <w:bottom w:val="none" w:sz="0" w:space="0" w:color="auto"/>
            <w:right w:val="none" w:sz="0" w:space="0" w:color="auto"/>
          </w:divBdr>
        </w:div>
        <w:div w:id="1930457902">
          <w:blockQuote w:val="1"/>
          <w:marLeft w:val="720"/>
          <w:marRight w:val="0"/>
          <w:marTop w:val="0"/>
          <w:marBottom w:val="48"/>
          <w:divBdr>
            <w:top w:val="none" w:sz="0" w:space="0" w:color="auto"/>
            <w:left w:val="none" w:sz="0" w:space="0" w:color="auto"/>
            <w:bottom w:val="none" w:sz="0" w:space="0" w:color="auto"/>
            <w:right w:val="none" w:sz="0" w:space="0" w:color="auto"/>
          </w:divBdr>
        </w:div>
        <w:div w:id="1352030636">
          <w:blockQuote w:val="1"/>
          <w:marLeft w:val="720"/>
          <w:marRight w:val="0"/>
          <w:marTop w:val="0"/>
          <w:marBottom w:val="48"/>
          <w:divBdr>
            <w:top w:val="none" w:sz="0" w:space="0" w:color="auto"/>
            <w:left w:val="none" w:sz="0" w:space="0" w:color="auto"/>
            <w:bottom w:val="none" w:sz="0" w:space="0" w:color="auto"/>
            <w:right w:val="none" w:sz="0" w:space="0" w:color="auto"/>
          </w:divBdr>
        </w:div>
        <w:div w:id="1326545637">
          <w:blockQuote w:val="1"/>
          <w:marLeft w:val="720"/>
          <w:marRight w:val="0"/>
          <w:marTop w:val="0"/>
          <w:marBottom w:val="48"/>
          <w:divBdr>
            <w:top w:val="none" w:sz="0" w:space="0" w:color="auto"/>
            <w:left w:val="none" w:sz="0" w:space="0" w:color="auto"/>
            <w:bottom w:val="none" w:sz="0" w:space="0" w:color="auto"/>
            <w:right w:val="none" w:sz="0" w:space="0" w:color="auto"/>
          </w:divBdr>
        </w:div>
        <w:div w:id="1216355779">
          <w:blockQuote w:val="1"/>
          <w:marLeft w:val="720"/>
          <w:marRight w:val="0"/>
          <w:marTop w:val="0"/>
          <w:marBottom w:val="48"/>
          <w:divBdr>
            <w:top w:val="none" w:sz="0" w:space="0" w:color="auto"/>
            <w:left w:val="none" w:sz="0" w:space="0" w:color="auto"/>
            <w:bottom w:val="none" w:sz="0" w:space="0" w:color="auto"/>
            <w:right w:val="none" w:sz="0" w:space="0" w:color="auto"/>
          </w:divBdr>
        </w:div>
        <w:div w:id="1098717952">
          <w:blockQuote w:val="1"/>
          <w:marLeft w:val="720"/>
          <w:marRight w:val="0"/>
          <w:marTop w:val="0"/>
          <w:marBottom w:val="48"/>
          <w:divBdr>
            <w:top w:val="none" w:sz="0" w:space="0" w:color="auto"/>
            <w:left w:val="none" w:sz="0" w:space="0" w:color="auto"/>
            <w:bottom w:val="none" w:sz="0" w:space="0" w:color="auto"/>
            <w:right w:val="none" w:sz="0" w:space="0" w:color="auto"/>
          </w:divBdr>
        </w:div>
        <w:div w:id="1339115276">
          <w:blockQuote w:val="1"/>
          <w:marLeft w:val="720"/>
          <w:marRight w:val="0"/>
          <w:marTop w:val="0"/>
          <w:marBottom w:val="48"/>
          <w:divBdr>
            <w:top w:val="none" w:sz="0" w:space="0" w:color="auto"/>
            <w:left w:val="none" w:sz="0" w:space="0" w:color="auto"/>
            <w:bottom w:val="none" w:sz="0" w:space="0" w:color="auto"/>
            <w:right w:val="none" w:sz="0" w:space="0" w:color="auto"/>
          </w:divBdr>
        </w:div>
        <w:div w:id="156462257">
          <w:marLeft w:val="0"/>
          <w:marRight w:val="0"/>
          <w:marTop w:val="0"/>
          <w:marBottom w:val="0"/>
          <w:divBdr>
            <w:top w:val="none" w:sz="0" w:space="0" w:color="auto"/>
            <w:left w:val="none" w:sz="0" w:space="0" w:color="auto"/>
            <w:bottom w:val="none" w:sz="0" w:space="0" w:color="auto"/>
            <w:right w:val="none" w:sz="0" w:space="0" w:color="auto"/>
          </w:divBdr>
        </w:div>
        <w:div w:id="1564439399">
          <w:marLeft w:val="0"/>
          <w:marRight w:val="0"/>
          <w:marTop w:val="0"/>
          <w:marBottom w:val="0"/>
          <w:divBdr>
            <w:top w:val="none" w:sz="0" w:space="0" w:color="auto"/>
            <w:left w:val="none" w:sz="0" w:space="0" w:color="auto"/>
            <w:bottom w:val="none" w:sz="0" w:space="0" w:color="auto"/>
            <w:right w:val="none" w:sz="0" w:space="0" w:color="auto"/>
          </w:divBdr>
        </w:div>
        <w:div w:id="559829168">
          <w:marLeft w:val="0"/>
          <w:marRight w:val="0"/>
          <w:marTop w:val="0"/>
          <w:marBottom w:val="0"/>
          <w:divBdr>
            <w:top w:val="none" w:sz="0" w:space="0" w:color="auto"/>
            <w:left w:val="none" w:sz="0" w:space="0" w:color="auto"/>
            <w:bottom w:val="none" w:sz="0" w:space="0" w:color="auto"/>
            <w:right w:val="none" w:sz="0" w:space="0" w:color="auto"/>
          </w:divBdr>
        </w:div>
        <w:div w:id="1040937422">
          <w:marLeft w:val="0"/>
          <w:marRight w:val="0"/>
          <w:marTop w:val="0"/>
          <w:marBottom w:val="0"/>
          <w:divBdr>
            <w:top w:val="none" w:sz="0" w:space="0" w:color="auto"/>
            <w:left w:val="none" w:sz="0" w:space="0" w:color="auto"/>
            <w:bottom w:val="none" w:sz="0" w:space="0" w:color="auto"/>
            <w:right w:val="none" w:sz="0" w:space="0" w:color="auto"/>
          </w:divBdr>
        </w:div>
        <w:div w:id="444274685">
          <w:blockQuote w:val="1"/>
          <w:marLeft w:val="720"/>
          <w:marRight w:val="0"/>
          <w:marTop w:val="0"/>
          <w:marBottom w:val="48"/>
          <w:divBdr>
            <w:top w:val="none" w:sz="0" w:space="0" w:color="auto"/>
            <w:left w:val="none" w:sz="0" w:space="0" w:color="auto"/>
            <w:bottom w:val="none" w:sz="0" w:space="0" w:color="auto"/>
            <w:right w:val="none" w:sz="0" w:space="0" w:color="auto"/>
          </w:divBdr>
        </w:div>
        <w:div w:id="1689798135">
          <w:blockQuote w:val="1"/>
          <w:marLeft w:val="720"/>
          <w:marRight w:val="0"/>
          <w:marTop w:val="0"/>
          <w:marBottom w:val="48"/>
          <w:divBdr>
            <w:top w:val="none" w:sz="0" w:space="0" w:color="auto"/>
            <w:left w:val="none" w:sz="0" w:space="0" w:color="auto"/>
            <w:bottom w:val="none" w:sz="0" w:space="0" w:color="auto"/>
            <w:right w:val="none" w:sz="0" w:space="0" w:color="auto"/>
          </w:divBdr>
        </w:div>
        <w:div w:id="1067415162">
          <w:blockQuote w:val="1"/>
          <w:marLeft w:val="720"/>
          <w:marRight w:val="0"/>
          <w:marTop w:val="0"/>
          <w:marBottom w:val="48"/>
          <w:divBdr>
            <w:top w:val="none" w:sz="0" w:space="0" w:color="auto"/>
            <w:left w:val="none" w:sz="0" w:space="0" w:color="auto"/>
            <w:bottom w:val="none" w:sz="0" w:space="0" w:color="auto"/>
            <w:right w:val="none" w:sz="0" w:space="0" w:color="auto"/>
          </w:divBdr>
        </w:div>
        <w:div w:id="1049954851">
          <w:blockQuote w:val="1"/>
          <w:marLeft w:val="720"/>
          <w:marRight w:val="0"/>
          <w:marTop w:val="0"/>
          <w:marBottom w:val="48"/>
          <w:divBdr>
            <w:top w:val="none" w:sz="0" w:space="0" w:color="auto"/>
            <w:left w:val="none" w:sz="0" w:space="0" w:color="auto"/>
            <w:bottom w:val="none" w:sz="0" w:space="0" w:color="auto"/>
            <w:right w:val="none" w:sz="0" w:space="0" w:color="auto"/>
          </w:divBdr>
        </w:div>
        <w:div w:id="1855150912">
          <w:blockQuote w:val="1"/>
          <w:marLeft w:val="720"/>
          <w:marRight w:val="0"/>
          <w:marTop w:val="0"/>
          <w:marBottom w:val="48"/>
          <w:divBdr>
            <w:top w:val="none" w:sz="0" w:space="0" w:color="auto"/>
            <w:left w:val="none" w:sz="0" w:space="0" w:color="auto"/>
            <w:bottom w:val="none" w:sz="0" w:space="0" w:color="auto"/>
            <w:right w:val="none" w:sz="0" w:space="0" w:color="auto"/>
          </w:divBdr>
        </w:div>
        <w:div w:id="1364987812">
          <w:blockQuote w:val="1"/>
          <w:marLeft w:val="720"/>
          <w:marRight w:val="0"/>
          <w:marTop w:val="0"/>
          <w:marBottom w:val="48"/>
          <w:divBdr>
            <w:top w:val="none" w:sz="0" w:space="0" w:color="auto"/>
            <w:left w:val="none" w:sz="0" w:space="0" w:color="auto"/>
            <w:bottom w:val="none" w:sz="0" w:space="0" w:color="auto"/>
            <w:right w:val="none" w:sz="0" w:space="0" w:color="auto"/>
          </w:divBdr>
        </w:div>
        <w:div w:id="563641589">
          <w:blockQuote w:val="1"/>
          <w:marLeft w:val="720"/>
          <w:marRight w:val="0"/>
          <w:marTop w:val="0"/>
          <w:marBottom w:val="48"/>
          <w:divBdr>
            <w:top w:val="none" w:sz="0" w:space="0" w:color="auto"/>
            <w:left w:val="none" w:sz="0" w:space="0" w:color="auto"/>
            <w:bottom w:val="none" w:sz="0" w:space="0" w:color="auto"/>
            <w:right w:val="none" w:sz="0" w:space="0" w:color="auto"/>
          </w:divBdr>
        </w:div>
        <w:div w:id="1778139745">
          <w:blockQuote w:val="1"/>
          <w:marLeft w:val="720"/>
          <w:marRight w:val="0"/>
          <w:marTop w:val="0"/>
          <w:marBottom w:val="48"/>
          <w:divBdr>
            <w:top w:val="none" w:sz="0" w:space="0" w:color="auto"/>
            <w:left w:val="none" w:sz="0" w:space="0" w:color="auto"/>
            <w:bottom w:val="none" w:sz="0" w:space="0" w:color="auto"/>
            <w:right w:val="none" w:sz="0" w:space="0" w:color="auto"/>
          </w:divBdr>
        </w:div>
        <w:div w:id="1119296275">
          <w:marLeft w:val="0"/>
          <w:marRight w:val="0"/>
          <w:marTop w:val="0"/>
          <w:marBottom w:val="0"/>
          <w:divBdr>
            <w:top w:val="none" w:sz="0" w:space="0" w:color="auto"/>
            <w:left w:val="none" w:sz="0" w:space="0" w:color="auto"/>
            <w:bottom w:val="none" w:sz="0" w:space="0" w:color="auto"/>
            <w:right w:val="none" w:sz="0" w:space="0" w:color="auto"/>
          </w:divBdr>
          <w:divsChild>
            <w:div w:id="1160997036">
              <w:marLeft w:val="0"/>
              <w:marRight w:val="0"/>
              <w:marTop w:val="0"/>
              <w:marBottom w:val="0"/>
              <w:divBdr>
                <w:top w:val="none" w:sz="0" w:space="0" w:color="auto"/>
                <w:left w:val="none" w:sz="0" w:space="0" w:color="auto"/>
                <w:bottom w:val="none" w:sz="0" w:space="0" w:color="auto"/>
                <w:right w:val="none" w:sz="0" w:space="0" w:color="auto"/>
              </w:divBdr>
            </w:div>
          </w:divsChild>
        </w:div>
        <w:div w:id="1089697532">
          <w:blockQuote w:val="1"/>
          <w:marLeft w:val="720"/>
          <w:marRight w:val="0"/>
          <w:marTop w:val="0"/>
          <w:marBottom w:val="48"/>
          <w:divBdr>
            <w:top w:val="none" w:sz="0" w:space="0" w:color="auto"/>
            <w:left w:val="none" w:sz="0" w:space="0" w:color="auto"/>
            <w:bottom w:val="none" w:sz="0" w:space="0" w:color="auto"/>
            <w:right w:val="none" w:sz="0" w:space="0" w:color="auto"/>
          </w:divBdr>
        </w:div>
        <w:div w:id="1540700935">
          <w:blockQuote w:val="1"/>
          <w:marLeft w:val="720"/>
          <w:marRight w:val="0"/>
          <w:marTop w:val="0"/>
          <w:marBottom w:val="48"/>
          <w:divBdr>
            <w:top w:val="none" w:sz="0" w:space="0" w:color="auto"/>
            <w:left w:val="none" w:sz="0" w:space="0" w:color="auto"/>
            <w:bottom w:val="none" w:sz="0" w:space="0" w:color="auto"/>
            <w:right w:val="none" w:sz="0" w:space="0" w:color="auto"/>
          </w:divBdr>
        </w:div>
        <w:div w:id="130026362">
          <w:blockQuote w:val="1"/>
          <w:marLeft w:val="720"/>
          <w:marRight w:val="0"/>
          <w:marTop w:val="0"/>
          <w:marBottom w:val="48"/>
          <w:divBdr>
            <w:top w:val="none" w:sz="0" w:space="0" w:color="auto"/>
            <w:left w:val="none" w:sz="0" w:space="0" w:color="auto"/>
            <w:bottom w:val="none" w:sz="0" w:space="0" w:color="auto"/>
            <w:right w:val="none" w:sz="0" w:space="0" w:color="auto"/>
          </w:divBdr>
        </w:div>
        <w:div w:id="1550603360">
          <w:blockQuote w:val="1"/>
          <w:marLeft w:val="720"/>
          <w:marRight w:val="0"/>
          <w:marTop w:val="0"/>
          <w:marBottom w:val="48"/>
          <w:divBdr>
            <w:top w:val="none" w:sz="0" w:space="0" w:color="auto"/>
            <w:left w:val="none" w:sz="0" w:space="0" w:color="auto"/>
            <w:bottom w:val="none" w:sz="0" w:space="0" w:color="auto"/>
            <w:right w:val="none" w:sz="0" w:space="0" w:color="auto"/>
          </w:divBdr>
        </w:div>
        <w:div w:id="402265174">
          <w:blockQuote w:val="1"/>
          <w:marLeft w:val="720"/>
          <w:marRight w:val="0"/>
          <w:marTop w:val="0"/>
          <w:marBottom w:val="48"/>
          <w:divBdr>
            <w:top w:val="none" w:sz="0" w:space="0" w:color="auto"/>
            <w:left w:val="none" w:sz="0" w:space="0" w:color="auto"/>
            <w:bottom w:val="none" w:sz="0" w:space="0" w:color="auto"/>
            <w:right w:val="none" w:sz="0" w:space="0" w:color="auto"/>
          </w:divBdr>
        </w:div>
        <w:div w:id="1092051328">
          <w:blockQuote w:val="1"/>
          <w:marLeft w:val="720"/>
          <w:marRight w:val="0"/>
          <w:marTop w:val="0"/>
          <w:marBottom w:val="48"/>
          <w:divBdr>
            <w:top w:val="none" w:sz="0" w:space="0" w:color="auto"/>
            <w:left w:val="none" w:sz="0" w:space="0" w:color="auto"/>
            <w:bottom w:val="none" w:sz="0" w:space="0" w:color="auto"/>
            <w:right w:val="none" w:sz="0" w:space="0" w:color="auto"/>
          </w:divBdr>
        </w:div>
        <w:div w:id="23485004">
          <w:marLeft w:val="0"/>
          <w:marRight w:val="0"/>
          <w:marTop w:val="0"/>
          <w:marBottom w:val="0"/>
          <w:divBdr>
            <w:top w:val="none" w:sz="0" w:space="0" w:color="auto"/>
            <w:left w:val="none" w:sz="0" w:space="0" w:color="auto"/>
            <w:bottom w:val="none" w:sz="0" w:space="0" w:color="auto"/>
            <w:right w:val="none" w:sz="0" w:space="0" w:color="auto"/>
          </w:divBdr>
        </w:div>
        <w:div w:id="779224052">
          <w:blockQuote w:val="1"/>
          <w:marLeft w:val="720"/>
          <w:marRight w:val="0"/>
          <w:marTop w:val="0"/>
          <w:marBottom w:val="48"/>
          <w:divBdr>
            <w:top w:val="none" w:sz="0" w:space="0" w:color="auto"/>
            <w:left w:val="none" w:sz="0" w:space="0" w:color="auto"/>
            <w:bottom w:val="none" w:sz="0" w:space="0" w:color="auto"/>
            <w:right w:val="none" w:sz="0" w:space="0" w:color="auto"/>
          </w:divBdr>
        </w:div>
        <w:div w:id="858399469">
          <w:blockQuote w:val="1"/>
          <w:marLeft w:val="720"/>
          <w:marRight w:val="0"/>
          <w:marTop w:val="0"/>
          <w:marBottom w:val="48"/>
          <w:divBdr>
            <w:top w:val="none" w:sz="0" w:space="0" w:color="auto"/>
            <w:left w:val="none" w:sz="0" w:space="0" w:color="auto"/>
            <w:bottom w:val="none" w:sz="0" w:space="0" w:color="auto"/>
            <w:right w:val="none" w:sz="0" w:space="0" w:color="auto"/>
          </w:divBdr>
        </w:div>
        <w:div w:id="1892186006">
          <w:blockQuote w:val="1"/>
          <w:marLeft w:val="720"/>
          <w:marRight w:val="0"/>
          <w:marTop w:val="0"/>
          <w:marBottom w:val="48"/>
          <w:divBdr>
            <w:top w:val="none" w:sz="0" w:space="0" w:color="auto"/>
            <w:left w:val="none" w:sz="0" w:space="0" w:color="auto"/>
            <w:bottom w:val="none" w:sz="0" w:space="0" w:color="auto"/>
            <w:right w:val="none" w:sz="0" w:space="0" w:color="auto"/>
          </w:divBdr>
        </w:div>
        <w:div w:id="1905140189">
          <w:blockQuote w:val="1"/>
          <w:marLeft w:val="720"/>
          <w:marRight w:val="0"/>
          <w:marTop w:val="0"/>
          <w:marBottom w:val="48"/>
          <w:divBdr>
            <w:top w:val="none" w:sz="0" w:space="0" w:color="auto"/>
            <w:left w:val="none" w:sz="0" w:space="0" w:color="auto"/>
            <w:bottom w:val="none" w:sz="0" w:space="0" w:color="auto"/>
            <w:right w:val="none" w:sz="0" w:space="0" w:color="auto"/>
          </w:divBdr>
        </w:div>
        <w:div w:id="890313461">
          <w:blockQuote w:val="1"/>
          <w:marLeft w:val="720"/>
          <w:marRight w:val="0"/>
          <w:marTop w:val="0"/>
          <w:marBottom w:val="48"/>
          <w:divBdr>
            <w:top w:val="none" w:sz="0" w:space="0" w:color="auto"/>
            <w:left w:val="none" w:sz="0" w:space="0" w:color="auto"/>
            <w:bottom w:val="none" w:sz="0" w:space="0" w:color="auto"/>
            <w:right w:val="none" w:sz="0" w:space="0" w:color="auto"/>
          </w:divBdr>
        </w:div>
        <w:div w:id="677735264">
          <w:blockQuote w:val="1"/>
          <w:marLeft w:val="720"/>
          <w:marRight w:val="0"/>
          <w:marTop w:val="0"/>
          <w:marBottom w:val="48"/>
          <w:divBdr>
            <w:top w:val="none" w:sz="0" w:space="0" w:color="auto"/>
            <w:left w:val="none" w:sz="0" w:space="0" w:color="auto"/>
            <w:bottom w:val="none" w:sz="0" w:space="0" w:color="auto"/>
            <w:right w:val="none" w:sz="0" w:space="0" w:color="auto"/>
          </w:divBdr>
        </w:div>
        <w:div w:id="1843810663">
          <w:blockQuote w:val="1"/>
          <w:marLeft w:val="720"/>
          <w:marRight w:val="0"/>
          <w:marTop w:val="0"/>
          <w:marBottom w:val="48"/>
          <w:divBdr>
            <w:top w:val="none" w:sz="0" w:space="0" w:color="auto"/>
            <w:left w:val="none" w:sz="0" w:space="0" w:color="auto"/>
            <w:bottom w:val="none" w:sz="0" w:space="0" w:color="auto"/>
            <w:right w:val="none" w:sz="0" w:space="0" w:color="auto"/>
          </w:divBdr>
        </w:div>
        <w:div w:id="1980524982">
          <w:blockQuote w:val="1"/>
          <w:marLeft w:val="720"/>
          <w:marRight w:val="0"/>
          <w:marTop w:val="0"/>
          <w:marBottom w:val="48"/>
          <w:divBdr>
            <w:top w:val="none" w:sz="0" w:space="0" w:color="auto"/>
            <w:left w:val="none" w:sz="0" w:space="0" w:color="auto"/>
            <w:bottom w:val="none" w:sz="0" w:space="0" w:color="auto"/>
            <w:right w:val="none" w:sz="0" w:space="0" w:color="auto"/>
          </w:divBdr>
        </w:div>
        <w:div w:id="580914493">
          <w:blockQuote w:val="1"/>
          <w:marLeft w:val="720"/>
          <w:marRight w:val="0"/>
          <w:marTop w:val="0"/>
          <w:marBottom w:val="48"/>
          <w:divBdr>
            <w:top w:val="none" w:sz="0" w:space="0" w:color="auto"/>
            <w:left w:val="none" w:sz="0" w:space="0" w:color="auto"/>
            <w:bottom w:val="none" w:sz="0" w:space="0" w:color="auto"/>
            <w:right w:val="none" w:sz="0" w:space="0" w:color="auto"/>
          </w:divBdr>
        </w:div>
        <w:div w:id="1620643978">
          <w:blockQuote w:val="1"/>
          <w:marLeft w:val="720"/>
          <w:marRight w:val="0"/>
          <w:marTop w:val="0"/>
          <w:marBottom w:val="48"/>
          <w:divBdr>
            <w:top w:val="none" w:sz="0" w:space="0" w:color="auto"/>
            <w:left w:val="none" w:sz="0" w:space="0" w:color="auto"/>
            <w:bottom w:val="none" w:sz="0" w:space="0" w:color="auto"/>
            <w:right w:val="none" w:sz="0" w:space="0" w:color="auto"/>
          </w:divBdr>
        </w:div>
        <w:div w:id="2060978255">
          <w:blockQuote w:val="1"/>
          <w:marLeft w:val="720"/>
          <w:marRight w:val="0"/>
          <w:marTop w:val="0"/>
          <w:marBottom w:val="48"/>
          <w:divBdr>
            <w:top w:val="none" w:sz="0" w:space="0" w:color="auto"/>
            <w:left w:val="none" w:sz="0" w:space="0" w:color="auto"/>
            <w:bottom w:val="none" w:sz="0" w:space="0" w:color="auto"/>
            <w:right w:val="none" w:sz="0" w:space="0" w:color="auto"/>
          </w:divBdr>
        </w:div>
        <w:div w:id="1409964028">
          <w:marLeft w:val="0"/>
          <w:marRight w:val="0"/>
          <w:marTop w:val="0"/>
          <w:marBottom w:val="0"/>
          <w:divBdr>
            <w:top w:val="none" w:sz="0" w:space="0" w:color="auto"/>
            <w:left w:val="none" w:sz="0" w:space="0" w:color="auto"/>
            <w:bottom w:val="none" w:sz="0" w:space="0" w:color="auto"/>
            <w:right w:val="none" w:sz="0" w:space="0" w:color="auto"/>
          </w:divBdr>
          <w:divsChild>
            <w:div w:id="1465662269">
              <w:marLeft w:val="0"/>
              <w:marRight w:val="0"/>
              <w:marTop w:val="0"/>
              <w:marBottom w:val="0"/>
              <w:divBdr>
                <w:top w:val="none" w:sz="0" w:space="0" w:color="auto"/>
                <w:left w:val="none" w:sz="0" w:space="0" w:color="auto"/>
                <w:bottom w:val="none" w:sz="0" w:space="0" w:color="auto"/>
                <w:right w:val="none" w:sz="0" w:space="0" w:color="auto"/>
              </w:divBdr>
            </w:div>
            <w:div w:id="1059329898">
              <w:marLeft w:val="0"/>
              <w:marRight w:val="0"/>
              <w:marTop w:val="0"/>
              <w:marBottom w:val="0"/>
              <w:divBdr>
                <w:top w:val="none" w:sz="0" w:space="0" w:color="auto"/>
                <w:left w:val="none" w:sz="0" w:space="0" w:color="auto"/>
                <w:bottom w:val="none" w:sz="0" w:space="0" w:color="auto"/>
                <w:right w:val="none" w:sz="0" w:space="0" w:color="auto"/>
              </w:divBdr>
            </w:div>
          </w:divsChild>
        </w:div>
        <w:div w:id="1005865862">
          <w:marLeft w:val="0"/>
          <w:marRight w:val="0"/>
          <w:marTop w:val="0"/>
          <w:marBottom w:val="0"/>
          <w:divBdr>
            <w:top w:val="none" w:sz="0" w:space="0" w:color="auto"/>
            <w:left w:val="none" w:sz="0" w:space="0" w:color="auto"/>
            <w:bottom w:val="none" w:sz="0" w:space="0" w:color="auto"/>
            <w:right w:val="none" w:sz="0" w:space="0" w:color="auto"/>
          </w:divBdr>
        </w:div>
        <w:div w:id="1215041392">
          <w:marLeft w:val="0"/>
          <w:marRight w:val="0"/>
          <w:marTop w:val="0"/>
          <w:marBottom w:val="0"/>
          <w:divBdr>
            <w:top w:val="none" w:sz="0" w:space="0" w:color="auto"/>
            <w:left w:val="none" w:sz="0" w:space="0" w:color="auto"/>
            <w:bottom w:val="none" w:sz="0" w:space="0" w:color="auto"/>
            <w:right w:val="none" w:sz="0" w:space="0" w:color="auto"/>
          </w:divBdr>
          <w:divsChild>
            <w:div w:id="291523374">
              <w:marLeft w:val="0"/>
              <w:marRight w:val="0"/>
              <w:marTop w:val="0"/>
              <w:marBottom w:val="0"/>
              <w:divBdr>
                <w:top w:val="none" w:sz="0" w:space="0" w:color="auto"/>
                <w:left w:val="none" w:sz="0" w:space="0" w:color="auto"/>
                <w:bottom w:val="none" w:sz="0" w:space="0" w:color="auto"/>
                <w:right w:val="none" w:sz="0" w:space="0" w:color="auto"/>
              </w:divBdr>
            </w:div>
          </w:divsChild>
        </w:div>
        <w:div w:id="1377851881">
          <w:marLeft w:val="0"/>
          <w:marRight w:val="0"/>
          <w:marTop w:val="0"/>
          <w:marBottom w:val="0"/>
          <w:divBdr>
            <w:top w:val="none" w:sz="0" w:space="0" w:color="auto"/>
            <w:left w:val="none" w:sz="0" w:space="0" w:color="auto"/>
            <w:bottom w:val="none" w:sz="0" w:space="0" w:color="auto"/>
            <w:right w:val="none" w:sz="0" w:space="0" w:color="auto"/>
          </w:divBdr>
        </w:div>
        <w:div w:id="1135833949">
          <w:marLeft w:val="0"/>
          <w:marRight w:val="0"/>
          <w:marTop w:val="0"/>
          <w:marBottom w:val="0"/>
          <w:divBdr>
            <w:top w:val="none" w:sz="0" w:space="0" w:color="auto"/>
            <w:left w:val="none" w:sz="0" w:space="0" w:color="auto"/>
            <w:bottom w:val="none" w:sz="0" w:space="0" w:color="auto"/>
            <w:right w:val="none" w:sz="0" w:space="0" w:color="auto"/>
          </w:divBdr>
        </w:div>
        <w:div w:id="1109082970">
          <w:marLeft w:val="0"/>
          <w:marRight w:val="0"/>
          <w:marTop w:val="0"/>
          <w:marBottom w:val="0"/>
          <w:divBdr>
            <w:top w:val="none" w:sz="0" w:space="0" w:color="auto"/>
            <w:left w:val="none" w:sz="0" w:space="0" w:color="auto"/>
            <w:bottom w:val="none" w:sz="0" w:space="0" w:color="auto"/>
            <w:right w:val="none" w:sz="0" w:space="0" w:color="auto"/>
          </w:divBdr>
          <w:divsChild>
            <w:div w:id="2130277776">
              <w:marLeft w:val="0"/>
              <w:marRight w:val="0"/>
              <w:marTop w:val="0"/>
              <w:marBottom w:val="0"/>
              <w:divBdr>
                <w:top w:val="none" w:sz="0" w:space="0" w:color="auto"/>
                <w:left w:val="none" w:sz="0" w:space="0" w:color="auto"/>
                <w:bottom w:val="none" w:sz="0" w:space="0" w:color="auto"/>
                <w:right w:val="none" w:sz="0" w:space="0" w:color="auto"/>
              </w:divBdr>
            </w:div>
          </w:divsChild>
        </w:div>
        <w:div w:id="1916275868">
          <w:blockQuote w:val="1"/>
          <w:marLeft w:val="720"/>
          <w:marRight w:val="0"/>
          <w:marTop w:val="0"/>
          <w:marBottom w:val="48"/>
          <w:divBdr>
            <w:top w:val="none" w:sz="0" w:space="0" w:color="auto"/>
            <w:left w:val="none" w:sz="0" w:space="0" w:color="auto"/>
            <w:bottom w:val="none" w:sz="0" w:space="0" w:color="auto"/>
            <w:right w:val="none" w:sz="0" w:space="0" w:color="auto"/>
          </w:divBdr>
        </w:div>
        <w:div w:id="985010854">
          <w:blockQuote w:val="1"/>
          <w:marLeft w:val="720"/>
          <w:marRight w:val="0"/>
          <w:marTop w:val="0"/>
          <w:marBottom w:val="48"/>
          <w:divBdr>
            <w:top w:val="none" w:sz="0" w:space="0" w:color="auto"/>
            <w:left w:val="none" w:sz="0" w:space="0" w:color="auto"/>
            <w:bottom w:val="none" w:sz="0" w:space="0" w:color="auto"/>
            <w:right w:val="none" w:sz="0" w:space="0" w:color="auto"/>
          </w:divBdr>
        </w:div>
        <w:div w:id="1860006062">
          <w:blockQuote w:val="1"/>
          <w:marLeft w:val="720"/>
          <w:marRight w:val="0"/>
          <w:marTop w:val="0"/>
          <w:marBottom w:val="48"/>
          <w:divBdr>
            <w:top w:val="none" w:sz="0" w:space="0" w:color="auto"/>
            <w:left w:val="none" w:sz="0" w:space="0" w:color="auto"/>
            <w:bottom w:val="none" w:sz="0" w:space="0" w:color="auto"/>
            <w:right w:val="none" w:sz="0" w:space="0" w:color="auto"/>
          </w:divBdr>
        </w:div>
        <w:div w:id="1551839358">
          <w:blockQuote w:val="1"/>
          <w:marLeft w:val="720"/>
          <w:marRight w:val="0"/>
          <w:marTop w:val="0"/>
          <w:marBottom w:val="48"/>
          <w:divBdr>
            <w:top w:val="none" w:sz="0" w:space="0" w:color="auto"/>
            <w:left w:val="none" w:sz="0" w:space="0" w:color="auto"/>
            <w:bottom w:val="none" w:sz="0" w:space="0" w:color="auto"/>
            <w:right w:val="none" w:sz="0" w:space="0" w:color="auto"/>
          </w:divBdr>
        </w:div>
        <w:div w:id="1674259246">
          <w:blockQuote w:val="1"/>
          <w:marLeft w:val="720"/>
          <w:marRight w:val="0"/>
          <w:marTop w:val="0"/>
          <w:marBottom w:val="48"/>
          <w:divBdr>
            <w:top w:val="none" w:sz="0" w:space="0" w:color="auto"/>
            <w:left w:val="none" w:sz="0" w:space="0" w:color="auto"/>
            <w:bottom w:val="none" w:sz="0" w:space="0" w:color="auto"/>
            <w:right w:val="none" w:sz="0" w:space="0" w:color="auto"/>
          </w:divBdr>
        </w:div>
        <w:div w:id="321273416">
          <w:blockQuote w:val="1"/>
          <w:marLeft w:val="720"/>
          <w:marRight w:val="0"/>
          <w:marTop w:val="0"/>
          <w:marBottom w:val="48"/>
          <w:divBdr>
            <w:top w:val="none" w:sz="0" w:space="0" w:color="auto"/>
            <w:left w:val="none" w:sz="0" w:space="0" w:color="auto"/>
            <w:bottom w:val="none" w:sz="0" w:space="0" w:color="auto"/>
            <w:right w:val="none" w:sz="0" w:space="0" w:color="auto"/>
          </w:divBdr>
        </w:div>
        <w:div w:id="1736051639">
          <w:blockQuote w:val="1"/>
          <w:marLeft w:val="720"/>
          <w:marRight w:val="0"/>
          <w:marTop w:val="0"/>
          <w:marBottom w:val="48"/>
          <w:divBdr>
            <w:top w:val="none" w:sz="0" w:space="0" w:color="auto"/>
            <w:left w:val="none" w:sz="0" w:space="0" w:color="auto"/>
            <w:bottom w:val="none" w:sz="0" w:space="0" w:color="auto"/>
            <w:right w:val="none" w:sz="0" w:space="0" w:color="auto"/>
          </w:divBdr>
        </w:div>
        <w:div w:id="1808813387">
          <w:blockQuote w:val="1"/>
          <w:marLeft w:val="720"/>
          <w:marRight w:val="0"/>
          <w:marTop w:val="0"/>
          <w:marBottom w:val="48"/>
          <w:divBdr>
            <w:top w:val="none" w:sz="0" w:space="0" w:color="auto"/>
            <w:left w:val="none" w:sz="0" w:space="0" w:color="auto"/>
            <w:bottom w:val="none" w:sz="0" w:space="0" w:color="auto"/>
            <w:right w:val="none" w:sz="0" w:space="0" w:color="auto"/>
          </w:divBdr>
        </w:div>
        <w:div w:id="1692487654">
          <w:blockQuote w:val="1"/>
          <w:marLeft w:val="720"/>
          <w:marRight w:val="0"/>
          <w:marTop w:val="0"/>
          <w:marBottom w:val="48"/>
          <w:divBdr>
            <w:top w:val="none" w:sz="0" w:space="0" w:color="auto"/>
            <w:left w:val="none" w:sz="0" w:space="0" w:color="auto"/>
            <w:bottom w:val="none" w:sz="0" w:space="0" w:color="auto"/>
            <w:right w:val="none" w:sz="0" w:space="0" w:color="auto"/>
          </w:divBdr>
        </w:div>
        <w:div w:id="1070494931">
          <w:blockQuote w:val="1"/>
          <w:marLeft w:val="720"/>
          <w:marRight w:val="0"/>
          <w:marTop w:val="0"/>
          <w:marBottom w:val="48"/>
          <w:divBdr>
            <w:top w:val="none" w:sz="0" w:space="0" w:color="auto"/>
            <w:left w:val="none" w:sz="0" w:space="0" w:color="auto"/>
            <w:bottom w:val="none" w:sz="0" w:space="0" w:color="auto"/>
            <w:right w:val="none" w:sz="0" w:space="0" w:color="auto"/>
          </w:divBdr>
        </w:div>
        <w:div w:id="2144106653">
          <w:blockQuote w:val="1"/>
          <w:marLeft w:val="720"/>
          <w:marRight w:val="0"/>
          <w:marTop w:val="0"/>
          <w:marBottom w:val="48"/>
          <w:divBdr>
            <w:top w:val="none" w:sz="0" w:space="0" w:color="auto"/>
            <w:left w:val="none" w:sz="0" w:space="0" w:color="auto"/>
            <w:bottom w:val="none" w:sz="0" w:space="0" w:color="auto"/>
            <w:right w:val="none" w:sz="0" w:space="0" w:color="auto"/>
          </w:divBdr>
        </w:div>
        <w:div w:id="1171411332">
          <w:blockQuote w:val="1"/>
          <w:marLeft w:val="720"/>
          <w:marRight w:val="0"/>
          <w:marTop w:val="0"/>
          <w:marBottom w:val="48"/>
          <w:divBdr>
            <w:top w:val="none" w:sz="0" w:space="0" w:color="auto"/>
            <w:left w:val="none" w:sz="0" w:space="0" w:color="auto"/>
            <w:bottom w:val="none" w:sz="0" w:space="0" w:color="auto"/>
            <w:right w:val="none" w:sz="0" w:space="0" w:color="auto"/>
          </w:divBdr>
        </w:div>
        <w:div w:id="1143162809">
          <w:blockQuote w:val="1"/>
          <w:marLeft w:val="720"/>
          <w:marRight w:val="0"/>
          <w:marTop w:val="0"/>
          <w:marBottom w:val="48"/>
          <w:divBdr>
            <w:top w:val="none" w:sz="0" w:space="0" w:color="auto"/>
            <w:left w:val="none" w:sz="0" w:space="0" w:color="auto"/>
            <w:bottom w:val="none" w:sz="0" w:space="0" w:color="auto"/>
            <w:right w:val="none" w:sz="0" w:space="0" w:color="auto"/>
          </w:divBdr>
        </w:div>
        <w:div w:id="333997131">
          <w:blockQuote w:val="1"/>
          <w:marLeft w:val="720"/>
          <w:marRight w:val="0"/>
          <w:marTop w:val="0"/>
          <w:marBottom w:val="48"/>
          <w:divBdr>
            <w:top w:val="none" w:sz="0" w:space="0" w:color="auto"/>
            <w:left w:val="none" w:sz="0" w:space="0" w:color="auto"/>
            <w:bottom w:val="none" w:sz="0" w:space="0" w:color="auto"/>
            <w:right w:val="none" w:sz="0" w:space="0" w:color="auto"/>
          </w:divBdr>
        </w:div>
        <w:div w:id="1330014204">
          <w:blockQuote w:val="1"/>
          <w:marLeft w:val="720"/>
          <w:marRight w:val="0"/>
          <w:marTop w:val="0"/>
          <w:marBottom w:val="48"/>
          <w:divBdr>
            <w:top w:val="none" w:sz="0" w:space="0" w:color="auto"/>
            <w:left w:val="none" w:sz="0" w:space="0" w:color="auto"/>
            <w:bottom w:val="none" w:sz="0" w:space="0" w:color="auto"/>
            <w:right w:val="none" w:sz="0" w:space="0" w:color="auto"/>
          </w:divBdr>
        </w:div>
        <w:div w:id="1373529913">
          <w:marLeft w:val="0"/>
          <w:marRight w:val="0"/>
          <w:marTop w:val="0"/>
          <w:marBottom w:val="0"/>
          <w:divBdr>
            <w:top w:val="none" w:sz="0" w:space="0" w:color="auto"/>
            <w:left w:val="none" w:sz="0" w:space="0" w:color="auto"/>
            <w:bottom w:val="none" w:sz="0" w:space="0" w:color="auto"/>
            <w:right w:val="none" w:sz="0" w:space="0" w:color="auto"/>
          </w:divBdr>
          <w:divsChild>
            <w:div w:id="1027607211">
              <w:blockQuote w:val="1"/>
              <w:marLeft w:val="720"/>
              <w:marRight w:val="0"/>
              <w:marTop w:val="0"/>
              <w:marBottom w:val="48"/>
              <w:divBdr>
                <w:top w:val="none" w:sz="0" w:space="0" w:color="auto"/>
                <w:left w:val="none" w:sz="0" w:space="0" w:color="auto"/>
                <w:bottom w:val="none" w:sz="0" w:space="0" w:color="auto"/>
                <w:right w:val="none" w:sz="0" w:space="0" w:color="auto"/>
              </w:divBdr>
            </w:div>
            <w:div w:id="1555701444">
              <w:blockQuote w:val="1"/>
              <w:marLeft w:val="720"/>
              <w:marRight w:val="0"/>
              <w:marTop w:val="0"/>
              <w:marBottom w:val="48"/>
              <w:divBdr>
                <w:top w:val="none" w:sz="0" w:space="0" w:color="auto"/>
                <w:left w:val="none" w:sz="0" w:space="0" w:color="auto"/>
                <w:bottom w:val="none" w:sz="0" w:space="0" w:color="auto"/>
                <w:right w:val="none" w:sz="0" w:space="0" w:color="auto"/>
              </w:divBdr>
            </w:div>
            <w:div w:id="479078120">
              <w:blockQuote w:val="1"/>
              <w:marLeft w:val="720"/>
              <w:marRight w:val="0"/>
              <w:marTop w:val="0"/>
              <w:marBottom w:val="48"/>
              <w:divBdr>
                <w:top w:val="none" w:sz="0" w:space="0" w:color="auto"/>
                <w:left w:val="none" w:sz="0" w:space="0" w:color="auto"/>
                <w:bottom w:val="none" w:sz="0" w:space="0" w:color="auto"/>
                <w:right w:val="none" w:sz="0" w:space="0" w:color="auto"/>
              </w:divBdr>
            </w:div>
            <w:div w:id="416513350">
              <w:blockQuote w:val="1"/>
              <w:marLeft w:val="720"/>
              <w:marRight w:val="0"/>
              <w:marTop w:val="0"/>
              <w:marBottom w:val="48"/>
              <w:divBdr>
                <w:top w:val="none" w:sz="0" w:space="0" w:color="auto"/>
                <w:left w:val="none" w:sz="0" w:space="0" w:color="auto"/>
                <w:bottom w:val="none" w:sz="0" w:space="0" w:color="auto"/>
                <w:right w:val="none" w:sz="0" w:space="0" w:color="auto"/>
              </w:divBdr>
            </w:div>
            <w:div w:id="68425438">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319116981">
          <w:marLeft w:val="0"/>
          <w:marRight w:val="0"/>
          <w:marTop w:val="0"/>
          <w:marBottom w:val="0"/>
          <w:divBdr>
            <w:top w:val="none" w:sz="0" w:space="0" w:color="auto"/>
            <w:left w:val="none" w:sz="0" w:space="0" w:color="auto"/>
            <w:bottom w:val="none" w:sz="0" w:space="0" w:color="auto"/>
            <w:right w:val="none" w:sz="0" w:space="0" w:color="auto"/>
          </w:divBdr>
        </w:div>
        <w:div w:id="1106072041">
          <w:blockQuote w:val="1"/>
          <w:marLeft w:val="720"/>
          <w:marRight w:val="0"/>
          <w:marTop w:val="0"/>
          <w:marBottom w:val="48"/>
          <w:divBdr>
            <w:top w:val="none" w:sz="0" w:space="0" w:color="auto"/>
            <w:left w:val="none" w:sz="0" w:space="0" w:color="auto"/>
            <w:bottom w:val="none" w:sz="0" w:space="0" w:color="auto"/>
            <w:right w:val="none" w:sz="0" w:space="0" w:color="auto"/>
          </w:divBdr>
        </w:div>
        <w:div w:id="97220796">
          <w:blockQuote w:val="1"/>
          <w:marLeft w:val="720"/>
          <w:marRight w:val="0"/>
          <w:marTop w:val="0"/>
          <w:marBottom w:val="48"/>
          <w:divBdr>
            <w:top w:val="none" w:sz="0" w:space="0" w:color="auto"/>
            <w:left w:val="none" w:sz="0" w:space="0" w:color="auto"/>
            <w:bottom w:val="none" w:sz="0" w:space="0" w:color="auto"/>
            <w:right w:val="none" w:sz="0" w:space="0" w:color="auto"/>
          </w:divBdr>
        </w:div>
        <w:div w:id="1914853597">
          <w:blockQuote w:val="1"/>
          <w:marLeft w:val="720"/>
          <w:marRight w:val="0"/>
          <w:marTop w:val="0"/>
          <w:marBottom w:val="48"/>
          <w:divBdr>
            <w:top w:val="none" w:sz="0" w:space="0" w:color="auto"/>
            <w:left w:val="none" w:sz="0" w:space="0" w:color="auto"/>
            <w:bottom w:val="none" w:sz="0" w:space="0" w:color="auto"/>
            <w:right w:val="none" w:sz="0" w:space="0" w:color="auto"/>
          </w:divBdr>
        </w:div>
        <w:div w:id="1975796959">
          <w:marLeft w:val="0"/>
          <w:marRight w:val="0"/>
          <w:marTop w:val="0"/>
          <w:marBottom w:val="0"/>
          <w:divBdr>
            <w:top w:val="none" w:sz="0" w:space="0" w:color="auto"/>
            <w:left w:val="none" w:sz="0" w:space="0" w:color="auto"/>
            <w:bottom w:val="none" w:sz="0" w:space="0" w:color="auto"/>
            <w:right w:val="none" w:sz="0" w:space="0" w:color="auto"/>
          </w:divBdr>
        </w:div>
        <w:div w:id="1894778116">
          <w:marLeft w:val="0"/>
          <w:marRight w:val="0"/>
          <w:marTop w:val="0"/>
          <w:marBottom w:val="0"/>
          <w:divBdr>
            <w:top w:val="none" w:sz="0" w:space="0" w:color="auto"/>
            <w:left w:val="none" w:sz="0" w:space="0" w:color="auto"/>
            <w:bottom w:val="none" w:sz="0" w:space="0" w:color="auto"/>
            <w:right w:val="none" w:sz="0" w:space="0" w:color="auto"/>
          </w:divBdr>
        </w:div>
        <w:div w:id="142505799">
          <w:marLeft w:val="0"/>
          <w:marRight w:val="0"/>
          <w:marTop w:val="0"/>
          <w:marBottom w:val="0"/>
          <w:divBdr>
            <w:top w:val="none" w:sz="0" w:space="0" w:color="auto"/>
            <w:left w:val="none" w:sz="0" w:space="0" w:color="auto"/>
            <w:bottom w:val="none" w:sz="0" w:space="0" w:color="auto"/>
            <w:right w:val="none" w:sz="0" w:space="0" w:color="auto"/>
          </w:divBdr>
        </w:div>
        <w:div w:id="347609622">
          <w:marLeft w:val="0"/>
          <w:marRight w:val="0"/>
          <w:marTop w:val="0"/>
          <w:marBottom w:val="0"/>
          <w:divBdr>
            <w:top w:val="none" w:sz="0" w:space="0" w:color="auto"/>
            <w:left w:val="none" w:sz="0" w:space="0" w:color="auto"/>
            <w:bottom w:val="none" w:sz="0" w:space="0" w:color="auto"/>
            <w:right w:val="none" w:sz="0" w:space="0" w:color="auto"/>
          </w:divBdr>
        </w:div>
      </w:divsChild>
    </w:div>
    <w:div w:id="1198086195">
      <w:bodyDiv w:val="1"/>
      <w:marLeft w:val="0"/>
      <w:marRight w:val="0"/>
      <w:marTop w:val="0"/>
      <w:marBottom w:val="0"/>
      <w:divBdr>
        <w:top w:val="none" w:sz="0" w:space="0" w:color="auto"/>
        <w:left w:val="none" w:sz="0" w:space="0" w:color="auto"/>
        <w:bottom w:val="none" w:sz="0" w:space="0" w:color="auto"/>
        <w:right w:val="none" w:sz="0" w:space="0" w:color="auto"/>
      </w:divBdr>
      <w:divsChild>
        <w:div w:id="261498907">
          <w:marLeft w:val="0"/>
          <w:marRight w:val="0"/>
          <w:marTop w:val="0"/>
          <w:marBottom w:val="0"/>
          <w:divBdr>
            <w:top w:val="none" w:sz="0" w:space="0" w:color="auto"/>
            <w:left w:val="none" w:sz="0" w:space="0" w:color="auto"/>
            <w:bottom w:val="none" w:sz="0" w:space="0" w:color="auto"/>
            <w:right w:val="none" w:sz="0" w:space="0" w:color="auto"/>
          </w:divBdr>
          <w:divsChild>
            <w:div w:id="2077051466">
              <w:marLeft w:val="0"/>
              <w:marRight w:val="0"/>
              <w:marTop w:val="0"/>
              <w:marBottom w:val="0"/>
              <w:divBdr>
                <w:top w:val="none" w:sz="0" w:space="0" w:color="auto"/>
                <w:left w:val="none" w:sz="0" w:space="0" w:color="auto"/>
                <w:bottom w:val="none" w:sz="0" w:space="0" w:color="auto"/>
                <w:right w:val="none" w:sz="0" w:space="0" w:color="auto"/>
              </w:divBdr>
            </w:div>
          </w:divsChild>
        </w:div>
        <w:div w:id="1477717424">
          <w:marLeft w:val="0"/>
          <w:marRight w:val="0"/>
          <w:marTop w:val="0"/>
          <w:marBottom w:val="0"/>
          <w:divBdr>
            <w:top w:val="none" w:sz="0" w:space="0" w:color="auto"/>
            <w:left w:val="none" w:sz="0" w:space="0" w:color="auto"/>
            <w:bottom w:val="none" w:sz="0" w:space="0" w:color="auto"/>
            <w:right w:val="none" w:sz="0" w:space="0" w:color="auto"/>
          </w:divBdr>
          <w:divsChild>
            <w:div w:id="609556681">
              <w:marLeft w:val="0"/>
              <w:marRight w:val="0"/>
              <w:marTop w:val="0"/>
              <w:marBottom w:val="0"/>
              <w:divBdr>
                <w:top w:val="none" w:sz="0" w:space="0" w:color="auto"/>
                <w:left w:val="none" w:sz="0" w:space="0" w:color="auto"/>
                <w:bottom w:val="none" w:sz="0" w:space="0" w:color="auto"/>
                <w:right w:val="none" w:sz="0" w:space="0" w:color="auto"/>
              </w:divBdr>
            </w:div>
            <w:div w:id="1529023458">
              <w:marLeft w:val="0"/>
              <w:marRight w:val="0"/>
              <w:marTop w:val="0"/>
              <w:marBottom w:val="0"/>
              <w:divBdr>
                <w:top w:val="none" w:sz="0" w:space="0" w:color="auto"/>
                <w:left w:val="none" w:sz="0" w:space="0" w:color="auto"/>
                <w:bottom w:val="none" w:sz="0" w:space="0" w:color="auto"/>
                <w:right w:val="none" w:sz="0" w:space="0" w:color="auto"/>
              </w:divBdr>
            </w:div>
            <w:div w:id="1598371013">
              <w:marLeft w:val="0"/>
              <w:marRight w:val="0"/>
              <w:marTop w:val="0"/>
              <w:marBottom w:val="0"/>
              <w:divBdr>
                <w:top w:val="none" w:sz="0" w:space="0" w:color="auto"/>
                <w:left w:val="none" w:sz="0" w:space="0" w:color="auto"/>
                <w:bottom w:val="none" w:sz="0" w:space="0" w:color="auto"/>
                <w:right w:val="none" w:sz="0" w:space="0" w:color="auto"/>
              </w:divBdr>
            </w:div>
            <w:div w:id="134881044">
              <w:marLeft w:val="0"/>
              <w:marRight w:val="0"/>
              <w:marTop w:val="0"/>
              <w:marBottom w:val="0"/>
              <w:divBdr>
                <w:top w:val="none" w:sz="0" w:space="0" w:color="auto"/>
                <w:left w:val="none" w:sz="0" w:space="0" w:color="auto"/>
                <w:bottom w:val="none" w:sz="0" w:space="0" w:color="auto"/>
                <w:right w:val="none" w:sz="0" w:space="0" w:color="auto"/>
              </w:divBdr>
            </w:div>
          </w:divsChild>
        </w:div>
        <w:div w:id="1110927999">
          <w:marLeft w:val="0"/>
          <w:marRight w:val="0"/>
          <w:marTop w:val="0"/>
          <w:marBottom w:val="0"/>
          <w:divBdr>
            <w:top w:val="none" w:sz="0" w:space="0" w:color="auto"/>
            <w:left w:val="none" w:sz="0" w:space="0" w:color="auto"/>
            <w:bottom w:val="none" w:sz="0" w:space="0" w:color="auto"/>
            <w:right w:val="none" w:sz="0" w:space="0" w:color="auto"/>
          </w:divBdr>
          <w:divsChild>
            <w:div w:id="1532065795">
              <w:marLeft w:val="0"/>
              <w:marRight w:val="0"/>
              <w:marTop w:val="0"/>
              <w:marBottom w:val="0"/>
              <w:divBdr>
                <w:top w:val="none" w:sz="0" w:space="0" w:color="auto"/>
                <w:left w:val="none" w:sz="0" w:space="0" w:color="auto"/>
                <w:bottom w:val="none" w:sz="0" w:space="0" w:color="auto"/>
                <w:right w:val="none" w:sz="0" w:space="0" w:color="auto"/>
              </w:divBdr>
            </w:div>
          </w:divsChild>
        </w:div>
        <w:div w:id="1593464542">
          <w:marLeft w:val="0"/>
          <w:marRight w:val="0"/>
          <w:marTop w:val="0"/>
          <w:marBottom w:val="0"/>
          <w:divBdr>
            <w:top w:val="none" w:sz="0" w:space="0" w:color="auto"/>
            <w:left w:val="none" w:sz="0" w:space="0" w:color="auto"/>
            <w:bottom w:val="none" w:sz="0" w:space="0" w:color="auto"/>
            <w:right w:val="none" w:sz="0" w:space="0" w:color="auto"/>
          </w:divBdr>
          <w:divsChild>
            <w:div w:id="996569642">
              <w:marLeft w:val="0"/>
              <w:marRight w:val="0"/>
              <w:marTop w:val="0"/>
              <w:marBottom w:val="0"/>
              <w:divBdr>
                <w:top w:val="none" w:sz="0" w:space="0" w:color="auto"/>
                <w:left w:val="none" w:sz="0" w:space="0" w:color="auto"/>
                <w:bottom w:val="none" w:sz="0" w:space="0" w:color="auto"/>
                <w:right w:val="none" w:sz="0" w:space="0" w:color="auto"/>
              </w:divBdr>
            </w:div>
            <w:div w:id="1399551106">
              <w:marLeft w:val="0"/>
              <w:marRight w:val="0"/>
              <w:marTop w:val="0"/>
              <w:marBottom w:val="0"/>
              <w:divBdr>
                <w:top w:val="none" w:sz="0" w:space="0" w:color="auto"/>
                <w:left w:val="none" w:sz="0" w:space="0" w:color="auto"/>
                <w:bottom w:val="none" w:sz="0" w:space="0" w:color="auto"/>
                <w:right w:val="none" w:sz="0" w:space="0" w:color="auto"/>
              </w:divBdr>
            </w:div>
            <w:div w:id="1283463479">
              <w:marLeft w:val="0"/>
              <w:marRight w:val="0"/>
              <w:marTop w:val="0"/>
              <w:marBottom w:val="0"/>
              <w:divBdr>
                <w:top w:val="none" w:sz="0" w:space="0" w:color="auto"/>
                <w:left w:val="none" w:sz="0" w:space="0" w:color="auto"/>
                <w:bottom w:val="none" w:sz="0" w:space="0" w:color="auto"/>
                <w:right w:val="none" w:sz="0" w:space="0" w:color="auto"/>
              </w:divBdr>
            </w:div>
            <w:div w:id="1618099937">
              <w:marLeft w:val="0"/>
              <w:marRight w:val="0"/>
              <w:marTop w:val="0"/>
              <w:marBottom w:val="0"/>
              <w:divBdr>
                <w:top w:val="none" w:sz="0" w:space="0" w:color="auto"/>
                <w:left w:val="none" w:sz="0" w:space="0" w:color="auto"/>
                <w:bottom w:val="none" w:sz="0" w:space="0" w:color="auto"/>
                <w:right w:val="none" w:sz="0" w:space="0" w:color="auto"/>
              </w:divBdr>
            </w:div>
          </w:divsChild>
        </w:div>
        <w:div w:id="838228107">
          <w:marLeft w:val="0"/>
          <w:marRight w:val="0"/>
          <w:marTop w:val="0"/>
          <w:marBottom w:val="0"/>
          <w:divBdr>
            <w:top w:val="none" w:sz="0" w:space="0" w:color="auto"/>
            <w:left w:val="none" w:sz="0" w:space="0" w:color="auto"/>
            <w:bottom w:val="none" w:sz="0" w:space="0" w:color="auto"/>
            <w:right w:val="none" w:sz="0" w:space="0" w:color="auto"/>
          </w:divBdr>
          <w:divsChild>
            <w:div w:id="895093168">
              <w:marLeft w:val="0"/>
              <w:marRight w:val="0"/>
              <w:marTop w:val="0"/>
              <w:marBottom w:val="0"/>
              <w:divBdr>
                <w:top w:val="none" w:sz="0" w:space="0" w:color="auto"/>
                <w:left w:val="none" w:sz="0" w:space="0" w:color="auto"/>
                <w:bottom w:val="none" w:sz="0" w:space="0" w:color="auto"/>
                <w:right w:val="none" w:sz="0" w:space="0" w:color="auto"/>
              </w:divBdr>
            </w:div>
          </w:divsChild>
        </w:div>
        <w:div w:id="288979749">
          <w:marLeft w:val="0"/>
          <w:marRight w:val="0"/>
          <w:marTop w:val="0"/>
          <w:marBottom w:val="0"/>
          <w:divBdr>
            <w:top w:val="none" w:sz="0" w:space="0" w:color="auto"/>
            <w:left w:val="none" w:sz="0" w:space="0" w:color="auto"/>
            <w:bottom w:val="none" w:sz="0" w:space="0" w:color="auto"/>
            <w:right w:val="none" w:sz="0" w:space="0" w:color="auto"/>
          </w:divBdr>
          <w:divsChild>
            <w:div w:id="25109884">
              <w:marLeft w:val="0"/>
              <w:marRight w:val="0"/>
              <w:marTop w:val="0"/>
              <w:marBottom w:val="0"/>
              <w:divBdr>
                <w:top w:val="none" w:sz="0" w:space="0" w:color="auto"/>
                <w:left w:val="none" w:sz="0" w:space="0" w:color="auto"/>
                <w:bottom w:val="none" w:sz="0" w:space="0" w:color="auto"/>
                <w:right w:val="none" w:sz="0" w:space="0" w:color="auto"/>
              </w:divBdr>
            </w:div>
            <w:div w:id="409161091">
              <w:marLeft w:val="0"/>
              <w:marRight w:val="0"/>
              <w:marTop w:val="0"/>
              <w:marBottom w:val="0"/>
              <w:divBdr>
                <w:top w:val="none" w:sz="0" w:space="0" w:color="auto"/>
                <w:left w:val="none" w:sz="0" w:space="0" w:color="auto"/>
                <w:bottom w:val="none" w:sz="0" w:space="0" w:color="auto"/>
                <w:right w:val="none" w:sz="0" w:space="0" w:color="auto"/>
              </w:divBdr>
            </w:div>
            <w:div w:id="1131823291">
              <w:marLeft w:val="0"/>
              <w:marRight w:val="0"/>
              <w:marTop w:val="0"/>
              <w:marBottom w:val="0"/>
              <w:divBdr>
                <w:top w:val="none" w:sz="0" w:space="0" w:color="auto"/>
                <w:left w:val="none" w:sz="0" w:space="0" w:color="auto"/>
                <w:bottom w:val="none" w:sz="0" w:space="0" w:color="auto"/>
                <w:right w:val="none" w:sz="0" w:space="0" w:color="auto"/>
              </w:divBdr>
            </w:div>
            <w:div w:id="1496799108">
              <w:marLeft w:val="0"/>
              <w:marRight w:val="0"/>
              <w:marTop w:val="0"/>
              <w:marBottom w:val="0"/>
              <w:divBdr>
                <w:top w:val="none" w:sz="0" w:space="0" w:color="auto"/>
                <w:left w:val="none" w:sz="0" w:space="0" w:color="auto"/>
                <w:bottom w:val="none" w:sz="0" w:space="0" w:color="auto"/>
                <w:right w:val="none" w:sz="0" w:space="0" w:color="auto"/>
              </w:divBdr>
            </w:div>
          </w:divsChild>
        </w:div>
        <w:div w:id="942493536">
          <w:marLeft w:val="0"/>
          <w:marRight w:val="0"/>
          <w:marTop w:val="0"/>
          <w:marBottom w:val="0"/>
          <w:divBdr>
            <w:top w:val="none" w:sz="0" w:space="0" w:color="auto"/>
            <w:left w:val="none" w:sz="0" w:space="0" w:color="auto"/>
            <w:bottom w:val="none" w:sz="0" w:space="0" w:color="auto"/>
            <w:right w:val="none" w:sz="0" w:space="0" w:color="auto"/>
          </w:divBdr>
          <w:divsChild>
            <w:div w:id="1690982958">
              <w:marLeft w:val="0"/>
              <w:marRight w:val="0"/>
              <w:marTop w:val="0"/>
              <w:marBottom w:val="0"/>
              <w:divBdr>
                <w:top w:val="none" w:sz="0" w:space="0" w:color="auto"/>
                <w:left w:val="none" w:sz="0" w:space="0" w:color="auto"/>
                <w:bottom w:val="none" w:sz="0" w:space="0" w:color="auto"/>
                <w:right w:val="none" w:sz="0" w:space="0" w:color="auto"/>
              </w:divBdr>
            </w:div>
          </w:divsChild>
        </w:div>
        <w:div w:id="1617448477">
          <w:marLeft w:val="0"/>
          <w:marRight w:val="0"/>
          <w:marTop w:val="0"/>
          <w:marBottom w:val="0"/>
          <w:divBdr>
            <w:top w:val="none" w:sz="0" w:space="0" w:color="auto"/>
            <w:left w:val="none" w:sz="0" w:space="0" w:color="auto"/>
            <w:bottom w:val="none" w:sz="0" w:space="0" w:color="auto"/>
            <w:right w:val="none" w:sz="0" w:space="0" w:color="auto"/>
          </w:divBdr>
          <w:divsChild>
            <w:div w:id="1177885587">
              <w:marLeft w:val="0"/>
              <w:marRight w:val="0"/>
              <w:marTop w:val="0"/>
              <w:marBottom w:val="0"/>
              <w:divBdr>
                <w:top w:val="none" w:sz="0" w:space="0" w:color="auto"/>
                <w:left w:val="none" w:sz="0" w:space="0" w:color="auto"/>
                <w:bottom w:val="none" w:sz="0" w:space="0" w:color="auto"/>
                <w:right w:val="none" w:sz="0" w:space="0" w:color="auto"/>
              </w:divBdr>
            </w:div>
            <w:div w:id="1915315351">
              <w:marLeft w:val="0"/>
              <w:marRight w:val="0"/>
              <w:marTop w:val="0"/>
              <w:marBottom w:val="0"/>
              <w:divBdr>
                <w:top w:val="none" w:sz="0" w:space="0" w:color="auto"/>
                <w:left w:val="none" w:sz="0" w:space="0" w:color="auto"/>
                <w:bottom w:val="none" w:sz="0" w:space="0" w:color="auto"/>
                <w:right w:val="none" w:sz="0" w:space="0" w:color="auto"/>
              </w:divBdr>
            </w:div>
            <w:div w:id="552735062">
              <w:marLeft w:val="0"/>
              <w:marRight w:val="0"/>
              <w:marTop w:val="0"/>
              <w:marBottom w:val="0"/>
              <w:divBdr>
                <w:top w:val="none" w:sz="0" w:space="0" w:color="auto"/>
                <w:left w:val="none" w:sz="0" w:space="0" w:color="auto"/>
                <w:bottom w:val="none" w:sz="0" w:space="0" w:color="auto"/>
                <w:right w:val="none" w:sz="0" w:space="0" w:color="auto"/>
              </w:divBdr>
            </w:div>
            <w:div w:id="401215691">
              <w:marLeft w:val="0"/>
              <w:marRight w:val="0"/>
              <w:marTop w:val="0"/>
              <w:marBottom w:val="0"/>
              <w:divBdr>
                <w:top w:val="none" w:sz="0" w:space="0" w:color="auto"/>
                <w:left w:val="none" w:sz="0" w:space="0" w:color="auto"/>
                <w:bottom w:val="none" w:sz="0" w:space="0" w:color="auto"/>
                <w:right w:val="none" w:sz="0" w:space="0" w:color="auto"/>
              </w:divBdr>
            </w:div>
            <w:div w:id="1512601584">
              <w:marLeft w:val="0"/>
              <w:marRight w:val="0"/>
              <w:marTop w:val="0"/>
              <w:marBottom w:val="0"/>
              <w:divBdr>
                <w:top w:val="none" w:sz="0" w:space="0" w:color="auto"/>
                <w:left w:val="none" w:sz="0" w:space="0" w:color="auto"/>
                <w:bottom w:val="none" w:sz="0" w:space="0" w:color="auto"/>
                <w:right w:val="none" w:sz="0" w:space="0" w:color="auto"/>
              </w:divBdr>
            </w:div>
            <w:div w:id="1463960733">
              <w:marLeft w:val="0"/>
              <w:marRight w:val="0"/>
              <w:marTop w:val="0"/>
              <w:marBottom w:val="0"/>
              <w:divBdr>
                <w:top w:val="none" w:sz="0" w:space="0" w:color="auto"/>
                <w:left w:val="none" w:sz="0" w:space="0" w:color="auto"/>
                <w:bottom w:val="none" w:sz="0" w:space="0" w:color="auto"/>
                <w:right w:val="none" w:sz="0" w:space="0" w:color="auto"/>
              </w:divBdr>
            </w:div>
          </w:divsChild>
        </w:div>
        <w:div w:id="1769302202">
          <w:marLeft w:val="0"/>
          <w:marRight w:val="0"/>
          <w:marTop w:val="0"/>
          <w:marBottom w:val="0"/>
          <w:divBdr>
            <w:top w:val="none" w:sz="0" w:space="0" w:color="auto"/>
            <w:left w:val="none" w:sz="0" w:space="0" w:color="auto"/>
            <w:bottom w:val="none" w:sz="0" w:space="0" w:color="auto"/>
            <w:right w:val="none" w:sz="0" w:space="0" w:color="auto"/>
          </w:divBdr>
          <w:divsChild>
            <w:div w:id="1010061477">
              <w:marLeft w:val="0"/>
              <w:marRight w:val="0"/>
              <w:marTop w:val="0"/>
              <w:marBottom w:val="0"/>
              <w:divBdr>
                <w:top w:val="none" w:sz="0" w:space="0" w:color="auto"/>
                <w:left w:val="none" w:sz="0" w:space="0" w:color="auto"/>
                <w:bottom w:val="none" w:sz="0" w:space="0" w:color="auto"/>
                <w:right w:val="none" w:sz="0" w:space="0" w:color="auto"/>
              </w:divBdr>
            </w:div>
          </w:divsChild>
        </w:div>
        <w:div w:id="358511056">
          <w:marLeft w:val="0"/>
          <w:marRight w:val="0"/>
          <w:marTop w:val="0"/>
          <w:marBottom w:val="0"/>
          <w:divBdr>
            <w:top w:val="none" w:sz="0" w:space="0" w:color="auto"/>
            <w:left w:val="none" w:sz="0" w:space="0" w:color="auto"/>
            <w:bottom w:val="none" w:sz="0" w:space="0" w:color="auto"/>
            <w:right w:val="none" w:sz="0" w:space="0" w:color="auto"/>
          </w:divBdr>
          <w:divsChild>
            <w:div w:id="1585995337">
              <w:marLeft w:val="0"/>
              <w:marRight w:val="0"/>
              <w:marTop w:val="0"/>
              <w:marBottom w:val="0"/>
              <w:divBdr>
                <w:top w:val="none" w:sz="0" w:space="0" w:color="auto"/>
                <w:left w:val="none" w:sz="0" w:space="0" w:color="auto"/>
                <w:bottom w:val="none" w:sz="0" w:space="0" w:color="auto"/>
                <w:right w:val="none" w:sz="0" w:space="0" w:color="auto"/>
              </w:divBdr>
            </w:div>
            <w:div w:id="709111361">
              <w:marLeft w:val="0"/>
              <w:marRight w:val="0"/>
              <w:marTop w:val="0"/>
              <w:marBottom w:val="0"/>
              <w:divBdr>
                <w:top w:val="none" w:sz="0" w:space="0" w:color="auto"/>
                <w:left w:val="none" w:sz="0" w:space="0" w:color="auto"/>
                <w:bottom w:val="none" w:sz="0" w:space="0" w:color="auto"/>
                <w:right w:val="none" w:sz="0" w:space="0" w:color="auto"/>
              </w:divBdr>
            </w:div>
            <w:div w:id="12348445">
              <w:marLeft w:val="0"/>
              <w:marRight w:val="0"/>
              <w:marTop w:val="0"/>
              <w:marBottom w:val="0"/>
              <w:divBdr>
                <w:top w:val="none" w:sz="0" w:space="0" w:color="auto"/>
                <w:left w:val="none" w:sz="0" w:space="0" w:color="auto"/>
                <w:bottom w:val="none" w:sz="0" w:space="0" w:color="auto"/>
                <w:right w:val="none" w:sz="0" w:space="0" w:color="auto"/>
              </w:divBdr>
            </w:div>
            <w:div w:id="1109163848">
              <w:marLeft w:val="0"/>
              <w:marRight w:val="0"/>
              <w:marTop w:val="0"/>
              <w:marBottom w:val="0"/>
              <w:divBdr>
                <w:top w:val="none" w:sz="0" w:space="0" w:color="auto"/>
                <w:left w:val="none" w:sz="0" w:space="0" w:color="auto"/>
                <w:bottom w:val="none" w:sz="0" w:space="0" w:color="auto"/>
                <w:right w:val="none" w:sz="0" w:space="0" w:color="auto"/>
              </w:divBdr>
            </w:div>
            <w:div w:id="678891858">
              <w:marLeft w:val="0"/>
              <w:marRight w:val="0"/>
              <w:marTop w:val="0"/>
              <w:marBottom w:val="0"/>
              <w:divBdr>
                <w:top w:val="none" w:sz="0" w:space="0" w:color="auto"/>
                <w:left w:val="none" w:sz="0" w:space="0" w:color="auto"/>
                <w:bottom w:val="none" w:sz="0" w:space="0" w:color="auto"/>
                <w:right w:val="none" w:sz="0" w:space="0" w:color="auto"/>
              </w:divBdr>
            </w:div>
          </w:divsChild>
        </w:div>
        <w:div w:id="1449465426">
          <w:marLeft w:val="0"/>
          <w:marRight w:val="0"/>
          <w:marTop w:val="0"/>
          <w:marBottom w:val="0"/>
          <w:divBdr>
            <w:top w:val="none" w:sz="0" w:space="0" w:color="auto"/>
            <w:left w:val="none" w:sz="0" w:space="0" w:color="auto"/>
            <w:bottom w:val="none" w:sz="0" w:space="0" w:color="auto"/>
            <w:right w:val="none" w:sz="0" w:space="0" w:color="auto"/>
          </w:divBdr>
          <w:divsChild>
            <w:div w:id="1558322528">
              <w:marLeft w:val="0"/>
              <w:marRight w:val="0"/>
              <w:marTop w:val="0"/>
              <w:marBottom w:val="0"/>
              <w:divBdr>
                <w:top w:val="none" w:sz="0" w:space="0" w:color="auto"/>
                <w:left w:val="none" w:sz="0" w:space="0" w:color="auto"/>
                <w:bottom w:val="none" w:sz="0" w:space="0" w:color="auto"/>
                <w:right w:val="none" w:sz="0" w:space="0" w:color="auto"/>
              </w:divBdr>
            </w:div>
            <w:div w:id="2052222379">
              <w:marLeft w:val="0"/>
              <w:marRight w:val="0"/>
              <w:marTop w:val="0"/>
              <w:marBottom w:val="0"/>
              <w:divBdr>
                <w:top w:val="none" w:sz="0" w:space="0" w:color="auto"/>
                <w:left w:val="none" w:sz="0" w:space="0" w:color="auto"/>
                <w:bottom w:val="none" w:sz="0" w:space="0" w:color="auto"/>
                <w:right w:val="none" w:sz="0" w:space="0" w:color="auto"/>
              </w:divBdr>
            </w:div>
          </w:divsChild>
        </w:div>
        <w:div w:id="1878006770">
          <w:marLeft w:val="0"/>
          <w:marRight w:val="0"/>
          <w:marTop w:val="0"/>
          <w:marBottom w:val="0"/>
          <w:divBdr>
            <w:top w:val="none" w:sz="0" w:space="0" w:color="auto"/>
            <w:left w:val="none" w:sz="0" w:space="0" w:color="auto"/>
            <w:bottom w:val="none" w:sz="0" w:space="0" w:color="auto"/>
            <w:right w:val="none" w:sz="0" w:space="0" w:color="auto"/>
          </w:divBdr>
          <w:divsChild>
            <w:div w:id="1707172047">
              <w:marLeft w:val="0"/>
              <w:marRight w:val="0"/>
              <w:marTop w:val="0"/>
              <w:marBottom w:val="0"/>
              <w:divBdr>
                <w:top w:val="none" w:sz="0" w:space="0" w:color="auto"/>
                <w:left w:val="none" w:sz="0" w:space="0" w:color="auto"/>
                <w:bottom w:val="none" w:sz="0" w:space="0" w:color="auto"/>
                <w:right w:val="none" w:sz="0" w:space="0" w:color="auto"/>
              </w:divBdr>
            </w:div>
            <w:div w:id="4714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920356">
      <w:bodyDiv w:val="1"/>
      <w:marLeft w:val="0"/>
      <w:marRight w:val="0"/>
      <w:marTop w:val="0"/>
      <w:marBottom w:val="0"/>
      <w:divBdr>
        <w:top w:val="none" w:sz="0" w:space="0" w:color="auto"/>
        <w:left w:val="none" w:sz="0" w:space="0" w:color="auto"/>
        <w:bottom w:val="none" w:sz="0" w:space="0" w:color="auto"/>
        <w:right w:val="none" w:sz="0" w:space="0" w:color="auto"/>
      </w:divBdr>
    </w:div>
    <w:div w:id="1824393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0.png"/><Relationship Id="rId18" Type="http://schemas.openxmlformats.org/officeDocument/2006/relationships/image" Target="media/image6.png"/><Relationship Id="rId26" Type="http://schemas.openxmlformats.org/officeDocument/2006/relationships/image" Target="media/image9.wmf"/><Relationship Id="rId39" Type="http://schemas.openxmlformats.org/officeDocument/2006/relationships/hyperlink" Target="http://www.planalto.gov.br/ccivil_03/_ato2019-2022/2021/lei/L14133.htm" TargetMode="External"/><Relationship Id="rId3" Type="http://schemas.openxmlformats.org/officeDocument/2006/relationships/customXml" Target="../customXml/item3.xml"/><Relationship Id="rId21" Type="http://schemas.openxmlformats.org/officeDocument/2006/relationships/image" Target="media/image70.png"/><Relationship Id="rId34" Type="http://schemas.openxmlformats.org/officeDocument/2006/relationships/hyperlink" Target="https://contas.tcu.gov.br/juris/SvlHighLight?key=ACORDAO-LEGADO-122765&amp;texto=2532382532382532382b2532384e554d41434f5244414f253341323736392b4f522b4e554d52454c4143414f253341323736392532392532392532392b414e442b2532382b2532384e554d414e4f41434f5244414f253341323031342b4f522b4e554d414e4f52454c4143414f253341323031342532392532392532392b414e442b2b434f4c45474941444f253341253232504c454e4152494f253232&amp;sort=DTRELEVANCIA&amp;ordem=DESC&amp;bases=ACORDAO-LEGADO;DECISAO-LEGADO;RELACAO-LEGADO;ACORDAO-RELACAO-LEGADO;&amp;highlight=&amp;posicaoDocumento=0&amp;numDocumento=1&amp;totalDocumentos=1"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50.png"/><Relationship Id="rId25" Type="http://schemas.openxmlformats.org/officeDocument/2006/relationships/hyperlink" Target="mailto:consultoria.pgf@agu.gov.br" TargetMode="External"/><Relationship Id="rId33" Type="http://schemas.openxmlformats.org/officeDocument/2006/relationships/hyperlink" Target="https://contas.tcu.gov.br/pesquisaJurisprudencia/" TargetMode="External"/><Relationship Id="rId38" Type="http://schemas.openxmlformats.org/officeDocument/2006/relationships/hyperlink" Target="https://www.gov.br/compras/pt-br/acesso-a-informacao/legislacao/instrucoes-normativas/instrucao-normativa-seges-me-no-98-de-26-de-dezembro-de-2022"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hyperlink" Target="https://www.gov.br/compras/pt-br/acesso-a-informacao/legislacao/portarias/portaria-me-no-7-828-de-30-de-agosto-de-2022"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mailto:consultoria.pgf@agu.gov.br" TargetMode="External"/><Relationship Id="rId32" Type="http://schemas.openxmlformats.org/officeDocument/2006/relationships/hyperlink" Target="https://www.planalto.gov.br/ccivil_03/_Ato2019-2022/2021/Lei/L14133.htm" TargetMode="External"/><Relationship Id="rId37" Type="http://schemas.openxmlformats.org/officeDocument/2006/relationships/hyperlink" Target="https://www.gov.br/compras/pt-br/acesso-a-informacao/legislacao/instrucoes-normativas/instrucao-normativa-no-5-de-26-de-maio-de-2017-atualizada"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styles" Target="styles.xml"/><Relationship Id="rId15" Type="http://schemas.openxmlformats.org/officeDocument/2006/relationships/image" Target="media/image40.png"/><Relationship Id="rId23" Type="http://schemas.openxmlformats.org/officeDocument/2006/relationships/image" Target="media/image8.jpeg"/><Relationship Id="rId28" Type="http://schemas.openxmlformats.org/officeDocument/2006/relationships/hyperlink" Target="https://www.gov.br/compras/pt-br/acesso-a-informacao/legislacao/portarias/portaria-me-no-7-828-de-30-de-agosto-de-2022" TargetMode="External"/><Relationship Id="rId36" Type="http://schemas.openxmlformats.org/officeDocument/2006/relationships/hyperlink" Target="https://www.planalto.gov.br/ccivil_03/_ato2019-2022/2021/lei/l14133.htm" TargetMode="External"/><Relationship Id="rId10" Type="http://schemas.openxmlformats.org/officeDocument/2006/relationships/image" Target="media/image1.png"/><Relationship Id="rId19" Type="http://schemas.openxmlformats.org/officeDocument/2006/relationships/image" Target="media/image60.png"/><Relationship Id="rId31" Type="http://schemas.openxmlformats.org/officeDocument/2006/relationships/hyperlink" Target="https://www.gov.br/compras/pt-br/acesso-a-informacao/legislacao/portarias/portaria-no-179-de-22-de-abril-de-2019" TargetMode="External"/><Relationship Id="rId44"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yperlink" Target="https://www.youtube.com/watch?v=V-tgX6ueHY4" TargetMode="External"/><Relationship Id="rId27" Type="http://schemas.openxmlformats.org/officeDocument/2006/relationships/image" Target="media/image90.wmf"/><Relationship Id="rId30" Type="http://schemas.openxmlformats.org/officeDocument/2006/relationships/hyperlink" Target="https://www.gov.br/compras/pt-br/acesso-a-informacao/legislacao/portarias/portaria-no-179-de-22-de-abril-de-2019" TargetMode="External"/><Relationship Id="rId35" Type="http://schemas.openxmlformats.org/officeDocument/2006/relationships/hyperlink" Target="https://www.planalto.gov.br/ccivil_03/_ato2019-2022/2021/lei/l14133.htm" TargetMode="External"/><Relationship Id="rId43" Type="http://schemas.openxmlformats.org/officeDocument/2006/relationships/footer" Target="footer2.xml"/><Relationship Id="rId48" Type="http://schemas.microsoft.com/office/2020/10/relationships/intelligence" Target="intelligence2.xml"/></Relationships>
</file>

<file path=word/_rels/foot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43e49fb-bdc2-4760-8452-31999e19643b">
      <Terms xmlns="http://schemas.microsoft.com/office/infopath/2007/PartnerControls"/>
    </lcf76f155ced4ddcb4097134ff3c332f>
    <TaxCatchAll xmlns="597230be-81b2-49ee-a851-bc0bfffacec1" xsi:nil="true"/>
    <SharedWithUsers xmlns="597230be-81b2-49ee-a851-bc0bfffacec1">
      <UserInfo>
        <DisplayName/>
        <AccountId xsi:nil="true"/>
        <AccountType/>
      </UserInfo>
    </SharedWithUsers>
    <MediaLengthInSeconds xmlns="a43e49fb-bdc2-4760-8452-31999e19643b" xsi:nil="true"/>
    <Observa_x00e7__x00f5_es xmlns="a43e49fb-bdc2-4760-8452-31999e19643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E031E294F893E4C9BA7B10E57B921B8" ma:contentTypeVersion="19" ma:contentTypeDescription="Create a new document." ma:contentTypeScope="" ma:versionID="51641b259090f51af9b68396b4110bd2">
  <xsd:schema xmlns:xsd="http://www.w3.org/2001/XMLSchema" xmlns:xs="http://www.w3.org/2001/XMLSchema" xmlns:p="http://schemas.microsoft.com/office/2006/metadata/properties" xmlns:ns2="a43e49fb-bdc2-4760-8452-31999e19643b" xmlns:ns3="597230be-81b2-49ee-a851-bc0bfffacec1" targetNamespace="http://schemas.microsoft.com/office/2006/metadata/properties" ma:root="true" ma:fieldsID="7b51ae0a11f56263e402bbe872819d29" ns2:_="" ns3:_="">
    <xsd:import namespace="a43e49fb-bdc2-4760-8452-31999e19643b"/>
    <xsd:import namespace="597230be-81b2-49ee-a851-bc0bffface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Observa_x00e7__x00f5_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3e49fb-bdc2-4760-8452-31999e1964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959e577-b2f7-4427-8dd6-cea986f8b08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Observa_x00e7__x00f5_es" ma:index="24" nillable="true" ma:displayName="Observações" ma:format="Dropdown" ma:internalName="Observa_x00e7__x00f5_e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97230be-81b2-49ee-a851-bc0bfffacec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95ed89d4-d21a-40df-8b24-9ae2a43c1841}" ma:internalName="TaxCatchAll" ma:showField="CatchAllData" ma:web="597230be-81b2-49ee-a851-bc0bffface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8227B4C-1D31-4499-96CF-CF4F8E111135}">
  <ds:schemaRefs>
    <ds:schemaRef ds:uri="http://schemas.microsoft.com/sharepoint/v3/contenttype/forms"/>
  </ds:schemaRefs>
</ds:datastoreItem>
</file>

<file path=customXml/itemProps2.xml><?xml version="1.0" encoding="utf-8"?>
<ds:datastoreItem xmlns:ds="http://schemas.openxmlformats.org/officeDocument/2006/customXml" ds:itemID="{1B98A2EF-E423-4534-8D85-1076A66E5A69}">
  <ds:schemaRefs>
    <ds:schemaRef ds:uri="http://schemas.microsoft.com/office/2006/metadata/properties"/>
    <ds:schemaRef ds:uri="http://schemas.microsoft.com/office/infopath/2007/PartnerControls"/>
    <ds:schemaRef ds:uri="a43e49fb-bdc2-4760-8452-31999e19643b"/>
    <ds:schemaRef ds:uri="597230be-81b2-49ee-a851-bc0bfffacec1"/>
  </ds:schemaRefs>
</ds:datastoreItem>
</file>

<file path=customXml/itemProps3.xml><?xml version="1.0" encoding="utf-8"?>
<ds:datastoreItem xmlns:ds="http://schemas.openxmlformats.org/officeDocument/2006/customXml" ds:itemID="{23E5A2B3-73EC-4B6C-B1DF-967C172EBA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3e49fb-bdc2-4760-8452-31999e19643b"/>
    <ds:schemaRef ds:uri="597230be-81b2-49ee-a851-bc0bffface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18103</Words>
  <Characters>97759</Characters>
  <Application>Microsoft Office Word</Application>
  <DocSecurity>0</DocSecurity>
  <Lines>814</Lines>
  <Paragraphs>231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Reginaldo Pereira Gomes Filho</dc:creator>
  <cp:keywords/>
  <dc:description/>
  <cp:lastModifiedBy>Marcela Ali Tarif Roque</cp:lastModifiedBy>
  <cp:revision>3</cp:revision>
  <cp:lastPrinted>2023-04-28T12:55:00Z</cp:lastPrinted>
  <dcterms:created xsi:type="dcterms:W3CDTF">2024-06-19T15:02:00Z</dcterms:created>
  <dcterms:modified xsi:type="dcterms:W3CDTF">2024-06-19T15:11:00Z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0x010100BE031E294F893E4C9BA7B10E57B921B8</vt:lpwstr>
  </property>
  <property fmtid="{D5CDD505-2E9C-101B-9397-08002B2CF9AE}" pid="3" name="Order">
    <vt:r8>241700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ies>
</file>